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59"/>
        <w:spacing w:after="0"/>
        <w:rPr>
          <w:sz w:val="20"/>
          <w:szCs w:val="20"/>
          <w:color w:val="auto"/>
        </w:rPr>
      </w:pPr>
      <w:r>
        <w:rPr>
          <w:rFonts w:ascii="Courier New" w:cs="Courier New" w:eastAsia="Courier New" w:hAnsi="Courier New"/>
          <w:sz w:val="17"/>
          <w:szCs w:val="17"/>
          <w:color w:val="auto"/>
        </w:rPr>
        <w:t>UNITED STATES</w:t>
      </w:r>
    </w:p>
    <w:p>
      <w:pPr>
        <w:spacing w:after="0" w:line="3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WASHINGTON, D.C. 20549</w:t>
      </w:r>
    </w:p>
    <w:p>
      <w:pPr>
        <w:spacing w:after="0" w:line="17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FORM 6-K</w:t>
      </w:r>
    </w:p>
    <w:p>
      <w:pPr>
        <w:spacing w:after="0" w:line="200" w:lineRule="exact"/>
        <w:rPr>
          <w:sz w:val="24"/>
          <w:szCs w:val="24"/>
          <w:color w:val="auto"/>
        </w:rPr>
      </w:pPr>
    </w:p>
    <w:p>
      <w:pPr>
        <w:ind w:left="2460"/>
        <w:spacing w:after="0"/>
        <w:rPr>
          <w:sz w:val="20"/>
          <w:szCs w:val="20"/>
          <w:color w:val="auto"/>
        </w:rPr>
      </w:pPr>
      <w:r>
        <w:rPr>
          <w:rFonts w:ascii="Courier New" w:cs="Courier New" w:eastAsia="Courier New" w:hAnsi="Courier New"/>
          <w:sz w:val="17"/>
          <w:szCs w:val="17"/>
          <w:color w:val="auto"/>
        </w:rPr>
        <w:t>REPORT OF FOREIGN PRIVATE ISSUER</w:t>
      </w:r>
    </w:p>
    <w:p>
      <w:pPr>
        <w:spacing w:after="0" w:line="34" w:lineRule="exact"/>
        <w:rPr>
          <w:sz w:val="24"/>
          <w:szCs w:val="24"/>
          <w:color w:val="auto"/>
        </w:rPr>
      </w:pPr>
    </w:p>
    <w:p>
      <w:pPr>
        <w:ind w:left="2140"/>
        <w:spacing w:after="0"/>
        <w:rPr>
          <w:sz w:val="20"/>
          <w:szCs w:val="20"/>
          <w:color w:val="auto"/>
        </w:rPr>
      </w:pPr>
      <w:r>
        <w:rPr>
          <w:rFonts w:ascii="Courier New" w:cs="Courier New" w:eastAsia="Courier New" w:hAnsi="Courier New"/>
          <w:sz w:val="17"/>
          <w:szCs w:val="17"/>
          <w:color w:val="auto"/>
        </w:rPr>
        <w:t>PURSUANT TO RULE 13A-16 OR 15D-16 UNDER</w:t>
      </w:r>
    </w:p>
    <w:p>
      <w:pPr>
        <w:spacing w:after="0" w:line="4" w:lineRule="exact"/>
        <w:rPr>
          <w:sz w:val="24"/>
          <w:szCs w:val="24"/>
          <w:color w:val="auto"/>
        </w:rPr>
      </w:pPr>
    </w:p>
    <w:p>
      <w:pPr>
        <w:ind w:left="2360"/>
        <w:spacing w:after="0"/>
        <w:rPr>
          <w:sz w:val="20"/>
          <w:szCs w:val="20"/>
          <w:color w:val="auto"/>
        </w:rPr>
      </w:pPr>
      <w:r>
        <w:rPr>
          <w:rFonts w:ascii="Courier New" w:cs="Courier New" w:eastAsia="Courier New" w:hAnsi="Courier New"/>
          <w:sz w:val="17"/>
          <w:szCs w:val="17"/>
          <w:color w:val="auto"/>
        </w:rPr>
        <w:t>THE SECURITIES EXCHANGE ACT OF 1934</w:t>
      </w:r>
    </w:p>
    <w:p>
      <w:pPr>
        <w:spacing w:after="0" w:line="170" w:lineRule="exact"/>
        <w:rPr>
          <w:sz w:val="24"/>
          <w:szCs w:val="24"/>
          <w:color w:val="auto"/>
        </w:rPr>
      </w:pPr>
    </w:p>
    <w:p>
      <w:pPr>
        <w:ind w:left="2560"/>
        <w:spacing w:after="0"/>
        <w:rPr>
          <w:sz w:val="20"/>
          <w:szCs w:val="20"/>
          <w:color w:val="auto"/>
        </w:rPr>
      </w:pPr>
      <w:r>
        <w:rPr>
          <w:rFonts w:ascii="Courier New" w:cs="Courier New" w:eastAsia="Courier New" w:hAnsi="Courier New"/>
          <w:sz w:val="17"/>
          <w:szCs w:val="17"/>
          <w:color w:val="auto"/>
        </w:rPr>
        <w:t>For the month of November 2006</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Commission File Number 1-14840</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AMDOCS LIMITED</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Suite 5, Tower Hill House Le Bordage</w:t>
      </w:r>
    </w:p>
    <w:p>
      <w:pPr>
        <w:spacing w:after="0" w:line="3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St. Peter Port, Island of Guernsey, GY1 3QT Channel Islands</w:t>
      </w:r>
    </w:p>
    <w:p>
      <w:pPr>
        <w:spacing w:after="0" w:line="17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Amdocs, Inc.</w:t>
      </w:r>
    </w:p>
    <w:p>
      <w:pPr>
        <w:spacing w:after="0" w:line="3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1390 Timberlake Manor Parkway, Chesterfield, Missouri 63017</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170" w:lineRule="exact"/>
        <w:rPr>
          <w:sz w:val="24"/>
          <w:szCs w:val="24"/>
          <w:color w:val="auto"/>
        </w:rPr>
      </w:pPr>
    </w:p>
    <w:p>
      <w:pPr>
        <w:ind w:right="2159"/>
        <w:spacing w:after="0" w:line="360" w:lineRule="auto"/>
        <w:rPr>
          <w:sz w:val="20"/>
          <w:szCs w:val="20"/>
          <w:color w:val="auto"/>
        </w:rPr>
      </w:pPr>
      <w:r>
        <w:rPr>
          <w:rFonts w:ascii="Courier New" w:cs="Courier New" w:eastAsia="Courier New" w:hAnsi="Courier New"/>
          <w:sz w:val="17"/>
          <w:szCs w:val="17"/>
          <w:color w:val="auto"/>
        </w:rPr>
        <w:t>Indicate by check mark whether the registrant files or will file annual reports under cover of Form 20-F or Form 40-F.</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4040" w:type="dxa"/>
            <w:vAlign w:val="bottom"/>
          </w:tcPr>
          <w:p>
            <w:pPr>
              <w:ind w:left="2360"/>
              <w:spacing w:after="0"/>
              <w:rPr>
                <w:sz w:val="20"/>
                <w:szCs w:val="20"/>
                <w:color w:val="auto"/>
              </w:rPr>
            </w:pPr>
            <w:r>
              <w:rPr>
                <w:rFonts w:ascii="Courier New" w:cs="Courier New" w:eastAsia="Courier New" w:hAnsi="Courier New"/>
                <w:sz w:val="17"/>
                <w:szCs w:val="17"/>
                <w:color w:val="auto"/>
              </w:rPr>
              <w:t>FORM 20-F   X</w:t>
            </w:r>
          </w:p>
        </w:tc>
        <w:tc>
          <w:tcPr>
            <w:tcW w:w="402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FORM 40-F</w:t>
            </w:r>
          </w:p>
        </w:tc>
      </w:tr>
      <w:tr>
        <w:trPr>
          <w:trHeight w:val="286"/>
        </w:trPr>
        <w:tc>
          <w:tcPr>
            <w:tcW w:w="4040" w:type="dxa"/>
            <w:vAlign w:val="bottom"/>
          </w:tcPr>
          <w:p>
            <w:pPr>
              <w:ind w:left="338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24"/>
                <w:szCs w:val="24"/>
                <w:color w:val="auto"/>
              </w:rPr>
            </w:pPr>
          </w:p>
        </w:tc>
        <w:tc>
          <w:tcPr>
            <w:tcW w:w="3620" w:type="dxa"/>
            <w:vAlign w:val="bottom"/>
          </w:tcPr>
          <w:p>
            <w:pPr>
              <w:ind w:left="760"/>
              <w:spacing w:after="0"/>
              <w:rPr>
                <w:sz w:val="20"/>
                <w:szCs w:val="20"/>
                <w:color w:val="auto"/>
              </w:rPr>
            </w:pPr>
            <w:r>
              <w:rPr>
                <w:rFonts w:ascii="Courier New" w:cs="Courier New" w:eastAsia="Courier New" w:hAnsi="Courier New"/>
                <w:sz w:val="17"/>
                <w:szCs w:val="17"/>
                <w:color w:val="auto"/>
              </w:rPr>
              <w:t>-----</w:t>
            </w:r>
          </w:p>
        </w:tc>
      </w:tr>
      <w:tr>
        <w:trPr>
          <w:trHeight w:val="303"/>
        </w:trPr>
        <w:tc>
          <w:tcPr>
            <w:tcW w:w="4440" w:type="dxa"/>
            <w:vAlign w:val="bottom"/>
            <w:gridSpan w:val="2"/>
          </w:tcPr>
          <w:p>
            <w:pPr>
              <w:spacing w:after="0"/>
              <w:rPr>
                <w:sz w:val="20"/>
                <w:szCs w:val="20"/>
                <w:color w:val="auto"/>
              </w:rPr>
            </w:pPr>
            <w:r>
              <w:rPr>
                <w:rFonts w:ascii="Courier New" w:cs="Courier New" w:eastAsia="Courier New" w:hAnsi="Courier New"/>
                <w:sz w:val="17"/>
                <w:szCs w:val="17"/>
                <w:color w:val="auto"/>
              </w:rPr>
              <w:t>Indicate by check mark if the registrant is</w:t>
            </w:r>
          </w:p>
        </w:tc>
        <w:tc>
          <w:tcPr>
            <w:tcW w:w="3620" w:type="dxa"/>
            <w:vAlign w:val="bottom"/>
          </w:tcPr>
          <w:p>
            <w:pPr>
              <w:ind w:left="60"/>
              <w:spacing w:after="0"/>
              <w:rPr>
                <w:sz w:val="20"/>
                <w:szCs w:val="20"/>
                <w:color w:val="auto"/>
              </w:rPr>
            </w:pPr>
            <w:r>
              <w:rPr>
                <w:rFonts w:ascii="Courier New" w:cs="Courier New" w:eastAsia="Courier New" w:hAnsi="Courier New"/>
                <w:sz w:val="17"/>
                <w:szCs w:val="17"/>
                <w:color w:val="auto"/>
                <w:w w:val="99"/>
              </w:rPr>
              <w:t>submitting the Form 6-K in paper as</w:t>
            </w:r>
          </w:p>
        </w:tc>
      </w:tr>
      <w:tr>
        <w:trPr>
          <w:trHeight w:val="286"/>
        </w:trPr>
        <w:tc>
          <w:tcPr>
            <w:tcW w:w="4440" w:type="dxa"/>
            <w:vAlign w:val="bottom"/>
            <w:gridSpan w:val="2"/>
          </w:tcPr>
          <w:p>
            <w:pPr>
              <w:spacing w:after="0"/>
              <w:rPr>
                <w:sz w:val="20"/>
                <w:szCs w:val="20"/>
                <w:color w:val="auto"/>
              </w:rPr>
            </w:pPr>
            <w:r>
              <w:rPr>
                <w:rFonts w:ascii="Courier New" w:cs="Courier New" w:eastAsia="Courier New" w:hAnsi="Courier New"/>
                <w:sz w:val="17"/>
                <w:szCs w:val="17"/>
                <w:color w:val="auto"/>
              </w:rPr>
              <w:t>permitted by Regulation S-T Rule 101(b)(1):</w:t>
            </w:r>
          </w:p>
        </w:tc>
        <w:tc>
          <w:tcPr>
            <w:tcW w:w="3620" w:type="dxa"/>
            <w:vAlign w:val="bottom"/>
          </w:tcPr>
          <w:p>
            <w:pPr>
              <w:ind w:left="60"/>
              <w:spacing w:after="0"/>
              <w:rPr>
                <w:sz w:val="20"/>
                <w:szCs w:val="20"/>
                <w:color w:val="auto"/>
              </w:rPr>
            </w:pPr>
            <w:r>
              <w:rPr>
                <w:rFonts w:ascii="Courier New" w:cs="Courier New" w:eastAsia="Courier New" w:hAnsi="Courier New"/>
                <w:sz w:val="17"/>
                <w:szCs w:val="17"/>
                <w:color w:val="auto"/>
              </w:rPr>
              <w:t>____</w:t>
            </w:r>
          </w:p>
        </w:tc>
      </w:tr>
      <w:tr>
        <w:trPr>
          <w:trHeight w:val="303"/>
        </w:trPr>
        <w:tc>
          <w:tcPr>
            <w:tcW w:w="4440" w:type="dxa"/>
            <w:vAlign w:val="bottom"/>
            <w:gridSpan w:val="2"/>
          </w:tcPr>
          <w:p>
            <w:pPr>
              <w:spacing w:after="0"/>
              <w:rPr>
                <w:sz w:val="20"/>
                <w:szCs w:val="20"/>
                <w:color w:val="auto"/>
              </w:rPr>
            </w:pPr>
            <w:r>
              <w:rPr>
                <w:rFonts w:ascii="Courier New" w:cs="Courier New" w:eastAsia="Courier New" w:hAnsi="Courier New"/>
                <w:sz w:val="17"/>
                <w:szCs w:val="17"/>
                <w:color w:val="auto"/>
              </w:rPr>
              <w:t>Indicate by check mark if the registrant is</w:t>
            </w:r>
          </w:p>
        </w:tc>
        <w:tc>
          <w:tcPr>
            <w:tcW w:w="3620" w:type="dxa"/>
            <w:vAlign w:val="bottom"/>
          </w:tcPr>
          <w:p>
            <w:pPr>
              <w:ind w:left="60"/>
              <w:spacing w:after="0"/>
              <w:rPr>
                <w:sz w:val="20"/>
                <w:szCs w:val="20"/>
                <w:color w:val="auto"/>
              </w:rPr>
            </w:pPr>
            <w:r>
              <w:rPr>
                <w:rFonts w:ascii="Courier New" w:cs="Courier New" w:eastAsia="Courier New" w:hAnsi="Courier New"/>
                <w:sz w:val="17"/>
                <w:szCs w:val="17"/>
                <w:color w:val="auto"/>
                <w:w w:val="99"/>
              </w:rPr>
              <w:t>submitting the Form 6-K in paper as</w:t>
            </w:r>
          </w:p>
        </w:tc>
      </w:tr>
      <w:tr>
        <w:trPr>
          <w:trHeight w:val="286"/>
        </w:trPr>
        <w:tc>
          <w:tcPr>
            <w:tcW w:w="4440" w:type="dxa"/>
            <w:vAlign w:val="bottom"/>
            <w:gridSpan w:val="2"/>
          </w:tcPr>
          <w:p>
            <w:pPr>
              <w:spacing w:after="0"/>
              <w:rPr>
                <w:sz w:val="20"/>
                <w:szCs w:val="20"/>
                <w:color w:val="auto"/>
              </w:rPr>
            </w:pPr>
            <w:r>
              <w:rPr>
                <w:rFonts w:ascii="Courier New" w:cs="Courier New" w:eastAsia="Courier New" w:hAnsi="Courier New"/>
                <w:sz w:val="17"/>
                <w:szCs w:val="17"/>
                <w:color w:val="auto"/>
              </w:rPr>
              <w:t>permitted by Regulation S-T Rule 101(b)(7):</w:t>
            </w:r>
          </w:p>
        </w:tc>
        <w:tc>
          <w:tcPr>
            <w:tcW w:w="3620" w:type="dxa"/>
            <w:vAlign w:val="bottom"/>
          </w:tcPr>
          <w:p>
            <w:pPr>
              <w:ind w:left="60"/>
              <w:spacing w:after="0"/>
              <w:rPr>
                <w:sz w:val="20"/>
                <w:szCs w:val="20"/>
                <w:color w:val="auto"/>
              </w:rPr>
            </w:pPr>
            <w:r>
              <w:rPr>
                <w:rFonts w:ascii="Courier New" w:cs="Courier New" w:eastAsia="Courier New" w:hAnsi="Courier New"/>
                <w:sz w:val="17"/>
                <w:szCs w:val="17"/>
                <w:color w:val="auto"/>
              </w:rPr>
              <w:t>____</w:t>
            </w:r>
          </w:p>
        </w:tc>
      </w:tr>
    </w:tbl>
    <w:p>
      <w:pPr>
        <w:spacing w:after="0" w:line="107" w:lineRule="exact"/>
        <w:rPr>
          <w:sz w:val="24"/>
          <w:szCs w:val="24"/>
          <w:color w:val="auto"/>
        </w:rPr>
      </w:pPr>
    </w:p>
    <w:p>
      <w:pPr>
        <w:ind w:right="2059"/>
        <w:spacing w:after="0" w:line="328"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609" w:right="1440" w:bottom="1440" w:gutter="0" w:footer="0" w:header="0"/>
        </w:sectPr>
      </w:pPr>
    </w:p>
    <w:p>
      <w:pPr>
        <w:spacing w:after="0" w:line="42" w:lineRule="exact"/>
        <w:rPr>
          <w:sz w:val="24"/>
          <w:szCs w:val="24"/>
          <w:color w:val="auto"/>
        </w:rPr>
      </w:pPr>
    </w:p>
    <w:p>
      <w:pPr>
        <w:ind w:left="3060"/>
        <w:spacing w:after="0"/>
        <w:rPr>
          <w:sz w:val="20"/>
          <w:szCs w:val="20"/>
          <w:color w:val="auto"/>
        </w:rPr>
      </w:pPr>
      <w:r>
        <w:rPr>
          <w:rFonts w:ascii="Courier New" w:cs="Courier New" w:eastAsia="Courier New" w:hAnsi="Courier New"/>
          <w:sz w:val="17"/>
          <w:szCs w:val="17"/>
          <w:color w:val="auto"/>
        </w:rPr>
        <w:t>YES</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NO</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center"/>
        <w:ind w:right="5119"/>
        <w:spacing w:after="0"/>
        <w:rPr>
          <w:sz w:val="20"/>
          <w:szCs w:val="20"/>
          <w:color w:val="auto"/>
        </w:rPr>
      </w:pPr>
      <w:r>
        <w:rPr>
          <w:rFonts w:ascii="Courier New" w:cs="Courier New" w:eastAsia="Courier New" w:hAnsi="Courier New"/>
          <w:sz w:val="17"/>
          <w:szCs w:val="17"/>
          <w:color w:val="auto"/>
        </w:rPr>
        <w:t>X</w:t>
      </w:r>
    </w:p>
    <w:p>
      <w:pPr>
        <w:spacing w:after="0" w:line="34" w:lineRule="exact"/>
        <w:rPr>
          <w:sz w:val="24"/>
          <w:szCs w:val="24"/>
          <w:color w:val="auto"/>
        </w:rPr>
      </w:pPr>
    </w:p>
    <w:p>
      <w:pPr>
        <w:jc w:val="center"/>
        <w:ind w:right="511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4">
            <w:col w:w="3380" w:space="100"/>
            <w:col w:w="500" w:space="300"/>
            <w:col w:w="220" w:space="100"/>
            <w:col w:w="5619"/>
          </w:cols>
          <w:pgMar w:left="240" w:top="609" w:right="1440" w:bottom="1440" w:gutter="0" w:footer="0" w:header="0"/>
          <w:type w:val="continuous"/>
        </w:sectPr>
      </w:pPr>
    </w:p>
    <w:bookmarkStart w:id="1" w:name="page2"/>
    <w:bookmarkEnd w:id="1"/>
    <w:p>
      <w:pPr>
        <w:ind w:right="2059" w:firstLine="510"/>
        <w:spacing w:after="0" w:line="283" w:lineRule="auto"/>
        <w:rPr>
          <w:sz w:val="20"/>
          <w:szCs w:val="20"/>
          <w:color w:val="auto"/>
        </w:rPr>
      </w:pPr>
      <w:r>
        <w:rPr>
          <w:rFonts w:ascii="Courier New" w:cs="Courier New" w:eastAsia="Courier New" w:hAnsi="Courier New"/>
          <w:sz w:val="17"/>
          <w:szCs w:val="17"/>
          <w:color w:val="auto"/>
        </w:rPr>
        <w:t>On November 1, 2006, Amdocs Limited ("Amdocs") issued a press release announcing financial results for the quarter ended September 30, 2006. A copy of the press release is furnished as Exhibit 99.1 to this Report of Foreign Private Issuer on Form 6-K.</w:t>
      </w:r>
    </w:p>
    <w:p>
      <w:pPr>
        <w:spacing w:after="0" w:line="73" w:lineRule="exact"/>
        <w:rPr>
          <w:sz w:val="20"/>
          <w:szCs w:val="20"/>
          <w:color w:val="auto"/>
        </w:rPr>
      </w:pPr>
    </w:p>
    <w:p>
      <w:pPr>
        <w:ind w:right="2059" w:firstLine="510"/>
        <w:spacing w:after="0" w:line="273" w:lineRule="auto"/>
        <w:rPr>
          <w:sz w:val="20"/>
          <w:szCs w:val="20"/>
          <w:color w:val="auto"/>
        </w:rPr>
      </w:pPr>
      <w:r>
        <w:rPr>
          <w:rFonts w:ascii="Courier New" w:cs="Courier New" w:eastAsia="Courier New" w:hAnsi="Courier New"/>
          <w:sz w:val="17"/>
          <w:szCs w:val="17"/>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219"/>
          </w:cols>
          <w:pgMar w:left="240" w:top="674"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7"/>
          <w:szCs w:val="17"/>
          <w:color w:val="auto"/>
        </w:rPr>
        <w:t>SIGNATURES</w:t>
      </w:r>
    </w:p>
    <w:p>
      <w:pPr>
        <w:spacing w:after="0" w:line="200" w:lineRule="exact"/>
        <w:rPr>
          <w:sz w:val="20"/>
          <w:szCs w:val="20"/>
          <w:color w:val="auto"/>
        </w:rPr>
      </w:pPr>
    </w:p>
    <w:p>
      <w:pPr>
        <w:jc w:val="both"/>
        <w:ind w:right="2859"/>
        <w:spacing w:after="0" w:line="302"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58"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AMDOCS LIMITED</w:t>
      </w:r>
    </w:p>
    <w:p>
      <w:pPr>
        <w:spacing w:after="0" w:line="396"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/s/ Thomas G. O'Brien</w:t>
      </w:r>
    </w:p>
    <w:p>
      <w:pPr>
        <w:spacing w:after="0" w:line="34"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w:t>
      </w:r>
    </w:p>
    <w:p>
      <w:pPr>
        <w:spacing w:after="0" w:line="15"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Thomas G. O'Brien</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Treasurer and Secretary</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Authorized U.S. Representative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November 2, 2006</w:t>
      </w:r>
    </w:p>
    <w:p>
      <w:pPr>
        <w:sectPr>
          <w:pgSz w:w="11900" w:h="16838" w:orient="portrait"/>
          <w:cols w:equalWidth="0" w:num="1">
            <w:col w:w="10219"/>
          </w:cols>
          <w:pgMar w:left="240" w:top="674" w:right="1440" w:bottom="1440" w:gutter="0" w:footer="0" w:header="0"/>
        </w:sectPr>
      </w:pPr>
    </w:p>
    <w:bookmarkStart w:id="3" w:name="page4"/>
    <w:bookmarkEnd w:id="3"/>
    <w:p>
      <w:pPr>
        <w:ind w:left="3480"/>
        <w:spacing w:after="0"/>
        <w:rPr>
          <w:sz w:val="20"/>
          <w:szCs w:val="20"/>
          <w:color w:val="auto"/>
        </w:rPr>
      </w:pPr>
      <w:r>
        <w:rPr>
          <w:rFonts w:ascii="Courier New" w:cs="Courier New" w:eastAsia="Courier New" w:hAnsi="Courier New"/>
          <w:sz w:val="17"/>
          <w:szCs w:val="17"/>
          <w:color w:val="auto"/>
        </w:rPr>
        <w:t>EXHIBIT INDEX</w:t>
      </w:r>
    </w:p>
    <w:p>
      <w:pPr>
        <w:spacing w:after="0" w:line="200" w:lineRule="exact"/>
        <w:rPr>
          <w:sz w:val="20"/>
          <w:szCs w:val="20"/>
          <w:color w:val="auto"/>
        </w:rPr>
      </w:pPr>
    </w:p>
    <w:p>
      <w:pPr>
        <w:spacing w:after="0" w:line="392"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7"/>
          <w:szCs w:val="17"/>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34"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w:t>
      </w:r>
    </w:p>
    <w:p>
      <w:pPr>
        <w:spacing w:after="0" w:line="170"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7"/>
          <w:szCs w:val="17"/>
          <w:color w:val="auto"/>
        </w:rPr>
        <w:t>99.1</w:t>
      </w:r>
      <w:r>
        <w:rPr>
          <w:sz w:val="20"/>
          <w:szCs w:val="20"/>
          <w:color w:val="auto"/>
        </w:rPr>
        <w:tab/>
      </w:r>
      <w:r>
        <w:rPr>
          <w:rFonts w:ascii="Courier New" w:cs="Courier New" w:eastAsia="Courier New" w:hAnsi="Courier New"/>
          <w:sz w:val="16"/>
          <w:szCs w:val="16"/>
          <w:color w:val="auto"/>
        </w:rPr>
        <w:t>Amdocs Limited Press Release dated November 1, 2006.</w:t>
      </w:r>
    </w:p>
    <w:p>
      <w:pPr>
        <w:sectPr>
          <w:pgSz w:w="11900" w:h="16838" w:orient="portrait"/>
          <w:cols w:equalWidth="0" w:num="1">
            <w:col w:w="10219"/>
          </w:cols>
          <w:pgMar w:left="240" w:top="674" w:right="1440" w:bottom="1440" w:gutter="0" w:footer="0" w:header="0"/>
        </w:sectPr>
      </w:pPr>
    </w:p>
    <w:bookmarkStart w:id="4" w:name="page5"/>
    <w:bookmarkEnd w:id="4"/>
    <w:p>
      <w:pPr>
        <w:ind w:left="1440" w:right="2159" w:hanging="1427"/>
        <w:spacing w:after="0" w:line="360" w:lineRule="auto"/>
        <w:rPr>
          <w:sz w:val="20"/>
          <w:szCs w:val="20"/>
          <w:color w:val="auto"/>
        </w:rPr>
      </w:pPr>
      <w:r>
        <w:rPr>
          <w:rFonts w:ascii="Courier New" w:cs="Courier New" w:eastAsia="Courier New" w:hAnsi="Courier New"/>
          <w:sz w:val="17"/>
          <w:szCs w:val="17"/>
          <w:color w:val="auto"/>
        </w:rPr>
        <w:t>AMDOCS LIMITED CLOSES STRONG FISCAL 2006 WITH REVENUE OF $2.48 BILLION; REPORTS RECORD REVENUE OF $665 MILLION FOR THE FOURTH QUARTER</w:t>
      </w:r>
    </w:p>
    <w:p>
      <w:pPr>
        <w:spacing w:after="0" w:line="11"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AMDOCS REPORTS 28% GROWTH IN QUARTERLY DILUTED NON-GAAP EARNINGS PER SHARE TO</w:t>
      </w:r>
    </w:p>
    <w:p>
      <w:pPr>
        <w:spacing w:after="0" w:line="3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$0.50; DILUTED GAAP EARNINGS PER SHARE OF $0.35</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 highlights:</w:t>
      </w:r>
    </w:p>
    <w:p>
      <w:pPr>
        <w:spacing w:after="0" w:line="200" w:lineRule="exact"/>
        <w:rPr>
          <w:sz w:val="20"/>
          <w:szCs w:val="20"/>
          <w:color w:val="auto"/>
        </w:rPr>
      </w:pPr>
    </w:p>
    <w:p>
      <w:pPr>
        <w:ind w:left="520" w:right="2359" w:hanging="515"/>
        <w:spacing w:after="0" w:line="360" w:lineRule="auto"/>
        <w:tabs>
          <w:tab w:leader="none" w:pos="214"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-2006 revenue grew 22% to $2.48 billion. Diluted non-GAAP EPS grew 28%; diluted GAAP EPS grew 10%</w:t>
      </w:r>
    </w:p>
    <w:p>
      <w:pPr>
        <w:spacing w:after="0" w:line="10"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-Fourth quarter revenue grew 16% to $665 million</w:t>
      </w:r>
    </w:p>
    <w:p>
      <w:pPr>
        <w:spacing w:after="0" w:line="199" w:lineRule="exact"/>
        <w:rPr>
          <w:rFonts w:ascii="Courier New" w:cs="Courier New" w:eastAsia="Courier New" w:hAnsi="Courier New"/>
          <w:sz w:val="17"/>
          <w:szCs w:val="17"/>
          <w:color w:val="auto"/>
        </w:rPr>
      </w:pPr>
    </w:p>
    <w:p>
      <w:pPr>
        <w:ind w:left="520" w:right="2459" w:hanging="515"/>
        <w:spacing w:after="0" w:line="302" w:lineRule="auto"/>
        <w:tabs>
          <w:tab w:leader="none" w:pos="214"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-28% increase in fourth quarter diluted non-GAAP EPS, excluding acquisition-related costs and equity-based compensation expense, net of related tax effects, to $0.50</w:t>
      </w:r>
    </w:p>
    <w:p>
      <w:pPr>
        <w:spacing w:after="0" w:line="57"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Diluted GAAP EPS of $0.35 for the quarter</w:t>
      </w:r>
    </w:p>
    <w:p>
      <w:pPr>
        <w:spacing w:after="0" w:line="199"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-Free cash flow of $101 million for the quarter</w:t>
      </w:r>
    </w:p>
    <w:p>
      <w:pPr>
        <w:spacing w:after="0" w:line="199" w:lineRule="exact"/>
        <w:rPr>
          <w:rFonts w:ascii="Courier New" w:cs="Courier New" w:eastAsia="Courier New" w:hAnsi="Courier New"/>
          <w:sz w:val="17"/>
          <w:szCs w:val="17"/>
          <w:color w:val="auto"/>
        </w:rPr>
      </w:pPr>
    </w:p>
    <w:p>
      <w:pPr>
        <w:ind w:left="520" w:right="2059" w:hanging="515"/>
        <w:spacing w:after="0" w:line="360" w:lineRule="auto"/>
        <w:tabs>
          <w:tab w:leader="none" w:pos="214"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-Completed acquisition of Cramer Systems Group Ltd., positioning Amdocs as the leader in the fast-growing OSS market</w:t>
      </w:r>
    </w:p>
    <w:p>
      <w:pPr>
        <w:spacing w:after="0" w:line="10" w:lineRule="exact"/>
        <w:rPr>
          <w:rFonts w:ascii="Courier New" w:cs="Courier New" w:eastAsia="Courier New" w:hAnsi="Courier New"/>
          <w:sz w:val="17"/>
          <w:szCs w:val="17"/>
          <w:color w:val="auto"/>
        </w:rPr>
      </w:pPr>
    </w:p>
    <w:p>
      <w:pPr>
        <w:ind w:left="520" w:right="1959" w:hanging="515"/>
        <w:spacing w:after="0" w:line="273" w:lineRule="auto"/>
        <w:tabs>
          <w:tab w:leader="none" w:pos="214"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-First quarter fiscal 2007 guidance: Expected revenue of approximately $690 million and diluted non-GAAP EPS of $0.50, excluding acquisition-related costs and approximately $0.05-$0.06 per share of equity-based compensation expense, net of related tax effects. Diluted GAAP EPS is expected to be approximately $0.39-$0.40</w:t>
      </w:r>
    </w:p>
    <w:p>
      <w:pPr>
        <w:spacing w:after="0" w:line="81" w:lineRule="exact"/>
        <w:rPr>
          <w:rFonts w:ascii="Courier New" w:cs="Courier New" w:eastAsia="Courier New" w:hAnsi="Courier New"/>
          <w:sz w:val="17"/>
          <w:szCs w:val="17"/>
          <w:color w:val="auto"/>
        </w:rPr>
      </w:pPr>
    </w:p>
    <w:p>
      <w:pPr>
        <w:ind w:left="520" w:right="1839" w:hanging="515"/>
        <w:spacing w:after="0" w:line="273" w:lineRule="auto"/>
        <w:tabs>
          <w:tab w:leader="none" w:pos="214"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-Updated fiscal 2007 guidance: Expected revenue of approximately $2.89-$2.97 billion and diluted non-GAAP EPS of $2.08-$2.16, which exclude acquisition-related costs and approximately $0.22-$0.26 per share of equity-based compensation expense, net of related tax effects. Diluted GAAP EPS is expected to be approximately $1.62-$1.74</w:t>
      </w:r>
    </w:p>
    <w:p>
      <w:pPr>
        <w:spacing w:after="0" w:line="82" w:lineRule="exact"/>
        <w:rPr>
          <w:sz w:val="20"/>
          <w:szCs w:val="20"/>
          <w:color w:val="auto"/>
        </w:rPr>
      </w:pPr>
    </w:p>
    <w:p>
      <w:pPr>
        <w:ind w:right="2059"/>
        <w:spacing w:after="0" w:line="257" w:lineRule="auto"/>
        <w:rPr>
          <w:sz w:val="20"/>
          <w:szCs w:val="20"/>
          <w:color w:val="auto"/>
        </w:rPr>
      </w:pPr>
      <w:r>
        <w:rPr>
          <w:rFonts w:ascii="Courier New" w:cs="Courier New" w:eastAsia="Courier New" w:hAnsi="Courier New"/>
          <w:sz w:val="17"/>
          <w:szCs w:val="17"/>
          <w:color w:val="auto"/>
        </w:rPr>
        <w:t>ST. LOUIS, MO - NOVEMBER 1, 2006 - Amdocs Limited (NYSE: DOX) today reported that for the quarter ended September 30, 2006, revenue was $665.4 million, an increase of 16.1% from last year's fourth quarter. Net income on a non-GAAP basis was $109.5 million, or $0.50 per diluted share (excluding acquisition-related costs, which include amortization of purchased intangible assets and the write-off of in-process research and development, and excluding equity-based compensation expense, net of related tax effects, of $33.5 million), compared to non-GAAP net income of $83.9 million, or $0.39 per diluted share, in the fourth quarter of fiscal 2005 (excluding acquisition-related costs, which</w:t>
      </w:r>
    </w:p>
    <w:p>
      <w:pPr>
        <w:sectPr>
          <w:pgSz w:w="11900" w:h="16838" w:orient="portrait"/>
          <w:cols w:equalWidth="0" w:num="1">
            <w:col w:w="10219"/>
          </w:cols>
          <w:pgMar w:left="240" w:top="504" w:right="1440" w:bottom="1440" w:gutter="0" w:footer="0" w:header="0"/>
        </w:sectPr>
      </w:pPr>
    </w:p>
    <w:bookmarkStart w:id="5" w:name="page6"/>
    <w:bookmarkEnd w:id="5"/>
    <w:p>
      <w:pPr>
        <w:ind w:right="2159"/>
        <w:spacing w:after="0" w:line="261" w:lineRule="auto"/>
        <w:rPr>
          <w:sz w:val="20"/>
          <w:szCs w:val="20"/>
          <w:color w:val="auto"/>
        </w:rPr>
      </w:pPr>
      <w:r>
        <w:rPr>
          <w:rFonts w:ascii="Courier New" w:cs="Courier New" w:eastAsia="Courier New" w:hAnsi="Courier New"/>
          <w:sz w:val="17"/>
          <w:szCs w:val="17"/>
          <w:color w:val="auto"/>
        </w:rPr>
        <w:t>include amortization of purchased intangible assets, in-process research and development write-off and other, and excluding restructuring charges, net of related tax effects, of $16.1 million). The Company's GAAP net income was $76.0 million, or $0.35 per diluted share, compared to GAAP net income of $67.8 million, or $0.32 per diluted share, in the fourth quarter of fiscal 2005. Free cash flow for the quarter was $100.8 million, comprised of cash flow from operations of $129.0 million less $26.6 million in net capital expenditures and less $1.6 million in other items.</w:t>
      </w:r>
    </w:p>
    <w:p>
      <w:pPr>
        <w:spacing w:after="0" w:line="90" w:lineRule="exact"/>
        <w:rPr>
          <w:sz w:val="20"/>
          <w:szCs w:val="20"/>
          <w:color w:val="auto"/>
        </w:rPr>
      </w:pPr>
    </w:p>
    <w:p>
      <w:pPr>
        <w:ind w:right="2059"/>
        <w:spacing w:after="0" w:line="261" w:lineRule="auto"/>
        <w:rPr>
          <w:sz w:val="20"/>
          <w:szCs w:val="20"/>
          <w:color w:val="auto"/>
        </w:rPr>
      </w:pPr>
      <w:r>
        <w:rPr>
          <w:rFonts w:ascii="Courier New" w:cs="Courier New" w:eastAsia="Courier New" w:hAnsi="Courier New"/>
          <w:sz w:val="17"/>
          <w:szCs w:val="17"/>
          <w:color w:val="auto"/>
        </w:rPr>
        <w:t>"The strong market that we saw in 2006 was a result of the transformation that service providers are undergoing," said Dov Baharav, chief executive officer of Amdocs Management Limited. "We see strong demand as our customers cope with competition, consolidation and convergence; our customers continue to introduce IP-based services to capture new revenue streams. Amdocs expanded its offering this year with the acquisitions of Qpass in the content area and Cramer in OSS. Amdocs is the leading vendor in our market because we offer end-to-end solutions that address service providers' needs."</w:t>
      </w:r>
    </w:p>
    <w:p>
      <w:pPr>
        <w:spacing w:after="0" w:line="90" w:lineRule="exact"/>
        <w:rPr>
          <w:sz w:val="20"/>
          <w:szCs w:val="20"/>
          <w:color w:val="auto"/>
        </w:rPr>
      </w:pPr>
    </w:p>
    <w:p>
      <w:pPr>
        <w:ind w:right="2059"/>
        <w:spacing w:after="0" w:line="294" w:lineRule="auto"/>
        <w:rPr>
          <w:sz w:val="20"/>
          <w:szCs w:val="20"/>
          <w:color w:val="auto"/>
        </w:rPr>
      </w:pPr>
      <w:r>
        <w:rPr>
          <w:rFonts w:ascii="Courier New" w:cs="Courier New" w:eastAsia="Courier New" w:hAnsi="Courier New"/>
          <w:sz w:val="16"/>
          <w:szCs w:val="16"/>
          <w:color w:val="auto"/>
        </w:rPr>
        <w:t>Baharav continued "Our record revenue in the fourth quarter and in fiscal 2006 was driven by a strong market and by the actions we took to capitalize on this market. Amdocs record of successful execution is built on product innovation and service excellence, making us the choice of leading service providers around the world. Our achievements this year position Amdocs for a strong fiscal 2007."</w:t>
      </w:r>
    </w:p>
    <w:p>
      <w:pPr>
        <w:spacing w:after="0" w:line="67" w:lineRule="exact"/>
        <w:rPr>
          <w:sz w:val="20"/>
          <w:szCs w:val="20"/>
          <w:color w:val="auto"/>
        </w:rPr>
      </w:pPr>
    </w:p>
    <w:p>
      <w:pPr>
        <w:ind w:right="2059"/>
        <w:spacing w:after="0" w:line="257" w:lineRule="auto"/>
        <w:rPr>
          <w:sz w:val="20"/>
          <w:szCs w:val="20"/>
          <w:color w:val="auto"/>
        </w:rPr>
      </w:pPr>
      <w:r>
        <w:rPr>
          <w:rFonts w:ascii="Courier New" w:cs="Courier New" w:eastAsia="Courier New" w:hAnsi="Courier New"/>
          <w:sz w:val="17"/>
          <w:szCs w:val="17"/>
          <w:color w:val="auto"/>
        </w:rPr>
        <w:t>During the fourth quarter, Amdocs new business included ten key wins, across geographies and lines of business. With Bell Canada the Company signed an extension of its managed services agreement through 2012. Amdocs will work with Bell Canada to improve its competitiveness and help it introduce new next-generation services. In the broadband cable and satellite market, Amdocs is enjoying momentum with deals to extend the managed services agreement and provide additional services to DIRECTV, and to add software functionality for another customer. For a new customer, Amdocs will provide billing and mediation capabilities. Two customers in Europe have chosen Amdocs for projects related to OSS and product catalog.</w:t>
      </w:r>
    </w:p>
    <w:p>
      <w:pPr>
        <w:spacing w:after="0" w:line="96" w:lineRule="exact"/>
        <w:rPr>
          <w:sz w:val="20"/>
          <w:szCs w:val="20"/>
          <w:color w:val="auto"/>
        </w:rPr>
      </w:pPr>
    </w:p>
    <w:p>
      <w:pPr>
        <w:ind w:right="2759"/>
        <w:spacing w:after="0" w:line="302" w:lineRule="auto"/>
        <w:rPr>
          <w:sz w:val="20"/>
          <w:szCs w:val="20"/>
          <w:color w:val="auto"/>
        </w:rPr>
      </w:pPr>
      <w:r>
        <w:rPr>
          <w:rFonts w:ascii="Courier New" w:cs="Courier New" w:eastAsia="Courier New" w:hAnsi="Courier New"/>
          <w:sz w:val="17"/>
          <w:szCs w:val="17"/>
          <w:color w:val="auto"/>
        </w:rPr>
        <w:t>The Company also noted that for the fiscal year ended September 30, 2006, revenue increased by 21.7% to $2.48 billion. Fiscal 2006 net income on a non-GAAP basis was</w:t>
      </w:r>
    </w:p>
    <w:p>
      <w:pPr>
        <w:sectPr>
          <w:pgSz w:w="11900" w:h="16838" w:orient="portrait"/>
          <w:cols w:equalWidth="0" w:num="1">
            <w:col w:w="10219"/>
          </w:cols>
          <w:pgMar w:left="240" w:top="674" w:right="1440" w:bottom="1440" w:gutter="0" w:footer="0" w:header="0"/>
        </w:sectPr>
      </w:pPr>
    </w:p>
    <w:bookmarkStart w:id="6" w:name="page7"/>
    <w:bookmarkEnd w:id="6"/>
    <w:p>
      <w:pPr>
        <w:ind w:right="2059"/>
        <w:spacing w:after="0" w:line="256" w:lineRule="auto"/>
        <w:rPr>
          <w:sz w:val="20"/>
          <w:szCs w:val="20"/>
          <w:color w:val="auto"/>
        </w:rPr>
      </w:pPr>
      <w:r>
        <w:rPr>
          <w:rFonts w:ascii="Courier New" w:cs="Courier New" w:eastAsia="Courier New" w:hAnsi="Courier New"/>
          <w:sz w:val="17"/>
          <w:szCs w:val="17"/>
          <w:color w:val="auto"/>
        </w:rPr>
        <w:t>$401.2 million, or $1.85 per diluted share (excluding acquisition-related costs, which include amortization of purchased intangible assets and the write-off of in-process research and development, and excluding equity-based compensation expense, net of related tax effects, of $82.6 million), compared to non-GAAP net income of $311.0 million, or $1.45 per diluted share, in fiscal 2005 (excluding acquisition-related costs, which include amortization of purchased intangible assets, in-process research and development write-off and other, and excluding restructuring charges, net of related tax effects, of $22.4 million). The Company's GAAP net income in fiscal 2006 was $318.6 million, or $1.48 per diluted share, compared to GAAP net income of $288.6 million, or $1.35 per diluted share, in fiscal 2005.</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OUTLOOK</w:t>
      </w:r>
    </w:p>
    <w:p>
      <w:pPr>
        <w:spacing w:after="0" w:line="200" w:lineRule="exact"/>
        <w:rPr>
          <w:sz w:val="20"/>
          <w:szCs w:val="20"/>
          <w:color w:val="auto"/>
        </w:rPr>
      </w:pPr>
    </w:p>
    <w:p>
      <w:pPr>
        <w:ind w:right="2159"/>
        <w:spacing w:after="0" w:line="267" w:lineRule="auto"/>
        <w:rPr>
          <w:sz w:val="20"/>
          <w:szCs w:val="20"/>
          <w:color w:val="auto"/>
        </w:rPr>
      </w:pPr>
      <w:r>
        <w:rPr>
          <w:rFonts w:ascii="Courier New" w:cs="Courier New" w:eastAsia="Courier New" w:hAnsi="Courier New"/>
          <w:sz w:val="17"/>
          <w:szCs w:val="17"/>
          <w:color w:val="auto"/>
        </w:rPr>
        <w:t>Amdocs expects that revenue for the first quarter of fiscal 2007 will be approximately $690 million. Diluted earnings per share on a non-GAAP basis for the first quarter are expected to be $0.50, excluding acquisition-related costs and the impact of approximately $0.05-$0.06 per share of equity-based compensation expense, net of related tax effects. Diluted GAAP EPS is expected to be approximately $0.39-$0.40.</w:t>
      </w:r>
    </w:p>
    <w:p>
      <w:pPr>
        <w:spacing w:after="0" w:line="88" w:lineRule="exact"/>
        <w:rPr>
          <w:sz w:val="20"/>
          <w:szCs w:val="20"/>
          <w:color w:val="auto"/>
        </w:rPr>
      </w:pPr>
    </w:p>
    <w:p>
      <w:pPr>
        <w:ind w:right="2159"/>
        <w:spacing w:after="0" w:line="273" w:lineRule="auto"/>
        <w:rPr>
          <w:sz w:val="20"/>
          <w:szCs w:val="20"/>
          <w:color w:val="auto"/>
        </w:rPr>
      </w:pPr>
      <w:r>
        <w:rPr>
          <w:rFonts w:ascii="Courier New" w:cs="Courier New" w:eastAsia="Courier New" w:hAnsi="Courier New"/>
          <w:sz w:val="17"/>
          <w:szCs w:val="17"/>
          <w:color w:val="auto"/>
        </w:rPr>
        <w:t>Updated fiscal 2007 guidance: Expected revenue of approximately $2.89-$2.97 billion and diluted non-GAAP EPS of $2.08-$2.16, which excludes acquisition-related costs and approximately $0.22-$0.26 per share of equity-based compensation expense, net of related tax effects. Diluted GAAP EPS is expected to be approximately $1.62-$1.74.</w:t>
      </w:r>
    </w:p>
    <w:p>
      <w:pPr>
        <w:spacing w:after="0" w:line="82" w:lineRule="exact"/>
        <w:rPr>
          <w:sz w:val="20"/>
          <w:szCs w:val="20"/>
          <w:color w:val="auto"/>
        </w:rPr>
      </w:pPr>
    </w:p>
    <w:p>
      <w:pPr>
        <w:ind w:right="2059"/>
        <w:spacing w:after="0" w:line="283" w:lineRule="auto"/>
        <w:rPr>
          <w:sz w:val="20"/>
          <w:szCs w:val="20"/>
          <w:color w:val="auto"/>
        </w:rPr>
      </w:pPr>
      <w:r>
        <w:rPr>
          <w:rFonts w:ascii="Courier New" w:cs="Courier New" w:eastAsia="Courier New" w:hAnsi="Courier New"/>
          <w:sz w:val="17"/>
          <w:szCs w:val="17"/>
          <w:color w:val="auto"/>
        </w:rPr>
        <w:t>Amdocs will host a conference call on November 1, 2006 at 5 p.m. Eastern Time to discuss the Company's fourth quarter results. The call will be carried live on the Internet via www.InvestorCalendar.com and the Amdocs website, www.amdocs.com.</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NON-GAAP FINANCIAL MEASURES</w:t>
      </w:r>
    </w:p>
    <w:p>
      <w:pPr>
        <w:spacing w:after="0" w:line="200" w:lineRule="exact"/>
        <w:rPr>
          <w:sz w:val="20"/>
          <w:szCs w:val="20"/>
          <w:color w:val="auto"/>
        </w:rPr>
      </w:pPr>
    </w:p>
    <w:p>
      <w:pPr>
        <w:ind w:right="2059"/>
        <w:spacing w:after="0" w:line="273" w:lineRule="auto"/>
        <w:rPr>
          <w:sz w:val="20"/>
          <w:szCs w:val="20"/>
          <w:color w:val="auto"/>
        </w:rPr>
      </w:pPr>
      <w:r>
        <w:rPr>
          <w:rFonts w:ascii="Courier New" w:cs="Courier New" w:eastAsia="Courier New" w:hAnsi="Courier New"/>
          <w:sz w:val="17"/>
          <w:szCs w:val="17"/>
          <w:color w:val="auto"/>
        </w:rPr>
        <w:t>This release includes non-GAAP diluted earnings per share and other non-GAAP financial measures, including free cash flow, non-GAAP cost of service, non-GAAP research and development, non-GAAP selling, general and administrative, non-GAAP operating income, non-GAAP income taxes and non-GAAP net income. These non-GAAP measures exclude the following items:</w:t>
      </w:r>
    </w:p>
    <w:p>
      <w:pPr>
        <w:spacing w:after="0" w:line="82" w:lineRule="exact"/>
        <w:rPr>
          <w:sz w:val="20"/>
          <w:szCs w:val="20"/>
          <w:color w:val="auto"/>
        </w:rPr>
      </w:pPr>
    </w:p>
    <w:p>
      <w:pPr>
        <w:ind w:left="520"/>
        <w:spacing w:after="0"/>
        <w:tabs>
          <w:tab w:leader="none" w:pos="10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amortization of purchased intangible assets;</w:t>
      </w:r>
    </w:p>
    <w:p>
      <w:pPr>
        <w:sectPr>
          <w:pgSz w:w="11900" w:h="16838" w:orient="portrait"/>
          <w:cols w:equalWidth="0" w:num="1">
            <w:col w:w="10219"/>
          </w:cols>
          <w:pgMar w:left="240" w:top="674" w:right="1440" w:bottom="1440" w:gutter="0" w:footer="0" w:header="0"/>
        </w:sectPr>
      </w:pPr>
    </w:p>
    <w:bookmarkStart w:id="7" w:name="page8"/>
    <w:bookmarkEnd w:id="7"/>
    <w:p>
      <w:pPr>
        <w:ind w:left="1020" w:hanging="505"/>
        <w:spacing w:after="0"/>
        <w:tabs>
          <w:tab w:leader="none" w:pos="10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in-process research and development write-off;</w:t>
      </w:r>
    </w:p>
    <w:p>
      <w:pPr>
        <w:spacing w:after="0" w:line="199" w:lineRule="exact"/>
        <w:rPr>
          <w:rFonts w:ascii="Courier New" w:cs="Courier New" w:eastAsia="Courier New" w:hAnsi="Courier New"/>
          <w:sz w:val="17"/>
          <w:szCs w:val="17"/>
          <w:color w:val="auto"/>
        </w:rPr>
      </w:pPr>
    </w:p>
    <w:p>
      <w:pPr>
        <w:ind w:left="1020" w:hanging="505"/>
        <w:spacing w:after="0"/>
        <w:tabs>
          <w:tab w:leader="none" w:pos="10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restructuring charges;</w:t>
      </w:r>
    </w:p>
    <w:p>
      <w:pPr>
        <w:spacing w:after="0" w:line="199" w:lineRule="exact"/>
        <w:rPr>
          <w:rFonts w:ascii="Courier New" w:cs="Courier New" w:eastAsia="Courier New" w:hAnsi="Courier New"/>
          <w:sz w:val="17"/>
          <w:szCs w:val="17"/>
          <w:color w:val="auto"/>
        </w:rPr>
      </w:pPr>
    </w:p>
    <w:p>
      <w:pPr>
        <w:ind w:left="1020" w:hanging="505"/>
        <w:spacing w:after="0"/>
        <w:tabs>
          <w:tab w:leader="none" w:pos="10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equity-based compensation expense; and</w:t>
      </w:r>
    </w:p>
    <w:p>
      <w:pPr>
        <w:spacing w:after="0" w:line="199" w:lineRule="exact"/>
        <w:rPr>
          <w:rFonts w:ascii="Courier New" w:cs="Courier New" w:eastAsia="Courier New" w:hAnsi="Courier New"/>
          <w:sz w:val="17"/>
          <w:szCs w:val="17"/>
          <w:color w:val="auto"/>
        </w:rPr>
      </w:pPr>
    </w:p>
    <w:p>
      <w:pPr>
        <w:ind w:left="1020" w:hanging="505"/>
        <w:spacing w:after="0"/>
        <w:tabs>
          <w:tab w:leader="none" w:pos="10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 effects related to the above.</w:t>
      </w:r>
    </w:p>
    <w:p>
      <w:pPr>
        <w:spacing w:after="0" w:line="200" w:lineRule="exact"/>
        <w:rPr>
          <w:sz w:val="20"/>
          <w:szCs w:val="20"/>
          <w:color w:val="auto"/>
        </w:rPr>
      </w:pPr>
    </w:p>
    <w:p>
      <w:pPr>
        <w:ind w:right="2059"/>
        <w:spacing w:after="0" w:line="251" w:lineRule="auto"/>
        <w:rPr>
          <w:sz w:val="20"/>
          <w:szCs w:val="20"/>
          <w:color w:val="auto"/>
        </w:rPr>
      </w:pPr>
      <w:r>
        <w:rPr>
          <w:rFonts w:ascii="Courier New" w:cs="Courier New" w:eastAsia="Courier New" w:hAnsi="Courier New"/>
          <w:sz w:val="17"/>
          <w:szCs w:val="17"/>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 Amdocs believes that the presentation of non-GAAP diluted earnings per share and other financial measures, including free cash flow, non-GAAP cost of service, non-GAAP research and development, non-GAAP selling, general and administrative, non-GAAP operating income, non-GAAP income taxes and non-GAAP net income,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03" w:lineRule="exact"/>
        <w:rPr>
          <w:sz w:val="20"/>
          <w:szCs w:val="20"/>
          <w:color w:val="auto"/>
        </w:rPr>
      </w:pPr>
    </w:p>
    <w:p>
      <w:pPr>
        <w:ind w:right="2059"/>
        <w:spacing w:after="0" w:line="256" w:lineRule="auto"/>
        <w:rPr>
          <w:sz w:val="20"/>
          <w:szCs w:val="20"/>
          <w:color w:val="auto"/>
        </w:rPr>
      </w:pPr>
      <w:r>
        <w:rPr>
          <w:rFonts w:ascii="Courier New" w:cs="Courier New" w:eastAsia="Courier New" w:hAnsi="Courier New"/>
          <w:sz w:val="17"/>
          <w:szCs w:val="17"/>
          <w:color w:val="auto"/>
        </w:rPr>
        <w:t>For its internal budgeting process and in monitoring the results of the business, Amdocs' management uses financial statements that do not include amortization of purchased intangible assets, in-process research and development write-off, restructuring charges,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non-cash expenses in reviewing its results and those of its competitors, because the amounts of the expenses between companies can vary greatly depending on the assumptions used by an individual company in determining the amounts of the expenses.</w:t>
      </w:r>
    </w:p>
    <w:p>
      <w:pPr>
        <w:sectPr>
          <w:pgSz w:w="11900" w:h="16838" w:orient="portrait"/>
          <w:cols w:equalWidth="0" w:num="1">
            <w:col w:w="10219"/>
          </w:cols>
          <w:pgMar w:left="240" w:top="674" w:right="1440" w:bottom="1440" w:gutter="0" w:footer="0" w:header="0"/>
        </w:sectPr>
      </w:pPr>
    </w:p>
    <w:bookmarkStart w:id="8" w:name="page9"/>
    <w:bookmarkEnd w:id="8"/>
    <w:p>
      <w:pPr>
        <w:ind w:right="2059"/>
        <w:spacing w:after="0" w:line="263" w:lineRule="auto"/>
        <w:rPr>
          <w:sz w:val="20"/>
          <w:szCs w:val="20"/>
          <w:color w:val="auto"/>
        </w:rPr>
      </w:pPr>
      <w:r>
        <w:rPr>
          <w:rFonts w:ascii="Courier New" w:cs="Courier New" w:eastAsia="Courier New" w:hAnsi="Courier New"/>
          <w:sz w:val="17"/>
          <w:szCs w:val="17"/>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income taxes and net income), it is useful to investors to understand how these specific line items in the Consolidated Statements of Income are affected by these adjustments.</w:t>
      </w:r>
    </w:p>
    <w:p>
      <w:pPr>
        <w:spacing w:after="0" w:line="92" w:lineRule="exact"/>
        <w:rPr>
          <w:sz w:val="20"/>
          <w:szCs w:val="20"/>
          <w:color w:val="auto"/>
        </w:rPr>
      </w:pPr>
    </w:p>
    <w:p>
      <w:pPr>
        <w:ind w:right="2359"/>
        <w:spacing w:after="0" w:line="360" w:lineRule="auto"/>
        <w:rPr>
          <w:sz w:val="20"/>
          <w:szCs w:val="20"/>
          <w:color w:val="auto"/>
        </w:rPr>
      </w:pPr>
      <w:r>
        <w:rPr>
          <w:rFonts w:ascii="Courier New" w:cs="Courier New" w:eastAsia="Courier New" w:hAnsi="Courier New"/>
          <w:sz w:val="17"/>
          <w:szCs w:val="17"/>
          <w:color w:val="auto"/>
        </w:rPr>
        <w:t>Please refer to the Reconciliation of Selected Financial Metrics from GAAP to Non-GAAP tables below.</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ABOUT AMDOCS</w:t>
      </w:r>
    </w:p>
    <w:p>
      <w:pPr>
        <w:spacing w:after="0" w:line="200" w:lineRule="exact"/>
        <w:rPr>
          <w:sz w:val="20"/>
          <w:szCs w:val="20"/>
          <w:color w:val="auto"/>
        </w:rPr>
      </w:pPr>
    </w:p>
    <w:p>
      <w:pPr>
        <w:ind w:right="2059"/>
        <w:spacing w:after="0" w:line="275" w:lineRule="auto"/>
        <w:rPr>
          <w:sz w:val="20"/>
          <w:szCs w:val="20"/>
          <w:color w:val="auto"/>
        </w:rPr>
      </w:pPr>
      <w:r>
        <w:rPr>
          <w:rFonts w:ascii="Courier New" w:cs="Courier New" w:eastAsia="Courier New" w:hAnsi="Courier New"/>
          <w:sz w:val="16"/>
          <w:szCs w:val="16"/>
          <w:color w:val="auto"/>
        </w:rPr>
        <w:t>Amdocs combines innovative software and services with deep business knowledge to accelerate implementation of integrated customer management by the world's leading service providers. By delivering a comprehensive portfolio of software and services that spans the customer lifecycle, Amdocs enables service companies to deliver an intentional customer experienceTM, which results in stronger, more profitable customer relationships. Service providers also benefit from a rapid return on investment, lower total cost of ownership and improved operational efficiencies. A global company with revenue of $2.48 billion in fiscal 2006, Amdocs has over 16,000 employees and serves customers in more than 50 countries around the world. For more information, visit Amdocs at www.amdocs.com.</w:t>
      </w:r>
    </w:p>
    <w:p>
      <w:pPr>
        <w:spacing w:after="0" w:line="81" w:lineRule="exact"/>
        <w:rPr>
          <w:sz w:val="20"/>
          <w:szCs w:val="20"/>
          <w:color w:val="auto"/>
        </w:rPr>
      </w:pPr>
    </w:p>
    <w:p>
      <w:pPr>
        <w:ind w:right="2059"/>
        <w:spacing w:after="0" w:line="252" w:lineRule="auto"/>
        <w:rPr>
          <w:sz w:val="20"/>
          <w:szCs w:val="20"/>
          <w:color w:val="auto"/>
        </w:rPr>
      </w:pPr>
      <w:r>
        <w:rPr>
          <w:rFonts w:ascii="Courier New" w:cs="Courier New" w:eastAsia="Courier New" w:hAnsi="Courier New"/>
          <w:sz w:val="17"/>
          <w:szCs w:val="17"/>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w:t>
      </w:r>
    </w:p>
    <w:p>
      <w:pPr>
        <w:sectPr>
          <w:pgSz w:w="11900" w:h="16838" w:orient="portrait"/>
          <w:cols w:equalWidth="0" w:num="1">
            <w:col w:w="10219"/>
          </w:cols>
          <w:pgMar w:left="240" w:top="674" w:right="1440" w:bottom="1440" w:gutter="0" w:footer="0" w:header="0"/>
        </w:sectPr>
      </w:pPr>
    </w:p>
    <w:bookmarkStart w:id="9" w:name="page10"/>
    <w:bookmarkEnd w:id="9"/>
    <w:p>
      <w:pPr>
        <w:ind w:right="2059"/>
        <w:spacing w:after="0" w:line="267" w:lineRule="auto"/>
        <w:rPr>
          <w:sz w:val="20"/>
          <w:szCs w:val="20"/>
          <w:color w:val="auto"/>
        </w:rPr>
      </w:pPr>
      <w:r>
        <w:rPr>
          <w:rFonts w:ascii="Courier New" w:cs="Courier New" w:eastAsia="Courier New" w:hAnsi="Courier New"/>
          <w:sz w:val="17"/>
          <w:szCs w:val="17"/>
          <w:color w:val="auto"/>
        </w:rPr>
        <w:t>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filed on December 28, 2005 and our quarterly 6-K furnished on February 15, May 15, and August 15, 2006.</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CONTACT: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Thomas G. O'Brien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Treasurer and Vice President of Investor Relations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Amdocs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314-212-8328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E-mail: dox_info@amdocs.com</w:t>
      </w:r>
    </w:p>
    <w:p>
      <w:pPr>
        <w:sectPr>
          <w:pgSz w:w="11900" w:h="16838" w:orient="portrait"/>
          <w:cols w:equalWidth="0" w:num="1">
            <w:col w:w="10219"/>
          </w:cols>
          <w:pgMar w:left="240" w:top="674" w:right="1440" w:bottom="1440" w:gutter="0" w:footer="0" w:header="0"/>
        </w:sectPr>
      </w:pPr>
    </w:p>
    <w:bookmarkStart w:id="10" w:name="page11"/>
    <w:bookmarkEnd w:id="10"/>
    <w:p>
      <w:pPr>
        <w:jc w:val="center"/>
        <w:ind w:right="2059"/>
        <w:spacing w:after="0"/>
        <w:rPr>
          <w:sz w:val="20"/>
          <w:szCs w:val="20"/>
          <w:color w:val="auto"/>
        </w:rPr>
      </w:pPr>
      <w:r>
        <w:rPr>
          <w:rFonts w:ascii="Courier New" w:cs="Courier New" w:eastAsia="Courier New" w:hAnsi="Courier New"/>
          <w:sz w:val="17"/>
          <w:szCs w:val="17"/>
          <w:color w:val="auto"/>
        </w:rPr>
        <w:t>AMDOCS LIMITED</w:t>
      </w:r>
    </w:p>
    <w:p>
      <w:pPr>
        <w:spacing w:after="0" w:line="200"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CONSOLIDATED STATEMENTS OF INCOME</w:t>
      </w:r>
    </w:p>
    <w:p>
      <w:pPr>
        <w:spacing w:after="0" w:line="3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(IN THOUSANDS, EXCEPT PER SHARE DATA)</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gridSpan w:val="3"/>
          </w:tcPr>
          <w:p>
            <w:pPr>
              <w:jc w:val="right"/>
              <w:ind w:right="55"/>
              <w:spacing w:after="0"/>
              <w:rPr>
                <w:sz w:val="20"/>
                <w:szCs w:val="20"/>
                <w:color w:val="auto"/>
              </w:rPr>
            </w:pPr>
            <w:r>
              <w:rPr>
                <w:rFonts w:ascii="Courier New" w:cs="Courier New" w:eastAsia="Courier New" w:hAnsi="Courier New"/>
                <w:sz w:val="17"/>
                <w:szCs w:val="17"/>
                <w:color w:val="auto"/>
                <w:w w:val="99"/>
              </w:rPr>
              <w:t>THREE MONTHS ENDED</w:t>
            </w:r>
          </w:p>
        </w:tc>
        <w:tc>
          <w:tcPr>
            <w:tcW w:w="260" w:type="dxa"/>
            <w:vAlign w:val="bottom"/>
          </w:tcPr>
          <w:p>
            <w:pPr>
              <w:spacing w:after="0"/>
              <w:rPr>
                <w:sz w:val="17"/>
                <w:szCs w:val="17"/>
                <w:color w:val="auto"/>
              </w:rPr>
            </w:pPr>
          </w:p>
        </w:tc>
        <w:tc>
          <w:tcPr>
            <w:tcW w:w="224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TWELVE MONTHS ENDED</w:t>
            </w: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gridSpan w:val="3"/>
          </w:tcPr>
          <w:p>
            <w:pPr>
              <w:jc w:val="right"/>
              <w:ind w:right="275"/>
              <w:spacing w:after="0"/>
              <w:rPr>
                <w:sz w:val="20"/>
                <w:szCs w:val="20"/>
                <w:color w:val="auto"/>
              </w:rPr>
            </w:pPr>
            <w:r>
              <w:rPr>
                <w:rFonts w:ascii="Courier New" w:cs="Courier New" w:eastAsia="Courier New" w:hAnsi="Courier New"/>
                <w:sz w:val="17"/>
                <w:szCs w:val="17"/>
                <w:color w:val="auto"/>
              </w:rPr>
              <w:t>SEPTEMBER 30,</w:t>
            </w:r>
          </w:p>
        </w:tc>
        <w:tc>
          <w:tcPr>
            <w:tcW w:w="260" w:type="dxa"/>
            <w:vAlign w:val="bottom"/>
          </w:tcPr>
          <w:p>
            <w:pPr>
              <w:spacing w:after="0"/>
              <w:rPr>
                <w:sz w:val="17"/>
                <w:szCs w:val="17"/>
                <w:color w:val="auto"/>
              </w:rPr>
            </w:pPr>
          </w:p>
        </w:tc>
        <w:tc>
          <w:tcPr>
            <w:tcW w:w="2240" w:type="dxa"/>
            <w:vAlign w:val="bottom"/>
            <w:gridSpan w:val="3"/>
          </w:tcPr>
          <w:p>
            <w:pPr>
              <w:jc w:val="right"/>
              <w:ind w:right="415"/>
              <w:spacing w:after="0"/>
              <w:rPr>
                <w:sz w:val="20"/>
                <w:szCs w:val="20"/>
                <w:color w:val="auto"/>
              </w:rPr>
            </w:pPr>
            <w:r>
              <w:rPr>
                <w:rFonts w:ascii="Courier New" w:cs="Courier New" w:eastAsia="Courier New" w:hAnsi="Courier New"/>
                <w:sz w:val="17"/>
                <w:szCs w:val="17"/>
                <w:color w:val="auto"/>
              </w:rPr>
              <w:t>SEPTEMBER 30,</w:t>
            </w: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2240" w:type="dxa"/>
            <w:vAlign w:val="bottom"/>
            <w:gridSpan w:val="4"/>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25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2006(1)</w:t>
            </w:r>
          </w:p>
        </w:tc>
        <w:tc>
          <w:tcPr>
            <w:tcW w:w="260" w:type="dxa"/>
            <w:vAlign w:val="bottom"/>
          </w:tcPr>
          <w:p>
            <w:pPr>
              <w:spacing w:after="0"/>
              <w:rPr>
                <w:sz w:val="17"/>
                <w:szCs w:val="17"/>
                <w:color w:val="auto"/>
              </w:rPr>
            </w:pPr>
          </w:p>
        </w:tc>
        <w:tc>
          <w:tcPr>
            <w:tcW w:w="8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2005</w:t>
            </w:r>
          </w:p>
        </w:tc>
        <w:tc>
          <w:tcPr>
            <w:tcW w:w="260" w:type="dxa"/>
            <w:vAlign w:val="bottom"/>
          </w:tcPr>
          <w:p>
            <w:pPr>
              <w:spacing w:after="0"/>
              <w:rPr>
                <w:sz w:val="17"/>
                <w:szCs w:val="17"/>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7"/>
                <w:szCs w:val="17"/>
                <w:color w:val="auto"/>
              </w:rPr>
              <w:t>2006(2)</w:t>
            </w:r>
          </w:p>
        </w:tc>
        <w:tc>
          <w:tcPr>
            <w:tcW w:w="240" w:type="dxa"/>
            <w:vAlign w:val="bottom"/>
          </w:tcPr>
          <w:p>
            <w:pPr>
              <w:spacing w:after="0"/>
              <w:rPr>
                <w:sz w:val="17"/>
                <w:szCs w:val="17"/>
                <w:color w:val="auto"/>
              </w:rPr>
            </w:pP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2005</w:t>
            </w:r>
          </w:p>
        </w:tc>
        <w:tc>
          <w:tcPr>
            <w:tcW w:w="0" w:type="dxa"/>
            <w:vAlign w:val="bottom"/>
          </w:tcPr>
          <w:p>
            <w:pPr>
              <w:spacing w:after="0"/>
              <w:rPr>
                <w:sz w:val="1"/>
                <w:szCs w:val="1"/>
                <w:color w:val="auto"/>
              </w:rPr>
            </w:pPr>
          </w:p>
        </w:tc>
      </w:tr>
      <w:tr>
        <w:trPr>
          <w:trHeight w:val="286"/>
        </w:trPr>
        <w:tc>
          <w:tcPr>
            <w:tcW w:w="3420" w:type="dxa"/>
            <w:vAlign w:val="bottom"/>
          </w:tcPr>
          <w:p>
            <w:pPr>
              <w:spacing w:after="0"/>
              <w:rPr>
                <w:sz w:val="24"/>
                <w:szCs w:val="24"/>
                <w:color w:val="auto"/>
              </w:rPr>
            </w:pPr>
          </w:p>
        </w:tc>
        <w:tc>
          <w:tcPr>
            <w:tcW w:w="11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342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1120" w:type="dxa"/>
            <w:vAlign w:val="bottom"/>
            <w:gridSpan w:val="2"/>
            <w:vMerge w:val="restart"/>
          </w:tcPr>
          <w:p>
            <w:pPr>
              <w:jc w:val="right"/>
              <w:ind w:right="55"/>
              <w:spacing w:after="0"/>
              <w:rPr>
                <w:sz w:val="20"/>
                <w:szCs w:val="20"/>
                <w:color w:val="auto"/>
              </w:rPr>
            </w:pPr>
            <w:r>
              <w:rPr>
                <w:rFonts w:ascii="Courier New" w:cs="Courier New" w:eastAsia="Courier New" w:hAnsi="Courier New"/>
                <w:sz w:val="17"/>
                <w:szCs w:val="17"/>
                <w:color w:val="auto"/>
              </w:rPr>
              <w:t>$ 31,113</w:t>
            </w:r>
          </w:p>
        </w:tc>
        <w:tc>
          <w:tcPr>
            <w:tcW w:w="1120" w:type="dxa"/>
            <w:vAlign w:val="bottom"/>
            <w:gridSpan w:val="2"/>
            <w:vMerge w:val="restart"/>
          </w:tcPr>
          <w:p>
            <w:pPr>
              <w:jc w:val="right"/>
              <w:ind w:right="55"/>
              <w:spacing w:after="0"/>
              <w:rPr>
                <w:sz w:val="20"/>
                <w:szCs w:val="20"/>
                <w:color w:val="auto"/>
              </w:rPr>
            </w:pPr>
            <w:r>
              <w:rPr>
                <w:rFonts w:ascii="Courier New" w:cs="Courier New" w:eastAsia="Courier New" w:hAnsi="Courier New"/>
                <w:sz w:val="17"/>
                <w:szCs w:val="17"/>
                <w:color w:val="auto"/>
              </w:rPr>
              <w:t>$ 25,135</w:t>
            </w:r>
          </w:p>
        </w:tc>
        <w:tc>
          <w:tcPr>
            <w:tcW w:w="2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116,285</w:t>
            </w:r>
          </w:p>
        </w:tc>
        <w:tc>
          <w:tcPr>
            <w:tcW w:w="2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100,044</w:t>
            </w:r>
          </w:p>
        </w:tc>
        <w:tc>
          <w:tcPr>
            <w:tcW w:w="0" w:type="dxa"/>
            <w:vAlign w:val="bottom"/>
          </w:tcPr>
          <w:p>
            <w:pPr>
              <w:spacing w:after="0"/>
              <w:rPr>
                <w:sz w:val="1"/>
                <w:szCs w:val="1"/>
                <w:color w:val="auto"/>
              </w:rPr>
            </w:pPr>
          </w:p>
        </w:tc>
      </w:tr>
      <w:tr>
        <w:trPr>
          <w:trHeight w:val="196"/>
        </w:trPr>
        <w:tc>
          <w:tcPr>
            <w:tcW w:w="3420" w:type="dxa"/>
            <w:vAlign w:val="bottom"/>
          </w:tcPr>
          <w:p>
            <w:pPr>
              <w:ind w:left="320"/>
              <w:spacing w:after="0"/>
              <w:rPr>
                <w:sz w:val="20"/>
                <w:szCs w:val="20"/>
                <w:color w:val="auto"/>
              </w:rPr>
            </w:pPr>
            <w:r>
              <w:rPr>
                <w:rFonts w:ascii="Courier New" w:cs="Courier New" w:eastAsia="Courier New" w:hAnsi="Courier New"/>
                <w:sz w:val="17"/>
                <w:szCs w:val="17"/>
                <w:color w:val="auto"/>
              </w:rPr>
              <w:t>License</w:t>
            </w:r>
          </w:p>
        </w:tc>
        <w:tc>
          <w:tcPr>
            <w:tcW w:w="112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20" w:type="dxa"/>
            <w:vAlign w:val="bottom"/>
          </w:tcPr>
          <w:p>
            <w:pPr>
              <w:ind w:left="320"/>
              <w:spacing w:after="0"/>
              <w:rPr>
                <w:sz w:val="20"/>
                <w:szCs w:val="20"/>
                <w:color w:val="auto"/>
              </w:rPr>
            </w:pPr>
            <w:r>
              <w:rPr>
                <w:rFonts w:ascii="Courier New" w:cs="Courier New" w:eastAsia="Courier New" w:hAnsi="Courier New"/>
                <w:sz w:val="17"/>
                <w:szCs w:val="17"/>
                <w:color w:val="auto"/>
              </w:rPr>
              <w:t>Service</w:t>
            </w:r>
          </w:p>
        </w:tc>
        <w:tc>
          <w:tcPr>
            <w:tcW w:w="26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634,332</w:t>
            </w:r>
          </w:p>
        </w:tc>
        <w:tc>
          <w:tcPr>
            <w:tcW w:w="26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548,183</w:t>
            </w:r>
          </w:p>
        </w:tc>
        <w:tc>
          <w:tcPr>
            <w:tcW w:w="2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2,363,765</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1,938,577</w:t>
            </w: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11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6"/>
        </w:trPr>
        <w:tc>
          <w:tcPr>
            <w:tcW w:w="3420" w:type="dxa"/>
            <w:vAlign w:val="bottom"/>
            <w:vMerge w:val="restart"/>
          </w:tcPr>
          <w:p>
            <w:pPr>
              <w:spacing w:after="0"/>
              <w:rPr>
                <w:sz w:val="20"/>
                <w:szCs w:val="20"/>
                <w:color w:val="auto"/>
              </w:rPr>
            </w:pPr>
            <w:r>
              <w:rPr>
                <w:rFonts w:ascii="Courier New" w:cs="Courier New" w:eastAsia="Courier New" w:hAnsi="Courier New"/>
                <w:sz w:val="17"/>
                <w:szCs w:val="17"/>
                <w:color w:val="auto"/>
              </w:rPr>
              <w:t>Operating expenses:</w:t>
            </w:r>
          </w:p>
        </w:tc>
        <w:tc>
          <w:tcPr>
            <w:tcW w:w="260" w:type="dxa"/>
            <w:vAlign w:val="bottom"/>
          </w:tcPr>
          <w:p>
            <w:pPr>
              <w:spacing w:after="0"/>
              <w:rPr>
                <w:sz w:val="24"/>
                <w:szCs w:val="24"/>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665,445</w:t>
            </w:r>
          </w:p>
        </w:tc>
        <w:tc>
          <w:tcPr>
            <w:tcW w:w="260" w:type="dxa"/>
            <w:vAlign w:val="bottom"/>
          </w:tcPr>
          <w:p>
            <w:pPr>
              <w:spacing w:after="0"/>
              <w:rPr>
                <w:sz w:val="24"/>
                <w:szCs w:val="24"/>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573,318</w:t>
            </w:r>
          </w:p>
        </w:tc>
        <w:tc>
          <w:tcPr>
            <w:tcW w:w="260" w:type="dxa"/>
            <w:vAlign w:val="bottom"/>
          </w:tcPr>
          <w:p>
            <w:pPr>
              <w:spacing w:after="0"/>
              <w:rPr>
                <w:sz w:val="24"/>
                <w:szCs w:val="24"/>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2,480,050</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2,038,621</w:t>
            </w:r>
          </w:p>
        </w:tc>
        <w:tc>
          <w:tcPr>
            <w:tcW w:w="0" w:type="dxa"/>
            <w:vAlign w:val="bottom"/>
          </w:tcPr>
          <w:p>
            <w:pPr>
              <w:spacing w:after="0"/>
              <w:rPr>
                <w:sz w:val="1"/>
                <w:szCs w:val="1"/>
                <w:color w:val="auto"/>
              </w:rPr>
            </w:pPr>
          </w:p>
        </w:tc>
      </w:tr>
      <w:tr>
        <w:trPr>
          <w:trHeight w:val="107"/>
        </w:trPr>
        <w:tc>
          <w:tcPr>
            <w:tcW w:w="34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rPr>
              <w:t>1,030</w:t>
            </w:r>
          </w:p>
        </w:tc>
        <w:tc>
          <w:tcPr>
            <w:tcW w:w="260" w:type="dxa"/>
            <w:vAlign w:val="bottom"/>
          </w:tcPr>
          <w:p>
            <w:pPr>
              <w:spacing w:after="0"/>
              <w:rPr>
                <w:sz w:val="9"/>
                <w:szCs w:val="9"/>
                <w:color w:val="auto"/>
              </w:rPr>
            </w:pPr>
          </w:p>
        </w:tc>
        <w:tc>
          <w:tcPr>
            <w:tcW w:w="8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rPr>
              <w:t>805</w:t>
            </w:r>
          </w:p>
        </w:tc>
        <w:tc>
          <w:tcPr>
            <w:tcW w:w="260" w:type="dxa"/>
            <w:vAlign w:val="bottom"/>
          </w:tcPr>
          <w:p>
            <w:pPr>
              <w:spacing w:after="0"/>
              <w:rPr>
                <w:sz w:val="9"/>
                <w:szCs w:val="9"/>
                <w:color w:val="auto"/>
              </w:rPr>
            </w:pPr>
          </w:p>
        </w:tc>
        <w:tc>
          <w:tcPr>
            <w:tcW w:w="108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4,003</w:t>
            </w:r>
          </w:p>
        </w:tc>
        <w:tc>
          <w:tcPr>
            <w:tcW w:w="24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4,083</w:t>
            </w:r>
          </w:p>
        </w:tc>
        <w:tc>
          <w:tcPr>
            <w:tcW w:w="0" w:type="dxa"/>
            <w:vAlign w:val="bottom"/>
          </w:tcPr>
          <w:p>
            <w:pPr>
              <w:spacing w:after="0"/>
              <w:rPr>
                <w:sz w:val="1"/>
                <w:szCs w:val="1"/>
                <w:color w:val="auto"/>
              </w:rPr>
            </w:pPr>
          </w:p>
        </w:tc>
      </w:tr>
      <w:tr>
        <w:trPr>
          <w:trHeight w:val="196"/>
        </w:trPr>
        <w:tc>
          <w:tcPr>
            <w:tcW w:w="3420" w:type="dxa"/>
            <w:vAlign w:val="bottom"/>
          </w:tcPr>
          <w:p>
            <w:pPr>
              <w:ind w:left="320"/>
              <w:spacing w:after="0"/>
              <w:rPr>
                <w:sz w:val="20"/>
                <w:szCs w:val="20"/>
                <w:color w:val="auto"/>
              </w:rPr>
            </w:pPr>
            <w:r>
              <w:rPr>
                <w:rFonts w:ascii="Courier New" w:cs="Courier New" w:eastAsia="Courier New" w:hAnsi="Courier New"/>
                <w:sz w:val="17"/>
                <w:szCs w:val="17"/>
                <w:color w:val="auto"/>
              </w:rPr>
              <w:t>Cost of license</w:t>
            </w: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20" w:type="dxa"/>
            <w:vAlign w:val="bottom"/>
          </w:tcPr>
          <w:p>
            <w:pPr>
              <w:ind w:left="320"/>
              <w:spacing w:after="0"/>
              <w:rPr>
                <w:sz w:val="20"/>
                <w:szCs w:val="20"/>
                <w:color w:val="auto"/>
              </w:rPr>
            </w:pPr>
            <w:r>
              <w:rPr>
                <w:rFonts w:ascii="Courier New" w:cs="Courier New" w:eastAsia="Courier New" w:hAnsi="Courier New"/>
                <w:sz w:val="17"/>
                <w:szCs w:val="17"/>
                <w:color w:val="auto"/>
              </w:rPr>
              <w:t>Cost of service</w:t>
            </w:r>
          </w:p>
        </w:tc>
        <w:tc>
          <w:tcPr>
            <w:tcW w:w="26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414,813</w:t>
            </w:r>
          </w:p>
        </w:tc>
        <w:tc>
          <w:tcPr>
            <w:tcW w:w="26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362,085</w:t>
            </w:r>
          </w:p>
        </w:tc>
        <w:tc>
          <w:tcPr>
            <w:tcW w:w="2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1,579,823</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1,291,572</w:t>
            </w:r>
          </w:p>
        </w:tc>
        <w:tc>
          <w:tcPr>
            <w:tcW w:w="0" w:type="dxa"/>
            <w:vAlign w:val="bottom"/>
          </w:tcPr>
          <w:p>
            <w:pPr>
              <w:spacing w:after="0"/>
              <w:rPr>
                <w:sz w:val="1"/>
                <w:szCs w:val="1"/>
                <w:color w:val="auto"/>
              </w:rPr>
            </w:pPr>
          </w:p>
        </w:tc>
      </w:tr>
      <w:tr>
        <w:trPr>
          <w:trHeight w:val="196"/>
        </w:trPr>
        <w:tc>
          <w:tcPr>
            <w:tcW w:w="3420" w:type="dxa"/>
            <w:vAlign w:val="bottom"/>
          </w:tcPr>
          <w:p>
            <w:pPr>
              <w:ind w:left="320"/>
              <w:spacing w:after="0"/>
              <w:rPr>
                <w:sz w:val="20"/>
                <w:szCs w:val="20"/>
                <w:color w:val="auto"/>
              </w:rPr>
            </w:pPr>
            <w:r>
              <w:rPr>
                <w:rFonts w:ascii="Courier New" w:cs="Courier New" w:eastAsia="Courier New" w:hAnsi="Courier New"/>
                <w:sz w:val="17"/>
                <w:szCs w:val="17"/>
                <w:color w:val="auto"/>
              </w:rPr>
              <w:t>Research and development</w:t>
            </w:r>
          </w:p>
        </w:tc>
        <w:tc>
          <w:tcPr>
            <w:tcW w:w="26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55,368</w:t>
            </w:r>
          </w:p>
        </w:tc>
        <w:tc>
          <w:tcPr>
            <w:tcW w:w="26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46,890</w:t>
            </w:r>
          </w:p>
        </w:tc>
        <w:tc>
          <w:tcPr>
            <w:tcW w:w="2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186,760</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144,457</w:t>
            </w:r>
          </w:p>
        </w:tc>
        <w:tc>
          <w:tcPr>
            <w:tcW w:w="0" w:type="dxa"/>
            <w:vAlign w:val="bottom"/>
          </w:tcPr>
          <w:p>
            <w:pPr>
              <w:spacing w:after="0"/>
              <w:rPr>
                <w:sz w:val="1"/>
                <w:szCs w:val="1"/>
                <w:color w:val="auto"/>
              </w:rPr>
            </w:pPr>
          </w:p>
        </w:tc>
      </w:tr>
      <w:tr>
        <w:trPr>
          <w:trHeight w:val="196"/>
        </w:trPr>
        <w:tc>
          <w:tcPr>
            <w:tcW w:w="3420" w:type="dxa"/>
            <w:vAlign w:val="bottom"/>
          </w:tcPr>
          <w:p>
            <w:pPr>
              <w:ind w:left="320"/>
              <w:spacing w:after="0"/>
              <w:rPr>
                <w:sz w:val="20"/>
                <w:szCs w:val="20"/>
                <w:color w:val="auto"/>
              </w:rPr>
            </w:pPr>
            <w:r>
              <w:rPr>
                <w:rFonts w:ascii="Courier New" w:cs="Courier New" w:eastAsia="Courier New" w:hAnsi="Courier New"/>
                <w:sz w:val="17"/>
                <w:szCs w:val="17"/>
                <w:color w:val="auto"/>
              </w:rPr>
              <w:t>Selling, general and</w:t>
            </w:r>
          </w:p>
        </w:tc>
        <w:tc>
          <w:tcPr>
            <w:tcW w:w="260" w:type="dxa"/>
            <w:vAlign w:val="bottom"/>
          </w:tcPr>
          <w:p>
            <w:pPr>
              <w:spacing w:after="0"/>
              <w:rPr>
                <w:sz w:val="17"/>
                <w:szCs w:val="17"/>
                <w:color w:val="auto"/>
              </w:rPr>
            </w:pPr>
          </w:p>
        </w:tc>
        <w:tc>
          <w:tcPr>
            <w:tcW w:w="8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rPr>
              <w:t>86,708</w:t>
            </w:r>
          </w:p>
        </w:tc>
        <w:tc>
          <w:tcPr>
            <w:tcW w:w="260" w:type="dxa"/>
            <w:vAlign w:val="bottom"/>
          </w:tcPr>
          <w:p>
            <w:pPr>
              <w:spacing w:after="0"/>
              <w:rPr>
                <w:sz w:val="17"/>
                <w:szCs w:val="17"/>
                <w:color w:val="auto"/>
              </w:rPr>
            </w:pPr>
          </w:p>
        </w:tc>
        <w:tc>
          <w:tcPr>
            <w:tcW w:w="8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rPr>
              <w:t>66,066</w:t>
            </w:r>
          </w:p>
        </w:tc>
        <w:tc>
          <w:tcPr>
            <w:tcW w:w="260" w:type="dxa"/>
            <w:vAlign w:val="bottom"/>
          </w:tcPr>
          <w:p>
            <w:pPr>
              <w:spacing w:after="0"/>
              <w:rPr>
                <w:sz w:val="17"/>
                <w:szCs w:val="17"/>
                <w:color w:val="auto"/>
              </w:rPr>
            </w:pPr>
          </w:p>
        </w:tc>
        <w:tc>
          <w:tcPr>
            <w:tcW w:w="108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313,997</w:t>
            </w: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232,066</w:t>
            </w:r>
          </w:p>
        </w:tc>
        <w:tc>
          <w:tcPr>
            <w:tcW w:w="0" w:type="dxa"/>
            <w:vAlign w:val="bottom"/>
          </w:tcPr>
          <w:p>
            <w:pPr>
              <w:spacing w:after="0"/>
              <w:rPr>
                <w:sz w:val="1"/>
                <w:szCs w:val="1"/>
                <w:color w:val="auto"/>
              </w:rPr>
            </w:pPr>
          </w:p>
        </w:tc>
      </w:tr>
      <w:tr>
        <w:trPr>
          <w:trHeight w:val="196"/>
        </w:trPr>
        <w:tc>
          <w:tcPr>
            <w:tcW w:w="3420" w:type="dxa"/>
            <w:vAlign w:val="bottom"/>
          </w:tcPr>
          <w:p>
            <w:pPr>
              <w:ind w:left="620"/>
              <w:spacing w:after="0"/>
              <w:rPr>
                <w:sz w:val="20"/>
                <w:szCs w:val="20"/>
                <w:color w:val="auto"/>
              </w:rPr>
            </w:pPr>
            <w:r>
              <w:rPr>
                <w:rFonts w:ascii="Courier New" w:cs="Courier New" w:eastAsia="Courier New" w:hAnsi="Courier New"/>
                <w:sz w:val="17"/>
                <w:szCs w:val="17"/>
                <w:color w:val="auto"/>
              </w:rPr>
              <w:t>administrative</w:t>
            </w: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20" w:type="dxa"/>
            <w:vAlign w:val="bottom"/>
          </w:tcPr>
          <w:p>
            <w:pPr>
              <w:ind w:left="320"/>
              <w:spacing w:after="0"/>
              <w:rPr>
                <w:sz w:val="20"/>
                <w:szCs w:val="20"/>
                <w:color w:val="auto"/>
              </w:rPr>
            </w:pPr>
            <w:r>
              <w:rPr>
                <w:rFonts w:ascii="Courier New" w:cs="Courier New" w:eastAsia="Courier New" w:hAnsi="Courier New"/>
                <w:sz w:val="17"/>
                <w:szCs w:val="17"/>
                <w:color w:val="auto"/>
              </w:rPr>
              <w:t>Amortization of purchased</w:t>
            </w:r>
          </w:p>
        </w:tc>
        <w:tc>
          <w:tcPr>
            <w:tcW w:w="260" w:type="dxa"/>
            <w:vAlign w:val="bottom"/>
          </w:tcPr>
          <w:p>
            <w:pPr>
              <w:spacing w:after="0"/>
              <w:rPr>
                <w:sz w:val="17"/>
                <w:szCs w:val="17"/>
                <w:color w:val="auto"/>
              </w:rPr>
            </w:pPr>
          </w:p>
        </w:tc>
        <w:tc>
          <w:tcPr>
            <w:tcW w:w="8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rPr>
              <w:t>14,022</w:t>
            </w:r>
          </w:p>
        </w:tc>
        <w:tc>
          <w:tcPr>
            <w:tcW w:w="260" w:type="dxa"/>
            <w:vAlign w:val="bottom"/>
          </w:tcPr>
          <w:p>
            <w:pPr>
              <w:spacing w:after="0"/>
              <w:rPr>
                <w:sz w:val="17"/>
                <w:szCs w:val="17"/>
                <w:color w:val="auto"/>
              </w:rPr>
            </w:pPr>
          </w:p>
        </w:tc>
        <w:tc>
          <w:tcPr>
            <w:tcW w:w="8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rPr>
              <w:t>7,481</w:t>
            </w:r>
          </w:p>
        </w:tc>
        <w:tc>
          <w:tcPr>
            <w:tcW w:w="260" w:type="dxa"/>
            <w:vAlign w:val="bottom"/>
          </w:tcPr>
          <w:p>
            <w:pPr>
              <w:spacing w:after="0"/>
              <w:rPr>
                <w:sz w:val="17"/>
                <w:szCs w:val="17"/>
                <w:color w:val="auto"/>
              </w:rPr>
            </w:pPr>
          </w:p>
        </w:tc>
        <w:tc>
          <w:tcPr>
            <w:tcW w:w="108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37,610</w:t>
            </w: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15,356</w:t>
            </w:r>
          </w:p>
        </w:tc>
        <w:tc>
          <w:tcPr>
            <w:tcW w:w="0" w:type="dxa"/>
            <w:vAlign w:val="bottom"/>
          </w:tcPr>
          <w:p>
            <w:pPr>
              <w:spacing w:after="0"/>
              <w:rPr>
                <w:sz w:val="1"/>
                <w:szCs w:val="1"/>
                <w:color w:val="auto"/>
              </w:rPr>
            </w:pPr>
          </w:p>
        </w:tc>
      </w:tr>
      <w:tr>
        <w:trPr>
          <w:trHeight w:val="196"/>
        </w:trPr>
        <w:tc>
          <w:tcPr>
            <w:tcW w:w="3420" w:type="dxa"/>
            <w:vAlign w:val="bottom"/>
          </w:tcPr>
          <w:p>
            <w:pPr>
              <w:ind w:left="620"/>
              <w:spacing w:after="0"/>
              <w:rPr>
                <w:sz w:val="20"/>
                <w:szCs w:val="20"/>
                <w:color w:val="auto"/>
              </w:rPr>
            </w:pPr>
            <w:r>
              <w:rPr>
                <w:rFonts w:ascii="Courier New" w:cs="Courier New" w:eastAsia="Courier New" w:hAnsi="Courier New"/>
                <w:sz w:val="17"/>
                <w:szCs w:val="17"/>
                <w:color w:val="auto"/>
              </w:rPr>
              <w:t>intangible assets</w:t>
            </w: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20" w:type="dxa"/>
            <w:vAlign w:val="bottom"/>
          </w:tcPr>
          <w:p>
            <w:pPr>
              <w:ind w:left="320"/>
              <w:spacing w:after="0"/>
              <w:rPr>
                <w:sz w:val="20"/>
                <w:szCs w:val="20"/>
                <w:color w:val="auto"/>
              </w:rPr>
            </w:pPr>
            <w:r>
              <w:rPr>
                <w:rFonts w:ascii="Courier New" w:cs="Courier New" w:eastAsia="Courier New" w:hAnsi="Courier New"/>
                <w:sz w:val="17"/>
                <w:szCs w:val="17"/>
                <w:color w:val="auto"/>
              </w:rPr>
              <w:t>Restructuring charges,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20" w:type="dxa"/>
            <w:vAlign w:val="bottom"/>
          </w:tcPr>
          <w:p>
            <w:pPr>
              <w:ind w:left="620"/>
              <w:spacing w:after="0"/>
              <w:rPr>
                <w:sz w:val="20"/>
                <w:szCs w:val="20"/>
                <w:color w:val="auto"/>
              </w:rPr>
            </w:pPr>
            <w:r>
              <w:rPr>
                <w:rFonts w:ascii="Courier New" w:cs="Courier New" w:eastAsia="Courier New" w:hAnsi="Courier New"/>
                <w:sz w:val="17"/>
                <w:szCs w:val="17"/>
                <w:color w:val="auto"/>
              </w:rPr>
              <w:t>in-process research and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20" w:type="dxa"/>
            <w:vAlign w:val="bottom"/>
          </w:tcPr>
          <w:p>
            <w:pPr>
              <w:ind w:left="620"/>
              <w:spacing w:after="0"/>
              <w:rPr>
                <w:sz w:val="20"/>
                <w:szCs w:val="20"/>
                <w:color w:val="auto"/>
              </w:rPr>
            </w:pPr>
            <w:r>
              <w:rPr>
                <w:rFonts w:ascii="Courier New" w:cs="Courier New" w:eastAsia="Courier New" w:hAnsi="Courier New"/>
                <w:sz w:val="17"/>
                <w:szCs w:val="17"/>
                <w:color w:val="auto"/>
              </w:rPr>
              <w:t>development and other</w:t>
            </w:r>
          </w:p>
        </w:tc>
        <w:tc>
          <w:tcPr>
            <w:tcW w:w="260" w:type="dxa"/>
            <w:vAlign w:val="bottom"/>
          </w:tcPr>
          <w:p>
            <w:pPr>
              <w:spacing w:after="0"/>
              <w:rPr>
                <w:sz w:val="17"/>
                <w:szCs w:val="17"/>
                <w:color w:val="auto"/>
              </w:rPr>
            </w:pPr>
          </w:p>
        </w:tc>
        <w:tc>
          <w:tcPr>
            <w:tcW w:w="8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rPr>
              <w:t>17,310</w:t>
            </w:r>
          </w:p>
        </w:tc>
        <w:tc>
          <w:tcPr>
            <w:tcW w:w="260" w:type="dxa"/>
            <w:vAlign w:val="bottom"/>
          </w:tcPr>
          <w:p>
            <w:pPr>
              <w:spacing w:after="0"/>
              <w:rPr>
                <w:sz w:val="17"/>
                <w:szCs w:val="17"/>
                <w:color w:val="auto"/>
              </w:rPr>
            </w:pPr>
          </w:p>
        </w:tc>
        <w:tc>
          <w:tcPr>
            <w:tcW w:w="8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rPr>
              <w:t>12,595</w:t>
            </w:r>
          </w:p>
        </w:tc>
        <w:tc>
          <w:tcPr>
            <w:tcW w:w="260" w:type="dxa"/>
            <w:vAlign w:val="bottom"/>
          </w:tcPr>
          <w:p>
            <w:pPr>
              <w:spacing w:after="0"/>
              <w:rPr>
                <w:sz w:val="17"/>
                <w:szCs w:val="17"/>
                <w:color w:val="auto"/>
              </w:rPr>
            </w:pPr>
          </w:p>
        </w:tc>
        <w:tc>
          <w:tcPr>
            <w:tcW w:w="108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25,725</w:t>
            </w: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12,595</w:t>
            </w:r>
          </w:p>
        </w:tc>
        <w:tc>
          <w:tcPr>
            <w:tcW w:w="0" w:type="dxa"/>
            <w:vAlign w:val="bottom"/>
          </w:tcPr>
          <w:p>
            <w:pPr>
              <w:spacing w:after="0"/>
              <w:rPr>
                <w:sz w:val="1"/>
                <w:szCs w:val="1"/>
                <w:color w:val="auto"/>
              </w:rPr>
            </w:pPr>
          </w:p>
        </w:tc>
      </w:tr>
      <w:tr>
        <w:trPr>
          <w:trHeight w:val="196"/>
        </w:trPr>
        <w:tc>
          <w:tcPr>
            <w:tcW w:w="3420" w:type="dxa"/>
            <w:vAlign w:val="bottom"/>
          </w:tcPr>
          <w:p>
            <w:pPr>
              <w:ind w:left="620"/>
              <w:spacing w:after="0"/>
              <w:rPr>
                <w:sz w:val="20"/>
                <w:szCs w:val="20"/>
                <w:color w:val="auto"/>
              </w:rPr>
            </w:pPr>
            <w:r>
              <w:rPr>
                <w:rFonts w:ascii="Courier New" w:cs="Courier New" w:eastAsia="Courier New" w:hAnsi="Courier New"/>
                <w:sz w:val="17"/>
                <w:szCs w:val="17"/>
                <w:color w:val="auto"/>
              </w:rPr>
              <w:t>acquisition related costs</w:t>
            </w: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11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589,251</w:t>
            </w:r>
          </w:p>
        </w:tc>
        <w:tc>
          <w:tcPr>
            <w:tcW w:w="26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495,922</w:t>
            </w:r>
          </w:p>
        </w:tc>
        <w:tc>
          <w:tcPr>
            <w:tcW w:w="2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2,147,918</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1,700,129</w:t>
            </w:r>
          </w:p>
        </w:tc>
        <w:tc>
          <w:tcPr>
            <w:tcW w:w="0" w:type="dxa"/>
            <w:vAlign w:val="bottom"/>
          </w:tcPr>
          <w:p>
            <w:pPr>
              <w:spacing w:after="0"/>
              <w:rPr>
                <w:sz w:val="1"/>
                <w:szCs w:val="1"/>
                <w:color w:val="auto"/>
              </w:rPr>
            </w:pPr>
          </w:p>
        </w:tc>
      </w:tr>
      <w:tr>
        <w:trPr>
          <w:trHeight w:val="196"/>
        </w:trPr>
        <w:tc>
          <w:tcPr>
            <w:tcW w:w="3420" w:type="dxa"/>
            <w:vAlign w:val="bottom"/>
            <w:vMerge w:val="restart"/>
          </w:tcPr>
          <w:p>
            <w:pPr>
              <w:spacing w:after="0"/>
              <w:rPr>
                <w:sz w:val="20"/>
                <w:szCs w:val="20"/>
                <w:color w:val="auto"/>
              </w:rPr>
            </w:pPr>
            <w:r>
              <w:rPr>
                <w:rFonts w:ascii="Courier New" w:cs="Courier New" w:eastAsia="Courier New" w:hAnsi="Courier New"/>
                <w:sz w:val="17"/>
                <w:szCs w:val="17"/>
                <w:color w:val="auto"/>
              </w:rPr>
              <w:t>Operating income</w:t>
            </w:r>
          </w:p>
        </w:tc>
        <w:tc>
          <w:tcPr>
            <w:tcW w:w="11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4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76,194</w:t>
            </w:r>
          </w:p>
        </w:tc>
        <w:tc>
          <w:tcPr>
            <w:tcW w:w="26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77,396</w:t>
            </w:r>
          </w:p>
        </w:tc>
        <w:tc>
          <w:tcPr>
            <w:tcW w:w="2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332,132</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338,492</w:t>
            </w:r>
          </w:p>
        </w:tc>
        <w:tc>
          <w:tcPr>
            <w:tcW w:w="0" w:type="dxa"/>
            <w:vAlign w:val="bottom"/>
          </w:tcPr>
          <w:p>
            <w:pPr>
              <w:spacing w:after="0"/>
              <w:rPr>
                <w:sz w:val="1"/>
                <w:szCs w:val="1"/>
                <w:color w:val="auto"/>
              </w:rPr>
            </w:pPr>
          </w:p>
        </w:tc>
      </w:tr>
      <w:tr>
        <w:trPr>
          <w:trHeight w:val="196"/>
        </w:trPr>
        <w:tc>
          <w:tcPr>
            <w:tcW w:w="3420" w:type="dxa"/>
            <w:vAlign w:val="bottom"/>
          </w:tcPr>
          <w:p>
            <w:pPr>
              <w:spacing w:after="0"/>
              <w:rPr>
                <w:sz w:val="20"/>
                <w:szCs w:val="20"/>
                <w:color w:val="auto"/>
              </w:rPr>
            </w:pPr>
            <w:r>
              <w:rPr>
                <w:rFonts w:ascii="Courier New" w:cs="Courier New" w:eastAsia="Courier New" w:hAnsi="Courier New"/>
                <w:sz w:val="17"/>
                <w:szCs w:val="17"/>
                <w:color w:val="auto"/>
              </w:rPr>
              <w:t>Interest income and other, net</w:t>
            </w:r>
          </w:p>
        </w:tc>
        <w:tc>
          <w:tcPr>
            <w:tcW w:w="26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8,082</w:t>
            </w:r>
          </w:p>
        </w:tc>
        <w:tc>
          <w:tcPr>
            <w:tcW w:w="26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7,359</w:t>
            </w:r>
          </w:p>
        </w:tc>
        <w:tc>
          <w:tcPr>
            <w:tcW w:w="2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41,741</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22,303</w:t>
            </w:r>
          </w:p>
        </w:tc>
        <w:tc>
          <w:tcPr>
            <w:tcW w:w="0" w:type="dxa"/>
            <w:vAlign w:val="bottom"/>
          </w:tcPr>
          <w:p>
            <w:pPr>
              <w:spacing w:after="0"/>
              <w:rPr>
                <w:sz w:val="1"/>
                <w:szCs w:val="1"/>
                <w:color w:val="auto"/>
              </w:rPr>
            </w:pPr>
          </w:p>
        </w:tc>
      </w:tr>
      <w:tr>
        <w:trPr>
          <w:trHeight w:val="196"/>
        </w:trPr>
        <w:tc>
          <w:tcPr>
            <w:tcW w:w="3420" w:type="dxa"/>
            <w:vAlign w:val="bottom"/>
            <w:vMerge w:val="restart"/>
          </w:tcPr>
          <w:p>
            <w:pPr>
              <w:spacing w:after="0"/>
              <w:rPr>
                <w:sz w:val="20"/>
                <w:szCs w:val="20"/>
                <w:color w:val="auto"/>
              </w:rPr>
            </w:pPr>
            <w:r>
              <w:rPr>
                <w:rFonts w:ascii="Courier New" w:cs="Courier New" w:eastAsia="Courier New" w:hAnsi="Courier New"/>
                <w:sz w:val="17"/>
                <w:szCs w:val="17"/>
                <w:color w:val="auto"/>
              </w:rPr>
              <w:t>Income before income taxes</w:t>
            </w:r>
          </w:p>
        </w:tc>
        <w:tc>
          <w:tcPr>
            <w:tcW w:w="11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4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84,276</w:t>
            </w:r>
          </w:p>
        </w:tc>
        <w:tc>
          <w:tcPr>
            <w:tcW w:w="26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84,755</w:t>
            </w:r>
          </w:p>
        </w:tc>
        <w:tc>
          <w:tcPr>
            <w:tcW w:w="2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373,873</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360,795</w:t>
            </w:r>
          </w:p>
        </w:tc>
        <w:tc>
          <w:tcPr>
            <w:tcW w:w="0" w:type="dxa"/>
            <w:vAlign w:val="bottom"/>
          </w:tcPr>
          <w:p>
            <w:pPr>
              <w:spacing w:after="0"/>
              <w:rPr>
                <w:sz w:val="1"/>
                <w:szCs w:val="1"/>
                <w:color w:val="auto"/>
              </w:rPr>
            </w:pPr>
          </w:p>
        </w:tc>
      </w:tr>
      <w:tr>
        <w:trPr>
          <w:trHeight w:val="196"/>
        </w:trPr>
        <w:tc>
          <w:tcPr>
            <w:tcW w:w="342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26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8,321</w:t>
            </w:r>
          </w:p>
        </w:tc>
        <w:tc>
          <w:tcPr>
            <w:tcW w:w="26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16,956</w:t>
            </w:r>
          </w:p>
        </w:tc>
        <w:tc>
          <w:tcPr>
            <w:tcW w:w="2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55,237</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72,159</w:t>
            </w:r>
          </w:p>
        </w:tc>
        <w:tc>
          <w:tcPr>
            <w:tcW w:w="0" w:type="dxa"/>
            <w:vAlign w:val="bottom"/>
          </w:tcPr>
          <w:p>
            <w:pPr>
              <w:spacing w:after="0"/>
              <w:rPr>
                <w:sz w:val="1"/>
                <w:szCs w:val="1"/>
                <w:color w:val="auto"/>
              </w:rPr>
            </w:pPr>
          </w:p>
        </w:tc>
      </w:tr>
      <w:tr>
        <w:trPr>
          <w:trHeight w:val="196"/>
        </w:trPr>
        <w:tc>
          <w:tcPr>
            <w:tcW w:w="3420" w:type="dxa"/>
            <w:vAlign w:val="bottom"/>
            <w:vMerge w:val="restart"/>
          </w:tcPr>
          <w:p>
            <w:pPr>
              <w:spacing w:after="0"/>
              <w:rPr>
                <w:sz w:val="20"/>
                <w:szCs w:val="20"/>
                <w:color w:val="auto"/>
              </w:rPr>
            </w:pPr>
            <w:r>
              <w:rPr>
                <w:rFonts w:ascii="Courier New" w:cs="Courier New" w:eastAsia="Courier New" w:hAnsi="Courier New"/>
                <w:sz w:val="17"/>
                <w:szCs w:val="17"/>
                <w:color w:val="auto"/>
              </w:rPr>
              <w:t>Net income</w:t>
            </w:r>
          </w:p>
        </w:tc>
        <w:tc>
          <w:tcPr>
            <w:tcW w:w="11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420" w:type="dxa"/>
            <w:vAlign w:val="bottom"/>
            <w:vMerge w:val="continue"/>
          </w:tcPr>
          <w:p>
            <w:pPr>
              <w:spacing w:after="0"/>
              <w:rPr>
                <w:sz w:val="17"/>
                <w:szCs w:val="17"/>
                <w:color w:val="auto"/>
              </w:rPr>
            </w:pPr>
          </w:p>
        </w:tc>
        <w:tc>
          <w:tcPr>
            <w:tcW w:w="11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$ 75,955</w:t>
            </w:r>
          </w:p>
        </w:tc>
        <w:tc>
          <w:tcPr>
            <w:tcW w:w="11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$ 67,799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318,636</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288,636</w:t>
            </w:r>
          </w:p>
        </w:tc>
        <w:tc>
          <w:tcPr>
            <w:tcW w:w="0" w:type="dxa"/>
            <w:vAlign w:val="bottom"/>
          </w:tcPr>
          <w:p>
            <w:pPr>
              <w:spacing w:after="0"/>
              <w:rPr>
                <w:sz w:val="1"/>
                <w:szCs w:val="1"/>
                <w:color w:val="auto"/>
              </w:rPr>
            </w:pPr>
          </w:p>
        </w:tc>
      </w:tr>
      <w:tr>
        <w:trPr>
          <w:trHeight w:val="196"/>
        </w:trPr>
        <w:tc>
          <w:tcPr>
            <w:tcW w:w="3420" w:type="dxa"/>
            <w:vAlign w:val="bottom"/>
            <w:vMerge w:val="restart"/>
          </w:tcPr>
          <w:p>
            <w:pPr>
              <w:spacing w:after="0"/>
              <w:rPr>
                <w:sz w:val="20"/>
                <w:szCs w:val="20"/>
                <w:color w:val="auto"/>
              </w:rPr>
            </w:pPr>
            <w:r>
              <w:rPr>
                <w:rFonts w:ascii="Courier New" w:cs="Courier New" w:eastAsia="Courier New" w:hAnsi="Courier New"/>
                <w:sz w:val="17"/>
                <w:szCs w:val="17"/>
                <w:color w:val="auto"/>
              </w:rPr>
              <w:t>Basic earnings per share</w:t>
            </w:r>
          </w:p>
        </w:tc>
        <w:tc>
          <w:tcPr>
            <w:tcW w:w="11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420" w:type="dxa"/>
            <w:vAlign w:val="bottom"/>
            <w:vMerge w:val="continue"/>
          </w:tcPr>
          <w:p>
            <w:pPr>
              <w:spacing w:after="0"/>
              <w:rPr>
                <w:sz w:val="17"/>
                <w:szCs w:val="17"/>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0.37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0.34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1.57</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1.44</w:t>
            </w:r>
          </w:p>
        </w:tc>
        <w:tc>
          <w:tcPr>
            <w:tcW w:w="0" w:type="dxa"/>
            <w:vAlign w:val="bottom"/>
          </w:tcPr>
          <w:p>
            <w:pPr>
              <w:spacing w:after="0"/>
              <w:rPr>
                <w:sz w:val="1"/>
                <w:szCs w:val="1"/>
                <w:color w:val="auto"/>
              </w:rPr>
            </w:pPr>
          </w:p>
        </w:tc>
      </w:tr>
      <w:tr>
        <w:trPr>
          <w:trHeight w:val="196"/>
        </w:trPr>
        <w:tc>
          <w:tcPr>
            <w:tcW w:w="3420" w:type="dxa"/>
            <w:vAlign w:val="bottom"/>
            <w:vMerge w:val="restart"/>
          </w:tcPr>
          <w:p>
            <w:pPr>
              <w:spacing w:after="0"/>
              <w:rPr>
                <w:sz w:val="20"/>
                <w:szCs w:val="20"/>
                <w:color w:val="auto"/>
              </w:rPr>
            </w:pPr>
            <w:r>
              <w:rPr>
                <w:rFonts w:ascii="Courier New" w:cs="Courier New" w:eastAsia="Courier New" w:hAnsi="Courier New"/>
                <w:sz w:val="17"/>
                <w:szCs w:val="17"/>
                <w:color w:val="auto"/>
              </w:rPr>
              <w:t>Diluted earnings per share(3)</w:t>
            </w:r>
          </w:p>
        </w:tc>
        <w:tc>
          <w:tcPr>
            <w:tcW w:w="11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420" w:type="dxa"/>
            <w:vAlign w:val="bottom"/>
            <w:vMerge w:val="continue"/>
          </w:tcPr>
          <w:p>
            <w:pPr>
              <w:spacing w:after="0"/>
              <w:rPr>
                <w:sz w:val="17"/>
                <w:szCs w:val="17"/>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0.35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0.32</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1.48</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1.35</w:t>
            </w:r>
          </w:p>
        </w:tc>
        <w:tc>
          <w:tcPr>
            <w:tcW w:w="0" w:type="dxa"/>
            <w:vAlign w:val="bottom"/>
          </w:tcPr>
          <w:p>
            <w:pPr>
              <w:spacing w:after="0"/>
              <w:rPr>
                <w:sz w:val="1"/>
                <w:szCs w:val="1"/>
                <w:color w:val="auto"/>
              </w:rPr>
            </w:pPr>
          </w:p>
        </w:tc>
      </w:tr>
      <w:tr>
        <w:trPr>
          <w:trHeight w:val="286"/>
        </w:trPr>
        <w:tc>
          <w:tcPr>
            <w:tcW w:w="3420" w:type="dxa"/>
            <w:vAlign w:val="bottom"/>
            <w:vMerge w:val="restart"/>
          </w:tcPr>
          <w:p>
            <w:pPr>
              <w:spacing w:after="0"/>
              <w:rPr>
                <w:sz w:val="20"/>
                <w:szCs w:val="20"/>
                <w:color w:val="auto"/>
              </w:rPr>
            </w:pPr>
            <w:r>
              <w:rPr>
                <w:rFonts w:ascii="Courier New" w:cs="Courier New" w:eastAsia="Courier New" w:hAnsi="Courier New"/>
                <w:sz w:val="17"/>
                <w:szCs w:val="17"/>
                <w:color w:val="auto"/>
              </w:rPr>
              <w:t>Basic weighted average number of</w:t>
            </w:r>
          </w:p>
        </w:tc>
        <w:tc>
          <w:tcPr>
            <w:tcW w:w="11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34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w w:val="97"/>
              </w:rPr>
              <w:t>205,330</w:t>
            </w:r>
          </w:p>
        </w:tc>
        <w:tc>
          <w:tcPr>
            <w:tcW w:w="260" w:type="dxa"/>
            <w:vAlign w:val="bottom"/>
          </w:tcPr>
          <w:p>
            <w:pPr>
              <w:spacing w:after="0"/>
              <w:rPr>
                <w:sz w:val="9"/>
                <w:szCs w:val="9"/>
                <w:color w:val="auto"/>
              </w:rPr>
            </w:pPr>
          </w:p>
        </w:tc>
        <w:tc>
          <w:tcPr>
            <w:tcW w:w="8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w w:val="97"/>
              </w:rPr>
              <w:t>199,749</w:t>
            </w:r>
          </w:p>
        </w:tc>
        <w:tc>
          <w:tcPr>
            <w:tcW w:w="260" w:type="dxa"/>
            <w:vAlign w:val="bottom"/>
          </w:tcPr>
          <w:p>
            <w:pPr>
              <w:spacing w:after="0"/>
              <w:rPr>
                <w:sz w:val="9"/>
                <w:szCs w:val="9"/>
                <w:color w:val="auto"/>
              </w:rPr>
            </w:pPr>
          </w:p>
        </w:tc>
        <w:tc>
          <w:tcPr>
            <w:tcW w:w="108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203,194</w:t>
            </w:r>
          </w:p>
        </w:tc>
        <w:tc>
          <w:tcPr>
            <w:tcW w:w="24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201,023</w:t>
            </w:r>
          </w:p>
        </w:tc>
        <w:tc>
          <w:tcPr>
            <w:tcW w:w="0" w:type="dxa"/>
            <w:vAlign w:val="bottom"/>
          </w:tcPr>
          <w:p>
            <w:pPr>
              <w:spacing w:after="0"/>
              <w:rPr>
                <w:sz w:val="1"/>
                <w:szCs w:val="1"/>
                <w:color w:val="auto"/>
              </w:rPr>
            </w:pPr>
          </w:p>
        </w:tc>
      </w:tr>
      <w:tr>
        <w:trPr>
          <w:trHeight w:val="196"/>
        </w:trPr>
        <w:tc>
          <w:tcPr>
            <w:tcW w:w="3420" w:type="dxa"/>
            <w:vAlign w:val="bottom"/>
          </w:tcPr>
          <w:p>
            <w:pPr>
              <w:ind w:left="320"/>
              <w:spacing w:after="0"/>
              <w:rPr>
                <w:sz w:val="20"/>
                <w:szCs w:val="20"/>
                <w:color w:val="auto"/>
              </w:rPr>
            </w:pPr>
            <w:r>
              <w:rPr>
                <w:rFonts w:ascii="Courier New" w:cs="Courier New" w:eastAsia="Courier New" w:hAnsi="Courier New"/>
                <w:sz w:val="17"/>
                <w:szCs w:val="17"/>
                <w:color w:val="auto"/>
              </w:rPr>
              <w:t>shares outstanding</w:t>
            </w: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3420" w:type="dxa"/>
            <w:vAlign w:val="bottom"/>
            <w:vMerge w:val="restart"/>
          </w:tcPr>
          <w:p>
            <w:pPr>
              <w:spacing w:after="0"/>
              <w:rPr>
                <w:sz w:val="20"/>
                <w:szCs w:val="20"/>
                <w:color w:val="auto"/>
              </w:rPr>
            </w:pPr>
            <w:r>
              <w:rPr>
                <w:rFonts w:ascii="Courier New" w:cs="Courier New" w:eastAsia="Courier New" w:hAnsi="Courier New"/>
                <w:sz w:val="17"/>
                <w:szCs w:val="17"/>
                <w:color w:val="auto"/>
              </w:rPr>
              <w:t>Diluted weighted average number</w:t>
            </w:r>
          </w:p>
        </w:tc>
        <w:tc>
          <w:tcPr>
            <w:tcW w:w="11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34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w w:val="97"/>
              </w:rPr>
              <w:t>221,236</w:t>
            </w:r>
          </w:p>
        </w:tc>
        <w:tc>
          <w:tcPr>
            <w:tcW w:w="260" w:type="dxa"/>
            <w:vAlign w:val="bottom"/>
          </w:tcPr>
          <w:p>
            <w:pPr>
              <w:spacing w:after="0"/>
              <w:rPr>
                <w:sz w:val="9"/>
                <w:szCs w:val="9"/>
                <w:color w:val="auto"/>
              </w:rPr>
            </w:pPr>
          </w:p>
        </w:tc>
        <w:tc>
          <w:tcPr>
            <w:tcW w:w="8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w w:val="97"/>
              </w:rPr>
              <w:t>215,822</w:t>
            </w:r>
          </w:p>
        </w:tc>
        <w:tc>
          <w:tcPr>
            <w:tcW w:w="260" w:type="dxa"/>
            <w:vAlign w:val="bottom"/>
          </w:tcPr>
          <w:p>
            <w:pPr>
              <w:spacing w:after="0"/>
              <w:rPr>
                <w:sz w:val="9"/>
                <w:szCs w:val="9"/>
                <w:color w:val="auto"/>
              </w:rPr>
            </w:pPr>
          </w:p>
        </w:tc>
        <w:tc>
          <w:tcPr>
            <w:tcW w:w="108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218,534</w:t>
            </w:r>
          </w:p>
        </w:tc>
        <w:tc>
          <w:tcPr>
            <w:tcW w:w="24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217,162</w:t>
            </w:r>
          </w:p>
        </w:tc>
        <w:tc>
          <w:tcPr>
            <w:tcW w:w="0" w:type="dxa"/>
            <w:vAlign w:val="bottom"/>
          </w:tcPr>
          <w:p>
            <w:pPr>
              <w:spacing w:after="0"/>
              <w:rPr>
                <w:sz w:val="1"/>
                <w:szCs w:val="1"/>
                <w:color w:val="auto"/>
              </w:rPr>
            </w:pPr>
          </w:p>
        </w:tc>
      </w:tr>
      <w:tr>
        <w:trPr>
          <w:trHeight w:val="196"/>
        </w:trPr>
        <w:tc>
          <w:tcPr>
            <w:tcW w:w="3420" w:type="dxa"/>
            <w:vAlign w:val="bottom"/>
          </w:tcPr>
          <w:p>
            <w:pPr>
              <w:ind w:left="320"/>
              <w:spacing w:after="0"/>
              <w:rPr>
                <w:sz w:val="20"/>
                <w:szCs w:val="20"/>
                <w:color w:val="auto"/>
              </w:rPr>
            </w:pPr>
            <w:r>
              <w:rPr>
                <w:rFonts w:ascii="Courier New" w:cs="Courier New" w:eastAsia="Courier New" w:hAnsi="Courier New"/>
                <w:sz w:val="17"/>
                <w:szCs w:val="17"/>
                <w:color w:val="auto"/>
              </w:rPr>
              <w:t>of shares outstanding</w:t>
            </w: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3420" w:type="dxa"/>
            <w:vAlign w:val="bottom"/>
          </w:tcPr>
          <w:p>
            <w:pPr>
              <w:spacing w:after="0"/>
              <w:rPr>
                <w:sz w:val="24"/>
                <w:szCs w:val="24"/>
                <w:color w:val="auto"/>
              </w:rPr>
            </w:pPr>
          </w:p>
        </w:tc>
        <w:tc>
          <w:tcPr>
            <w:tcW w:w="11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520" w:right="2059" w:hanging="515"/>
        <w:spacing w:after="0" w:line="283" w:lineRule="auto"/>
        <w:tabs>
          <w:tab w:leader="none" w:pos="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three months ended September 30, 2006 include equity-based compensation pre-tax expense of $14,230, which was classified as follows: $5,805 to Cost of service, $1,670 to Research and development and $6,755 to Selling, general and administrative.</w:t>
      </w:r>
    </w:p>
    <w:p>
      <w:pPr>
        <w:spacing w:after="0" w:line="72" w:lineRule="exact"/>
        <w:rPr>
          <w:rFonts w:ascii="Courier New" w:cs="Courier New" w:eastAsia="Courier New" w:hAnsi="Courier New"/>
          <w:sz w:val="17"/>
          <w:szCs w:val="17"/>
          <w:color w:val="auto"/>
        </w:rPr>
      </w:pPr>
    </w:p>
    <w:p>
      <w:pPr>
        <w:ind w:left="520" w:right="2159" w:hanging="515"/>
        <w:spacing w:after="0" w:line="283" w:lineRule="auto"/>
        <w:tabs>
          <w:tab w:leader="none" w:pos="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twelve months ended September 30, 2006 include equity-based compensation pre-tax expense of $46,178, which was classified as follows: $18,042 to Cost of service, $4,711 to Research and development and $23,425 to Selling, general and administrative.</w:t>
      </w:r>
    </w:p>
    <w:p>
      <w:pPr>
        <w:spacing w:after="0" w:line="72" w:lineRule="exact"/>
        <w:rPr>
          <w:rFonts w:ascii="Courier New" w:cs="Courier New" w:eastAsia="Courier New" w:hAnsi="Courier New"/>
          <w:sz w:val="17"/>
          <w:szCs w:val="17"/>
          <w:color w:val="auto"/>
        </w:rPr>
      </w:pPr>
    </w:p>
    <w:p>
      <w:pPr>
        <w:ind w:left="520" w:right="2159" w:hanging="515"/>
        <w:spacing w:after="0" w:line="287" w:lineRule="auto"/>
        <w:tabs>
          <w:tab w:leader="none" w:pos="5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impact of assumed conversion of the convertible notes, $985 and $3,948, representing interest expense and amortization of issuance costs, were added back to net income for the three and twelve months ended September 30, 2006, respectively, and $984 and $3,939 were added back to net income for the three and twelve months ended September 30, 2005, respectively, for the purpose of computing diluted earnings per share</w:t>
      </w:r>
    </w:p>
    <w:p>
      <w:pPr>
        <w:sectPr>
          <w:pgSz w:w="11900" w:h="16838" w:orient="portrait"/>
          <w:cols w:equalWidth="0" w:num="1">
            <w:col w:w="10219"/>
          </w:cols>
          <w:pgMar w:left="240" w:top="674" w:right="1440" w:bottom="1440" w:gutter="0" w:footer="0" w:header="0"/>
        </w:sectPr>
      </w:pPr>
    </w:p>
    <w:bookmarkStart w:id="11" w:name="page12"/>
    <w:bookmarkEnd w:id="11"/>
    <w:p>
      <w:pPr>
        <w:jc w:val="center"/>
        <w:ind w:right="2039"/>
        <w:spacing w:after="0"/>
        <w:rPr>
          <w:sz w:val="20"/>
          <w:szCs w:val="20"/>
          <w:color w:val="auto"/>
        </w:rPr>
      </w:pPr>
      <w:r>
        <w:rPr>
          <w:rFonts w:ascii="Courier New" w:cs="Courier New" w:eastAsia="Courier New" w:hAnsi="Courier New"/>
          <w:sz w:val="17"/>
          <w:szCs w:val="17"/>
          <w:color w:val="auto"/>
        </w:rPr>
        <w:t>AMDOCS LIMITED</w:t>
      </w:r>
    </w:p>
    <w:p>
      <w:pPr>
        <w:spacing w:after="0" w:line="3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SELECTED FINANCIAL METRICS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7000" w:type="dxa"/>
            <w:vAlign w:val="bottom"/>
            <w:gridSpan w:val="7"/>
          </w:tcPr>
          <w:p>
            <w:pPr>
              <w:ind w:left="2240"/>
              <w:spacing w:after="0"/>
              <w:rPr>
                <w:sz w:val="20"/>
                <w:szCs w:val="20"/>
                <w:color w:val="auto"/>
              </w:rPr>
            </w:pPr>
            <w:r>
              <w:rPr>
                <w:rFonts w:ascii="Courier New" w:cs="Courier New" w:eastAsia="Courier New" w:hAnsi="Courier New"/>
                <w:sz w:val="17"/>
                <w:szCs w:val="17"/>
                <w:color w:val="auto"/>
              </w:rPr>
              <w:t>(IN THOUSANDS, EXCEPT PER SHARE DATA)</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5"/>
        </w:trPr>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gridSpan w:val="3"/>
          </w:tcPr>
          <w:p>
            <w:pPr>
              <w:jc w:val="right"/>
              <w:ind w:right="55"/>
              <w:spacing w:after="0"/>
              <w:rPr>
                <w:sz w:val="20"/>
                <w:szCs w:val="20"/>
                <w:color w:val="auto"/>
              </w:rPr>
            </w:pPr>
            <w:r>
              <w:rPr>
                <w:rFonts w:ascii="Courier New" w:cs="Courier New" w:eastAsia="Courier New" w:hAnsi="Courier New"/>
                <w:sz w:val="17"/>
                <w:szCs w:val="17"/>
                <w:color w:val="auto"/>
                <w:w w:val="99"/>
              </w:rPr>
              <w:t>THREE MONTHS ENDED</w:t>
            </w:r>
          </w:p>
        </w:tc>
        <w:tc>
          <w:tcPr>
            <w:tcW w:w="260" w:type="dxa"/>
            <w:vAlign w:val="bottom"/>
          </w:tcPr>
          <w:p>
            <w:pPr>
              <w:spacing w:after="0"/>
              <w:rPr>
                <w:sz w:val="24"/>
                <w:szCs w:val="24"/>
                <w:color w:val="auto"/>
              </w:rPr>
            </w:pPr>
          </w:p>
        </w:tc>
        <w:tc>
          <w:tcPr>
            <w:tcW w:w="2240" w:type="dxa"/>
            <w:vAlign w:val="bottom"/>
            <w:gridSpan w:val="3"/>
          </w:tcPr>
          <w:p>
            <w:pPr>
              <w:jc w:val="right"/>
              <w:ind w:right="115"/>
              <w:spacing w:after="0"/>
              <w:rPr>
                <w:sz w:val="20"/>
                <w:szCs w:val="20"/>
                <w:color w:val="auto"/>
              </w:rPr>
            </w:pPr>
            <w:r>
              <w:rPr>
                <w:rFonts w:ascii="Courier New" w:cs="Courier New" w:eastAsia="Courier New" w:hAnsi="Courier New"/>
                <w:sz w:val="17"/>
                <w:szCs w:val="17"/>
                <w:color w:val="auto"/>
              </w:rPr>
              <w:t>TWELVE MONTHS ENDED</w:t>
            </w:r>
          </w:p>
        </w:tc>
        <w:tc>
          <w:tcPr>
            <w:tcW w:w="0" w:type="dxa"/>
            <w:vAlign w:val="bottom"/>
          </w:tcPr>
          <w:p>
            <w:pPr>
              <w:spacing w:after="0"/>
              <w:rPr>
                <w:sz w:val="1"/>
                <w:szCs w:val="1"/>
                <w:color w:val="auto"/>
              </w:rPr>
            </w:pPr>
          </w:p>
        </w:tc>
      </w:tr>
      <w:tr>
        <w:trPr>
          <w:trHeight w:val="196"/>
        </w:trPr>
        <w:tc>
          <w:tcPr>
            <w:tcW w:w="3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gridSpan w:val="3"/>
          </w:tcPr>
          <w:p>
            <w:pPr>
              <w:jc w:val="right"/>
              <w:ind w:right="375"/>
              <w:spacing w:after="0"/>
              <w:rPr>
                <w:sz w:val="20"/>
                <w:szCs w:val="20"/>
                <w:color w:val="auto"/>
              </w:rPr>
            </w:pPr>
            <w:r>
              <w:rPr>
                <w:rFonts w:ascii="Courier New" w:cs="Courier New" w:eastAsia="Courier New" w:hAnsi="Courier New"/>
                <w:sz w:val="17"/>
                <w:szCs w:val="17"/>
                <w:color w:val="auto"/>
              </w:rPr>
              <w:t>SEPTEMBER 30,</w:t>
            </w:r>
          </w:p>
        </w:tc>
        <w:tc>
          <w:tcPr>
            <w:tcW w:w="260" w:type="dxa"/>
            <w:vAlign w:val="bottom"/>
          </w:tcPr>
          <w:p>
            <w:pPr>
              <w:spacing w:after="0"/>
              <w:rPr>
                <w:sz w:val="17"/>
                <w:szCs w:val="17"/>
                <w:color w:val="auto"/>
              </w:rPr>
            </w:pPr>
          </w:p>
        </w:tc>
        <w:tc>
          <w:tcPr>
            <w:tcW w:w="2240" w:type="dxa"/>
            <w:vAlign w:val="bottom"/>
            <w:gridSpan w:val="3"/>
          </w:tcPr>
          <w:p>
            <w:pPr>
              <w:jc w:val="right"/>
              <w:ind w:right="415"/>
              <w:spacing w:after="0"/>
              <w:rPr>
                <w:sz w:val="20"/>
                <w:szCs w:val="20"/>
                <w:color w:val="auto"/>
              </w:rPr>
            </w:pPr>
            <w:r>
              <w:rPr>
                <w:rFonts w:ascii="Courier New" w:cs="Courier New" w:eastAsia="Courier New" w:hAnsi="Courier New"/>
                <w:sz w:val="17"/>
                <w:szCs w:val="17"/>
                <w:color w:val="auto"/>
              </w:rPr>
              <w:t>SEPTEMBER 30,</w:t>
            </w:r>
          </w:p>
        </w:tc>
        <w:tc>
          <w:tcPr>
            <w:tcW w:w="0" w:type="dxa"/>
            <w:vAlign w:val="bottom"/>
          </w:tcPr>
          <w:p>
            <w:pPr>
              <w:spacing w:after="0"/>
              <w:rPr>
                <w:sz w:val="1"/>
                <w:szCs w:val="1"/>
                <w:color w:val="auto"/>
              </w:rPr>
            </w:pPr>
          </w:p>
        </w:tc>
      </w:tr>
      <w:tr>
        <w:trPr>
          <w:trHeight w:val="196"/>
        </w:trPr>
        <w:tc>
          <w:tcPr>
            <w:tcW w:w="3380" w:type="dxa"/>
            <w:vAlign w:val="bottom"/>
          </w:tcPr>
          <w:p>
            <w:pPr>
              <w:spacing w:after="0"/>
              <w:rPr>
                <w:sz w:val="17"/>
                <w:szCs w:val="17"/>
                <w:color w:val="auto"/>
              </w:rPr>
            </w:pPr>
          </w:p>
        </w:tc>
        <w:tc>
          <w:tcPr>
            <w:tcW w:w="2280" w:type="dxa"/>
            <w:vAlign w:val="bottom"/>
            <w:gridSpan w:val="4"/>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25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2006</w:t>
            </w:r>
          </w:p>
        </w:tc>
        <w:tc>
          <w:tcPr>
            <w:tcW w:w="260" w:type="dxa"/>
            <w:vAlign w:val="bottom"/>
          </w:tcPr>
          <w:p>
            <w:pPr>
              <w:spacing w:after="0"/>
              <w:rPr>
                <w:sz w:val="17"/>
                <w:szCs w:val="17"/>
                <w:color w:val="auto"/>
              </w:rPr>
            </w:pPr>
          </w:p>
        </w:tc>
        <w:tc>
          <w:tcPr>
            <w:tcW w:w="8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2005</w:t>
            </w:r>
          </w:p>
        </w:tc>
        <w:tc>
          <w:tcPr>
            <w:tcW w:w="260" w:type="dxa"/>
            <w:vAlign w:val="bottom"/>
          </w:tcPr>
          <w:p>
            <w:pPr>
              <w:spacing w:after="0"/>
              <w:rPr>
                <w:sz w:val="17"/>
                <w:szCs w:val="17"/>
                <w:color w:val="auto"/>
              </w:rPr>
            </w:pPr>
          </w:p>
        </w:tc>
        <w:tc>
          <w:tcPr>
            <w:tcW w:w="10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2006</w:t>
            </w:r>
          </w:p>
        </w:tc>
        <w:tc>
          <w:tcPr>
            <w:tcW w:w="240" w:type="dxa"/>
            <w:vAlign w:val="bottom"/>
          </w:tcPr>
          <w:p>
            <w:pPr>
              <w:spacing w:after="0"/>
              <w:rPr>
                <w:sz w:val="17"/>
                <w:szCs w:val="17"/>
                <w:color w:val="auto"/>
              </w:rPr>
            </w:pPr>
          </w:p>
        </w:tc>
        <w:tc>
          <w:tcPr>
            <w:tcW w:w="9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2005</w:t>
            </w:r>
          </w:p>
        </w:tc>
        <w:tc>
          <w:tcPr>
            <w:tcW w:w="0" w:type="dxa"/>
            <w:vAlign w:val="bottom"/>
          </w:tcPr>
          <w:p>
            <w:pPr>
              <w:spacing w:after="0"/>
              <w:rPr>
                <w:sz w:val="1"/>
                <w:szCs w:val="1"/>
                <w:color w:val="auto"/>
              </w:rPr>
            </w:pPr>
          </w:p>
        </w:tc>
      </w:tr>
      <w:tr>
        <w:trPr>
          <w:trHeight w:val="286"/>
        </w:trPr>
        <w:tc>
          <w:tcPr>
            <w:tcW w:w="3380" w:type="dxa"/>
            <w:vAlign w:val="bottom"/>
          </w:tcPr>
          <w:p>
            <w:pPr>
              <w:spacing w:after="0"/>
              <w:rPr>
                <w:sz w:val="24"/>
                <w:szCs w:val="24"/>
                <w:color w:val="auto"/>
              </w:rPr>
            </w:pPr>
          </w:p>
        </w:tc>
        <w:tc>
          <w:tcPr>
            <w:tcW w:w="116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338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665,445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573,318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2,480,050</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2,038,621</w:t>
            </w:r>
          </w:p>
        </w:tc>
        <w:tc>
          <w:tcPr>
            <w:tcW w:w="0" w:type="dxa"/>
            <w:vAlign w:val="bottom"/>
          </w:tcPr>
          <w:p>
            <w:pPr>
              <w:spacing w:after="0"/>
              <w:rPr>
                <w:sz w:val="1"/>
                <w:szCs w:val="1"/>
                <w:color w:val="auto"/>
              </w:rPr>
            </w:pPr>
          </w:p>
        </w:tc>
      </w:tr>
      <w:tr>
        <w:trPr>
          <w:trHeight w:val="196"/>
        </w:trPr>
        <w:tc>
          <w:tcPr>
            <w:tcW w:w="3380" w:type="dxa"/>
            <w:vAlign w:val="bottom"/>
          </w:tcPr>
          <w:p>
            <w:pPr>
              <w:spacing w:after="0"/>
              <w:rPr>
                <w:sz w:val="20"/>
                <w:szCs w:val="20"/>
                <w:color w:val="auto"/>
              </w:rPr>
            </w:pPr>
            <w:r>
              <w:rPr>
                <w:rFonts w:ascii="Courier New" w:cs="Courier New" w:eastAsia="Courier New" w:hAnsi="Courier New"/>
                <w:sz w:val="17"/>
                <w:szCs w:val="17"/>
                <w:color w:val="auto"/>
              </w:rPr>
              <w:t>Non-GAAP operating income</w:t>
            </w:r>
          </w:p>
        </w:tc>
        <w:tc>
          <w:tcPr>
            <w:tcW w:w="30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121,756</w:t>
            </w:r>
          </w:p>
        </w:tc>
        <w:tc>
          <w:tcPr>
            <w:tcW w:w="26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97,472</w:t>
            </w:r>
          </w:p>
        </w:tc>
        <w:tc>
          <w:tcPr>
            <w:tcW w:w="2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441,645</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366,443</w:t>
            </w:r>
          </w:p>
        </w:tc>
        <w:tc>
          <w:tcPr>
            <w:tcW w:w="0" w:type="dxa"/>
            <w:vAlign w:val="bottom"/>
          </w:tcPr>
          <w:p>
            <w:pPr>
              <w:spacing w:after="0"/>
              <w:rPr>
                <w:sz w:val="1"/>
                <w:szCs w:val="1"/>
                <w:color w:val="auto"/>
              </w:rPr>
            </w:pPr>
          </w:p>
        </w:tc>
      </w:tr>
      <w:tr>
        <w:trPr>
          <w:trHeight w:val="196"/>
        </w:trPr>
        <w:tc>
          <w:tcPr>
            <w:tcW w:w="3380" w:type="dxa"/>
            <w:vAlign w:val="bottom"/>
          </w:tcPr>
          <w:p>
            <w:pPr>
              <w:spacing w:after="0"/>
              <w:rPr>
                <w:sz w:val="20"/>
                <w:szCs w:val="20"/>
                <w:color w:val="auto"/>
              </w:rPr>
            </w:pPr>
            <w:r>
              <w:rPr>
                <w:rFonts w:ascii="Courier New" w:cs="Courier New" w:eastAsia="Courier New" w:hAnsi="Courier New"/>
                <w:sz w:val="17"/>
                <w:szCs w:val="17"/>
                <w:color w:val="auto"/>
              </w:rPr>
              <w:t>Non-GAAP net income</w:t>
            </w:r>
          </w:p>
        </w:tc>
        <w:tc>
          <w:tcPr>
            <w:tcW w:w="30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109,533</w:t>
            </w:r>
          </w:p>
        </w:tc>
        <w:tc>
          <w:tcPr>
            <w:tcW w:w="26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83,865</w:t>
            </w:r>
          </w:p>
        </w:tc>
        <w:tc>
          <w:tcPr>
            <w:tcW w:w="26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401,211</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310,997</w:t>
            </w:r>
          </w:p>
        </w:tc>
        <w:tc>
          <w:tcPr>
            <w:tcW w:w="0" w:type="dxa"/>
            <w:vAlign w:val="bottom"/>
          </w:tcPr>
          <w:p>
            <w:pPr>
              <w:spacing w:after="0"/>
              <w:rPr>
                <w:sz w:val="1"/>
                <w:szCs w:val="1"/>
                <w:color w:val="auto"/>
              </w:rPr>
            </w:pPr>
          </w:p>
        </w:tc>
      </w:tr>
      <w:tr>
        <w:trPr>
          <w:trHeight w:val="196"/>
        </w:trPr>
        <w:tc>
          <w:tcPr>
            <w:tcW w:w="3380" w:type="dxa"/>
            <w:vAlign w:val="bottom"/>
          </w:tcPr>
          <w:p>
            <w:pPr>
              <w:spacing w:after="0"/>
              <w:rPr>
                <w:sz w:val="20"/>
                <w:szCs w:val="20"/>
                <w:color w:val="auto"/>
              </w:rPr>
            </w:pPr>
            <w:r>
              <w:rPr>
                <w:rFonts w:ascii="Courier New" w:cs="Courier New" w:eastAsia="Courier New" w:hAnsi="Courier New"/>
                <w:sz w:val="17"/>
                <w:szCs w:val="17"/>
                <w:color w:val="auto"/>
              </w:rPr>
              <w:t>Non-GAAP diluted earnings per</w:t>
            </w:r>
          </w:p>
        </w:tc>
        <w:tc>
          <w:tcPr>
            <w:tcW w:w="3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rPr>
              <w:t>0.50</w:t>
            </w:r>
          </w:p>
        </w:tc>
        <w:tc>
          <w:tcPr>
            <w:tcW w:w="2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rPr>
              <w:t>0.39</w:t>
            </w:r>
          </w:p>
        </w:tc>
        <w:tc>
          <w:tcPr>
            <w:tcW w:w="2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1.85</w:t>
            </w:r>
          </w:p>
        </w:tc>
        <w:tc>
          <w:tcPr>
            <w:tcW w:w="2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1.45</w:t>
            </w:r>
          </w:p>
        </w:tc>
        <w:tc>
          <w:tcPr>
            <w:tcW w:w="0" w:type="dxa"/>
            <w:vAlign w:val="bottom"/>
          </w:tcPr>
          <w:p>
            <w:pPr>
              <w:spacing w:after="0"/>
              <w:rPr>
                <w:sz w:val="1"/>
                <w:szCs w:val="1"/>
                <w:color w:val="auto"/>
              </w:rPr>
            </w:pPr>
          </w:p>
        </w:tc>
      </w:tr>
      <w:tr>
        <w:trPr>
          <w:trHeight w:val="196"/>
        </w:trPr>
        <w:tc>
          <w:tcPr>
            <w:tcW w:w="3380" w:type="dxa"/>
            <w:vAlign w:val="bottom"/>
          </w:tcPr>
          <w:p>
            <w:pPr>
              <w:ind w:left="320"/>
              <w:spacing w:after="0"/>
              <w:rPr>
                <w:sz w:val="20"/>
                <w:szCs w:val="20"/>
                <w:color w:val="auto"/>
              </w:rPr>
            </w:pPr>
            <w:r>
              <w:rPr>
                <w:rFonts w:ascii="Courier New" w:cs="Courier New" w:eastAsia="Courier New" w:hAnsi="Courier New"/>
                <w:sz w:val="17"/>
                <w:szCs w:val="17"/>
                <w:color w:val="auto"/>
              </w:rPr>
              <w:t>share (1)</w:t>
            </w:r>
          </w:p>
        </w:tc>
        <w:tc>
          <w:tcPr>
            <w:tcW w:w="30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tcPr>
          <w:p>
            <w:pPr>
              <w:spacing w:after="0"/>
              <w:rPr>
                <w:sz w:val="20"/>
                <w:szCs w:val="20"/>
                <w:color w:val="auto"/>
              </w:rPr>
            </w:pPr>
            <w:r>
              <w:rPr>
                <w:rFonts w:ascii="Courier New" w:cs="Courier New" w:eastAsia="Courier New" w:hAnsi="Courier New"/>
                <w:sz w:val="17"/>
                <w:szCs w:val="17"/>
                <w:color w:val="auto"/>
              </w:rPr>
              <w:t>Diluted weighted average number</w:t>
            </w:r>
          </w:p>
        </w:tc>
        <w:tc>
          <w:tcPr>
            <w:tcW w:w="300" w:type="dxa"/>
            <w:vAlign w:val="bottom"/>
          </w:tcPr>
          <w:p>
            <w:pPr>
              <w:spacing w:after="0"/>
              <w:rPr>
                <w:sz w:val="17"/>
                <w:szCs w:val="17"/>
                <w:color w:val="auto"/>
              </w:rPr>
            </w:pPr>
          </w:p>
        </w:tc>
        <w:tc>
          <w:tcPr>
            <w:tcW w:w="8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w w:val="97"/>
              </w:rPr>
              <w:t>221,236</w:t>
            </w:r>
          </w:p>
        </w:tc>
        <w:tc>
          <w:tcPr>
            <w:tcW w:w="260" w:type="dxa"/>
            <w:vAlign w:val="bottom"/>
          </w:tcPr>
          <w:p>
            <w:pPr>
              <w:spacing w:after="0"/>
              <w:rPr>
                <w:sz w:val="17"/>
                <w:szCs w:val="17"/>
                <w:color w:val="auto"/>
              </w:rPr>
            </w:pPr>
          </w:p>
        </w:tc>
        <w:tc>
          <w:tcPr>
            <w:tcW w:w="8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w w:val="97"/>
              </w:rPr>
              <w:t>215,822</w:t>
            </w:r>
          </w:p>
        </w:tc>
        <w:tc>
          <w:tcPr>
            <w:tcW w:w="260" w:type="dxa"/>
            <w:vAlign w:val="bottom"/>
          </w:tcPr>
          <w:p>
            <w:pPr>
              <w:spacing w:after="0"/>
              <w:rPr>
                <w:sz w:val="17"/>
                <w:szCs w:val="17"/>
                <w:color w:val="auto"/>
              </w:rPr>
            </w:pPr>
          </w:p>
        </w:tc>
        <w:tc>
          <w:tcPr>
            <w:tcW w:w="108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218,534</w:t>
            </w: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217,162</w:t>
            </w:r>
          </w:p>
        </w:tc>
        <w:tc>
          <w:tcPr>
            <w:tcW w:w="0" w:type="dxa"/>
            <w:vAlign w:val="bottom"/>
          </w:tcPr>
          <w:p>
            <w:pPr>
              <w:spacing w:after="0"/>
              <w:rPr>
                <w:sz w:val="1"/>
                <w:szCs w:val="1"/>
                <w:color w:val="auto"/>
              </w:rPr>
            </w:pPr>
          </w:p>
        </w:tc>
      </w:tr>
      <w:tr>
        <w:trPr>
          <w:trHeight w:val="286"/>
        </w:trPr>
        <w:tc>
          <w:tcPr>
            <w:tcW w:w="3380" w:type="dxa"/>
            <w:vAlign w:val="bottom"/>
          </w:tcPr>
          <w:p>
            <w:pPr>
              <w:ind w:left="320"/>
              <w:spacing w:after="0"/>
              <w:rPr>
                <w:sz w:val="20"/>
                <w:szCs w:val="20"/>
                <w:color w:val="auto"/>
              </w:rPr>
            </w:pPr>
            <w:r>
              <w:rPr>
                <w:rFonts w:ascii="Courier New" w:cs="Courier New" w:eastAsia="Courier New" w:hAnsi="Courier New"/>
                <w:sz w:val="17"/>
                <w:szCs w:val="17"/>
                <w:color w:val="auto"/>
              </w:rPr>
              <w:t>of shares outstanding</w:t>
            </w:r>
          </w:p>
        </w:tc>
        <w:tc>
          <w:tcPr>
            <w:tcW w:w="30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520" w:right="2159" w:hanging="515"/>
        <w:spacing w:after="0" w:line="287" w:lineRule="auto"/>
        <w:tabs>
          <w:tab w:leader="none" w:pos="5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impact of assumed conversion of the convertible notes, $985 and $3,948, representing interest expense and amortization of issuance costs, were added back to net income for the three and twelve months ended September 30, 2006, respectively, and $984 and $3,939 were added back to net income for the three and twelve months ended September 30, 2005, respectively, for the purpose of computing diluted earnings per share</w:t>
      </w:r>
    </w:p>
    <w:p>
      <w:pPr>
        <w:sectPr>
          <w:pgSz w:w="11900" w:h="16838" w:orient="portrait"/>
          <w:cols w:equalWidth="0" w:num="1">
            <w:col w:w="10219"/>
          </w:cols>
          <w:pgMar w:left="240" w:top="674" w:right="1440" w:bottom="1440" w:gutter="0" w:footer="0" w:header="0"/>
        </w:sectPr>
      </w:pPr>
    </w:p>
    <w:bookmarkStart w:id="12" w:name="page13"/>
    <w:bookmarkEnd w:id="12"/>
    <w:p>
      <w:pPr>
        <w:jc w:val="center"/>
        <w:ind w:right="2940"/>
        <w:spacing w:after="0"/>
        <w:rPr>
          <w:sz w:val="20"/>
          <w:szCs w:val="20"/>
          <w:color w:val="auto"/>
        </w:rPr>
      </w:pPr>
      <w:r>
        <w:rPr>
          <w:rFonts w:ascii="Courier New" w:cs="Courier New" w:eastAsia="Courier New" w:hAnsi="Courier New"/>
          <w:sz w:val="17"/>
          <w:szCs w:val="17"/>
          <w:color w:val="auto"/>
        </w:rPr>
        <w:t>AMDOCS LIMITED</w:t>
      </w:r>
    </w:p>
    <w:p>
      <w:pPr>
        <w:spacing w:after="0" w:line="34"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7"/>
          <w:szCs w:val="17"/>
          <w:color w:val="auto"/>
        </w:rPr>
        <w:t>RECONCILIATION OF SELECTED FINANCIAL METRICS FROM GAAP TO NON-GAAP</w:t>
      </w:r>
    </w:p>
    <w:p>
      <w:pPr>
        <w:spacing w:after="0" w:line="4"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0" w:type="dxa"/>
            <w:vAlign w:val="bottom"/>
            <w:gridSpan w:val="3"/>
          </w:tcPr>
          <w:p>
            <w:pPr>
              <w:jc w:val="center"/>
              <w:ind w:right="455"/>
              <w:spacing w:after="0"/>
              <w:rPr>
                <w:sz w:val="20"/>
                <w:szCs w:val="20"/>
                <w:color w:val="auto"/>
              </w:rPr>
            </w:pPr>
            <w:r>
              <w:rPr>
                <w:rFonts w:ascii="Courier New" w:cs="Courier New" w:eastAsia="Courier New" w:hAnsi="Courier New"/>
                <w:sz w:val="17"/>
                <w:szCs w:val="17"/>
                <w:color w:val="auto"/>
                <w:w w:val="99"/>
              </w:rPr>
              <w:t>THREE MONTHS ENDED</w:t>
            </w: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0" w:type="dxa"/>
            <w:vAlign w:val="bottom"/>
            <w:gridSpan w:val="3"/>
          </w:tcPr>
          <w:p>
            <w:pPr>
              <w:jc w:val="center"/>
              <w:ind w:right="455"/>
              <w:spacing w:after="0"/>
              <w:rPr>
                <w:sz w:val="20"/>
                <w:szCs w:val="20"/>
                <w:color w:val="auto"/>
              </w:rPr>
            </w:pPr>
            <w:r>
              <w:rPr>
                <w:rFonts w:ascii="Courier New" w:cs="Courier New" w:eastAsia="Courier New" w:hAnsi="Courier New"/>
                <w:sz w:val="17"/>
                <w:szCs w:val="17"/>
                <w:color w:val="auto"/>
                <w:w w:val="99"/>
              </w:rPr>
              <w:t>SEPTEMBER 30, 2006</w:t>
            </w: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8060" w:type="dxa"/>
            <w:vAlign w:val="bottom"/>
            <w:gridSpan w:val="11"/>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0" w:type="dxa"/>
            <w:vAlign w:val="bottom"/>
            <w:gridSpan w:val="3"/>
          </w:tcPr>
          <w:p>
            <w:pPr>
              <w:jc w:val="center"/>
              <w:ind w:right="475"/>
              <w:spacing w:after="0"/>
              <w:rPr>
                <w:sz w:val="20"/>
                <w:szCs w:val="20"/>
                <w:color w:val="auto"/>
              </w:rPr>
            </w:pPr>
            <w:r>
              <w:rPr>
                <w:rFonts w:ascii="Courier New" w:cs="Courier New" w:eastAsia="Courier New" w:hAnsi="Courier New"/>
                <w:sz w:val="17"/>
                <w:szCs w:val="17"/>
                <w:color w:val="auto"/>
                <w:w w:val="99"/>
              </w:rPr>
              <w:t>RECONCILIATION ITEMS</w:t>
            </w: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920" w:type="dxa"/>
            <w:vAlign w:val="bottom"/>
            <w:gridSpan w:val="8"/>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AMORTIZATION</w:t>
            </w:r>
          </w:p>
        </w:tc>
        <w:tc>
          <w:tcPr>
            <w:tcW w:w="1540" w:type="dxa"/>
            <w:vAlign w:val="bottom"/>
            <w:gridSpan w:val="2"/>
            <w:vMerge w:val="restart"/>
          </w:tcPr>
          <w:p>
            <w:pPr>
              <w:jc w:val="right"/>
              <w:ind w:right="175"/>
              <w:spacing w:after="0"/>
              <w:rPr>
                <w:sz w:val="20"/>
                <w:szCs w:val="20"/>
                <w:color w:val="auto"/>
              </w:rPr>
            </w:pPr>
            <w:r>
              <w:rPr>
                <w:rFonts w:ascii="Courier New" w:cs="Courier New" w:eastAsia="Courier New" w:hAnsi="Courier New"/>
                <w:sz w:val="17"/>
                <w:szCs w:val="17"/>
                <w:color w:val="auto"/>
              </w:rPr>
              <w:t>IN-PROCESS</w:t>
            </w:r>
          </w:p>
        </w:tc>
        <w:tc>
          <w:tcPr>
            <w:tcW w:w="1520" w:type="dxa"/>
            <w:vAlign w:val="bottom"/>
            <w:gridSpan w:val="2"/>
            <w:vMerge w:val="restart"/>
          </w:tcPr>
          <w:p>
            <w:pPr>
              <w:jc w:val="right"/>
              <w:ind w:right="55"/>
              <w:spacing w:after="0"/>
              <w:rPr>
                <w:sz w:val="20"/>
                <w:szCs w:val="20"/>
                <w:color w:val="auto"/>
              </w:rPr>
            </w:pPr>
            <w:r>
              <w:rPr>
                <w:rFonts w:ascii="Courier New" w:cs="Courier New" w:eastAsia="Courier New" w:hAnsi="Courier New"/>
                <w:sz w:val="17"/>
                <w:szCs w:val="17"/>
                <w:color w:val="auto"/>
              </w:rPr>
              <w:t>EQUITY BASED</w:t>
            </w: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OF PURCHASED</w:t>
            </w:r>
          </w:p>
        </w:tc>
        <w:tc>
          <w:tcPr>
            <w:tcW w:w="154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vMerge w:val="restart"/>
          </w:tcPr>
          <w:p>
            <w:pPr>
              <w:jc w:val="right"/>
              <w:ind w:right="275"/>
              <w:spacing w:after="0"/>
              <w:rPr>
                <w:sz w:val="20"/>
                <w:szCs w:val="20"/>
                <w:color w:val="auto"/>
              </w:rPr>
            </w:pPr>
            <w:r>
              <w:rPr>
                <w:rFonts w:ascii="Courier New" w:cs="Courier New" w:eastAsia="Courier New" w:hAnsi="Courier New"/>
                <w:sz w:val="17"/>
                <w:szCs w:val="17"/>
                <w:color w:val="auto"/>
              </w:rPr>
              <w:t>GAAP</w:t>
            </w:r>
          </w:p>
        </w:tc>
        <w:tc>
          <w:tcPr>
            <w:tcW w:w="152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INTANGIBLE</w:t>
            </w:r>
          </w:p>
        </w:tc>
        <w:tc>
          <w:tcPr>
            <w:tcW w:w="15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RESEARCH AND</w:t>
            </w:r>
          </w:p>
        </w:tc>
        <w:tc>
          <w:tcPr>
            <w:tcW w:w="15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COMPENSATION</w:t>
            </w:r>
          </w:p>
        </w:tc>
        <w:tc>
          <w:tcPr>
            <w:tcW w:w="1340" w:type="dxa"/>
            <w:vAlign w:val="bottom"/>
            <w:gridSpan w:val="2"/>
            <w:vMerge w:val="restart"/>
          </w:tcPr>
          <w:p>
            <w:pPr>
              <w:jc w:val="right"/>
              <w:ind w:right="75"/>
              <w:spacing w:after="0"/>
              <w:rPr>
                <w:sz w:val="20"/>
                <w:szCs w:val="20"/>
                <w:color w:val="auto"/>
              </w:rPr>
            </w:pPr>
            <w:r>
              <w:rPr>
                <w:rFonts w:ascii="Courier New" w:cs="Courier New" w:eastAsia="Courier New" w:hAnsi="Courier New"/>
                <w:sz w:val="17"/>
                <w:szCs w:val="17"/>
                <w:color w:val="auto"/>
              </w:rPr>
              <w:t>TAX EFFECT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NON-GAAP</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center"/>
              <w:ind w:right="375"/>
              <w:spacing w:after="0"/>
              <w:rPr>
                <w:sz w:val="20"/>
                <w:szCs w:val="20"/>
                <w:color w:val="auto"/>
              </w:rPr>
            </w:pPr>
            <w:r>
              <w:rPr>
                <w:rFonts w:ascii="Courier New" w:cs="Courier New" w:eastAsia="Courier New" w:hAnsi="Courier New"/>
                <w:sz w:val="17"/>
                <w:szCs w:val="17"/>
                <w:color w:val="auto"/>
                <w:w w:val="97"/>
              </w:rPr>
              <w:t>ASSETS</w:t>
            </w:r>
          </w:p>
        </w:tc>
        <w:tc>
          <w:tcPr>
            <w:tcW w:w="15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DEVELOPMENT</w:t>
            </w:r>
          </w:p>
        </w:tc>
        <w:tc>
          <w:tcPr>
            <w:tcW w:w="460" w:type="dxa"/>
            <w:vAlign w:val="bottom"/>
          </w:tcPr>
          <w:p>
            <w:pPr>
              <w:spacing w:after="0"/>
              <w:rPr>
                <w:sz w:val="17"/>
                <w:szCs w:val="17"/>
                <w:color w:val="auto"/>
              </w:rPr>
            </w:pPr>
          </w:p>
        </w:tc>
        <w:tc>
          <w:tcPr>
            <w:tcW w:w="1060" w:type="dxa"/>
            <w:vAlign w:val="bottom"/>
          </w:tcPr>
          <w:p>
            <w:pPr>
              <w:jc w:val="right"/>
              <w:ind w:right="255"/>
              <w:spacing w:after="0"/>
              <w:rPr>
                <w:sz w:val="20"/>
                <w:szCs w:val="20"/>
                <w:color w:val="auto"/>
              </w:rPr>
            </w:pPr>
            <w:r>
              <w:rPr>
                <w:rFonts w:ascii="Courier New" w:cs="Courier New" w:eastAsia="Courier New" w:hAnsi="Courier New"/>
                <w:sz w:val="17"/>
                <w:szCs w:val="17"/>
                <w:color w:val="auto"/>
                <w:w w:val="97"/>
              </w:rPr>
              <w:t>EXPENSE</w:t>
            </w:r>
          </w:p>
        </w:tc>
        <w:tc>
          <w:tcPr>
            <w:tcW w:w="134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3060" w:type="dxa"/>
            <w:vAlign w:val="bottom"/>
          </w:tcPr>
          <w:p>
            <w:pPr>
              <w:spacing w:after="0"/>
              <w:rPr>
                <w:sz w:val="24"/>
                <w:szCs w:val="24"/>
                <w:color w:val="auto"/>
              </w:rPr>
            </w:pPr>
          </w:p>
        </w:tc>
        <w:tc>
          <w:tcPr>
            <w:tcW w:w="11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w:t>
            </w:r>
          </w:p>
        </w:tc>
        <w:tc>
          <w:tcPr>
            <w:tcW w:w="15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306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320" w:type="dxa"/>
            <w:vAlign w:val="bottom"/>
            <w:vMerge w:val="restart"/>
          </w:tcPr>
          <w:p>
            <w:pPr>
              <w:ind w:left="200"/>
              <w:spacing w:after="0"/>
              <w:rPr>
                <w:sz w:val="20"/>
                <w:szCs w:val="20"/>
                <w:color w:val="auto"/>
              </w:rPr>
            </w:pPr>
            <w:r>
              <w:rPr>
                <w:rFonts w:ascii="Courier New" w:cs="Courier New" w:eastAsia="Courier New" w:hAnsi="Courier New"/>
                <w:sz w:val="17"/>
                <w:szCs w:val="17"/>
                <w:color w:val="auto"/>
                <w:w w:val="97"/>
              </w:rPr>
              <w:t>$</w:t>
            </w:r>
          </w:p>
        </w:tc>
        <w:tc>
          <w:tcPr>
            <w:tcW w:w="8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1,030</w:t>
            </w:r>
          </w:p>
        </w:tc>
        <w:tc>
          <w:tcPr>
            <w:tcW w:w="4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vMerge w:val="restart"/>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4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vMerge w:val="restart"/>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4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vMerge w:val="restart"/>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4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vMerge w:val="restart"/>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  1,030</w:t>
            </w:r>
          </w:p>
        </w:tc>
        <w:tc>
          <w:tcPr>
            <w:tcW w:w="0" w:type="dxa"/>
            <w:vAlign w:val="bottom"/>
          </w:tcPr>
          <w:p>
            <w:pPr>
              <w:spacing w:after="0"/>
              <w:rPr>
                <w:sz w:val="1"/>
                <w:szCs w:val="1"/>
                <w:color w:val="auto"/>
              </w:rPr>
            </w:pPr>
          </w:p>
        </w:tc>
      </w:tr>
      <w:tr>
        <w:trPr>
          <w:trHeight w:val="196"/>
        </w:trPr>
        <w:tc>
          <w:tcPr>
            <w:tcW w:w="3060" w:type="dxa"/>
            <w:vAlign w:val="bottom"/>
          </w:tcPr>
          <w:p>
            <w:pPr>
              <w:ind w:left="320"/>
              <w:spacing w:after="0"/>
              <w:rPr>
                <w:sz w:val="20"/>
                <w:szCs w:val="20"/>
                <w:color w:val="auto"/>
              </w:rPr>
            </w:pPr>
            <w:r>
              <w:rPr>
                <w:rFonts w:ascii="Courier New" w:cs="Courier New" w:eastAsia="Courier New" w:hAnsi="Courier New"/>
                <w:sz w:val="17"/>
                <w:szCs w:val="17"/>
                <w:color w:val="auto"/>
              </w:rPr>
              <w:t>Cost of license</w:t>
            </w:r>
          </w:p>
        </w:tc>
        <w:tc>
          <w:tcPr>
            <w:tcW w:w="3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ind w:left="320"/>
              <w:spacing w:after="0"/>
              <w:rPr>
                <w:sz w:val="20"/>
                <w:szCs w:val="20"/>
                <w:color w:val="auto"/>
              </w:rPr>
            </w:pPr>
            <w:r>
              <w:rPr>
                <w:rFonts w:ascii="Courier New" w:cs="Courier New" w:eastAsia="Courier New" w:hAnsi="Courier New"/>
                <w:sz w:val="17"/>
                <w:szCs w:val="17"/>
                <w:color w:val="auto"/>
              </w:rPr>
              <w:t>Cost of service</w:t>
            </w:r>
          </w:p>
        </w:tc>
        <w:tc>
          <w:tcPr>
            <w:tcW w:w="320" w:type="dxa"/>
            <w:vAlign w:val="bottom"/>
          </w:tcPr>
          <w:p>
            <w:pPr>
              <w:spacing w:after="0"/>
              <w:rPr>
                <w:sz w:val="17"/>
                <w:szCs w:val="17"/>
                <w:color w:val="auto"/>
              </w:rPr>
            </w:pP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5"/>
              </w:rPr>
              <w:t>414,813</w:t>
            </w:r>
          </w:p>
        </w:tc>
        <w:tc>
          <w:tcPr>
            <w:tcW w:w="460" w:type="dxa"/>
            <w:vAlign w:val="bottom"/>
          </w:tcPr>
          <w:p>
            <w:pPr>
              <w:spacing w:after="0"/>
              <w:rPr>
                <w:sz w:val="17"/>
                <w:szCs w:val="17"/>
                <w:color w:val="auto"/>
              </w:rPr>
            </w:pPr>
          </w:p>
        </w:tc>
        <w:tc>
          <w:tcPr>
            <w:tcW w:w="10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0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(5,805)</w:t>
            </w:r>
          </w:p>
        </w:tc>
        <w:tc>
          <w:tcPr>
            <w:tcW w:w="420" w:type="dxa"/>
            <w:vAlign w:val="bottom"/>
          </w:tcPr>
          <w:p>
            <w:pPr>
              <w:spacing w:after="0"/>
              <w:rPr>
                <w:sz w:val="17"/>
                <w:szCs w:val="17"/>
                <w:color w:val="auto"/>
              </w:rPr>
            </w:pPr>
          </w:p>
        </w:tc>
        <w:tc>
          <w:tcPr>
            <w:tcW w:w="9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409,008</w:t>
            </w:r>
          </w:p>
        </w:tc>
        <w:tc>
          <w:tcPr>
            <w:tcW w:w="0" w:type="dxa"/>
            <w:vAlign w:val="bottom"/>
          </w:tcPr>
          <w:p>
            <w:pPr>
              <w:spacing w:after="0"/>
              <w:rPr>
                <w:sz w:val="1"/>
                <w:szCs w:val="1"/>
                <w:color w:val="auto"/>
              </w:rPr>
            </w:pPr>
          </w:p>
        </w:tc>
      </w:tr>
      <w:tr>
        <w:trPr>
          <w:trHeight w:val="196"/>
        </w:trPr>
        <w:tc>
          <w:tcPr>
            <w:tcW w:w="3060" w:type="dxa"/>
            <w:vAlign w:val="bottom"/>
          </w:tcPr>
          <w:p>
            <w:pPr>
              <w:ind w:left="320"/>
              <w:spacing w:after="0"/>
              <w:rPr>
                <w:sz w:val="20"/>
                <w:szCs w:val="20"/>
                <w:color w:val="auto"/>
              </w:rPr>
            </w:pPr>
            <w:r>
              <w:rPr>
                <w:rFonts w:ascii="Courier New" w:cs="Courier New" w:eastAsia="Courier New" w:hAnsi="Courier New"/>
                <w:sz w:val="17"/>
                <w:szCs w:val="17"/>
                <w:color w:val="auto"/>
              </w:rPr>
              <w:t>Research and development</w:t>
            </w:r>
          </w:p>
        </w:tc>
        <w:tc>
          <w:tcPr>
            <w:tcW w:w="320" w:type="dxa"/>
            <w:vAlign w:val="bottom"/>
          </w:tcPr>
          <w:p>
            <w:pPr>
              <w:spacing w:after="0"/>
              <w:rPr>
                <w:sz w:val="17"/>
                <w:szCs w:val="17"/>
                <w:color w:val="auto"/>
              </w:rPr>
            </w:pP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55,368</w:t>
            </w:r>
          </w:p>
        </w:tc>
        <w:tc>
          <w:tcPr>
            <w:tcW w:w="460" w:type="dxa"/>
            <w:vAlign w:val="bottom"/>
          </w:tcPr>
          <w:p>
            <w:pPr>
              <w:spacing w:after="0"/>
              <w:rPr>
                <w:sz w:val="17"/>
                <w:szCs w:val="17"/>
                <w:color w:val="auto"/>
              </w:rPr>
            </w:pPr>
          </w:p>
        </w:tc>
        <w:tc>
          <w:tcPr>
            <w:tcW w:w="10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0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(1,670)</w:t>
            </w:r>
          </w:p>
        </w:tc>
        <w:tc>
          <w:tcPr>
            <w:tcW w:w="420" w:type="dxa"/>
            <w:vAlign w:val="bottom"/>
          </w:tcPr>
          <w:p>
            <w:pPr>
              <w:spacing w:after="0"/>
              <w:rPr>
                <w:sz w:val="17"/>
                <w:szCs w:val="17"/>
                <w:color w:val="auto"/>
              </w:rPr>
            </w:pPr>
          </w:p>
        </w:tc>
        <w:tc>
          <w:tcPr>
            <w:tcW w:w="9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53,698</w:t>
            </w:r>
          </w:p>
        </w:tc>
        <w:tc>
          <w:tcPr>
            <w:tcW w:w="0" w:type="dxa"/>
            <w:vAlign w:val="bottom"/>
          </w:tcPr>
          <w:p>
            <w:pPr>
              <w:spacing w:after="0"/>
              <w:rPr>
                <w:sz w:val="1"/>
                <w:szCs w:val="1"/>
                <w:color w:val="auto"/>
              </w:rPr>
            </w:pPr>
          </w:p>
        </w:tc>
      </w:tr>
      <w:tr>
        <w:trPr>
          <w:trHeight w:val="196"/>
        </w:trPr>
        <w:tc>
          <w:tcPr>
            <w:tcW w:w="3060" w:type="dxa"/>
            <w:vAlign w:val="bottom"/>
          </w:tcPr>
          <w:p>
            <w:pPr>
              <w:ind w:left="320"/>
              <w:spacing w:after="0"/>
              <w:rPr>
                <w:sz w:val="20"/>
                <w:szCs w:val="20"/>
                <w:color w:val="auto"/>
              </w:rPr>
            </w:pPr>
            <w:r>
              <w:rPr>
                <w:rFonts w:ascii="Courier New" w:cs="Courier New" w:eastAsia="Courier New" w:hAnsi="Courier New"/>
                <w:sz w:val="17"/>
                <w:szCs w:val="17"/>
                <w:color w:val="auto"/>
              </w:rPr>
              <w:t>Selling, general and</w:t>
            </w:r>
          </w:p>
        </w:tc>
        <w:tc>
          <w:tcPr>
            <w:tcW w:w="320" w:type="dxa"/>
            <w:vAlign w:val="bottom"/>
          </w:tcPr>
          <w:p>
            <w:pPr>
              <w:spacing w:after="0"/>
              <w:rPr>
                <w:sz w:val="17"/>
                <w:szCs w:val="17"/>
                <w:color w:val="auto"/>
              </w:rPr>
            </w:pPr>
          </w:p>
        </w:tc>
        <w:tc>
          <w:tcPr>
            <w:tcW w:w="8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86,708</w:t>
            </w:r>
          </w:p>
        </w:tc>
        <w:tc>
          <w:tcPr>
            <w:tcW w:w="460" w:type="dxa"/>
            <w:vAlign w:val="bottom"/>
          </w:tcPr>
          <w:p>
            <w:pPr>
              <w:spacing w:after="0"/>
              <w:rPr>
                <w:sz w:val="17"/>
                <w:szCs w:val="17"/>
                <w:color w:val="auto"/>
              </w:rPr>
            </w:pPr>
          </w:p>
        </w:tc>
        <w:tc>
          <w:tcPr>
            <w:tcW w:w="1060" w:type="dxa"/>
            <w:vAlign w:val="bottom"/>
            <w:vMerge w:val="restart"/>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080" w:type="dxa"/>
            <w:vAlign w:val="bottom"/>
            <w:vMerge w:val="restart"/>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060" w:type="dxa"/>
            <w:vAlign w:val="bottom"/>
            <w:vMerge w:val="restart"/>
          </w:tcPr>
          <w:p>
            <w:pPr>
              <w:jc w:val="right"/>
              <w:ind w:right="155"/>
              <w:spacing w:after="0"/>
              <w:rPr>
                <w:sz w:val="20"/>
                <w:szCs w:val="20"/>
                <w:color w:val="auto"/>
              </w:rPr>
            </w:pPr>
            <w:r>
              <w:rPr>
                <w:rFonts w:ascii="Courier New" w:cs="Courier New" w:eastAsia="Courier New" w:hAnsi="Courier New"/>
                <w:sz w:val="17"/>
                <w:szCs w:val="17"/>
                <w:color w:val="auto"/>
              </w:rPr>
              <w:t>(6,755)</w:t>
            </w:r>
          </w:p>
        </w:tc>
        <w:tc>
          <w:tcPr>
            <w:tcW w:w="420" w:type="dxa"/>
            <w:vAlign w:val="bottom"/>
          </w:tcPr>
          <w:p>
            <w:pPr>
              <w:spacing w:after="0"/>
              <w:rPr>
                <w:sz w:val="17"/>
                <w:szCs w:val="17"/>
                <w:color w:val="auto"/>
              </w:rPr>
            </w:pPr>
          </w:p>
        </w:tc>
        <w:tc>
          <w:tcPr>
            <w:tcW w:w="920" w:type="dxa"/>
            <w:vAlign w:val="bottom"/>
            <w:vMerge w:val="restart"/>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79,953</w:t>
            </w:r>
          </w:p>
        </w:tc>
        <w:tc>
          <w:tcPr>
            <w:tcW w:w="0" w:type="dxa"/>
            <w:vAlign w:val="bottom"/>
          </w:tcPr>
          <w:p>
            <w:pPr>
              <w:spacing w:after="0"/>
              <w:rPr>
                <w:sz w:val="1"/>
                <w:szCs w:val="1"/>
                <w:color w:val="auto"/>
              </w:rPr>
            </w:pPr>
          </w:p>
        </w:tc>
      </w:tr>
      <w:tr>
        <w:trPr>
          <w:trHeight w:val="196"/>
        </w:trPr>
        <w:tc>
          <w:tcPr>
            <w:tcW w:w="3060" w:type="dxa"/>
            <w:vAlign w:val="bottom"/>
          </w:tcPr>
          <w:p>
            <w:pPr>
              <w:ind w:left="620"/>
              <w:spacing w:after="0"/>
              <w:rPr>
                <w:sz w:val="20"/>
                <w:szCs w:val="20"/>
                <w:color w:val="auto"/>
              </w:rPr>
            </w:pPr>
            <w:r>
              <w:rPr>
                <w:rFonts w:ascii="Courier New" w:cs="Courier New" w:eastAsia="Courier New" w:hAnsi="Courier New"/>
                <w:sz w:val="17"/>
                <w:szCs w:val="17"/>
                <w:color w:val="auto"/>
              </w:rPr>
              <w:t>administrative</w:t>
            </w:r>
          </w:p>
        </w:tc>
        <w:tc>
          <w:tcPr>
            <w:tcW w:w="3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ind w:left="320"/>
              <w:spacing w:after="0"/>
              <w:rPr>
                <w:sz w:val="20"/>
                <w:szCs w:val="20"/>
                <w:color w:val="auto"/>
              </w:rPr>
            </w:pPr>
            <w:r>
              <w:rPr>
                <w:rFonts w:ascii="Courier New" w:cs="Courier New" w:eastAsia="Courier New" w:hAnsi="Courier New"/>
                <w:sz w:val="17"/>
                <w:szCs w:val="17"/>
                <w:color w:val="auto"/>
              </w:rPr>
              <w:t>Amortization of purchased</w:t>
            </w:r>
          </w:p>
        </w:tc>
        <w:tc>
          <w:tcPr>
            <w:tcW w:w="320" w:type="dxa"/>
            <w:vAlign w:val="bottom"/>
          </w:tcPr>
          <w:p>
            <w:pPr>
              <w:spacing w:after="0"/>
              <w:rPr>
                <w:sz w:val="17"/>
                <w:szCs w:val="17"/>
                <w:color w:val="auto"/>
              </w:rPr>
            </w:pPr>
          </w:p>
        </w:tc>
        <w:tc>
          <w:tcPr>
            <w:tcW w:w="8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14,022</w:t>
            </w:r>
          </w:p>
        </w:tc>
        <w:tc>
          <w:tcPr>
            <w:tcW w:w="460" w:type="dxa"/>
            <w:vAlign w:val="bottom"/>
          </w:tcPr>
          <w:p>
            <w:pPr>
              <w:spacing w:after="0"/>
              <w:rPr>
                <w:sz w:val="17"/>
                <w:szCs w:val="17"/>
                <w:color w:val="auto"/>
              </w:rPr>
            </w:pPr>
          </w:p>
        </w:tc>
        <w:tc>
          <w:tcPr>
            <w:tcW w:w="1060" w:type="dxa"/>
            <w:vAlign w:val="bottom"/>
            <w:vMerge w:val="restart"/>
          </w:tcPr>
          <w:p>
            <w:pPr>
              <w:jc w:val="right"/>
              <w:ind w:right="155"/>
              <w:spacing w:after="0"/>
              <w:rPr>
                <w:sz w:val="20"/>
                <w:szCs w:val="20"/>
                <w:color w:val="auto"/>
              </w:rPr>
            </w:pPr>
            <w:r>
              <w:rPr>
                <w:rFonts w:ascii="Courier New" w:cs="Courier New" w:eastAsia="Courier New" w:hAnsi="Courier New"/>
                <w:sz w:val="17"/>
                <w:szCs w:val="17"/>
                <w:color w:val="auto"/>
                <w:w w:val="97"/>
              </w:rPr>
              <w:t>(14,022)</w:t>
            </w:r>
          </w:p>
        </w:tc>
        <w:tc>
          <w:tcPr>
            <w:tcW w:w="460" w:type="dxa"/>
            <w:vAlign w:val="bottom"/>
          </w:tcPr>
          <w:p>
            <w:pPr>
              <w:spacing w:after="0"/>
              <w:rPr>
                <w:sz w:val="17"/>
                <w:szCs w:val="17"/>
                <w:color w:val="auto"/>
              </w:rPr>
            </w:pPr>
          </w:p>
        </w:tc>
        <w:tc>
          <w:tcPr>
            <w:tcW w:w="1080" w:type="dxa"/>
            <w:vAlign w:val="bottom"/>
            <w:vMerge w:val="restart"/>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060" w:type="dxa"/>
            <w:vAlign w:val="bottom"/>
            <w:vMerge w:val="restart"/>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920" w:type="dxa"/>
            <w:vAlign w:val="bottom"/>
            <w:vMerge w:val="restart"/>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060" w:type="dxa"/>
            <w:vAlign w:val="bottom"/>
          </w:tcPr>
          <w:p>
            <w:pPr>
              <w:ind w:left="620"/>
              <w:spacing w:after="0"/>
              <w:rPr>
                <w:sz w:val="20"/>
                <w:szCs w:val="20"/>
                <w:color w:val="auto"/>
              </w:rPr>
            </w:pPr>
            <w:r>
              <w:rPr>
                <w:rFonts w:ascii="Courier New" w:cs="Courier New" w:eastAsia="Courier New" w:hAnsi="Courier New"/>
                <w:sz w:val="17"/>
                <w:szCs w:val="17"/>
                <w:color w:val="auto"/>
              </w:rPr>
              <w:t>intangible assets</w:t>
            </w:r>
          </w:p>
        </w:tc>
        <w:tc>
          <w:tcPr>
            <w:tcW w:w="3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ind w:left="320"/>
              <w:spacing w:after="0"/>
              <w:rPr>
                <w:sz w:val="20"/>
                <w:szCs w:val="20"/>
                <w:color w:val="auto"/>
              </w:rPr>
            </w:pPr>
            <w:r>
              <w:rPr>
                <w:rFonts w:ascii="Courier New" w:cs="Courier New" w:eastAsia="Courier New" w:hAnsi="Courier New"/>
                <w:sz w:val="17"/>
                <w:szCs w:val="17"/>
                <w:color w:val="auto"/>
              </w:rPr>
              <w:t>In-process research and</w:t>
            </w:r>
          </w:p>
        </w:tc>
        <w:tc>
          <w:tcPr>
            <w:tcW w:w="320" w:type="dxa"/>
            <w:vAlign w:val="bottom"/>
          </w:tcPr>
          <w:p>
            <w:pPr>
              <w:spacing w:after="0"/>
              <w:rPr>
                <w:sz w:val="17"/>
                <w:szCs w:val="17"/>
                <w:color w:val="auto"/>
              </w:rPr>
            </w:pPr>
          </w:p>
        </w:tc>
        <w:tc>
          <w:tcPr>
            <w:tcW w:w="8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17,310</w:t>
            </w:r>
          </w:p>
        </w:tc>
        <w:tc>
          <w:tcPr>
            <w:tcW w:w="460" w:type="dxa"/>
            <w:vAlign w:val="bottom"/>
          </w:tcPr>
          <w:p>
            <w:pPr>
              <w:spacing w:after="0"/>
              <w:rPr>
                <w:sz w:val="17"/>
                <w:szCs w:val="17"/>
                <w:color w:val="auto"/>
              </w:rPr>
            </w:pPr>
          </w:p>
        </w:tc>
        <w:tc>
          <w:tcPr>
            <w:tcW w:w="1060" w:type="dxa"/>
            <w:vAlign w:val="bottom"/>
            <w:vMerge w:val="restart"/>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080" w:type="dxa"/>
            <w:vAlign w:val="bottom"/>
            <w:vMerge w:val="restart"/>
          </w:tcPr>
          <w:p>
            <w:pPr>
              <w:jc w:val="right"/>
              <w:ind w:right="175"/>
              <w:spacing w:after="0"/>
              <w:rPr>
                <w:sz w:val="20"/>
                <w:szCs w:val="20"/>
                <w:color w:val="auto"/>
              </w:rPr>
            </w:pPr>
            <w:r>
              <w:rPr>
                <w:rFonts w:ascii="Courier New" w:cs="Courier New" w:eastAsia="Courier New" w:hAnsi="Courier New"/>
                <w:sz w:val="17"/>
                <w:szCs w:val="17"/>
                <w:color w:val="auto"/>
                <w:w w:val="97"/>
              </w:rPr>
              <w:t>(17,310)</w:t>
            </w:r>
          </w:p>
        </w:tc>
        <w:tc>
          <w:tcPr>
            <w:tcW w:w="460" w:type="dxa"/>
            <w:vAlign w:val="bottom"/>
          </w:tcPr>
          <w:p>
            <w:pPr>
              <w:spacing w:after="0"/>
              <w:rPr>
                <w:sz w:val="17"/>
                <w:szCs w:val="17"/>
                <w:color w:val="auto"/>
              </w:rPr>
            </w:pPr>
          </w:p>
        </w:tc>
        <w:tc>
          <w:tcPr>
            <w:tcW w:w="1060" w:type="dxa"/>
            <w:vAlign w:val="bottom"/>
            <w:vMerge w:val="restart"/>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920" w:type="dxa"/>
            <w:vAlign w:val="bottom"/>
            <w:vMerge w:val="restart"/>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060" w:type="dxa"/>
            <w:vAlign w:val="bottom"/>
          </w:tcPr>
          <w:p>
            <w:pPr>
              <w:ind w:left="620"/>
              <w:spacing w:after="0"/>
              <w:rPr>
                <w:sz w:val="20"/>
                <w:szCs w:val="20"/>
                <w:color w:val="auto"/>
              </w:rPr>
            </w:pPr>
            <w:r>
              <w:rPr>
                <w:rFonts w:ascii="Courier New" w:cs="Courier New" w:eastAsia="Courier New" w:hAnsi="Courier New"/>
                <w:sz w:val="17"/>
                <w:szCs w:val="17"/>
                <w:color w:val="auto"/>
              </w:rPr>
              <w:t>development</w:t>
            </w:r>
          </w:p>
        </w:tc>
        <w:tc>
          <w:tcPr>
            <w:tcW w:w="3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vMerge w:val="restart"/>
          </w:tcPr>
          <w:p>
            <w:pPr>
              <w:spacing w:after="0"/>
              <w:rPr>
                <w:sz w:val="20"/>
                <w:szCs w:val="20"/>
                <w:color w:val="auto"/>
              </w:rPr>
            </w:pPr>
            <w:r>
              <w:rPr>
                <w:rFonts w:ascii="Courier New" w:cs="Courier New" w:eastAsia="Courier New" w:hAnsi="Courier New"/>
                <w:sz w:val="17"/>
                <w:szCs w:val="17"/>
                <w:color w:val="auto"/>
              </w:rPr>
              <w:t>Total operating expenses</w:t>
            </w:r>
          </w:p>
        </w:tc>
        <w:tc>
          <w:tcPr>
            <w:tcW w:w="320" w:type="dxa"/>
            <w:vAlign w:val="bottom"/>
          </w:tcPr>
          <w:p>
            <w:pPr>
              <w:ind w:left="200"/>
              <w:spacing w:after="0"/>
              <w:rPr>
                <w:sz w:val="20"/>
                <w:szCs w:val="20"/>
                <w:color w:val="auto"/>
              </w:rPr>
            </w:pPr>
            <w:r>
              <w:rPr>
                <w:rFonts w:ascii="Courier New" w:cs="Courier New" w:eastAsia="Courier New" w:hAnsi="Courier New"/>
                <w:sz w:val="2"/>
                <w:szCs w:val="2"/>
                <w:color w:val="auto"/>
              </w:rPr>
              <w:t>--------</w:t>
            </w:r>
          </w:p>
        </w:tc>
        <w:tc>
          <w:tcPr>
            <w:tcW w:w="8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w w:val="95"/>
              </w:rPr>
              <w:t>589,251</w:t>
            </w:r>
          </w:p>
        </w:tc>
        <w:tc>
          <w:tcPr>
            <w:tcW w:w="15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0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w w:val="97"/>
              </w:rPr>
              <w:t>(14,022)</w:t>
            </w:r>
          </w:p>
        </w:tc>
        <w:tc>
          <w:tcPr>
            <w:tcW w:w="460" w:type="dxa"/>
            <w:vAlign w:val="bottom"/>
          </w:tcPr>
          <w:p>
            <w:pPr>
              <w:spacing w:after="0"/>
              <w:rPr>
                <w:sz w:val="17"/>
                <w:szCs w:val="17"/>
                <w:color w:val="auto"/>
              </w:rPr>
            </w:pP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7"/>
              </w:rPr>
              <w:t>(17,310)</w:t>
            </w:r>
          </w:p>
        </w:tc>
        <w:tc>
          <w:tcPr>
            <w:tcW w:w="4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w w:val="97"/>
              </w:rPr>
              <w:t>(14,230)</w:t>
            </w:r>
          </w:p>
        </w:tc>
        <w:tc>
          <w:tcPr>
            <w:tcW w:w="420" w:type="dxa"/>
            <w:vAlign w:val="bottom"/>
          </w:tcPr>
          <w:p>
            <w:pPr>
              <w:spacing w:after="0"/>
              <w:rPr>
                <w:sz w:val="17"/>
                <w:szCs w:val="17"/>
                <w:color w:val="auto"/>
              </w:rPr>
            </w:pPr>
          </w:p>
        </w:tc>
        <w:tc>
          <w:tcPr>
            <w:tcW w:w="9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543,689</w:t>
            </w:r>
          </w:p>
        </w:tc>
        <w:tc>
          <w:tcPr>
            <w:tcW w:w="0" w:type="dxa"/>
            <w:vAlign w:val="bottom"/>
          </w:tcPr>
          <w:p>
            <w:pPr>
              <w:spacing w:after="0"/>
              <w:rPr>
                <w:sz w:val="1"/>
                <w:szCs w:val="1"/>
                <w:color w:val="auto"/>
              </w:rPr>
            </w:pPr>
          </w:p>
        </w:tc>
      </w:tr>
      <w:tr>
        <w:trPr>
          <w:trHeight w:val="196"/>
        </w:trPr>
        <w:tc>
          <w:tcPr>
            <w:tcW w:w="3060" w:type="dxa"/>
            <w:vAlign w:val="bottom"/>
            <w:vMerge w:val="restart"/>
          </w:tcPr>
          <w:p>
            <w:pPr>
              <w:spacing w:after="0"/>
              <w:rPr>
                <w:sz w:val="20"/>
                <w:szCs w:val="20"/>
                <w:color w:val="auto"/>
              </w:rPr>
            </w:pPr>
            <w:r>
              <w:rPr>
                <w:rFonts w:ascii="Courier New" w:cs="Courier New" w:eastAsia="Courier New" w:hAnsi="Courier New"/>
                <w:sz w:val="17"/>
                <w:szCs w:val="17"/>
                <w:color w:val="auto"/>
              </w:rPr>
              <w:t>Operating income</w:t>
            </w:r>
          </w:p>
        </w:tc>
        <w:tc>
          <w:tcPr>
            <w:tcW w:w="320" w:type="dxa"/>
            <w:vAlign w:val="bottom"/>
          </w:tcPr>
          <w:p>
            <w:pPr>
              <w:ind w:left="200"/>
              <w:spacing w:after="0"/>
              <w:rPr>
                <w:sz w:val="20"/>
                <w:szCs w:val="20"/>
                <w:color w:val="auto"/>
              </w:rPr>
            </w:pPr>
            <w:r>
              <w:rPr>
                <w:rFonts w:ascii="Courier New" w:cs="Courier New" w:eastAsia="Courier New" w:hAnsi="Courier New"/>
                <w:sz w:val="2"/>
                <w:szCs w:val="2"/>
                <w:color w:val="auto"/>
              </w:rPr>
              <w:t>--------</w:t>
            </w:r>
          </w:p>
        </w:tc>
        <w:tc>
          <w:tcPr>
            <w:tcW w:w="8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76,194</w:t>
            </w:r>
          </w:p>
        </w:tc>
        <w:tc>
          <w:tcPr>
            <w:tcW w:w="15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0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14,022</w:t>
            </w:r>
          </w:p>
        </w:tc>
        <w:tc>
          <w:tcPr>
            <w:tcW w:w="460" w:type="dxa"/>
            <w:vAlign w:val="bottom"/>
          </w:tcPr>
          <w:p>
            <w:pPr>
              <w:spacing w:after="0"/>
              <w:rPr>
                <w:sz w:val="17"/>
                <w:szCs w:val="17"/>
                <w:color w:val="auto"/>
              </w:rPr>
            </w:pPr>
          </w:p>
        </w:tc>
        <w:tc>
          <w:tcPr>
            <w:tcW w:w="10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17,310</w:t>
            </w:r>
          </w:p>
        </w:tc>
        <w:tc>
          <w:tcPr>
            <w:tcW w:w="460" w:type="dxa"/>
            <w:vAlign w:val="bottom"/>
          </w:tcPr>
          <w:p>
            <w:pPr>
              <w:spacing w:after="0"/>
              <w:rPr>
                <w:sz w:val="17"/>
                <w:szCs w:val="17"/>
                <w:color w:val="auto"/>
              </w:rPr>
            </w:pPr>
          </w:p>
        </w:tc>
        <w:tc>
          <w:tcPr>
            <w:tcW w:w="10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14,230</w:t>
            </w:r>
          </w:p>
        </w:tc>
        <w:tc>
          <w:tcPr>
            <w:tcW w:w="420" w:type="dxa"/>
            <w:vAlign w:val="bottom"/>
          </w:tcPr>
          <w:p>
            <w:pPr>
              <w:spacing w:after="0"/>
              <w:rPr>
                <w:sz w:val="17"/>
                <w:szCs w:val="17"/>
                <w:color w:val="auto"/>
              </w:rPr>
            </w:pPr>
          </w:p>
        </w:tc>
        <w:tc>
          <w:tcPr>
            <w:tcW w:w="9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121,756</w:t>
            </w:r>
          </w:p>
        </w:tc>
        <w:tc>
          <w:tcPr>
            <w:tcW w:w="0" w:type="dxa"/>
            <w:vAlign w:val="bottom"/>
          </w:tcPr>
          <w:p>
            <w:pPr>
              <w:spacing w:after="0"/>
              <w:rPr>
                <w:sz w:val="1"/>
                <w:szCs w:val="1"/>
                <w:color w:val="auto"/>
              </w:rPr>
            </w:pPr>
          </w:p>
        </w:tc>
      </w:tr>
      <w:tr>
        <w:trPr>
          <w:trHeight w:val="196"/>
        </w:trPr>
        <w:tc>
          <w:tcPr>
            <w:tcW w:w="3060" w:type="dxa"/>
            <w:vAlign w:val="bottom"/>
            <w:vMerge w:val="restart"/>
          </w:tcPr>
          <w:p>
            <w:pPr>
              <w:spacing w:after="0"/>
              <w:rPr>
                <w:sz w:val="20"/>
                <w:szCs w:val="20"/>
                <w:color w:val="auto"/>
              </w:rPr>
            </w:pPr>
            <w:r>
              <w:rPr>
                <w:rFonts w:ascii="Courier New" w:cs="Courier New" w:eastAsia="Courier New" w:hAnsi="Courier New"/>
                <w:sz w:val="17"/>
                <w:szCs w:val="17"/>
                <w:color w:val="auto"/>
              </w:rPr>
              <w:t>Income taxes</w:t>
            </w:r>
          </w:p>
        </w:tc>
        <w:tc>
          <w:tcPr>
            <w:tcW w:w="320" w:type="dxa"/>
            <w:vAlign w:val="bottom"/>
          </w:tcPr>
          <w:p>
            <w:pPr>
              <w:ind w:left="200"/>
              <w:spacing w:after="0"/>
              <w:rPr>
                <w:sz w:val="20"/>
                <w:szCs w:val="20"/>
                <w:color w:val="auto"/>
              </w:rPr>
            </w:pPr>
            <w:r>
              <w:rPr>
                <w:rFonts w:ascii="Courier New" w:cs="Courier New" w:eastAsia="Courier New" w:hAnsi="Courier New"/>
                <w:sz w:val="2"/>
                <w:szCs w:val="2"/>
                <w:color w:val="auto"/>
              </w:rPr>
              <w:t>--------</w:t>
            </w:r>
          </w:p>
        </w:tc>
        <w:tc>
          <w:tcPr>
            <w:tcW w:w="8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8,321</w:t>
            </w:r>
          </w:p>
        </w:tc>
        <w:tc>
          <w:tcPr>
            <w:tcW w:w="15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0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0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0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9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11,984</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20,305</w:t>
            </w:r>
          </w:p>
        </w:tc>
        <w:tc>
          <w:tcPr>
            <w:tcW w:w="0" w:type="dxa"/>
            <w:vAlign w:val="bottom"/>
          </w:tcPr>
          <w:p>
            <w:pPr>
              <w:spacing w:after="0"/>
              <w:rPr>
                <w:sz w:val="1"/>
                <w:szCs w:val="1"/>
                <w:color w:val="auto"/>
              </w:rPr>
            </w:pPr>
          </w:p>
        </w:tc>
      </w:tr>
      <w:tr>
        <w:trPr>
          <w:trHeight w:val="196"/>
        </w:trPr>
        <w:tc>
          <w:tcPr>
            <w:tcW w:w="3060" w:type="dxa"/>
            <w:vAlign w:val="bottom"/>
            <w:vMerge w:val="restart"/>
          </w:tcPr>
          <w:p>
            <w:pPr>
              <w:spacing w:after="0"/>
              <w:rPr>
                <w:sz w:val="20"/>
                <w:szCs w:val="20"/>
                <w:color w:val="auto"/>
              </w:rPr>
            </w:pPr>
            <w:r>
              <w:rPr>
                <w:rFonts w:ascii="Courier New" w:cs="Courier New" w:eastAsia="Courier New" w:hAnsi="Courier New"/>
                <w:sz w:val="17"/>
                <w:szCs w:val="17"/>
                <w:color w:val="auto"/>
              </w:rPr>
              <w:t>Net income</w:t>
            </w:r>
          </w:p>
        </w:tc>
        <w:tc>
          <w:tcPr>
            <w:tcW w:w="320" w:type="dxa"/>
            <w:vAlign w:val="bottom"/>
            <w:vMerge w:val="restart"/>
          </w:tcPr>
          <w:p>
            <w:pPr>
              <w:ind w:left="200"/>
              <w:spacing w:after="0"/>
              <w:rPr>
                <w:sz w:val="20"/>
                <w:szCs w:val="20"/>
                <w:color w:val="auto"/>
              </w:rPr>
            </w:pPr>
            <w:r>
              <w:rPr>
                <w:rFonts w:ascii="Courier New" w:cs="Courier New" w:eastAsia="Courier New" w:hAnsi="Courier New"/>
                <w:sz w:val="4"/>
                <w:szCs w:val="4"/>
                <w:color w:val="auto"/>
                <w:w w:val="88"/>
                <w:vertAlign w:val="subscript"/>
              </w:rPr>
              <w:t>$</w:t>
            </w:r>
            <w:r>
              <w:rPr>
                <w:rFonts w:ascii="Courier New" w:cs="Courier New" w:eastAsia="Courier New" w:hAnsi="Courier New"/>
                <w:sz w:val="2"/>
                <w:szCs w:val="2"/>
                <w:color w:val="auto"/>
                <w:w w:val="88"/>
              </w:rPr>
              <w:t>--------</w:t>
            </w:r>
          </w:p>
        </w:tc>
        <w:tc>
          <w:tcPr>
            <w:tcW w:w="8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75,955</w:t>
            </w:r>
          </w:p>
        </w:tc>
        <w:tc>
          <w:tcPr>
            <w:tcW w:w="15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0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5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$ 14,022</w:t>
            </w:r>
          </w:p>
        </w:tc>
        <w:tc>
          <w:tcPr>
            <w:tcW w:w="154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$ 17,310</w:t>
            </w:r>
          </w:p>
        </w:tc>
        <w:tc>
          <w:tcPr>
            <w:tcW w:w="15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$ 14,230</w:t>
            </w:r>
          </w:p>
        </w:tc>
        <w:tc>
          <w:tcPr>
            <w:tcW w:w="13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$(11,984)</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$109,533</w:t>
            </w:r>
          </w:p>
        </w:tc>
        <w:tc>
          <w:tcPr>
            <w:tcW w:w="0" w:type="dxa"/>
            <w:vAlign w:val="bottom"/>
          </w:tcPr>
          <w:p>
            <w:pPr>
              <w:spacing w:after="0"/>
              <w:rPr>
                <w:sz w:val="1"/>
                <w:szCs w:val="1"/>
                <w:color w:val="auto"/>
              </w:rPr>
            </w:pPr>
          </w:p>
        </w:tc>
      </w:tr>
      <w:tr>
        <w:trPr>
          <w:trHeight w:val="286"/>
        </w:trPr>
        <w:tc>
          <w:tcPr>
            <w:tcW w:w="3060" w:type="dxa"/>
            <w:vAlign w:val="bottom"/>
          </w:tcPr>
          <w:p>
            <w:pPr>
              <w:spacing w:after="0"/>
              <w:rPr>
                <w:sz w:val="24"/>
                <w:szCs w:val="24"/>
                <w:color w:val="auto"/>
              </w:rPr>
            </w:pPr>
          </w:p>
        </w:tc>
        <w:tc>
          <w:tcPr>
            <w:tcW w:w="11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THREE MONTHS ENDED</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SEPTEMBER 30, 2005</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6980" w:type="dxa"/>
            <w:vAlign w:val="bottom"/>
            <w:gridSpan w:val="10"/>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RECONCILIATION ITEMS</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900" w:type="dxa"/>
            <w:vAlign w:val="bottom"/>
            <w:gridSpan w:val="6"/>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RESTRUCTURING</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gridSpan w:val="2"/>
          </w:tcPr>
          <w:p>
            <w:pPr>
              <w:jc w:val="center"/>
              <w:ind w:left="75"/>
              <w:spacing w:after="0"/>
              <w:rPr>
                <w:sz w:val="20"/>
                <w:szCs w:val="20"/>
                <w:color w:val="auto"/>
              </w:rPr>
            </w:pPr>
            <w:r>
              <w:rPr>
                <w:rFonts w:ascii="Courier New" w:cs="Courier New" w:eastAsia="Courier New" w:hAnsi="Courier New"/>
                <w:sz w:val="17"/>
                <w:szCs w:val="17"/>
                <w:color w:val="auto"/>
                <w:w w:val="97"/>
              </w:rPr>
              <w:t>CHARGES,</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gridSpan w:val="2"/>
            <w:vMerge w:val="restart"/>
          </w:tcPr>
          <w:p>
            <w:pPr>
              <w:jc w:val="center"/>
              <w:ind w:left="35"/>
              <w:spacing w:after="0"/>
              <w:rPr>
                <w:sz w:val="20"/>
                <w:szCs w:val="20"/>
                <w:color w:val="auto"/>
              </w:rPr>
            </w:pPr>
            <w:r>
              <w:rPr>
                <w:rFonts w:ascii="Courier New" w:cs="Courier New" w:eastAsia="Courier New" w:hAnsi="Courier New"/>
                <w:sz w:val="17"/>
                <w:szCs w:val="17"/>
                <w:color w:val="auto"/>
                <w:w w:val="99"/>
              </w:rPr>
              <w:t>AMORTIZATION</w:t>
            </w:r>
          </w:p>
        </w:tc>
        <w:tc>
          <w:tcPr>
            <w:tcW w:w="2200" w:type="dxa"/>
            <w:vAlign w:val="bottom"/>
            <w:gridSpan w:val="2"/>
          </w:tcPr>
          <w:p>
            <w:pPr>
              <w:jc w:val="center"/>
              <w:ind w:left="95"/>
              <w:spacing w:after="0"/>
              <w:rPr>
                <w:sz w:val="20"/>
                <w:szCs w:val="20"/>
                <w:color w:val="auto"/>
              </w:rPr>
            </w:pPr>
            <w:r>
              <w:rPr>
                <w:rFonts w:ascii="Courier New" w:cs="Courier New" w:eastAsia="Courier New" w:hAnsi="Courier New"/>
                <w:sz w:val="17"/>
                <w:szCs w:val="17"/>
                <w:color w:val="auto"/>
                <w:w w:val="99"/>
              </w:rPr>
              <w:t>IN-PROCESS</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200" w:type="dxa"/>
            <w:vAlign w:val="bottom"/>
            <w:gridSpan w:val="2"/>
          </w:tcPr>
          <w:p>
            <w:pPr>
              <w:jc w:val="center"/>
              <w:ind w:left="75"/>
              <w:spacing w:after="0"/>
              <w:rPr>
                <w:sz w:val="20"/>
                <w:szCs w:val="20"/>
                <w:color w:val="auto"/>
              </w:rPr>
            </w:pPr>
            <w:r>
              <w:rPr>
                <w:rFonts w:ascii="Courier New" w:cs="Courier New" w:eastAsia="Courier New" w:hAnsi="Courier New"/>
                <w:sz w:val="17"/>
                <w:szCs w:val="17"/>
                <w:color w:val="auto"/>
              </w:rPr>
              <w:t>RESEARCH AND</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gridSpan w:val="2"/>
          </w:tcPr>
          <w:p>
            <w:pPr>
              <w:jc w:val="center"/>
              <w:ind w:left="35"/>
              <w:spacing w:after="0"/>
              <w:rPr>
                <w:sz w:val="20"/>
                <w:szCs w:val="20"/>
                <w:color w:val="auto"/>
              </w:rPr>
            </w:pPr>
            <w:r>
              <w:rPr>
                <w:rFonts w:ascii="Courier New" w:cs="Courier New" w:eastAsia="Courier New" w:hAnsi="Courier New"/>
                <w:sz w:val="17"/>
                <w:szCs w:val="17"/>
                <w:color w:val="auto"/>
                <w:w w:val="99"/>
              </w:rPr>
              <w:t>OF PURCHASED</w:t>
            </w:r>
          </w:p>
        </w:tc>
        <w:tc>
          <w:tcPr>
            <w:tcW w:w="22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DEVELOPMENT AND</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restart"/>
          </w:tcPr>
          <w:p>
            <w:pPr>
              <w:jc w:val="right"/>
              <w:ind w:right="275"/>
              <w:spacing w:after="0"/>
              <w:rPr>
                <w:sz w:val="20"/>
                <w:szCs w:val="20"/>
                <w:color w:val="auto"/>
              </w:rPr>
            </w:pPr>
            <w:r>
              <w:rPr>
                <w:rFonts w:ascii="Courier New" w:cs="Courier New" w:eastAsia="Courier New" w:hAnsi="Courier New"/>
                <w:sz w:val="17"/>
                <w:szCs w:val="17"/>
                <w:color w:val="auto"/>
              </w:rPr>
              <w:t>GAAP</w:t>
            </w:r>
          </w:p>
        </w:tc>
        <w:tc>
          <w:tcPr>
            <w:tcW w:w="1420" w:type="dxa"/>
            <w:vAlign w:val="bottom"/>
            <w:gridSpan w:val="2"/>
          </w:tcPr>
          <w:p>
            <w:pPr>
              <w:jc w:val="center"/>
              <w:ind w:left="35"/>
              <w:spacing w:after="0"/>
              <w:rPr>
                <w:sz w:val="20"/>
                <w:szCs w:val="20"/>
                <w:color w:val="auto"/>
              </w:rPr>
            </w:pPr>
            <w:r>
              <w:rPr>
                <w:rFonts w:ascii="Courier New" w:cs="Courier New" w:eastAsia="Courier New" w:hAnsi="Courier New"/>
                <w:sz w:val="17"/>
                <w:szCs w:val="17"/>
                <w:color w:val="auto"/>
                <w:w w:val="99"/>
              </w:rPr>
              <w:t>INTANGIBLE</w:t>
            </w:r>
          </w:p>
        </w:tc>
        <w:tc>
          <w:tcPr>
            <w:tcW w:w="22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OTHER ACQUISITION</w:t>
            </w:r>
          </w:p>
        </w:tc>
        <w:tc>
          <w:tcPr>
            <w:tcW w:w="1280" w:type="dxa"/>
            <w:vAlign w:val="bottom"/>
            <w:gridSpan w:val="2"/>
            <w:vMerge w:val="restart"/>
          </w:tcPr>
          <w:p>
            <w:pPr>
              <w:jc w:val="right"/>
              <w:ind w:right="75"/>
              <w:spacing w:after="0"/>
              <w:rPr>
                <w:sz w:val="20"/>
                <w:szCs w:val="20"/>
                <w:color w:val="auto"/>
              </w:rPr>
            </w:pPr>
            <w:r>
              <w:rPr>
                <w:rFonts w:ascii="Courier New" w:cs="Courier New" w:eastAsia="Courier New" w:hAnsi="Courier New"/>
                <w:sz w:val="17"/>
                <w:szCs w:val="17"/>
                <w:color w:val="auto"/>
              </w:rPr>
              <w:t>TAX EFFECT</w:t>
            </w:r>
          </w:p>
        </w:tc>
        <w:tc>
          <w:tcPr>
            <w:tcW w:w="960" w:type="dxa"/>
            <w:vAlign w:val="bottom"/>
            <w:gridSpan w:val="2"/>
            <w:vMerge w:val="restart"/>
          </w:tcPr>
          <w:p>
            <w:pPr>
              <w:ind w:left="140"/>
              <w:spacing w:after="0"/>
              <w:rPr>
                <w:sz w:val="20"/>
                <w:szCs w:val="20"/>
                <w:color w:val="auto"/>
              </w:rPr>
            </w:pPr>
            <w:r>
              <w:rPr>
                <w:rFonts w:ascii="Courier New" w:cs="Courier New" w:eastAsia="Courier New" w:hAnsi="Courier New"/>
                <w:sz w:val="17"/>
                <w:szCs w:val="17"/>
                <w:color w:val="auto"/>
                <w:w w:val="97"/>
              </w:rPr>
              <w:t>NON-GAAP</w:t>
            </w: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20" w:type="dxa"/>
            <w:vAlign w:val="bottom"/>
            <w:gridSpan w:val="2"/>
          </w:tcPr>
          <w:p>
            <w:pPr>
              <w:jc w:val="center"/>
              <w:ind w:left="15"/>
              <w:spacing w:after="0"/>
              <w:rPr>
                <w:sz w:val="20"/>
                <w:szCs w:val="20"/>
                <w:color w:val="auto"/>
              </w:rPr>
            </w:pPr>
            <w:r>
              <w:rPr>
                <w:rFonts w:ascii="Courier New" w:cs="Courier New" w:eastAsia="Courier New" w:hAnsi="Courier New"/>
                <w:sz w:val="17"/>
                <w:szCs w:val="17"/>
                <w:color w:val="auto"/>
                <w:w w:val="97"/>
              </w:rPr>
              <w:t>ASSETS</w:t>
            </w:r>
          </w:p>
        </w:tc>
        <w:tc>
          <w:tcPr>
            <w:tcW w:w="22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RELATED COSTS</w:t>
            </w:r>
          </w:p>
        </w:tc>
        <w:tc>
          <w:tcPr>
            <w:tcW w:w="128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3120" w:type="dxa"/>
            <w:vAlign w:val="bottom"/>
          </w:tcPr>
          <w:p>
            <w:pPr>
              <w:spacing w:after="0"/>
              <w:rPr>
                <w:sz w:val="24"/>
                <w:szCs w:val="24"/>
                <w:color w:val="auto"/>
              </w:rPr>
            </w:pPr>
          </w:p>
        </w:tc>
        <w:tc>
          <w:tcPr>
            <w:tcW w:w="11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center"/>
              <w:ind w:left="35"/>
              <w:spacing w:after="0"/>
              <w:rPr>
                <w:sz w:val="20"/>
                <w:szCs w:val="20"/>
                <w:color w:val="auto"/>
              </w:rPr>
            </w:pPr>
            <w:r>
              <w:rPr>
                <w:rFonts w:ascii="Courier New" w:cs="Courier New" w:eastAsia="Courier New" w:hAnsi="Courier New"/>
                <w:sz w:val="17"/>
                <w:szCs w:val="17"/>
                <w:color w:val="auto"/>
                <w:w w:val="99"/>
              </w:rPr>
              <w:t>------------</w:t>
            </w:r>
          </w:p>
        </w:tc>
        <w:tc>
          <w:tcPr>
            <w:tcW w:w="22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312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260" w:type="dxa"/>
            <w:vAlign w:val="bottom"/>
            <w:vMerge w:val="restart"/>
          </w:tcPr>
          <w:p>
            <w:pPr>
              <w:ind w:left="140"/>
              <w:spacing w:after="0"/>
              <w:rPr>
                <w:sz w:val="20"/>
                <w:szCs w:val="20"/>
                <w:color w:val="auto"/>
              </w:rPr>
            </w:pPr>
            <w:r>
              <w:rPr>
                <w:rFonts w:ascii="Courier New" w:cs="Courier New" w:eastAsia="Courier New" w:hAnsi="Courier New"/>
                <w:sz w:val="17"/>
                <w:szCs w:val="17"/>
                <w:color w:val="auto"/>
                <w:w w:val="97"/>
              </w:rPr>
              <w:t>$</w:t>
            </w:r>
          </w:p>
        </w:tc>
        <w:tc>
          <w:tcPr>
            <w:tcW w:w="8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805</w:t>
            </w:r>
          </w:p>
        </w:tc>
        <w:tc>
          <w:tcPr>
            <w:tcW w:w="5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vMerge w:val="restart"/>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vMerge w:val="restart"/>
          </w:tcPr>
          <w:p>
            <w:pPr>
              <w:jc w:val="right"/>
              <w:ind w:right="535"/>
              <w:spacing w:after="0"/>
              <w:rPr>
                <w:sz w:val="20"/>
                <w:szCs w:val="20"/>
                <w:color w:val="auto"/>
              </w:rPr>
            </w:pPr>
            <w:r>
              <w:rPr>
                <w:rFonts w:ascii="Courier New" w:cs="Courier New" w:eastAsia="Courier New" w:hAnsi="Courier New"/>
                <w:sz w:val="17"/>
                <w:szCs w:val="17"/>
                <w:color w:val="auto"/>
              </w:rPr>
              <w:t>--</w:t>
            </w:r>
          </w:p>
        </w:tc>
        <w:tc>
          <w:tcPr>
            <w:tcW w:w="4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vMerge w:val="restart"/>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260" w:type="dxa"/>
            <w:vAlign w:val="bottom"/>
            <w:vMerge w:val="restart"/>
          </w:tcPr>
          <w:p>
            <w:pPr>
              <w:ind w:left="140"/>
              <w:spacing w:after="0"/>
              <w:rPr>
                <w:sz w:val="20"/>
                <w:szCs w:val="20"/>
                <w:color w:val="auto"/>
              </w:rPr>
            </w:pPr>
            <w:r>
              <w:rPr>
                <w:rFonts w:ascii="Courier New" w:cs="Courier New" w:eastAsia="Courier New" w:hAnsi="Courier New"/>
                <w:sz w:val="17"/>
                <w:szCs w:val="17"/>
                <w:color w:val="auto"/>
                <w:w w:val="97"/>
              </w:rPr>
              <w: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805</w:t>
            </w:r>
          </w:p>
        </w:tc>
        <w:tc>
          <w:tcPr>
            <w:tcW w:w="0" w:type="dxa"/>
            <w:vAlign w:val="bottom"/>
          </w:tcPr>
          <w:p>
            <w:pPr>
              <w:spacing w:after="0"/>
              <w:rPr>
                <w:sz w:val="1"/>
                <w:szCs w:val="1"/>
                <w:color w:val="auto"/>
              </w:rPr>
            </w:pPr>
          </w:p>
        </w:tc>
      </w:tr>
      <w:tr>
        <w:trPr>
          <w:trHeight w:val="196"/>
        </w:trPr>
        <w:tc>
          <w:tcPr>
            <w:tcW w:w="3120" w:type="dxa"/>
            <w:vAlign w:val="bottom"/>
          </w:tcPr>
          <w:p>
            <w:pPr>
              <w:ind w:left="320"/>
              <w:spacing w:after="0"/>
              <w:rPr>
                <w:sz w:val="20"/>
                <w:szCs w:val="20"/>
                <w:color w:val="auto"/>
              </w:rPr>
            </w:pPr>
            <w:r>
              <w:rPr>
                <w:rFonts w:ascii="Courier New" w:cs="Courier New" w:eastAsia="Courier New" w:hAnsi="Courier New"/>
                <w:sz w:val="17"/>
                <w:szCs w:val="17"/>
                <w:color w:val="auto"/>
              </w:rPr>
              <w:t>Cost of license</w:t>
            </w:r>
          </w:p>
        </w:tc>
        <w:tc>
          <w:tcPr>
            <w:tcW w:w="2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tcPr>
          <w:p>
            <w:pPr>
              <w:ind w:left="320"/>
              <w:spacing w:after="0"/>
              <w:rPr>
                <w:sz w:val="20"/>
                <w:szCs w:val="20"/>
                <w:color w:val="auto"/>
              </w:rPr>
            </w:pPr>
            <w:r>
              <w:rPr>
                <w:rFonts w:ascii="Courier New" w:cs="Courier New" w:eastAsia="Courier New" w:hAnsi="Courier New"/>
                <w:sz w:val="17"/>
                <w:szCs w:val="17"/>
                <w:color w:val="auto"/>
              </w:rPr>
              <w:t>Cost of service</w:t>
            </w:r>
          </w:p>
        </w:tc>
        <w:tc>
          <w:tcPr>
            <w:tcW w:w="260" w:type="dxa"/>
            <w:vAlign w:val="bottom"/>
          </w:tcPr>
          <w:p>
            <w:pPr>
              <w:spacing w:after="0"/>
              <w:rPr>
                <w:sz w:val="17"/>
                <w:szCs w:val="17"/>
                <w:color w:val="auto"/>
              </w:rPr>
            </w:pP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5"/>
              </w:rPr>
              <w:t>362,085</w:t>
            </w:r>
          </w:p>
        </w:tc>
        <w:tc>
          <w:tcPr>
            <w:tcW w:w="560" w:type="dxa"/>
            <w:vAlign w:val="bottom"/>
          </w:tcPr>
          <w:p>
            <w:pPr>
              <w:spacing w:after="0"/>
              <w:rPr>
                <w:sz w:val="17"/>
                <w:szCs w:val="17"/>
                <w:color w:val="auto"/>
              </w:rPr>
            </w:pPr>
          </w:p>
        </w:tc>
        <w:tc>
          <w:tcPr>
            <w:tcW w:w="8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spacing w:after="0"/>
              <w:rPr>
                <w:sz w:val="17"/>
                <w:szCs w:val="17"/>
                <w:color w:val="auto"/>
              </w:rPr>
            </w:pPr>
          </w:p>
        </w:tc>
        <w:tc>
          <w:tcPr>
            <w:tcW w:w="132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362,085</w:t>
            </w:r>
          </w:p>
        </w:tc>
        <w:tc>
          <w:tcPr>
            <w:tcW w:w="0" w:type="dxa"/>
            <w:vAlign w:val="bottom"/>
          </w:tcPr>
          <w:p>
            <w:pPr>
              <w:spacing w:after="0"/>
              <w:rPr>
                <w:sz w:val="1"/>
                <w:szCs w:val="1"/>
                <w:color w:val="auto"/>
              </w:rPr>
            </w:pPr>
          </w:p>
        </w:tc>
      </w:tr>
      <w:tr>
        <w:trPr>
          <w:trHeight w:val="196"/>
        </w:trPr>
        <w:tc>
          <w:tcPr>
            <w:tcW w:w="3120" w:type="dxa"/>
            <w:vAlign w:val="bottom"/>
          </w:tcPr>
          <w:p>
            <w:pPr>
              <w:ind w:left="320"/>
              <w:spacing w:after="0"/>
              <w:rPr>
                <w:sz w:val="20"/>
                <w:szCs w:val="20"/>
                <w:color w:val="auto"/>
              </w:rPr>
            </w:pPr>
            <w:r>
              <w:rPr>
                <w:rFonts w:ascii="Courier New" w:cs="Courier New" w:eastAsia="Courier New" w:hAnsi="Courier New"/>
                <w:sz w:val="17"/>
                <w:szCs w:val="17"/>
                <w:color w:val="auto"/>
              </w:rPr>
              <w:t>Research and development</w:t>
            </w:r>
          </w:p>
        </w:tc>
        <w:tc>
          <w:tcPr>
            <w:tcW w:w="260" w:type="dxa"/>
            <w:vAlign w:val="bottom"/>
          </w:tcPr>
          <w:p>
            <w:pPr>
              <w:spacing w:after="0"/>
              <w:rPr>
                <w:sz w:val="17"/>
                <w:szCs w:val="17"/>
                <w:color w:val="auto"/>
              </w:rPr>
            </w:pP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46,890</w:t>
            </w:r>
          </w:p>
        </w:tc>
        <w:tc>
          <w:tcPr>
            <w:tcW w:w="560" w:type="dxa"/>
            <w:vAlign w:val="bottom"/>
          </w:tcPr>
          <w:p>
            <w:pPr>
              <w:spacing w:after="0"/>
              <w:rPr>
                <w:sz w:val="17"/>
                <w:szCs w:val="17"/>
                <w:color w:val="auto"/>
              </w:rPr>
            </w:pPr>
          </w:p>
        </w:tc>
        <w:tc>
          <w:tcPr>
            <w:tcW w:w="8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spacing w:after="0"/>
              <w:rPr>
                <w:sz w:val="17"/>
                <w:szCs w:val="17"/>
                <w:color w:val="auto"/>
              </w:rPr>
            </w:pPr>
          </w:p>
        </w:tc>
        <w:tc>
          <w:tcPr>
            <w:tcW w:w="132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46,890</w:t>
            </w:r>
          </w:p>
        </w:tc>
        <w:tc>
          <w:tcPr>
            <w:tcW w:w="0" w:type="dxa"/>
            <w:vAlign w:val="bottom"/>
          </w:tcPr>
          <w:p>
            <w:pPr>
              <w:spacing w:after="0"/>
              <w:rPr>
                <w:sz w:val="1"/>
                <w:szCs w:val="1"/>
                <w:color w:val="auto"/>
              </w:rPr>
            </w:pPr>
          </w:p>
        </w:tc>
      </w:tr>
      <w:tr>
        <w:trPr>
          <w:trHeight w:val="196"/>
        </w:trPr>
        <w:tc>
          <w:tcPr>
            <w:tcW w:w="3120" w:type="dxa"/>
            <w:vAlign w:val="bottom"/>
          </w:tcPr>
          <w:p>
            <w:pPr>
              <w:ind w:left="320"/>
              <w:spacing w:after="0"/>
              <w:rPr>
                <w:sz w:val="20"/>
                <w:szCs w:val="20"/>
                <w:color w:val="auto"/>
              </w:rPr>
            </w:pPr>
            <w:r>
              <w:rPr>
                <w:rFonts w:ascii="Courier New" w:cs="Courier New" w:eastAsia="Courier New" w:hAnsi="Courier New"/>
                <w:sz w:val="17"/>
                <w:szCs w:val="17"/>
                <w:color w:val="auto"/>
              </w:rPr>
              <w:t>Selling, general and</w:t>
            </w:r>
          </w:p>
        </w:tc>
        <w:tc>
          <w:tcPr>
            <w:tcW w:w="260" w:type="dxa"/>
            <w:vAlign w:val="bottom"/>
          </w:tcPr>
          <w:p>
            <w:pPr>
              <w:spacing w:after="0"/>
              <w:rPr>
                <w:sz w:val="17"/>
                <w:szCs w:val="17"/>
                <w:color w:val="auto"/>
              </w:rPr>
            </w:pPr>
          </w:p>
        </w:tc>
        <w:tc>
          <w:tcPr>
            <w:tcW w:w="8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66,066</w:t>
            </w:r>
          </w:p>
        </w:tc>
        <w:tc>
          <w:tcPr>
            <w:tcW w:w="560" w:type="dxa"/>
            <w:vAlign w:val="bottom"/>
          </w:tcPr>
          <w:p>
            <w:pPr>
              <w:spacing w:after="0"/>
              <w:rPr>
                <w:sz w:val="17"/>
                <w:szCs w:val="17"/>
                <w:color w:val="auto"/>
              </w:rPr>
            </w:pPr>
          </w:p>
        </w:tc>
        <w:tc>
          <w:tcPr>
            <w:tcW w:w="860" w:type="dxa"/>
            <w:vAlign w:val="bottom"/>
            <w:vMerge w:val="restart"/>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spacing w:after="0"/>
              <w:rPr>
                <w:sz w:val="17"/>
                <w:szCs w:val="17"/>
                <w:color w:val="auto"/>
              </w:rPr>
            </w:pPr>
          </w:p>
        </w:tc>
        <w:tc>
          <w:tcPr>
            <w:tcW w:w="1320" w:type="dxa"/>
            <w:vAlign w:val="bottom"/>
            <w:vMerge w:val="restart"/>
          </w:tcPr>
          <w:p>
            <w:pPr>
              <w:jc w:val="right"/>
              <w:ind w:right="53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vMerge w:val="restart"/>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66,066</w:t>
            </w:r>
          </w:p>
        </w:tc>
        <w:tc>
          <w:tcPr>
            <w:tcW w:w="0" w:type="dxa"/>
            <w:vAlign w:val="bottom"/>
          </w:tcPr>
          <w:p>
            <w:pPr>
              <w:spacing w:after="0"/>
              <w:rPr>
                <w:sz w:val="1"/>
                <w:szCs w:val="1"/>
                <w:color w:val="auto"/>
              </w:rPr>
            </w:pPr>
          </w:p>
        </w:tc>
      </w:tr>
      <w:tr>
        <w:trPr>
          <w:trHeight w:val="196"/>
        </w:trPr>
        <w:tc>
          <w:tcPr>
            <w:tcW w:w="3120" w:type="dxa"/>
            <w:vAlign w:val="bottom"/>
          </w:tcPr>
          <w:p>
            <w:pPr>
              <w:ind w:left="620"/>
              <w:spacing w:after="0"/>
              <w:rPr>
                <w:sz w:val="20"/>
                <w:szCs w:val="20"/>
                <w:color w:val="auto"/>
              </w:rPr>
            </w:pPr>
            <w:r>
              <w:rPr>
                <w:rFonts w:ascii="Courier New" w:cs="Courier New" w:eastAsia="Courier New" w:hAnsi="Courier New"/>
                <w:sz w:val="17"/>
                <w:szCs w:val="17"/>
                <w:color w:val="auto"/>
              </w:rPr>
              <w:t>administrative</w:t>
            </w: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tcPr>
          <w:p>
            <w:pPr>
              <w:ind w:left="320"/>
              <w:spacing w:after="0"/>
              <w:rPr>
                <w:sz w:val="20"/>
                <w:szCs w:val="20"/>
                <w:color w:val="auto"/>
              </w:rPr>
            </w:pPr>
            <w:r>
              <w:rPr>
                <w:rFonts w:ascii="Courier New" w:cs="Courier New" w:eastAsia="Courier New" w:hAnsi="Courier New"/>
                <w:sz w:val="17"/>
                <w:szCs w:val="17"/>
                <w:color w:val="auto"/>
              </w:rPr>
              <w:t>Amortization of purchased</w:t>
            </w:r>
          </w:p>
        </w:tc>
        <w:tc>
          <w:tcPr>
            <w:tcW w:w="260" w:type="dxa"/>
            <w:vAlign w:val="bottom"/>
          </w:tcPr>
          <w:p>
            <w:pPr>
              <w:spacing w:after="0"/>
              <w:rPr>
                <w:sz w:val="17"/>
                <w:szCs w:val="17"/>
                <w:color w:val="auto"/>
              </w:rPr>
            </w:pPr>
          </w:p>
        </w:tc>
        <w:tc>
          <w:tcPr>
            <w:tcW w:w="8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7,481</w:t>
            </w:r>
          </w:p>
        </w:tc>
        <w:tc>
          <w:tcPr>
            <w:tcW w:w="560" w:type="dxa"/>
            <w:vAlign w:val="bottom"/>
          </w:tcPr>
          <w:p>
            <w:pPr>
              <w:spacing w:after="0"/>
              <w:rPr>
                <w:sz w:val="17"/>
                <w:szCs w:val="17"/>
                <w:color w:val="auto"/>
              </w:rPr>
            </w:pPr>
          </w:p>
        </w:tc>
        <w:tc>
          <w:tcPr>
            <w:tcW w:w="860" w:type="dxa"/>
            <w:vAlign w:val="bottom"/>
            <w:vMerge w:val="restart"/>
          </w:tcPr>
          <w:p>
            <w:pPr>
              <w:jc w:val="right"/>
              <w:ind w:right="55"/>
              <w:spacing w:after="0"/>
              <w:rPr>
                <w:sz w:val="20"/>
                <w:szCs w:val="20"/>
                <w:color w:val="auto"/>
              </w:rPr>
            </w:pPr>
            <w:r>
              <w:rPr>
                <w:rFonts w:ascii="Courier New" w:cs="Courier New" w:eastAsia="Courier New" w:hAnsi="Courier New"/>
                <w:sz w:val="17"/>
                <w:szCs w:val="17"/>
                <w:color w:val="auto"/>
                <w:w w:val="97"/>
              </w:rPr>
              <w:t>(7,481)</w:t>
            </w:r>
          </w:p>
        </w:tc>
        <w:tc>
          <w:tcPr>
            <w:tcW w:w="880" w:type="dxa"/>
            <w:vAlign w:val="bottom"/>
          </w:tcPr>
          <w:p>
            <w:pPr>
              <w:spacing w:after="0"/>
              <w:rPr>
                <w:sz w:val="17"/>
                <w:szCs w:val="17"/>
                <w:color w:val="auto"/>
              </w:rPr>
            </w:pPr>
          </w:p>
        </w:tc>
        <w:tc>
          <w:tcPr>
            <w:tcW w:w="1320" w:type="dxa"/>
            <w:vAlign w:val="bottom"/>
            <w:vMerge w:val="restart"/>
          </w:tcPr>
          <w:p>
            <w:pPr>
              <w:jc w:val="right"/>
              <w:ind w:right="53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vMerge w:val="restart"/>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120" w:type="dxa"/>
            <w:vAlign w:val="bottom"/>
          </w:tcPr>
          <w:p>
            <w:pPr>
              <w:ind w:left="620"/>
              <w:spacing w:after="0"/>
              <w:rPr>
                <w:sz w:val="20"/>
                <w:szCs w:val="20"/>
                <w:color w:val="auto"/>
              </w:rPr>
            </w:pPr>
            <w:r>
              <w:rPr>
                <w:rFonts w:ascii="Courier New" w:cs="Courier New" w:eastAsia="Courier New" w:hAnsi="Courier New"/>
                <w:sz w:val="17"/>
                <w:szCs w:val="17"/>
                <w:color w:val="auto"/>
              </w:rPr>
              <w:t>intangible assets</w:t>
            </w: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tcPr>
          <w:p>
            <w:pPr>
              <w:ind w:left="320"/>
              <w:spacing w:after="0"/>
              <w:rPr>
                <w:sz w:val="20"/>
                <w:szCs w:val="20"/>
                <w:color w:val="auto"/>
              </w:rPr>
            </w:pPr>
            <w:r>
              <w:rPr>
                <w:rFonts w:ascii="Courier New" w:cs="Courier New" w:eastAsia="Courier New" w:hAnsi="Courier New"/>
                <w:sz w:val="17"/>
                <w:szCs w:val="17"/>
                <w:color w:val="auto"/>
              </w:rPr>
              <w:t>Restructuring charges,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tcPr>
          <w:p>
            <w:pPr>
              <w:ind w:left="620"/>
              <w:spacing w:after="0"/>
              <w:rPr>
                <w:sz w:val="20"/>
                <w:szCs w:val="20"/>
                <w:color w:val="auto"/>
              </w:rPr>
            </w:pPr>
            <w:r>
              <w:rPr>
                <w:rFonts w:ascii="Courier New" w:cs="Courier New" w:eastAsia="Courier New" w:hAnsi="Courier New"/>
                <w:sz w:val="17"/>
                <w:szCs w:val="17"/>
                <w:color w:val="auto"/>
              </w:rPr>
              <w:t>in-process research and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tcPr>
          <w:p>
            <w:pPr>
              <w:ind w:left="620"/>
              <w:spacing w:after="0"/>
              <w:rPr>
                <w:sz w:val="20"/>
                <w:szCs w:val="20"/>
                <w:color w:val="auto"/>
              </w:rPr>
            </w:pPr>
            <w:r>
              <w:rPr>
                <w:rFonts w:ascii="Courier New" w:cs="Courier New" w:eastAsia="Courier New" w:hAnsi="Courier New"/>
                <w:sz w:val="17"/>
                <w:szCs w:val="17"/>
                <w:color w:val="auto"/>
              </w:rPr>
              <w:t>development and other</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tcPr>
          <w:p>
            <w:pPr>
              <w:ind w:left="620"/>
              <w:spacing w:after="0"/>
              <w:rPr>
                <w:sz w:val="20"/>
                <w:szCs w:val="20"/>
                <w:color w:val="auto"/>
              </w:rPr>
            </w:pPr>
            <w:r>
              <w:rPr>
                <w:rFonts w:ascii="Courier New" w:cs="Courier New" w:eastAsia="Courier New" w:hAnsi="Courier New"/>
                <w:sz w:val="17"/>
                <w:szCs w:val="17"/>
                <w:color w:val="auto"/>
              </w:rPr>
              <w:t>acquisition related</w:t>
            </w:r>
          </w:p>
        </w:tc>
        <w:tc>
          <w:tcPr>
            <w:tcW w:w="260" w:type="dxa"/>
            <w:vAlign w:val="bottom"/>
          </w:tcPr>
          <w:p>
            <w:pPr>
              <w:spacing w:after="0"/>
              <w:rPr>
                <w:sz w:val="17"/>
                <w:szCs w:val="17"/>
                <w:color w:val="auto"/>
              </w:rPr>
            </w:pPr>
          </w:p>
        </w:tc>
        <w:tc>
          <w:tcPr>
            <w:tcW w:w="8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12,595</w:t>
            </w:r>
          </w:p>
        </w:tc>
        <w:tc>
          <w:tcPr>
            <w:tcW w:w="560" w:type="dxa"/>
            <w:vAlign w:val="bottom"/>
          </w:tcPr>
          <w:p>
            <w:pPr>
              <w:spacing w:after="0"/>
              <w:rPr>
                <w:sz w:val="17"/>
                <w:szCs w:val="17"/>
                <w:color w:val="auto"/>
              </w:rPr>
            </w:pPr>
          </w:p>
        </w:tc>
        <w:tc>
          <w:tcPr>
            <w:tcW w:w="860" w:type="dxa"/>
            <w:vAlign w:val="bottom"/>
            <w:vMerge w:val="restart"/>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spacing w:after="0"/>
              <w:rPr>
                <w:sz w:val="17"/>
                <w:szCs w:val="17"/>
                <w:color w:val="auto"/>
              </w:rPr>
            </w:pPr>
          </w:p>
        </w:tc>
        <w:tc>
          <w:tcPr>
            <w:tcW w:w="1320" w:type="dxa"/>
            <w:vAlign w:val="bottom"/>
            <w:vMerge w:val="restart"/>
          </w:tcPr>
          <w:p>
            <w:pPr>
              <w:jc w:val="right"/>
              <w:ind w:right="415"/>
              <w:spacing w:after="0"/>
              <w:rPr>
                <w:sz w:val="20"/>
                <w:szCs w:val="20"/>
                <w:color w:val="auto"/>
              </w:rPr>
            </w:pPr>
            <w:r>
              <w:rPr>
                <w:rFonts w:ascii="Courier New" w:cs="Courier New" w:eastAsia="Courier New" w:hAnsi="Courier New"/>
                <w:sz w:val="17"/>
                <w:szCs w:val="17"/>
                <w:color w:val="auto"/>
                <w:w w:val="97"/>
              </w:rPr>
              <w:t>(12,595)</w:t>
            </w:r>
          </w:p>
        </w:tc>
        <w:tc>
          <w:tcPr>
            <w:tcW w:w="460" w:type="dxa"/>
            <w:vAlign w:val="bottom"/>
          </w:tcPr>
          <w:p>
            <w:pPr>
              <w:spacing w:after="0"/>
              <w:rPr>
                <w:sz w:val="17"/>
                <w:szCs w:val="17"/>
                <w:color w:val="auto"/>
              </w:rPr>
            </w:pPr>
          </w:p>
        </w:tc>
        <w:tc>
          <w:tcPr>
            <w:tcW w:w="820" w:type="dxa"/>
            <w:vAlign w:val="bottom"/>
            <w:vMerge w:val="restart"/>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120" w:type="dxa"/>
            <w:vAlign w:val="bottom"/>
          </w:tcPr>
          <w:p>
            <w:pPr>
              <w:ind w:left="620"/>
              <w:spacing w:after="0"/>
              <w:rPr>
                <w:sz w:val="20"/>
                <w:szCs w:val="20"/>
                <w:color w:val="auto"/>
              </w:rPr>
            </w:pPr>
            <w:r>
              <w:rPr>
                <w:rFonts w:ascii="Courier New" w:cs="Courier New" w:eastAsia="Courier New" w:hAnsi="Courier New"/>
                <w:sz w:val="17"/>
                <w:szCs w:val="17"/>
                <w:color w:val="auto"/>
              </w:rPr>
              <w:t>costs</w:t>
            </w: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vMerge w:val="restart"/>
          </w:tcPr>
          <w:p>
            <w:pPr>
              <w:spacing w:after="0"/>
              <w:rPr>
                <w:sz w:val="20"/>
                <w:szCs w:val="20"/>
                <w:color w:val="auto"/>
              </w:rPr>
            </w:pPr>
            <w:r>
              <w:rPr>
                <w:rFonts w:ascii="Courier New" w:cs="Courier New" w:eastAsia="Courier New" w:hAnsi="Courier New"/>
                <w:sz w:val="17"/>
                <w:szCs w:val="17"/>
                <w:color w:val="auto"/>
              </w:rPr>
              <w:t>Total operating expenses</w:t>
            </w:r>
          </w:p>
        </w:tc>
        <w:tc>
          <w:tcPr>
            <w:tcW w:w="260" w:type="dxa"/>
            <w:vAlign w:val="bottom"/>
          </w:tcPr>
          <w:p>
            <w:pPr>
              <w:ind w:left="140"/>
              <w:spacing w:after="0"/>
              <w:rPr>
                <w:sz w:val="20"/>
                <w:szCs w:val="20"/>
                <w:color w:val="auto"/>
              </w:rPr>
            </w:pPr>
            <w:r>
              <w:rPr>
                <w:rFonts w:ascii="Courier New" w:cs="Courier New" w:eastAsia="Courier New" w:hAnsi="Courier New"/>
                <w:sz w:val="2"/>
                <w:szCs w:val="2"/>
                <w:color w:val="auto"/>
              </w:rPr>
              <w:t>--------</w:t>
            </w:r>
          </w:p>
        </w:tc>
        <w:tc>
          <w:tcPr>
            <w:tcW w:w="8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w w:val="95"/>
              </w:rPr>
              <w:t>495,922</w:t>
            </w:r>
          </w:p>
        </w:tc>
        <w:tc>
          <w:tcPr>
            <w:tcW w:w="14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2200" w:type="dxa"/>
            <w:vAlign w:val="bottom"/>
            <w:gridSpan w:val="2"/>
          </w:tcPr>
          <w:p>
            <w:pPr>
              <w:jc w:val="right"/>
              <w:ind w:right="53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1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(7,481)</w:t>
            </w:r>
          </w:p>
        </w:tc>
        <w:tc>
          <w:tcPr>
            <w:tcW w:w="880" w:type="dxa"/>
            <w:vAlign w:val="bottom"/>
          </w:tcPr>
          <w:p>
            <w:pPr>
              <w:spacing w:after="0"/>
              <w:rPr>
                <w:sz w:val="17"/>
                <w:szCs w:val="17"/>
                <w:color w:val="auto"/>
              </w:rPr>
            </w:pPr>
          </w:p>
        </w:tc>
        <w:tc>
          <w:tcPr>
            <w:tcW w:w="1320" w:type="dxa"/>
            <w:vAlign w:val="bottom"/>
          </w:tcPr>
          <w:p>
            <w:pPr>
              <w:jc w:val="right"/>
              <w:ind w:right="415"/>
              <w:spacing w:after="0"/>
              <w:rPr>
                <w:sz w:val="20"/>
                <w:szCs w:val="20"/>
                <w:color w:val="auto"/>
              </w:rPr>
            </w:pPr>
            <w:r>
              <w:rPr>
                <w:rFonts w:ascii="Courier New" w:cs="Courier New" w:eastAsia="Courier New" w:hAnsi="Courier New"/>
                <w:sz w:val="17"/>
                <w:szCs w:val="17"/>
                <w:color w:val="auto"/>
                <w:w w:val="97"/>
              </w:rPr>
              <w:t>(12,595)</w:t>
            </w:r>
          </w:p>
        </w:tc>
        <w:tc>
          <w:tcPr>
            <w:tcW w:w="460" w:type="dxa"/>
            <w:vAlign w:val="bottom"/>
          </w:tcPr>
          <w:p>
            <w:pPr>
              <w:spacing w:after="0"/>
              <w:rPr>
                <w:sz w:val="17"/>
                <w:szCs w:val="17"/>
                <w:color w:val="auto"/>
              </w:rPr>
            </w:pPr>
          </w:p>
        </w:tc>
        <w:tc>
          <w:tcPr>
            <w:tcW w:w="8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475,846</w:t>
            </w:r>
          </w:p>
        </w:tc>
        <w:tc>
          <w:tcPr>
            <w:tcW w:w="0" w:type="dxa"/>
            <w:vAlign w:val="bottom"/>
          </w:tcPr>
          <w:p>
            <w:pPr>
              <w:spacing w:after="0"/>
              <w:rPr>
                <w:sz w:val="1"/>
                <w:szCs w:val="1"/>
                <w:color w:val="auto"/>
              </w:rPr>
            </w:pPr>
          </w:p>
        </w:tc>
      </w:tr>
      <w:tr>
        <w:trPr>
          <w:trHeight w:val="196"/>
        </w:trPr>
        <w:tc>
          <w:tcPr>
            <w:tcW w:w="3120" w:type="dxa"/>
            <w:vAlign w:val="bottom"/>
            <w:vMerge w:val="restart"/>
          </w:tcPr>
          <w:p>
            <w:pPr>
              <w:spacing w:after="0"/>
              <w:rPr>
                <w:sz w:val="20"/>
                <w:szCs w:val="20"/>
                <w:color w:val="auto"/>
              </w:rPr>
            </w:pPr>
            <w:r>
              <w:rPr>
                <w:rFonts w:ascii="Courier New" w:cs="Courier New" w:eastAsia="Courier New" w:hAnsi="Courier New"/>
                <w:sz w:val="17"/>
                <w:szCs w:val="17"/>
                <w:color w:val="auto"/>
              </w:rPr>
              <w:t>Operating income</w:t>
            </w:r>
          </w:p>
        </w:tc>
        <w:tc>
          <w:tcPr>
            <w:tcW w:w="260" w:type="dxa"/>
            <w:vAlign w:val="bottom"/>
          </w:tcPr>
          <w:p>
            <w:pPr>
              <w:ind w:left="140"/>
              <w:spacing w:after="0"/>
              <w:rPr>
                <w:sz w:val="20"/>
                <w:szCs w:val="20"/>
                <w:color w:val="auto"/>
              </w:rPr>
            </w:pPr>
            <w:r>
              <w:rPr>
                <w:rFonts w:ascii="Courier New" w:cs="Courier New" w:eastAsia="Courier New" w:hAnsi="Courier New"/>
                <w:sz w:val="2"/>
                <w:szCs w:val="2"/>
                <w:color w:val="auto"/>
              </w:rPr>
              <w:t>--------</w:t>
            </w:r>
          </w:p>
        </w:tc>
        <w:tc>
          <w:tcPr>
            <w:tcW w:w="8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77,396</w:t>
            </w:r>
          </w:p>
        </w:tc>
        <w:tc>
          <w:tcPr>
            <w:tcW w:w="14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2200" w:type="dxa"/>
            <w:vAlign w:val="bottom"/>
            <w:gridSpan w:val="2"/>
          </w:tcPr>
          <w:p>
            <w:pPr>
              <w:jc w:val="right"/>
              <w:ind w:right="53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1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7,481</w:t>
            </w:r>
          </w:p>
        </w:tc>
        <w:tc>
          <w:tcPr>
            <w:tcW w:w="880" w:type="dxa"/>
            <w:vAlign w:val="bottom"/>
          </w:tcPr>
          <w:p>
            <w:pPr>
              <w:spacing w:after="0"/>
              <w:rPr>
                <w:sz w:val="17"/>
                <w:szCs w:val="17"/>
                <w:color w:val="auto"/>
              </w:rPr>
            </w:pPr>
          </w:p>
        </w:tc>
        <w:tc>
          <w:tcPr>
            <w:tcW w:w="132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12,595</w:t>
            </w:r>
          </w:p>
        </w:tc>
        <w:tc>
          <w:tcPr>
            <w:tcW w:w="460" w:type="dxa"/>
            <w:vAlign w:val="bottom"/>
          </w:tcPr>
          <w:p>
            <w:pPr>
              <w:spacing w:after="0"/>
              <w:rPr>
                <w:sz w:val="17"/>
                <w:szCs w:val="17"/>
                <w:color w:val="auto"/>
              </w:rPr>
            </w:pPr>
          </w:p>
        </w:tc>
        <w:tc>
          <w:tcPr>
            <w:tcW w:w="8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97,472</w:t>
            </w:r>
          </w:p>
        </w:tc>
        <w:tc>
          <w:tcPr>
            <w:tcW w:w="0" w:type="dxa"/>
            <w:vAlign w:val="bottom"/>
          </w:tcPr>
          <w:p>
            <w:pPr>
              <w:spacing w:after="0"/>
              <w:rPr>
                <w:sz w:val="1"/>
                <w:szCs w:val="1"/>
                <w:color w:val="auto"/>
              </w:rPr>
            </w:pPr>
          </w:p>
        </w:tc>
      </w:tr>
      <w:tr>
        <w:trPr>
          <w:trHeight w:val="196"/>
        </w:trPr>
        <w:tc>
          <w:tcPr>
            <w:tcW w:w="3120" w:type="dxa"/>
            <w:vAlign w:val="bottom"/>
            <w:vMerge w:val="restart"/>
          </w:tcPr>
          <w:p>
            <w:pPr>
              <w:spacing w:after="0"/>
              <w:rPr>
                <w:sz w:val="20"/>
                <w:szCs w:val="20"/>
                <w:color w:val="auto"/>
              </w:rPr>
            </w:pPr>
            <w:r>
              <w:rPr>
                <w:rFonts w:ascii="Courier New" w:cs="Courier New" w:eastAsia="Courier New" w:hAnsi="Courier New"/>
                <w:sz w:val="17"/>
                <w:szCs w:val="17"/>
                <w:color w:val="auto"/>
              </w:rPr>
              <w:t>Income taxes</w:t>
            </w:r>
          </w:p>
        </w:tc>
        <w:tc>
          <w:tcPr>
            <w:tcW w:w="260" w:type="dxa"/>
            <w:vAlign w:val="bottom"/>
          </w:tcPr>
          <w:p>
            <w:pPr>
              <w:ind w:left="140"/>
              <w:spacing w:after="0"/>
              <w:rPr>
                <w:sz w:val="20"/>
                <w:szCs w:val="20"/>
                <w:color w:val="auto"/>
              </w:rPr>
            </w:pPr>
            <w:r>
              <w:rPr>
                <w:rFonts w:ascii="Courier New" w:cs="Courier New" w:eastAsia="Courier New" w:hAnsi="Courier New"/>
                <w:sz w:val="2"/>
                <w:szCs w:val="2"/>
                <w:color w:val="auto"/>
              </w:rPr>
              <w:t>--------</w:t>
            </w:r>
          </w:p>
        </w:tc>
        <w:tc>
          <w:tcPr>
            <w:tcW w:w="8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16,956</w:t>
            </w:r>
          </w:p>
        </w:tc>
        <w:tc>
          <w:tcPr>
            <w:tcW w:w="14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2200" w:type="dxa"/>
            <w:vAlign w:val="bottom"/>
            <w:gridSpan w:val="2"/>
          </w:tcPr>
          <w:p>
            <w:pPr>
              <w:jc w:val="right"/>
              <w:ind w:right="53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1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spacing w:after="0"/>
              <w:rPr>
                <w:sz w:val="17"/>
                <w:szCs w:val="17"/>
                <w:color w:val="auto"/>
              </w:rPr>
            </w:pPr>
          </w:p>
        </w:tc>
        <w:tc>
          <w:tcPr>
            <w:tcW w:w="132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4,010</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20,966</w:t>
            </w:r>
          </w:p>
        </w:tc>
        <w:tc>
          <w:tcPr>
            <w:tcW w:w="0" w:type="dxa"/>
            <w:vAlign w:val="bottom"/>
          </w:tcPr>
          <w:p>
            <w:pPr>
              <w:spacing w:after="0"/>
              <w:rPr>
                <w:sz w:val="1"/>
                <w:szCs w:val="1"/>
                <w:color w:val="auto"/>
              </w:rPr>
            </w:pPr>
          </w:p>
        </w:tc>
      </w:tr>
      <w:tr>
        <w:trPr>
          <w:trHeight w:val="196"/>
        </w:trPr>
        <w:tc>
          <w:tcPr>
            <w:tcW w:w="3120" w:type="dxa"/>
            <w:vAlign w:val="bottom"/>
            <w:vMerge w:val="restart"/>
          </w:tcPr>
          <w:p>
            <w:pPr>
              <w:spacing w:after="0"/>
              <w:rPr>
                <w:sz w:val="20"/>
                <w:szCs w:val="20"/>
                <w:color w:val="auto"/>
              </w:rPr>
            </w:pPr>
            <w:r>
              <w:rPr>
                <w:rFonts w:ascii="Courier New" w:cs="Courier New" w:eastAsia="Courier New" w:hAnsi="Courier New"/>
                <w:sz w:val="17"/>
                <w:szCs w:val="17"/>
                <w:color w:val="auto"/>
              </w:rPr>
              <w:t>Net income</w:t>
            </w:r>
          </w:p>
        </w:tc>
        <w:tc>
          <w:tcPr>
            <w:tcW w:w="260" w:type="dxa"/>
            <w:vAlign w:val="bottom"/>
            <w:vMerge w:val="restart"/>
          </w:tcPr>
          <w:p>
            <w:pPr>
              <w:ind w:left="140"/>
              <w:spacing w:after="0"/>
              <w:rPr>
                <w:sz w:val="20"/>
                <w:szCs w:val="20"/>
                <w:color w:val="auto"/>
              </w:rPr>
            </w:pPr>
            <w:r>
              <w:rPr>
                <w:rFonts w:ascii="Courier New" w:cs="Courier New" w:eastAsia="Courier New" w:hAnsi="Courier New"/>
                <w:sz w:val="4"/>
                <w:szCs w:val="4"/>
                <w:color w:val="auto"/>
                <w:w w:val="88"/>
                <w:vertAlign w:val="subscript"/>
              </w:rPr>
              <w:t>$</w:t>
            </w:r>
            <w:r>
              <w:rPr>
                <w:rFonts w:ascii="Courier New" w:cs="Courier New" w:eastAsia="Courier New" w:hAnsi="Courier New"/>
                <w:sz w:val="2"/>
                <w:szCs w:val="2"/>
                <w:color w:val="auto"/>
                <w:w w:val="88"/>
              </w:rPr>
              <w:t>--------</w:t>
            </w:r>
          </w:p>
        </w:tc>
        <w:tc>
          <w:tcPr>
            <w:tcW w:w="8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67,799</w:t>
            </w:r>
          </w:p>
        </w:tc>
        <w:tc>
          <w:tcPr>
            <w:tcW w:w="14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2200" w:type="dxa"/>
            <w:vAlign w:val="bottom"/>
            <w:gridSpan w:val="2"/>
          </w:tcPr>
          <w:p>
            <w:pPr>
              <w:jc w:val="right"/>
              <w:ind w:right="53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1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4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$ 7,481</w:t>
            </w:r>
          </w:p>
        </w:tc>
        <w:tc>
          <w:tcPr>
            <w:tcW w:w="2200" w:type="dxa"/>
            <w:vAlign w:val="bottom"/>
            <w:gridSpan w:val="2"/>
          </w:tcPr>
          <w:p>
            <w:pPr>
              <w:jc w:val="right"/>
              <w:ind w:right="535"/>
              <w:spacing w:after="0"/>
              <w:rPr>
                <w:sz w:val="20"/>
                <w:szCs w:val="20"/>
                <w:color w:val="auto"/>
              </w:rPr>
            </w:pPr>
            <w:r>
              <w:rPr>
                <w:rFonts w:ascii="Courier New" w:cs="Courier New" w:eastAsia="Courier New" w:hAnsi="Courier New"/>
                <w:sz w:val="17"/>
                <w:szCs w:val="17"/>
                <w:color w:val="auto"/>
              </w:rPr>
              <w:t>$ 12,595</w:t>
            </w:r>
          </w:p>
        </w:tc>
        <w:tc>
          <w:tcPr>
            <w:tcW w:w="12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$(4,010)</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$ 83,865</w:t>
            </w:r>
          </w:p>
        </w:tc>
        <w:tc>
          <w:tcPr>
            <w:tcW w:w="0" w:type="dxa"/>
            <w:vAlign w:val="bottom"/>
          </w:tcPr>
          <w:p>
            <w:pPr>
              <w:spacing w:after="0"/>
              <w:rPr>
                <w:sz w:val="1"/>
                <w:szCs w:val="1"/>
                <w:color w:val="auto"/>
              </w:rPr>
            </w:pPr>
          </w:p>
        </w:tc>
      </w:tr>
      <w:tr>
        <w:trPr>
          <w:trHeight w:val="286"/>
        </w:trPr>
        <w:tc>
          <w:tcPr>
            <w:tcW w:w="3120" w:type="dxa"/>
            <w:vAlign w:val="bottom"/>
          </w:tcPr>
          <w:p>
            <w:pPr>
              <w:spacing w:after="0"/>
              <w:rPr>
                <w:sz w:val="24"/>
                <w:szCs w:val="24"/>
                <w:color w:val="auto"/>
              </w:rPr>
            </w:pPr>
          </w:p>
        </w:tc>
        <w:tc>
          <w:tcPr>
            <w:tcW w:w="11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2200" w:type="dxa"/>
            <w:vAlign w:val="bottom"/>
            <w:gridSpan w:val="2"/>
          </w:tcPr>
          <w:p>
            <w:pPr>
              <w:jc w:val="right"/>
              <w:ind w:right="53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ectPr>
          <w:pgSz w:w="11900" w:h="16838" w:orient="portrait"/>
          <w:cols w:equalWidth="0" w:num="1">
            <w:col w:w="11120"/>
          </w:cols>
          <w:pgMar w:left="240" w:top="674" w:right="539" w:bottom="599" w:gutter="0" w:footer="0" w:header="0"/>
        </w:sectPr>
      </w:pPr>
    </w:p>
    <w:bookmarkStart w:id="13" w:name="page14"/>
    <w:bookmarkEnd w:id="13"/>
    <w:p>
      <w:pPr>
        <w:jc w:val="center"/>
        <w:ind w:right="3340"/>
        <w:spacing w:after="0"/>
        <w:rPr>
          <w:sz w:val="20"/>
          <w:szCs w:val="20"/>
          <w:color w:val="auto"/>
        </w:rPr>
      </w:pPr>
      <w:r>
        <w:rPr>
          <w:rFonts w:ascii="Courier New" w:cs="Courier New" w:eastAsia="Courier New" w:hAnsi="Courier New"/>
          <w:sz w:val="17"/>
          <w:szCs w:val="17"/>
          <w:color w:val="auto"/>
        </w:rPr>
        <w:t>AMDOCS LIMITED</w:t>
      </w:r>
    </w:p>
    <w:p>
      <w:pPr>
        <w:spacing w:after="0" w:line="200"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7"/>
          <w:szCs w:val="17"/>
          <w:color w:val="auto"/>
        </w:rPr>
        <w:t>RECONCILIATION OF SELECTED FINANCIAL METRICS FROM GAAP TO NON-GAAP</w:t>
      </w:r>
    </w:p>
    <w:p>
      <w:pPr>
        <w:spacing w:after="0" w:line="20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w w:val="99"/>
              </w:rPr>
              <w:t>TWELVE MONTHS ENDED</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SEPTEMBER 30, 2006</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8460" w:type="dxa"/>
            <w:vAlign w:val="bottom"/>
            <w:gridSpan w:val="1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RECONCILIATION ITEMS</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920" w:type="dxa"/>
            <w:vAlign w:val="bottom"/>
            <w:gridSpan w:val="8"/>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80" w:type="dxa"/>
            <w:vAlign w:val="bottom"/>
            <w:gridSpan w:val="2"/>
          </w:tcPr>
          <w:p>
            <w:pPr>
              <w:jc w:val="center"/>
              <w:ind w:right="55"/>
              <w:spacing w:after="0"/>
              <w:rPr>
                <w:sz w:val="20"/>
                <w:szCs w:val="20"/>
                <w:color w:val="auto"/>
              </w:rPr>
            </w:pPr>
            <w:r>
              <w:rPr>
                <w:rFonts w:ascii="Courier New" w:cs="Courier New" w:eastAsia="Courier New" w:hAnsi="Courier New"/>
                <w:sz w:val="17"/>
                <w:szCs w:val="17"/>
                <w:color w:val="auto"/>
                <w:w w:val="99"/>
              </w:rPr>
              <w:t>AMORTIZATION</w:t>
            </w:r>
          </w:p>
        </w:tc>
        <w:tc>
          <w:tcPr>
            <w:tcW w:w="1340" w:type="dxa"/>
            <w:vAlign w:val="bottom"/>
            <w:gridSpan w:val="2"/>
            <w:vMerge w:val="restart"/>
          </w:tcPr>
          <w:p>
            <w:pPr>
              <w:jc w:val="right"/>
              <w:ind w:right="135"/>
              <w:spacing w:after="0"/>
              <w:rPr>
                <w:sz w:val="20"/>
                <w:szCs w:val="20"/>
                <w:color w:val="auto"/>
              </w:rPr>
            </w:pPr>
            <w:r>
              <w:rPr>
                <w:rFonts w:ascii="Courier New" w:cs="Courier New" w:eastAsia="Courier New" w:hAnsi="Courier New"/>
                <w:sz w:val="17"/>
                <w:szCs w:val="17"/>
                <w:color w:val="auto"/>
              </w:rPr>
              <w:t>IN-PROCESS</w:t>
            </w:r>
          </w:p>
        </w:tc>
        <w:tc>
          <w:tcPr>
            <w:tcW w:w="1520" w:type="dxa"/>
            <w:vAlign w:val="bottom"/>
            <w:gridSpan w:val="2"/>
            <w:vMerge w:val="restart"/>
          </w:tcPr>
          <w:p>
            <w:pPr>
              <w:jc w:val="right"/>
              <w:ind w:right="15"/>
              <w:spacing w:after="0"/>
              <w:rPr>
                <w:sz w:val="20"/>
                <w:szCs w:val="20"/>
                <w:color w:val="auto"/>
              </w:rPr>
            </w:pPr>
            <w:r>
              <w:rPr>
                <w:rFonts w:ascii="Courier New" w:cs="Courier New" w:eastAsia="Courier New" w:hAnsi="Courier New"/>
                <w:sz w:val="17"/>
                <w:szCs w:val="17"/>
                <w:color w:val="auto"/>
              </w:rPr>
              <w:t>EQUITY BASED</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80" w:type="dxa"/>
            <w:vAlign w:val="bottom"/>
            <w:gridSpan w:val="2"/>
          </w:tcPr>
          <w:p>
            <w:pPr>
              <w:jc w:val="center"/>
              <w:ind w:right="55"/>
              <w:spacing w:after="0"/>
              <w:rPr>
                <w:sz w:val="20"/>
                <w:szCs w:val="20"/>
                <w:color w:val="auto"/>
              </w:rPr>
            </w:pPr>
            <w:r>
              <w:rPr>
                <w:rFonts w:ascii="Courier New" w:cs="Courier New" w:eastAsia="Courier New" w:hAnsi="Courier New"/>
                <w:sz w:val="17"/>
                <w:szCs w:val="17"/>
                <w:color w:val="auto"/>
                <w:w w:val="99"/>
              </w:rPr>
              <w:t>OF PURCHASED</w:t>
            </w:r>
          </w:p>
        </w:tc>
        <w:tc>
          <w:tcPr>
            <w:tcW w:w="134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restart"/>
          </w:tcPr>
          <w:p>
            <w:pPr>
              <w:jc w:val="right"/>
              <w:ind w:right="375"/>
              <w:spacing w:after="0"/>
              <w:rPr>
                <w:sz w:val="20"/>
                <w:szCs w:val="20"/>
                <w:color w:val="auto"/>
              </w:rPr>
            </w:pPr>
            <w:r>
              <w:rPr>
                <w:rFonts w:ascii="Courier New" w:cs="Courier New" w:eastAsia="Courier New" w:hAnsi="Courier New"/>
                <w:sz w:val="17"/>
                <w:szCs w:val="17"/>
                <w:color w:val="auto"/>
              </w:rPr>
              <w:t>GAAP</w:t>
            </w:r>
          </w:p>
        </w:tc>
        <w:tc>
          <w:tcPr>
            <w:tcW w:w="1680" w:type="dxa"/>
            <w:vAlign w:val="bottom"/>
            <w:gridSpan w:val="2"/>
          </w:tcPr>
          <w:p>
            <w:pPr>
              <w:jc w:val="center"/>
              <w:ind w:right="55"/>
              <w:spacing w:after="0"/>
              <w:rPr>
                <w:sz w:val="20"/>
                <w:szCs w:val="20"/>
                <w:color w:val="auto"/>
              </w:rPr>
            </w:pPr>
            <w:r>
              <w:rPr>
                <w:rFonts w:ascii="Courier New" w:cs="Courier New" w:eastAsia="Courier New" w:hAnsi="Courier New"/>
                <w:sz w:val="17"/>
                <w:szCs w:val="17"/>
                <w:color w:val="auto"/>
                <w:w w:val="99"/>
              </w:rPr>
              <w:t>INTANGIBLE</w:t>
            </w:r>
          </w:p>
        </w:tc>
        <w:tc>
          <w:tcPr>
            <w:tcW w:w="13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w w:val="99"/>
              </w:rPr>
              <w:t>RESEARCH AND</w:t>
            </w:r>
          </w:p>
        </w:tc>
        <w:tc>
          <w:tcPr>
            <w:tcW w:w="15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COMPENSATION</w:t>
            </w:r>
          </w:p>
        </w:tc>
        <w:tc>
          <w:tcPr>
            <w:tcW w:w="1380" w:type="dxa"/>
            <w:vAlign w:val="bottom"/>
            <w:gridSpan w:val="2"/>
            <w:vMerge w:val="restart"/>
          </w:tcPr>
          <w:p>
            <w:pPr>
              <w:jc w:val="right"/>
              <w:ind w:right="75"/>
              <w:spacing w:after="0"/>
              <w:rPr>
                <w:sz w:val="20"/>
                <w:szCs w:val="20"/>
                <w:color w:val="auto"/>
              </w:rPr>
            </w:pPr>
            <w:r>
              <w:rPr>
                <w:rFonts w:ascii="Courier New" w:cs="Courier New" w:eastAsia="Courier New" w:hAnsi="Courier New"/>
                <w:sz w:val="17"/>
                <w:szCs w:val="17"/>
                <w:color w:val="auto"/>
              </w:rPr>
              <w:t>TAX EFFECT</w:t>
            </w: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7"/>
              </w:rPr>
              <w:t>NON-GAAP</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680" w:type="dxa"/>
            <w:vAlign w:val="bottom"/>
            <w:gridSpan w:val="2"/>
          </w:tcPr>
          <w:p>
            <w:pPr>
              <w:jc w:val="center"/>
              <w:ind w:right="55"/>
              <w:spacing w:after="0"/>
              <w:rPr>
                <w:sz w:val="20"/>
                <w:szCs w:val="20"/>
                <w:color w:val="auto"/>
              </w:rPr>
            </w:pPr>
            <w:r>
              <w:rPr>
                <w:rFonts w:ascii="Courier New" w:cs="Courier New" w:eastAsia="Courier New" w:hAnsi="Courier New"/>
                <w:sz w:val="17"/>
                <w:szCs w:val="17"/>
                <w:color w:val="auto"/>
              </w:rPr>
              <w:t>ASSETS</w:t>
            </w:r>
          </w:p>
        </w:tc>
        <w:tc>
          <w:tcPr>
            <w:tcW w:w="13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w w:val="97"/>
              </w:rPr>
              <w:t>DEVELOPMENT</w:t>
            </w:r>
          </w:p>
        </w:tc>
        <w:tc>
          <w:tcPr>
            <w:tcW w:w="15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EXPENSE</w:t>
            </w:r>
          </w:p>
        </w:tc>
        <w:tc>
          <w:tcPr>
            <w:tcW w:w="13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3060" w:type="dxa"/>
            <w:vAlign w:val="bottom"/>
          </w:tcPr>
          <w:p>
            <w:pPr>
              <w:spacing w:after="0"/>
              <w:rPr>
                <w:sz w:val="24"/>
                <w:szCs w:val="24"/>
                <w:color w:val="auto"/>
              </w:rPr>
            </w:pPr>
          </w:p>
        </w:tc>
        <w:tc>
          <w:tcPr>
            <w:tcW w:w="13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3020" w:type="dxa"/>
            <w:vAlign w:val="bottom"/>
            <w:gridSpan w:val="4"/>
          </w:tcPr>
          <w:p>
            <w:pPr>
              <w:ind w:left="160"/>
              <w:spacing w:after="0"/>
              <w:rPr>
                <w:sz w:val="20"/>
                <w:szCs w:val="20"/>
                <w:color w:val="auto"/>
              </w:rPr>
            </w:pPr>
            <w:r>
              <w:rPr>
                <w:rFonts w:ascii="Courier New" w:cs="Courier New" w:eastAsia="Courier New" w:hAnsi="Courier New"/>
                <w:sz w:val="17"/>
                <w:szCs w:val="17"/>
                <w:color w:val="auto"/>
              </w:rPr>
              <w:t>------------   ------------</w:t>
            </w:r>
          </w:p>
        </w:tc>
        <w:tc>
          <w:tcPr>
            <w:tcW w:w="15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306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320" w:type="dxa"/>
            <w:vAlign w:val="bottom"/>
            <w:vMerge w:val="restart"/>
          </w:tcPr>
          <w:p>
            <w:pPr>
              <w:ind w:left="200"/>
              <w:spacing w:after="0"/>
              <w:rPr>
                <w:sz w:val="20"/>
                <w:szCs w:val="20"/>
                <w:color w:val="auto"/>
              </w:rPr>
            </w:pPr>
            <w:r>
              <w:rPr>
                <w:rFonts w:ascii="Courier New" w:cs="Courier New" w:eastAsia="Courier New" w:hAnsi="Courier New"/>
                <w:sz w:val="17"/>
                <w:szCs w:val="17"/>
                <w:color w:val="auto"/>
                <w:w w:val="97"/>
              </w:rPr>
              <w:t>$</w:t>
            </w:r>
          </w:p>
        </w:tc>
        <w:tc>
          <w:tcPr>
            <w:tcW w:w="10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4,003</w:t>
            </w:r>
          </w:p>
        </w:tc>
        <w:tc>
          <w:tcPr>
            <w:tcW w:w="660" w:type="dxa"/>
            <w:vAlign w:val="bottom"/>
            <w:vMerge w:val="restart"/>
          </w:tcPr>
          <w:p>
            <w:pPr>
              <w:ind w:left="360"/>
              <w:spacing w:after="0"/>
              <w:rPr>
                <w:sz w:val="20"/>
                <w:szCs w:val="20"/>
                <w:color w:val="auto"/>
              </w:rPr>
            </w:pPr>
            <w:r>
              <w:rPr>
                <w:rFonts w:ascii="Courier New" w:cs="Courier New" w:eastAsia="Courier New" w:hAnsi="Courier New"/>
                <w:sz w:val="17"/>
                <w:szCs w:val="17"/>
                <w:color w:val="auto"/>
              </w:rPr>
              <w:t>$</w:t>
            </w:r>
          </w:p>
        </w:tc>
        <w:tc>
          <w:tcPr>
            <w:tcW w:w="1020" w:type="dxa"/>
            <w:vAlign w:val="bottom"/>
            <w:vMerge w:val="restart"/>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3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vMerge w:val="restart"/>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020" w:type="dxa"/>
            <w:vAlign w:val="bottom"/>
            <w:vMerge w:val="restart"/>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50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w w:val="87"/>
              </w:rPr>
              <w:t>--</w:t>
            </w:r>
          </w:p>
        </w:tc>
        <w:tc>
          <w:tcPr>
            <w:tcW w:w="3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260" w:type="dxa"/>
            <w:vAlign w:val="bottom"/>
            <w:vMerge w:val="restart"/>
          </w:tcPr>
          <w:p>
            <w:pPr>
              <w:ind w:left="16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4,003</w:t>
            </w:r>
          </w:p>
        </w:tc>
        <w:tc>
          <w:tcPr>
            <w:tcW w:w="0" w:type="dxa"/>
            <w:vAlign w:val="bottom"/>
          </w:tcPr>
          <w:p>
            <w:pPr>
              <w:spacing w:after="0"/>
              <w:rPr>
                <w:sz w:val="1"/>
                <w:szCs w:val="1"/>
                <w:color w:val="auto"/>
              </w:rPr>
            </w:pPr>
          </w:p>
        </w:tc>
      </w:tr>
      <w:tr>
        <w:trPr>
          <w:trHeight w:val="196"/>
        </w:trPr>
        <w:tc>
          <w:tcPr>
            <w:tcW w:w="3060" w:type="dxa"/>
            <w:vAlign w:val="bottom"/>
          </w:tcPr>
          <w:p>
            <w:pPr>
              <w:ind w:left="320"/>
              <w:spacing w:after="0"/>
              <w:rPr>
                <w:sz w:val="20"/>
                <w:szCs w:val="20"/>
                <w:color w:val="auto"/>
              </w:rPr>
            </w:pPr>
            <w:r>
              <w:rPr>
                <w:rFonts w:ascii="Courier New" w:cs="Courier New" w:eastAsia="Courier New" w:hAnsi="Courier New"/>
                <w:sz w:val="17"/>
                <w:szCs w:val="17"/>
                <w:color w:val="auto"/>
              </w:rPr>
              <w:t>Cost of license</w:t>
            </w:r>
          </w:p>
        </w:tc>
        <w:tc>
          <w:tcPr>
            <w:tcW w:w="3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ind w:left="320"/>
              <w:spacing w:after="0"/>
              <w:rPr>
                <w:sz w:val="20"/>
                <w:szCs w:val="20"/>
                <w:color w:val="auto"/>
              </w:rPr>
            </w:pPr>
            <w:r>
              <w:rPr>
                <w:rFonts w:ascii="Courier New" w:cs="Courier New" w:eastAsia="Courier New" w:hAnsi="Courier New"/>
                <w:sz w:val="17"/>
                <w:szCs w:val="17"/>
                <w:color w:val="auto"/>
              </w:rPr>
              <w:t>Cost of service</w:t>
            </w:r>
          </w:p>
        </w:tc>
        <w:tc>
          <w:tcPr>
            <w:tcW w:w="320" w:type="dxa"/>
            <w:vAlign w:val="bottom"/>
          </w:tcPr>
          <w:p>
            <w:pPr>
              <w:spacing w:after="0"/>
              <w:rPr>
                <w:sz w:val="17"/>
                <w:szCs w:val="17"/>
                <w:color w:val="auto"/>
              </w:rPr>
            </w:pPr>
          </w:p>
        </w:tc>
        <w:tc>
          <w:tcPr>
            <w:tcW w:w="10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5"/>
              </w:rPr>
              <w:t>1,579,823</w:t>
            </w:r>
          </w:p>
        </w:tc>
        <w:tc>
          <w:tcPr>
            <w:tcW w:w="660" w:type="dxa"/>
            <w:vAlign w:val="bottom"/>
          </w:tcPr>
          <w:p>
            <w:pPr>
              <w:spacing w:after="0"/>
              <w:rPr>
                <w:sz w:val="17"/>
                <w:szCs w:val="17"/>
                <w:color w:val="auto"/>
              </w:rPr>
            </w:pPr>
          </w:p>
        </w:tc>
        <w:tc>
          <w:tcPr>
            <w:tcW w:w="10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(18,042)</w:t>
            </w:r>
          </w:p>
        </w:tc>
        <w:tc>
          <w:tcPr>
            <w:tcW w:w="360" w:type="dxa"/>
            <w:vAlign w:val="bottom"/>
          </w:tcPr>
          <w:p>
            <w:pPr>
              <w:spacing w:after="0"/>
              <w:rPr>
                <w:sz w:val="17"/>
                <w:szCs w:val="17"/>
                <w:color w:val="auto"/>
              </w:rPr>
            </w:pP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5"/>
              </w:rPr>
              <w:t>1,561,781</w:t>
            </w:r>
          </w:p>
        </w:tc>
        <w:tc>
          <w:tcPr>
            <w:tcW w:w="0" w:type="dxa"/>
            <w:vAlign w:val="bottom"/>
          </w:tcPr>
          <w:p>
            <w:pPr>
              <w:spacing w:after="0"/>
              <w:rPr>
                <w:sz w:val="1"/>
                <w:szCs w:val="1"/>
                <w:color w:val="auto"/>
              </w:rPr>
            </w:pPr>
          </w:p>
        </w:tc>
      </w:tr>
      <w:tr>
        <w:trPr>
          <w:trHeight w:val="196"/>
        </w:trPr>
        <w:tc>
          <w:tcPr>
            <w:tcW w:w="3060" w:type="dxa"/>
            <w:vAlign w:val="bottom"/>
          </w:tcPr>
          <w:p>
            <w:pPr>
              <w:ind w:left="320"/>
              <w:spacing w:after="0"/>
              <w:rPr>
                <w:sz w:val="20"/>
                <w:szCs w:val="20"/>
                <w:color w:val="auto"/>
              </w:rPr>
            </w:pPr>
            <w:r>
              <w:rPr>
                <w:rFonts w:ascii="Courier New" w:cs="Courier New" w:eastAsia="Courier New" w:hAnsi="Courier New"/>
                <w:sz w:val="17"/>
                <w:szCs w:val="17"/>
                <w:color w:val="auto"/>
              </w:rPr>
              <w:t>Research and development</w:t>
            </w:r>
          </w:p>
        </w:tc>
        <w:tc>
          <w:tcPr>
            <w:tcW w:w="320" w:type="dxa"/>
            <w:vAlign w:val="bottom"/>
          </w:tcPr>
          <w:p>
            <w:pPr>
              <w:spacing w:after="0"/>
              <w:rPr>
                <w:sz w:val="17"/>
                <w:szCs w:val="17"/>
                <w:color w:val="auto"/>
              </w:rPr>
            </w:pPr>
          </w:p>
        </w:tc>
        <w:tc>
          <w:tcPr>
            <w:tcW w:w="10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186,760</w:t>
            </w:r>
          </w:p>
        </w:tc>
        <w:tc>
          <w:tcPr>
            <w:tcW w:w="660" w:type="dxa"/>
            <w:vAlign w:val="bottom"/>
          </w:tcPr>
          <w:p>
            <w:pPr>
              <w:spacing w:after="0"/>
              <w:rPr>
                <w:sz w:val="17"/>
                <w:szCs w:val="17"/>
                <w:color w:val="auto"/>
              </w:rPr>
            </w:pPr>
          </w:p>
        </w:tc>
        <w:tc>
          <w:tcPr>
            <w:tcW w:w="10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(4,711)</w:t>
            </w:r>
          </w:p>
        </w:tc>
        <w:tc>
          <w:tcPr>
            <w:tcW w:w="360" w:type="dxa"/>
            <w:vAlign w:val="bottom"/>
          </w:tcPr>
          <w:p>
            <w:pPr>
              <w:spacing w:after="0"/>
              <w:rPr>
                <w:sz w:val="17"/>
                <w:szCs w:val="17"/>
                <w:color w:val="auto"/>
              </w:rPr>
            </w:pP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182,049</w:t>
            </w:r>
          </w:p>
        </w:tc>
        <w:tc>
          <w:tcPr>
            <w:tcW w:w="0" w:type="dxa"/>
            <w:vAlign w:val="bottom"/>
          </w:tcPr>
          <w:p>
            <w:pPr>
              <w:spacing w:after="0"/>
              <w:rPr>
                <w:sz w:val="1"/>
                <w:szCs w:val="1"/>
                <w:color w:val="auto"/>
              </w:rPr>
            </w:pPr>
          </w:p>
        </w:tc>
      </w:tr>
      <w:tr>
        <w:trPr>
          <w:trHeight w:val="196"/>
        </w:trPr>
        <w:tc>
          <w:tcPr>
            <w:tcW w:w="3060" w:type="dxa"/>
            <w:vAlign w:val="bottom"/>
          </w:tcPr>
          <w:p>
            <w:pPr>
              <w:ind w:left="320"/>
              <w:spacing w:after="0"/>
              <w:rPr>
                <w:sz w:val="20"/>
                <w:szCs w:val="20"/>
                <w:color w:val="auto"/>
              </w:rPr>
            </w:pPr>
            <w:r>
              <w:rPr>
                <w:rFonts w:ascii="Courier New" w:cs="Courier New" w:eastAsia="Courier New" w:hAnsi="Courier New"/>
                <w:sz w:val="17"/>
                <w:szCs w:val="17"/>
                <w:color w:val="auto"/>
              </w:rPr>
              <w:t>Selling, general and</w:t>
            </w:r>
          </w:p>
        </w:tc>
        <w:tc>
          <w:tcPr>
            <w:tcW w:w="320" w:type="dxa"/>
            <w:vAlign w:val="bottom"/>
          </w:tcPr>
          <w:p>
            <w:pPr>
              <w:spacing w:after="0"/>
              <w:rPr>
                <w:sz w:val="17"/>
                <w:szCs w:val="17"/>
                <w:color w:val="auto"/>
              </w:rPr>
            </w:pPr>
          </w:p>
        </w:tc>
        <w:tc>
          <w:tcPr>
            <w:tcW w:w="10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313,997</w:t>
            </w:r>
          </w:p>
        </w:tc>
        <w:tc>
          <w:tcPr>
            <w:tcW w:w="660" w:type="dxa"/>
            <w:vAlign w:val="bottom"/>
          </w:tcPr>
          <w:p>
            <w:pPr>
              <w:spacing w:after="0"/>
              <w:rPr>
                <w:sz w:val="17"/>
                <w:szCs w:val="17"/>
                <w:color w:val="auto"/>
              </w:rPr>
            </w:pPr>
          </w:p>
        </w:tc>
        <w:tc>
          <w:tcPr>
            <w:tcW w:w="1020" w:type="dxa"/>
            <w:vAlign w:val="bottom"/>
            <w:vMerge w:val="restart"/>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020" w:type="dxa"/>
            <w:vAlign w:val="bottom"/>
            <w:vMerge w:val="restart"/>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vMerge w:val="restart"/>
          </w:tcPr>
          <w:p>
            <w:pPr>
              <w:jc w:val="right"/>
              <w:ind w:right="115"/>
              <w:spacing w:after="0"/>
              <w:rPr>
                <w:sz w:val="20"/>
                <w:szCs w:val="20"/>
                <w:color w:val="auto"/>
              </w:rPr>
            </w:pPr>
            <w:r>
              <w:rPr>
                <w:rFonts w:ascii="Courier New" w:cs="Courier New" w:eastAsia="Courier New" w:hAnsi="Courier New"/>
                <w:sz w:val="17"/>
                <w:szCs w:val="17"/>
                <w:color w:val="auto"/>
              </w:rPr>
              <w:t>(23,425)</w:t>
            </w:r>
          </w:p>
        </w:tc>
        <w:tc>
          <w:tcPr>
            <w:tcW w:w="360" w:type="dxa"/>
            <w:vAlign w:val="bottom"/>
          </w:tcPr>
          <w:p>
            <w:pPr>
              <w:spacing w:after="0"/>
              <w:rPr>
                <w:sz w:val="17"/>
                <w:szCs w:val="17"/>
                <w:color w:val="auto"/>
              </w:rPr>
            </w:pPr>
          </w:p>
        </w:tc>
        <w:tc>
          <w:tcPr>
            <w:tcW w:w="102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290,572</w:t>
            </w:r>
          </w:p>
        </w:tc>
        <w:tc>
          <w:tcPr>
            <w:tcW w:w="0" w:type="dxa"/>
            <w:vAlign w:val="bottom"/>
          </w:tcPr>
          <w:p>
            <w:pPr>
              <w:spacing w:after="0"/>
              <w:rPr>
                <w:sz w:val="1"/>
                <w:szCs w:val="1"/>
                <w:color w:val="auto"/>
              </w:rPr>
            </w:pPr>
          </w:p>
        </w:tc>
      </w:tr>
      <w:tr>
        <w:trPr>
          <w:trHeight w:val="196"/>
        </w:trPr>
        <w:tc>
          <w:tcPr>
            <w:tcW w:w="3060" w:type="dxa"/>
            <w:vAlign w:val="bottom"/>
          </w:tcPr>
          <w:p>
            <w:pPr>
              <w:ind w:left="620"/>
              <w:spacing w:after="0"/>
              <w:rPr>
                <w:sz w:val="20"/>
                <w:szCs w:val="20"/>
                <w:color w:val="auto"/>
              </w:rPr>
            </w:pPr>
            <w:r>
              <w:rPr>
                <w:rFonts w:ascii="Courier New" w:cs="Courier New" w:eastAsia="Courier New" w:hAnsi="Courier New"/>
                <w:sz w:val="17"/>
                <w:szCs w:val="17"/>
                <w:color w:val="auto"/>
              </w:rPr>
              <w:t>administrative</w:t>
            </w: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ind w:left="320"/>
              <w:spacing w:after="0"/>
              <w:rPr>
                <w:sz w:val="20"/>
                <w:szCs w:val="20"/>
                <w:color w:val="auto"/>
              </w:rPr>
            </w:pPr>
            <w:r>
              <w:rPr>
                <w:rFonts w:ascii="Courier New" w:cs="Courier New" w:eastAsia="Courier New" w:hAnsi="Courier New"/>
                <w:sz w:val="17"/>
                <w:szCs w:val="17"/>
                <w:color w:val="auto"/>
              </w:rPr>
              <w:t>Amortization of purchased</w:t>
            </w:r>
          </w:p>
        </w:tc>
        <w:tc>
          <w:tcPr>
            <w:tcW w:w="320" w:type="dxa"/>
            <w:vAlign w:val="bottom"/>
          </w:tcPr>
          <w:p>
            <w:pPr>
              <w:spacing w:after="0"/>
              <w:rPr>
                <w:sz w:val="17"/>
                <w:szCs w:val="17"/>
                <w:color w:val="auto"/>
              </w:rPr>
            </w:pPr>
          </w:p>
        </w:tc>
        <w:tc>
          <w:tcPr>
            <w:tcW w:w="10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37,610</w:t>
            </w:r>
          </w:p>
        </w:tc>
        <w:tc>
          <w:tcPr>
            <w:tcW w:w="1680" w:type="dxa"/>
            <w:vAlign w:val="bottom"/>
            <w:gridSpan w:val="2"/>
            <w:vMerge w:val="restart"/>
          </w:tcPr>
          <w:p>
            <w:pPr>
              <w:jc w:val="right"/>
              <w:ind w:right="315"/>
              <w:spacing w:after="0"/>
              <w:rPr>
                <w:sz w:val="20"/>
                <w:szCs w:val="20"/>
                <w:color w:val="auto"/>
              </w:rPr>
            </w:pPr>
            <w:r>
              <w:rPr>
                <w:rFonts w:ascii="Courier New" w:cs="Courier New" w:eastAsia="Courier New" w:hAnsi="Courier New"/>
                <w:sz w:val="17"/>
                <w:szCs w:val="17"/>
                <w:color w:val="auto"/>
              </w:rPr>
              <w:t>(37,610)</w:t>
            </w:r>
          </w:p>
        </w:tc>
        <w:tc>
          <w:tcPr>
            <w:tcW w:w="320" w:type="dxa"/>
            <w:vAlign w:val="bottom"/>
          </w:tcPr>
          <w:p>
            <w:pPr>
              <w:spacing w:after="0"/>
              <w:rPr>
                <w:sz w:val="17"/>
                <w:szCs w:val="17"/>
                <w:color w:val="auto"/>
              </w:rPr>
            </w:pPr>
          </w:p>
        </w:tc>
        <w:tc>
          <w:tcPr>
            <w:tcW w:w="1020" w:type="dxa"/>
            <w:vAlign w:val="bottom"/>
            <w:vMerge w:val="restart"/>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spacing w:after="0"/>
              <w:rPr>
                <w:sz w:val="17"/>
                <w:szCs w:val="17"/>
                <w:color w:val="auto"/>
              </w:rPr>
            </w:pPr>
          </w:p>
        </w:tc>
        <w:tc>
          <w:tcPr>
            <w:tcW w:w="50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w w:val="87"/>
              </w:rPr>
              <w:t>--</w:t>
            </w:r>
          </w:p>
        </w:tc>
        <w:tc>
          <w:tcPr>
            <w:tcW w:w="360" w:type="dxa"/>
            <w:vAlign w:val="bottom"/>
          </w:tcPr>
          <w:p>
            <w:pPr>
              <w:spacing w:after="0"/>
              <w:rPr>
                <w:sz w:val="17"/>
                <w:szCs w:val="17"/>
                <w:color w:val="auto"/>
              </w:rPr>
            </w:pPr>
          </w:p>
        </w:tc>
        <w:tc>
          <w:tcPr>
            <w:tcW w:w="102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060" w:type="dxa"/>
            <w:vAlign w:val="bottom"/>
          </w:tcPr>
          <w:p>
            <w:pPr>
              <w:ind w:left="620"/>
              <w:spacing w:after="0"/>
              <w:rPr>
                <w:sz w:val="20"/>
                <w:szCs w:val="20"/>
                <w:color w:val="auto"/>
              </w:rPr>
            </w:pPr>
            <w:r>
              <w:rPr>
                <w:rFonts w:ascii="Courier New" w:cs="Courier New" w:eastAsia="Courier New" w:hAnsi="Courier New"/>
                <w:sz w:val="17"/>
                <w:szCs w:val="17"/>
                <w:color w:val="auto"/>
              </w:rPr>
              <w:t>intangible assets</w:t>
            </w: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ind w:left="320"/>
              <w:spacing w:after="0"/>
              <w:rPr>
                <w:sz w:val="20"/>
                <w:szCs w:val="20"/>
                <w:color w:val="auto"/>
              </w:rPr>
            </w:pPr>
            <w:r>
              <w:rPr>
                <w:rFonts w:ascii="Courier New" w:cs="Courier New" w:eastAsia="Courier New" w:hAnsi="Courier New"/>
                <w:sz w:val="17"/>
                <w:szCs w:val="17"/>
                <w:color w:val="auto"/>
              </w:rPr>
              <w:t>In-process research and</w:t>
            </w:r>
          </w:p>
        </w:tc>
        <w:tc>
          <w:tcPr>
            <w:tcW w:w="320" w:type="dxa"/>
            <w:vAlign w:val="bottom"/>
          </w:tcPr>
          <w:p>
            <w:pPr>
              <w:spacing w:after="0"/>
              <w:rPr>
                <w:sz w:val="17"/>
                <w:szCs w:val="17"/>
                <w:color w:val="auto"/>
              </w:rPr>
            </w:pPr>
          </w:p>
        </w:tc>
        <w:tc>
          <w:tcPr>
            <w:tcW w:w="10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25,725</w:t>
            </w:r>
          </w:p>
        </w:tc>
        <w:tc>
          <w:tcPr>
            <w:tcW w:w="660" w:type="dxa"/>
            <w:vAlign w:val="bottom"/>
          </w:tcPr>
          <w:p>
            <w:pPr>
              <w:spacing w:after="0"/>
              <w:rPr>
                <w:sz w:val="17"/>
                <w:szCs w:val="17"/>
                <w:color w:val="auto"/>
              </w:rPr>
            </w:pPr>
          </w:p>
        </w:tc>
        <w:tc>
          <w:tcPr>
            <w:tcW w:w="1020" w:type="dxa"/>
            <w:vAlign w:val="bottom"/>
            <w:vMerge w:val="restart"/>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020" w:type="dxa"/>
            <w:vAlign w:val="bottom"/>
            <w:vMerge w:val="restart"/>
          </w:tcPr>
          <w:p>
            <w:pPr>
              <w:jc w:val="right"/>
              <w:ind w:right="135"/>
              <w:spacing w:after="0"/>
              <w:rPr>
                <w:sz w:val="20"/>
                <w:szCs w:val="20"/>
                <w:color w:val="auto"/>
              </w:rPr>
            </w:pPr>
            <w:r>
              <w:rPr>
                <w:rFonts w:ascii="Courier New" w:cs="Courier New" w:eastAsia="Courier New" w:hAnsi="Courier New"/>
                <w:sz w:val="17"/>
                <w:szCs w:val="17"/>
                <w:color w:val="auto"/>
                <w:w w:val="95"/>
              </w:rPr>
              <w:t>(25,725)</w:t>
            </w:r>
          </w:p>
        </w:tc>
        <w:tc>
          <w:tcPr>
            <w:tcW w:w="1020" w:type="dxa"/>
            <w:vAlign w:val="bottom"/>
          </w:tcPr>
          <w:p>
            <w:pPr>
              <w:spacing w:after="0"/>
              <w:rPr>
                <w:sz w:val="17"/>
                <w:szCs w:val="17"/>
                <w:color w:val="auto"/>
              </w:rPr>
            </w:pPr>
          </w:p>
        </w:tc>
        <w:tc>
          <w:tcPr>
            <w:tcW w:w="50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w w:val="87"/>
              </w:rPr>
              <w:t>--</w:t>
            </w:r>
          </w:p>
        </w:tc>
        <w:tc>
          <w:tcPr>
            <w:tcW w:w="360" w:type="dxa"/>
            <w:vAlign w:val="bottom"/>
          </w:tcPr>
          <w:p>
            <w:pPr>
              <w:spacing w:after="0"/>
              <w:rPr>
                <w:sz w:val="17"/>
                <w:szCs w:val="17"/>
                <w:color w:val="auto"/>
              </w:rPr>
            </w:pPr>
          </w:p>
        </w:tc>
        <w:tc>
          <w:tcPr>
            <w:tcW w:w="102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060" w:type="dxa"/>
            <w:vAlign w:val="bottom"/>
          </w:tcPr>
          <w:p>
            <w:pPr>
              <w:ind w:left="620"/>
              <w:spacing w:after="0"/>
              <w:rPr>
                <w:sz w:val="20"/>
                <w:szCs w:val="20"/>
                <w:color w:val="auto"/>
              </w:rPr>
            </w:pPr>
            <w:r>
              <w:rPr>
                <w:rFonts w:ascii="Courier New" w:cs="Courier New" w:eastAsia="Courier New" w:hAnsi="Courier New"/>
                <w:sz w:val="17"/>
                <w:szCs w:val="17"/>
                <w:color w:val="auto"/>
              </w:rPr>
              <w:t>development</w:t>
            </w: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vMerge w:val="restart"/>
          </w:tcPr>
          <w:p>
            <w:pPr>
              <w:spacing w:after="0"/>
              <w:rPr>
                <w:sz w:val="20"/>
                <w:szCs w:val="20"/>
                <w:color w:val="auto"/>
              </w:rPr>
            </w:pPr>
            <w:r>
              <w:rPr>
                <w:rFonts w:ascii="Courier New" w:cs="Courier New" w:eastAsia="Courier New" w:hAnsi="Courier New"/>
                <w:sz w:val="17"/>
                <w:szCs w:val="17"/>
                <w:color w:val="auto"/>
              </w:rPr>
              <w:t>Total operating expenses</w:t>
            </w:r>
          </w:p>
        </w:tc>
        <w:tc>
          <w:tcPr>
            <w:tcW w:w="320" w:type="dxa"/>
            <w:vAlign w:val="bottom"/>
          </w:tcPr>
          <w:p>
            <w:pPr>
              <w:ind w:left="200"/>
              <w:spacing w:after="0"/>
              <w:rPr>
                <w:sz w:val="20"/>
                <w:szCs w:val="20"/>
                <w:color w:val="auto"/>
              </w:rPr>
            </w:pPr>
            <w:r>
              <w:rPr>
                <w:rFonts w:ascii="Courier New" w:cs="Courier New" w:eastAsia="Courier New" w:hAnsi="Courier New"/>
                <w:sz w:val="2"/>
                <w:szCs w:val="2"/>
                <w:color w:val="auto"/>
                <w:w w:val="82"/>
              </w:rPr>
              <w:t>----------</w:t>
            </w:r>
          </w:p>
        </w:tc>
        <w:tc>
          <w:tcPr>
            <w:tcW w:w="10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w w:val="95"/>
              </w:rPr>
              <w:t>2,147,918</w:t>
            </w:r>
          </w:p>
        </w:tc>
        <w:tc>
          <w:tcPr>
            <w:tcW w:w="1680" w:type="dxa"/>
            <w:vAlign w:val="bottom"/>
            <w:gridSpan w:val="2"/>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0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68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(37,610)</w:t>
            </w:r>
          </w:p>
        </w:tc>
        <w:tc>
          <w:tcPr>
            <w:tcW w:w="320" w:type="dxa"/>
            <w:vAlign w:val="bottom"/>
          </w:tcPr>
          <w:p>
            <w:pPr>
              <w:spacing w:after="0"/>
              <w:rPr>
                <w:sz w:val="17"/>
                <w:szCs w:val="17"/>
                <w:color w:val="auto"/>
              </w:rPr>
            </w:pPr>
          </w:p>
        </w:tc>
        <w:tc>
          <w:tcPr>
            <w:tcW w:w="102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5"/>
              </w:rPr>
              <w:t>(25,725)</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(46,178)</w:t>
            </w:r>
          </w:p>
        </w:tc>
        <w:tc>
          <w:tcPr>
            <w:tcW w:w="360" w:type="dxa"/>
            <w:vAlign w:val="bottom"/>
          </w:tcPr>
          <w:p>
            <w:pPr>
              <w:spacing w:after="0"/>
              <w:rPr>
                <w:sz w:val="17"/>
                <w:szCs w:val="17"/>
                <w:color w:val="auto"/>
              </w:rPr>
            </w:pP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5"/>
              </w:rPr>
              <w:t>2,038,405</w:t>
            </w:r>
          </w:p>
        </w:tc>
        <w:tc>
          <w:tcPr>
            <w:tcW w:w="0" w:type="dxa"/>
            <w:vAlign w:val="bottom"/>
          </w:tcPr>
          <w:p>
            <w:pPr>
              <w:spacing w:after="0"/>
              <w:rPr>
                <w:sz w:val="1"/>
                <w:szCs w:val="1"/>
                <w:color w:val="auto"/>
              </w:rPr>
            </w:pPr>
          </w:p>
        </w:tc>
      </w:tr>
      <w:tr>
        <w:trPr>
          <w:trHeight w:val="196"/>
        </w:trPr>
        <w:tc>
          <w:tcPr>
            <w:tcW w:w="3060" w:type="dxa"/>
            <w:vAlign w:val="bottom"/>
            <w:vMerge w:val="restart"/>
          </w:tcPr>
          <w:p>
            <w:pPr>
              <w:spacing w:after="0"/>
              <w:rPr>
                <w:sz w:val="20"/>
                <w:szCs w:val="20"/>
                <w:color w:val="auto"/>
              </w:rPr>
            </w:pPr>
            <w:r>
              <w:rPr>
                <w:rFonts w:ascii="Courier New" w:cs="Courier New" w:eastAsia="Courier New" w:hAnsi="Courier New"/>
                <w:sz w:val="17"/>
                <w:szCs w:val="17"/>
                <w:color w:val="auto"/>
              </w:rPr>
              <w:t>Operating income</w:t>
            </w:r>
          </w:p>
        </w:tc>
        <w:tc>
          <w:tcPr>
            <w:tcW w:w="320" w:type="dxa"/>
            <w:vAlign w:val="bottom"/>
          </w:tcPr>
          <w:p>
            <w:pPr>
              <w:ind w:left="200"/>
              <w:spacing w:after="0"/>
              <w:rPr>
                <w:sz w:val="20"/>
                <w:szCs w:val="20"/>
                <w:color w:val="auto"/>
              </w:rPr>
            </w:pPr>
            <w:r>
              <w:rPr>
                <w:rFonts w:ascii="Courier New" w:cs="Courier New" w:eastAsia="Courier New" w:hAnsi="Courier New"/>
                <w:sz w:val="2"/>
                <w:szCs w:val="2"/>
                <w:color w:val="auto"/>
                <w:w w:val="82"/>
              </w:rPr>
              <w:t>----------</w:t>
            </w:r>
          </w:p>
        </w:tc>
        <w:tc>
          <w:tcPr>
            <w:tcW w:w="10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332,132</w:t>
            </w:r>
          </w:p>
        </w:tc>
        <w:tc>
          <w:tcPr>
            <w:tcW w:w="1680" w:type="dxa"/>
            <w:vAlign w:val="bottom"/>
            <w:gridSpan w:val="2"/>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0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680" w:type="dxa"/>
            <w:vAlign w:val="bottom"/>
            <w:gridSpan w:val="2"/>
          </w:tcPr>
          <w:p>
            <w:pPr>
              <w:jc w:val="right"/>
              <w:ind w:right="415"/>
              <w:spacing w:after="0"/>
              <w:rPr>
                <w:sz w:val="20"/>
                <w:szCs w:val="20"/>
                <w:color w:val="auto"/>
              </w:rPr>
            </w:pPr>
            <w:r>
              <w:rPr>
                <w:rFonts w:ascii="Courier New" w:cs="Courier New" w:eastAsia="Courier New" w:hAnsi="Courier New"/>
                <w:sz w:val="17"/>
                <w:szCs w:val="17"/>
                <w:color w:val="auto"/>
              </w:rPr>
              <w:t>37,610</w:t>
            </w:r>
          </w:p>
        </w:tc>
        <w:tc>
          <w:tcPr>
            <w:tcW w:w="32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25,725</w:t>
            </w:r>
          </w:p>
        </w:tc>
        <w:tc>
          <w:tcPr>
            <w:tcW w:w="15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46,178</w:t>
            </w:r>
          </w:p>
        </w:tc>
        <w:tc>
          <w:tcPr>
            <w:tcW w:w="360" w:type="dxa"/>
            <w:vAlign w:val="bottom"/>
          </w:tcPr>
          <w:p>
            <w:pPr>
              <w:spacing w:after="0"/>
              <w:rPr>
                <w:sz w:val="17"/>
                <w:szCs w:val="17"/>
                <w:color w:val="auto"/>
              </w:rPr>
            </w:pP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441,645</w:t>
            </w:r>
          </w:p>
        </w:tc>
        <w:tc>
          <w:tcPr>
            <w:tcW w:w="0" w:type="dxa"/>
            <w:vAlign w:val="bottom"/>
          </w:tcPr>
          <w:p>
            <w:pPr>
              <w:spacing w:after="0"/>
              <w:rPr>
                <w:sz w:val="1"/>
                <w:szCs w:val="1"/>
                <w:color w:val="auto"/>
              </w:rPr>
            </w:pPr>
          </w:p>
        </w:tc>
      </w:tr>
      <w:tr>
        <w:trPr>
          <w:trHeight w:val="196"/>
        </w:trPr>
        <w:tc>
          <w:tcPr>
            <w:tcW w:w="3060" w:type="dxa"/>
            <w:vAlign w:val="bottom"/>
            <w:vMerge w:val="restart"/>
          </w:tcPr>
          <w:p>
            <w:pPr>
              <w:spacing w:after="0"/>
              <w:rPr>
                <w:sz w:val="20"/>
                <w:szCs w:val="20"/>
                <w:color w:val="auto"/>
              </w:rPr>
            </w:pPr>
            <w:r>
              <w:rPr>
                <w:rFonts w:ascii="Courier New" w:cs="Courier New" w:eastAsia="Courier New" w:hAnsi="Courier New"/>
                <w:sz w:val="17"/>
                <w:szCs w:val="17"/>
                <w:color w:val="auto"/>
              </w:rPr>
              <w:t>Income taxes</w:t>
            </w:r>
          </w:p>
        </w:tc>
        <w:tc>
          <w:tcPr>
            <w:tcW w:w="320" w:type="dxa"/>
            <w:vAlign w:val="bottom"/>
          </w:tcPr>
          <w:p>
            <w:pPr>
              <w:ind w:left="200"/>
              <w:spacing w:after="0"/>
              <w:rPr>
                <w:sz w:val="20"/>
                <w:szCs w:val="20"/>
                <w:color w:val="auto"/>
              </w:rPr>
            </w:pPr>
            <w:r>
              <w:rPr>
                <w:rFonts w:ascii="Courier New" w:cs="Courier New" w:eastAsia="Courier New" w:hAnsi="Courier New"/>
                <w:sz w:val="2"/>
                <w:szCs w:val="2"/>
                <w:color w:val="auto"/>
                <w:w w:val="82"/>
              </w:rPr>
              <w:t>----------</w:t>
            </w:r>
          </w:p>
        </w:tc>
        <w:tc>
          <w:tcPr>
            <w:tcW w:w="10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55,237</w:t>
            </w:r>
          </w:p>
        </w:tc>
        <w:tc>
          <w:tcPr>
            <w:tcW w:w="1680" w:type="dxa"/>
            <w:vAlign w:val="bottom"/>
            <w:gridSpan w:val="2"/>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0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spacing w:after="0"/>
              <w:rPr>
                <w:sz w:val="17"/>
                <w:szCs w:val="17"/>
                <w:color w:val="auto"/>
              </w:rPr>
            </w:pPr>
          </w:p>
        </w:tc>
        <w:tc>
          <w:tcPr>
            <w:tcW w:w="500" w:type="dxa"/>
            <w:vAlign w:val="bottom"/>
          </w:tcPr>
          <w:p>
            <w:pPr>
              <w:jc w:val="right"/>
              <w:ind w:right="215"/>
              <w:spacing w:after="0"/>
              <w:rPr>
                <w:sz w:val="20"/>
                <w:szCs w:val="20"/>
                <w:color w:val="auto"/>
              </w:rPr>
            </w:pPr>
            <w:r>
              <w:rPr>
                <w:rFonts w:ascii="Courier New" w:cs="Courier New" w:eastAsia="Courier New" w:hAnsi="Courier New"/>
                <w:sz w:val="17"/>
                <w:szCs w:val="17"/>
                <w:color w:val="auto"/>
                <w:w w:val="87"/>
              </w:rPr>
              <w:t>--</w:t>
            </w:r>
          </w:p>
        </w:tc>
        <w:tc>
          <w:tcPr>
            <w:tcW w:w="360" w:type="dxa"/>
            <w:vAlign w:val="bottom"/>
          </w:tcPr>
          <w:p>
            <w:pPr>
              <w:spacing w:after="0"/>
              <w:rPr>
                <w:sz w:val="17"/>
                <w:szCs w:val="17"/>
                <w:color w:val="auto"/>
              </w:rPr>
            </w:pPr>
          </w:p>
        </w:tc>
        <w:tc>
          <w:tcPr>
            <w:tcW w:w="10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26,938</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82,175</w:t>
            </w:r>
          </w:p>
        </w:tc>
        <w:tc>
          <w:tcPr>
            <w:tcW w:w="0" w:type="dxa"/>
            <w:vAlign w:val="bottom"/>
          </w:tcPr>
          <w:p>
            <w:pPr>
              <w:spacing w:after="0"/>
              <w:rPr>
                <w:sz w:val="1"/>
                <w:szCs w:val="1"/>
                <w:color w:val="auto"/>
              </w:rPr>
            </w:pPr>
          </w:p>
        </w:tc>
      </w:tr>
      <w:tr>
        <w:trPr>
          <w:trHeight w:val="196"/>
        </w:trPr>
        <w:tc>
          <w:tcPr>
            <w:tcW w:w="3060" w:type="dxa"/>
            <w:vAlign w:val="bottom"/>
            <w:vMerge w:val="restart"/>
          </w:tcPr>
          <w:p>
            <w:pPr>
              <w:spacing w:after="0"/>
              <w:rPr>
                <w:sz w:val="20"/>
                <w:szCs w:val="20"/>
                <w:color w:val="auto"/>
              </w:rPr>
            </w:pPr>
            <w:r>
              <w:rPr>
                <w:rFonts w:ascii="Courier New" w:cs="Courier New" w:eastAsia="Courier New" w:hAnsi="Courier New"/>
                <w:sz w:val="17"/>
                <w:szCs w:val="17"/>
                <w:color w:val="auto"/>
              </w:rPr>
              <w:t>Net income</w:t>
            </w:r>
          </w:p>
        </w:tc>
        <w:tc>
          <w:tcPr>
            <w:tcW w:w="320" w:type="dxa"/>
            <w:vAlign w:val="bottom"/>
            <w:vMerge w:val="restart"/>
          </w:tcPr>
          <w:p>
            <w:pPr>
              <w:ind w:left="200"/>
              <w:spacing w:after="0"/>
              <w:rPr>
                <w:sz w:val="20"/>
                <w:szCs w:val="20"/>
                <w:color w:val="auto"/>
              </w:rPr>
            </w:pPr>
            <w:r>
              <w:rPr>
                <w:rFonts w:ascii="Courier New" w:cs="Courier New" w:eastAsia="Courier New" w:hAnsi="Courier New"/>
                <w:sz w:val="4"/>
                <w:szCs w:val="4"/>
                <w:color w:val="auto"/>
                <w:w w:val="73"/>
                <w:vertAlign w:val="subscript"/>
              </w:rPr>
              <w:t>$</w:t>
            </w:r>
            <w:r>
              <w:rPr>
                <w:rFonts w:ascii="Courier New" w:cs="Courier New" w:eastAsia="Courier New" w:hAnsi="Courier New"/>
                <w:sz w:val="2"/>
                <w:szCs w:val="2"/>
                <w:color w:val="auto"/>
                <w:w w:val="73"/>
              </w:rPr>
              <w:t>----------</w:t>
            </w:r>
          </w:p>
        </w:tc>
        <w:tc>
          <w:tcPr>
            <w:tcW w:w="10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318,636</w:t>
            </w:r>
          </w:p>
        </w:tc>
        <w:tc>
          <w:tcPr>
            <w:tcW w:w="1680" w:type="dxa"/>
            <w:vAlign w:val="bottom"/>
            <w:gridSpan w:val="2"/>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0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680" w:type="dxa"/>
            <w:vAlign w:val="bottom"/>
            <w:gridSpan w:val="2"/>
          </w:tcPr>
          <w:p>
            <w:pPr>
              <w:jc w:val="right"/>
              <w:ind w:right="415"/>
              <w:spacing w:after="0"/>
              <w:rPr>
                <w:sz w:val="20"/>
                <w:szCs w:val="20"/>
                <w:color w:val="auto"/>
              </w:rPr>
            </w:pPr>
            <w:r>
              <w:rPr>
                <w:rFonts w:ascii="Courier New" w:cs="Courier New" w:eastAsia="Courier New" w:hAnsi="Courier New"/>
                <w:sz w:val="17"/>
                <w:szCs w:val="17"/>
                <w:color w:val="auto"/>
              </w:rPr>
              <w:t>$ 37,610</w:t>
            </w:r>
          </w:p>
        </w:tc>
        <w:tc>
          <w:tcPr>
            <w:tcW w:w="13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$ 25,725</w:t>
            </w:r>
          </w:p>
        </w:tc>
        <w:tc>
          <w:tcPr>
            <w:tcW w:w="15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$ 46,178</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(26,938)</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401,211</w:t>
            </w:r>
          </w:p>
        </w:tc>
        <w:tc>
          <w:tcPr>
            <w:tcW w:w="0" w:type="dxa"/>
            <w:vAlign w:val="bottom"/>
          </w:tcPr>
          <w:p>
            <w:pPr>
              <w:spacing w:after="0"/>
              <w:rPr>
                <w:sz w:val="1"/>
                <w:szCs w:val="1"/>
                <w:color w:val="auto"/>
              </w:rPr>
            </w:pPr>
          </w:p>
        </w:tc>
      </w:tr>
      <w:tr>
        <w:trPr>
          <w:trHeight w:val="286"/>
        </w:trPr>
        <w:tc>
          <w:tcPr>
            <w:tcW w:w="3060" w:type="dxa"/>
            <w:vAlign w:val="bottom"/>
          </w:tcPr>
          <w:p>
            <w:pPr>
              <w:spacing w:after="0"/>
              <w:rPr>
                <w:sz w:val="24"/>
                <w:szCs w:val="24"/>
                <w:color w:val="auto"/>
              </w:rPr>
            </w:pPr>
          </w:p>
        </w:tc>
        <w:tc>
          <w:tcPr>
            <w:tcW w:w="13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892"/>
        </w:trPr>
        <w:tc>
          <w:tcPr>
            <w:tcW w:w="3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4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TWELVE MONTHS ENDED SEPTEMBER 30, 2005</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8460" w:type="dxa"/>
            <w:vAlign w:val="bottom"/>
            <w:gridSpan w:val="1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60" w:type="dxa"/>
            <w:vAlign w:val="bottom"/>
            <w:gridSpan w:val="3"/>
          </w:tcPr>
          <w:p>
            <w:pPr>
              <w:jc w:val="right"/>
              <w:ind w:right="15"/>
              <w:spacing w:after="0"/>
              <w:rPr>
                <w:sz w:val="20"/>
                <w:szCs w:val="20"/>
                <w:color w:val="auto"/>
              </w:rPr>
            </w:pPr>
            <w:r>
              <w:rPr>
                <w:rFonts w:ascii="Courier New" w:cs="Courier New" w:eastAsia="Courier New" w:hAnsi="Courier New"/>
                <w:sz w:val="17"/>
                <w:szCs w:val="17"/>
                <w:color w:val="auto"/>
              </w:rPr>
              <w:t>RECONCILIATION ITEMS</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920" w:type="dxa"/>
            <w:vAlign w:val="bottom"/>
            <w:gridSpan w:val="8"/>
          </w:tcPr>
          <w:p>
            <w:pPr>
              <w:ind w:left="160"/>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gridSpan w:val="2"/>
          </w:tcPr>
          <w:p>
            <w:pPr>
              <w:jc w:val="center"/>
              <w:ind w:left="415"/>
              <w:spacing w:after="0"/>
              <w:rPr>
                <w:sz w:val="20"/>
                <w:szCs w:val="20"/>
                <w:color w:val="auto"/>
              </w:rPr>
            </w:pPr>
            <w:r>
              <w:rPr>
                <w:rFonts w:ascii="Courier New" w:cs="Courier New" w:eastAsia="Courier New" w:hAnsi="Courier New"/>
                <w:sz w:val="17"/>
                <w:szCs w:val="17"/>
                <w:color w:val="auto"/>
              </w:rPr>
              <w:t>RESTRUCTURING</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4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CHARGES, IN-PROCESS</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80" w:type="dxa"/>
            <w:vAlign w:val="bottom"/>
            <w:gridSpan w:val="2"/>
            <w:vMerge w:val="restart"/>
          </w:tcPr>
          <w:p>
            <w:pPr>
              <w:jc w:val="right"/>
              <w:spacing w:after="0"/>
              <w:rPr>
                <w:sz w:val="20"/>
                <w:szCs w:val="20"/>
                <w:color w:val="auto"/>
              </w:rPr>
            </w:pPr>
            <w:r>
              <w:rPr>
                <w:rFonts w:ascii="Courier New" w:cs="Courier New" w:eastAsia="Courier New" w:hAnsi="Courier New"/>
                <w:sz w:val="17"/>
                <w:szCs w:val="17"/>
                <w:color w:val="auto"/>
              </w:rPr>
              <w:t>AMORTIZATION</w:t>
            </w:r>
          </w:p>
        </w:tc>
        <w:tc>
          <w:tcPr>
            <w:tcW w:w="320" w:type="dxa"/>
            <w:vAlign w:val="bottom"/>
          </w:tcPr>
          <w:p>
            <w:pPr>
              <w:spacing w:after="0"/>
              <w:rPr>
                <w:sz w:val="17"/>
                <w:szCs w:val="17"/>
                <w:color w:val="auto"/>
              </w:rPr>
            </w:pPr>
          </w:p>
        </w:tc>
        <w:tc>
          <w:tcPr>
            <w:tcW w:w="20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RESEARCH AND</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2540" w:type="dxa"/>
            <w:vAlign w:val="bottom"/>
            <w:gridSpan w:val="3"/>
          </w:tcPr>
          <w:p>
            <w:pPr>
              <w:jc w:val="center"/>
              <w:spacing w:after="0"/>
              <w:rPr>
                <w:sz w:val="20"/>
                <w:szCs w:val="20"/>
                <w:color w:val="auto"/>
              </w:rPr>
            </w:pPr>
            <w:r>
              <w:rPr>
                <w:rFonts w:ascii="Courier New" w:cs="Courier New" w:eastAsia="Courier New" w:hAnsi="Courier New"/>
                <w:sz w:val="17"/>
                <w:szCs w:val="17"/>
                <w:color w:val="auto"/>
                <w:w w:val="99"/>
              </w:rPr>
              <w:t>DEVELOPMENT AND OTHER</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restart"/>
          </w:tcPr>
          <w:p>
            <w:pPr>
              <w:jc w:val="right"/>
              <w:ind w:right="375"/>
              <w:spacing w:after="0"/>
              <w:rPr>
                <w:sz w:val="20"/>
                <w:szCs w:val="20"/>
                <w:color w:val="auto"/>
              </w:rPr>
            </w:pPr>
            <w:r>
              <w:rPr>
                <w:rFonts w:ascii="Courier New" w:cs="Courier New" w:eastAsia="Courier New" w:hAnsi="Courier New"/>
                <w:sz w:val="17"/>
                <w:szCs w:val="17"/>
                <w:color w:val="auto"/>
              </w:rPr>
              <w:t>GAAP</w:t>
            </w:r>
          </w:p>
        </w:tc>
        <w:tc>
          <w:tcPr>
            <w:tcW w:w="16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OF PURCHASED</w:t>
            </w:r>
          </w:p>
        </w:tc>
        <w:tc>
          <w:tcPr>
            <w:tcW w:w="320" w:type="dxa"/>
            <w:vAlign w:val="bottom"/>
          </w:tcPr>
          <w:p>
            <w:pPr>
              <w:spacing w:after="0"/>
              <w:rPr>
                <w:sz w:val="17"/>
                <w:szCs w:val="17"/>
                <w:color w:val="auto"/>
              </w:rPr>
            </w:pPr>
          </w:p>
        </w:tc>
        <w:tc>
          <w:tcPr>
            <w:tcW w:w="254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ACQUISITION RELATED</w:t>
            </w:r>
          </w:p>
        </w:tc>
        <w:tc>
          <w:tcPr>
            <w:tcW w:w="1380" w:type="dxa"/>
            <w:vAlign w:val="bottom"/>
            <w:gridSpan w:val="2"/>
            <w:vMerge w:val="restart"/>
          </w:tcPr>
          <w:p>
            <w:pPr>
              <w:jc w:val="right"/>
              <w:ind w:right="175"/>
              <w:spacing w:after="0"/>
              <w:rPr>
                <w:sz w:val="20"/>
                <w:szCs w:val="20"/>
                <w:color w:val="auto"/>
              </w:rPr>
            </w:pPr>
            <w:r>
              <w:rPr>
                <w:rFonts w:ascii="Courier New" w:cs="Courier New" w:eastAsia="Courier New" w:hAnsi="Courier New"/>
                <w:sz w:val="17"/>
                <w:szCs w:val="17"/>
                <w:color w:val="auto"/>
              </w:rPr>
              <w:t>TAX EFFECT</w:t>
            </w:r>
          </w:p>
        </w:tc>
        <w:tc>
          <w:tcPr>
            <w:tcW w:w="1160" w:type="dxa"/>
            <w:vAlign w:val="bottom"/>
            <w:gridSpan w:val="2"/>
            <w:vMerge w:val="restart"/>
          </w:tcPr>
          <w:p>
            <w:pPr>
              <w:ind w:left="160"/>
              <w:spacing w:after="0"/>
              <w:rPr>
                <w:sz w:val="20"/>
                <w:szCs w:val="20"/>
                <w:color w:val="auto"/>
              </w:rPr>
            </w:pPr>
            <w:r>
              <w:rPr>
                <w:rFonts w:ascii="Courier New" w:cs="Courier New" w:eastAsia="Courier New" w:hAnsi="Courier New"/>
                <w:sz w:val="17"/>
                <w:szCs w:val="17"/>
                <w:color w:val="auto"/>
              </w:rPr>
              <w:t>NON-GAAP</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200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INTANGIBLE ASSETS</w:t>
            </w:r>
          </w:p>
        </w:tc>
        <w:tc>
          <w:tcPr>
            <w:tcW w:w="1020" w:type="dxa"/>
            <w:vAlign w:val="bottom"/>
          </w:tcPr>
          <w:p>
            <w:pPr>
              <w:spacing w:after="0"/>
              <w:rPr>
                <w:sz w:val="17"/>
                <w:szCs w:val="17"/>
                <w:color w:val="auto"/>
              </w:rPr>
            </w:pPr>
          </w:p>
        </w:tc>
        <w:tc>
          <w:tcPr>
            <w:tcW w:w="1020" w:type="dxa"/>
            <w:vAlign w:val="bottom"/>
          </w:tcPr>
          <w:p>
            <w:pPr>
              <w:jc w:val="center"/>
              <w:ind w:right="435"/>
              <w:spacing w:after="0"/>
              <w:rPr>
                <w:sz w:val="20"/>
                <w:szCs w:val="20"/>
                <w:color w:val="auto"/>
              </w:rPr>
            </w:pPr>
            <w:r>
              <w:rPr>
                <w:rFonts w:ascii="Courier New" w:cs="Courier New" w:eastAsia="Courier New" w:hAnsi="Courier New"/>
                <w:sz w:val="17"/>
                <w:szCs w:val="17"/>
                <w:color w:val="auto"/>
                <w:w w:val="97"/>
              </w:rPr>
              <w:t>COSTS</w:t>
            </w:r>
          </w:p>
        </w:tc>
        <w:tc>
          <w:tcPr>
            <w:tcW w:w="50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3060" w:type="dxa"/>
            <w:vAlign w:val="bottom"/>
          </w:tcPr>
          <w:p>
            <w:pPr>
              <w:spacing w:after="0"/>
              <w:rPr>
                <w:sz w:val="24"/>
                <w:szCs w:val="24"/>
                <w:color w:val="auto"/>
              </w:rPr>
            </w:pPr>
          </w:p>
        </w:tc>
        <w:tc>
          <w:tcPr>
            <w:tcW w:w="13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200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w:t>
            </w:r>
          </w:p>
        </w:tc>
        <w:tc>
          <w:tcPr>
            <w:tcW w:w="2540" w:type="dxa"/>
            <w:vAlign w:val="bottom"/>
            <w:gridSpan w:val="3"/>
          </w:tcPr>
          <w:p>
            <w:pPr>
              <w:jc w:val="center"/>
              <w:spacing w:after="0"/>
              <w:rPr>
                <w:sz w:val="20"/>
                <w:szCs w:val="20"/>
                <w:color w:val="auto"/>
              </w:rPr>
            </w:pPr>
            <w:r>
              <w:rPr>
                <w:rFonts w:ascii="Courier New" w:cs="Courier New" w:eastAsia="Courier New" w:hAnsi="Courier New"/>
                <w:sz w:val="17"/>
                <w:szCs w:val="17"/>
                <w:color w:val="auto"/>
                <w:w w:val="99"/>
              </w:rPr>
              <w:t>---------------------</w:t>
            </w:r>
          </w:p>
        </w:tc>
        <w:tc>
          <w:tcPr>
            <w:tcW w:w="13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306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320" w:type="dxa"/>
            <w:vAlign w:val="bottom"/>
            <w:vMerge w:val="restart"/>
          </w:tcPr>
          <w:p>
            <w:pPr>
              <w:ind w:left="200"/>
              <w:spacing w:after="0"/>
              <w:rPr>
                <w:sz w:val="20"/>
                <w:szCs w:val="20"/>
                <w:color w:val="auto"/>
              </w:rPr>
            </w:pPr>
            <w:r>
              <w:rPr>
                <w:rFonts w:ascii="Courier New" w:cs="Courier New" w:eastAsia="Courier New" w:hAnsi="Courier New"/>
                <w:sz w:val="17"/>
                <w:szCs w:val="17"/>
                <w:color w:val="auto"/>
                <w:w w:val="97"/>
              </w:rPr>
              <w:t>$</w:t>
            </w:r>
          </w:p>
        </w:tc>
        <w:tc>
          <w:tcPr>
            <w:tcW w:w="10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4,083</w:t>
            </w:r>
          </w:p>
        </w:tc>
        <w:tc>
          <w:tcPr>
            <w:tcW w:w="660" w:type="dxa"/>
            <w:vAlign w:val="bottom"/>
            <w:vMerge w:val="restart"/>
          </w:tcPr>
          <w:p>
            <w:pPr>
              <w:ind w:left="56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vMerge w:val="restart"/>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24"/>
                <w:szCs w:val="24"/>
                <w:color w:val="auto"/>
              </w:rPr>
            </w:pPr>
          </w:p>
        </w:tc>
        <w:tc>
          <w:tcPr>
            <w:tcW w:w="3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vMerge w:val="restart"/>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26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4,083</w:t>
            </w:r>
          </w:p>
        </w:tc>
        <w:tc>
          <w:tcPr>
            <w:tcW w:w="0" w:type="dxa"/>
            <w:vAlign w:val="bottom"/>
          </w:tcPr>
          <w:p>
            <w:pPr>
              <w:spacing w:after="0"/>
              <w:rPr>
                <w:sz w:val="1"/>
                <w:szCs w:val="1"/>
                <w:color w:val="auto"/>
              </w:rPr>
            </w:pPr>
          </w:p>
        </w:tc>
      </w:tr>
      <w:tr>
        <w:trPr>
          <w:trHeight w:val="196"/>
        </w:trPr>
        <w:tc>
          <w:tcPr>
            <w:tcW w:w="3060" w:type="dxa"/>
            <w:vAlign w:val="bottom"/>
          </w:tcPr>
          <w:p>
            <w:pPr>
              <w:ind w:left="320"/>
              <w:spacing w:after="0"/>
              <w:rPr>
                <w:sz w:val="20"/>
                <w:szCs w:val="20"/>
                <w:color w:val="auto"/>
              </w:rPr>
            </w:pPr>
            <w:r>
              <w:rPr>
                <w:rFonts w:ascii="Courier New" w:cs="Courier New" w:eastAsia="Courier New" w:hAnsi="Courier New"/>
                <w:sz w:val="17"/>
                <w:szCs w:val="17"/>
                <w:color w:val="auto"/>
              </w:rPr>
              <w:t>Cost of license</w:t>
            </w:r>
          </w:p>
        </w:tc>
        <w:tc>
          <w:tcPr>
            <w:tcW w:w="3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ind w:left="320"/>
              <w:spacing w:after="0"/>
              <w:rPr>
                <w:sz w:val="20"/>
                <w:szCs w:val="20"/>
                <w:color w:val="auto"/>
              </w:rPr>
            </w:pPr>
            <w:r>
              <w:rPr>
                <w:rFonts w:ascii="Courier New" w:cs="Courier New" w:eastAsia="Courier New" w:hAnsi="Courier New"/>
                <w:sz w:val="17"/>
                <w:szCs w:val="17"/>
                <w:color w:val="auto"/>
              </w:rPr>
              <w:t>Cost of service</w:t>
            </w:r>
          </w:p>
        </w:tc>
        <w:tc>
          <w:tcPr>
            <w:tcW w:w="320" w:type="dxa"/>
            <w:vAlign w:val="bottom"/>
          </w:tcPr>
          <w:p>
            <w:pPr>
              <w:spacing w:after="0"/>
              <w:rPr>
                <w:sz w:val="17"/>
                <w:szCs w:val="17"/>
                <w:color w:val="auto"/>
              </w:rPr>
            </w:pPr>
          </w:p>
        </w:tc>
        <w:tc>
          <w:tcPr>
            <w:tcW w:w="10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5"/>
              </w:rPr>
              <w:t>1,291,572</w:t>
            </w:r>
          </w:p>
        </w:tc>
        <w:tc>
          <w:tcPr>
            <w:tcW w:w="66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1,291,572</w:t>
            </w:r>
          </w:p>
        </w:tc>
        <w:tc>
          <w:tcPr>
            <w:tcW w:w="0" w:type="dxa"/>
            <w:vAlign w:val="bottom"/>
          </w:tcPr>
          <w:p>
            <w:pPr>
              <w:spacing w:after="0"/>
              <w:rPr>
                <w:sz w:val="1"/>
                <w:szCs w:val="1"/>
                <w:color w:val="auto"/>
              </w:rPr>
            </w:pPr>
          </w:p>
        </w:tc>
      </w:tr>
      <w:tr>
        <w:trPr>
          <w:trHeight w:val="196"/>
        </w:trPr>
        <w:tc>
          <w:tcPr>
            <w:tcW w:w="3060" w:type="dxa"/>
            <w:vAlign w:val="bottom"/>
          </w:tcPr>
          <w:p>
            <w:pPr>
              <w:ind w:left="320"/>
              <w:spacing w:after="0"/>
              <w:rPr>
                <w:sz w:val="20"/>
                <w:szCs w:val="20"/>
                <w:color w:val="auto"/>
              </w:rPr>
            </w:pPr>
            <w:r>
              <w:rPr>
                <w:rFonts w:ascii="Courier New" w:cs="Courier New" w:eastAsia="Courier New" w:hAnsi="Courier New"/>
                <w:sz w:val="17"/>
                <w:szCs w:val="17"/>
                <w:color w:val="auto"/>
              </w:rPr>
              <w:t>Research and development</w:t>
            </w:r>
          </w:p>
        </w:tc>
        <w:tc>
          <w:tcPr>
            <w:tcW w:w="320" w:type="dxa"/>
            <w:vAlign w:val="bottom"/>
          </w:tcPr>
          <w:p>
            <w:pPr>
              <w:spacing w:after="0"/>
              <w:rPr>
                <w:sz w:val="17"/>
                <w:szCs w:val="17"/>
                <w:color w:val="auto"/>
              </w:rPr>
            </w:pPr>
          </w:p>
        </w:tc>
        <w:tc>
          <w:tcPr>
            <w:tcW w:w="10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144,457</w:t>
            </w:r>
          </w:p>
        </w:tc>
        <w:tc>
          <w:tcPr>
            <w:tcW w:w="66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144,457</w:t>
            </w:r>
          </w:p>
        </w:tc>
        <w:tc>
          <w:tcPr>
            <w:tcW w:w="0" w:type="dxa"/>
            <w:vAlign w:val="bottom"/>
          </w:tcPr>
          <w:p>
            <w:pPr>
              <w:spacing w:after="0"/>
              <w:rPr>
                <w:sz w:val="1"/>
                <w:szCs w:val="1"/>
                <w:color w:val="auto"/>
              </w:rPr>
            </w:pPr>
          </w:p>
        </w:tc>
      </w:tr>
      <w:tr>
        <w:trPr>
          <w:trHeight w:val="196"/>
        </w:trPr>
        <w:tc>
          <w:tcPr>
            <w:tcW w:w="3060" w:type="dxa"/>
            <w:vAlign w:val="bottom"/>
          </w:tcPr>
          <w:p>
            <w:pPr>
              <w:ind w:left="320"/>
              <w:spacing w:after="0"/>
              <w:rPr>
                <w:sz w:val="20"/>
                <w:szCs w:val="20"/>
                <w:color w:val="auto"/>
              </w:rPr>
            </w:pPr>
            <w:r>
              <w:rPr>
                <w:rFonts w:ascii="Courier New" w:cs="Courier New" w:eastAsia="Courier New" w:hAnsi="Courier New"/>
                <w:sz w:val="17"/>
                <w:szCs w:val="17"/>
                <w:color w:val="auto"/>
              </w:rPr>
              <w:t>Selling, general and</w:t>
            </w:r>
          </w:p>
        </w:tc>
        <w:tc>
          <w:tcPr>
            <w:tcW w:w="320" w:type="dxa"/>
            <w:vAlign w:val="bottom"/>
          </w:tcPr>
          <w:p>
            <w:pPr>
              <w:spacing w:after="0"/>
              <w:rPr>
                <w:sz w:val="17"/>
                <w:szCs w:val="17"/>
                <w:color w:val="auto"/>
              </w:rPr>
            </w:pPr>
          </w:p>
        </w:tc>
        <w:tc>
          <w:tcPr>
            <w:tcW w:w="10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232,066</w:t>
            </w:r>
          </w:p>
        </w:tc>
        <w:tc>
          <w:tcPr>
            <w:tcW w:w="660" w:type="dxa"/>
            <w:vAlign w:val="bottom"/>
          </w:tcPr>
          <w:p>
            <w:pPr>
              <w:spacing w:after="0"/>
              <w:rPr>
                <w:sz w:val="17"/>
                <w:szCs w:val="17"/>
                <w:color w:val="auto"/>
              </w:rPr>
            </w:pPr>
          </w:p>
        </w:tc>
        <w:tc>
          <w:tcPr>
            <w:tcW w:w="102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vMerge w:val="restart"/>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vMerge w:val="restart"/>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232,066</w:t>
            </w:r>
          </w:p>
        </w:tc>
        <w:tc>
          <w:tcPr>
            <w:tcW w:w="0" w:type="dxa"/>
            <w:vAlign w:val="bottom"/>
          </w:tcPr>
          <w:p>
            <w:pPr>
              <w:spacing w:after="0"/>
              <w:rPr>
                <w:sz w:val="1"/>
                <w:szCs w:val="1"/>
                <w:color w:val="auto"/>
              </w:rPr>
            </w:pPr>
          </w:p>
        </w:tc>
      </w:tr>
      <w:tr>
        <w:trPr>
          <w:trHeight w:val="196"/>
        </w:trPr>
        <w:tc>
          <w:tcPr>
            <w:tcW w:w="3060" w:type="dxa"/>
            <w:vAlign w:val="bottom"/>
          </w:tcPr>
          <w:p>
            <w:pPr>
              <w:ind w:left="620"/>
              <w:spacing w:after="0"/>
              <w:rPr>
                <w:sz w:val="20"/>
                <w:szCs w:val="20"/>
                <w:color w:val="auto"/>
              </w:rPr>
            </w:pPr>
            <w:r>
              <w:rPr>
                <w:rFonts w:ascii="Courier New" w:cs="Courier New" w:eastAsia="Courier New" w:hAnsi="Courier New"/>
                <w:sz w:val="17"/>
                <w:szCs w:val="17"/>
                <w:color w:val="auto"/>
              </w:rPr>
              <w:t>administrative</w:t>
            </w: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ind w:left="320"/>
              <w:spacing w:after="0"/>
              <w:rPr>
                <w:sz w:val="20"/>
                <w:szCs w:val="20"/>
                <w:color w:val="auto"/>
              </w:rPr>
            </w:pPr>
            <w:r>
              <w:rPr>
                <w:rFonts w:ascii="Courier New" w:cs="Courier New" w:eastAsia="Courier New" w:hAnsi="Courier New"/>
                <w:sz w:val="17"/>
                <w:szCs w:val="17"/>
                <w:color w:val="auto"/>
              </w:rPr>
              <w:t>Amortization of purchased</w:t>
            </w:r>
          </w:p>
        </w:tc>
        <w:tc>
          <w:tcPr>
            <w:tcW w:w="320" w:type="dxa"/>
            <w:vAlign w:val="bottom"/>
          </w:tcPr>
          <w:p>
            <w:pPr>
              <w:spacing w:after="0"/>
              <w:rPr>
                <w:sz w:val="17"/>
                <w:szCs w:val="17"/>
                <w:color w:val="auto"/>
              </w:rPr>
            </w:pPr>
          </w:p>
        </w:tc>
        <w:tc>
          <w:tcPr>
            <w:tcW w:w="10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15,356</w:t>
            </w:r>
          </w:p>
        </w:tc>
        <w:tc>
          <w:tcPr>
            <w:tcW w:w="660" w:type="dxa"/>
            <w:vAlign w:val="bottom"/>
          </w:tcPr>
          <w:p>
            <w:pPr>
              <w:spacing w:after="0"/>
              <w:rPr>
                <w:sz w:val="17"/>
                <w:szCs w:val="17"/>
                <w:color w:val="auto"/>
              </w:rPr>
            </w:pPr>
          </w:p>
        </w:tc>
        <w:tc>
          <w:tcPr>
            <w:tcW w:w="1020" w:type="dxa"/>
            <w:vAlign w:val="bottom"/>
            <w:vMerge w:val="restart"/>
          </w:tcPr>
          <w:p>
            <w:pPr>
              <w:jc w:val="right"/>
              <w:ind w:right="115"/>
              <w:spacing w:after="0"/>
              <w:rPr>
                <w:sz w:val="20"/>
                <w:szCs w:val="20"/>
                <w:color w:val="auto"/>
              </w:rPr>
            </w:pPr>
            <w:r>
              <w:rPr>
                <w:rFonts w:ascii="Courier New" w:cs="Courier New" w:eastAsia="Courier New" w:hAnsi="Courier New"/>
                <w:sz w:val="17"/>
                <w:szCs w:val="17"/>
                <w:color w:val="auto"/>
                <w:w w:val="97"/>
              </w:rPr>
              <w:t>(15,356)</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vMerge w:val="restart"/>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vMerge w:val="restart"/>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060" w:type="dxa"/>
            <w:vAlign w:val="bottom"/>
          </w:tcPr>
          <w:p>
            <w:pPr>
              <w:ind w:left="620"/>
              <w:spacing w:after="0"/>
              <w:rPr>
                <w:sz w:val="20"/>
                <w:szCs w:val="20"/>
                <w:color w:val="auto"/>
              </w:rPr>
            </w:pPr>
            <w:r>
              <w:rPr>
                <w:rFonts w:ascii="Courier New" w:cs="Courier New" w:eastAsia="Courier New" w:hAnsi="Courier New"/>
                <w:sz w:val="17"/>
                <w:szCs w:val="17"/>
                <w:color w:val="auto"/>
              </w:rPr>
              <w:t>intangible assets</w:t>
            </w: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ind w:left="320"/>
              <w:spacing w:after="0"/>
              <w:rPr>
                <w:sz w:val="20"/>
                <w:szCs w:val="20"/>
                <w:color w:val="auto"/>
              </w:rPr>
            </w:pPr>
            <w:r>
              <w:rPr>
                <w:rFonts w:ascii="Courier New" w:cs="Courier New" w:eastAsia="Courier New" w:hAnsi="Courier New"/>
                <w:sz w:val="17"/>
                <w:szCs w:val="17"/>
                <w:color w:val="auto"/>
              </w:rPr>
              <w:t>Restructuring charges,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ind w:left="620"/>
              <w:spacing w:after="0"/>
              <w:rPr>
                <w:sz w:val="20"/>
                <w:szCs w:val="20"/>
                <w:color w:val="auto"/>
              </w:rPr>
            </w:pPr>
            <w:r>
              <w:rPr>
                <w:rFonts w:ascii="Courier New" w:cs="Courier New" w:eastAsia="Courier New" w:hAnsi="Courier New"/>
                <w:sz w:val="17"/>
                <w:szCs w:val="17"/>
                <w:color w:val="auto"/>
              </w:rPr>
              <w:t>in-process research</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ind w:left="620"/>
              <w:spacing w:after="0"/>
              <w:rPr>
                <w:sz w:val="20"/>
                <w:szCs w:val="20"/>
                <w:color w:val="auto"/>
              </w:rPr>
            </w:pPr>
            <w:r>
              <w:rPr>
                <w:rFonts w:ascii="Courier New" w:cs="Courier New" w:eastAsia="Courier New" w:hAnsi="Courier New"/>
                <w:sz w:val="17"/>
                <w:szCs w:val="17"/>
                <w:color w:val="auto"/>
              </w:rPr>
              <w:t>and development and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ind w:left="620"/>
              <w:spacing w:after="0"/>
              <w:rPr>
                <w:sz w:val="20"/>
                <w:szCs w:val="20"/>
                <w:color w:val="auto"/>
              </w:rPr>
            </w:pPr>
            <w:r>
              <w:rPr>
                <w:rFonts w:ascii="Courier New" w:cs="Courier New" w:eastAsia="Courier New" w:hAnsi="Courier New"/>
                <w:sz w:val="17"/>
                <w:szCs w:val="17"/>
                <w:color w:val="auto"/>
              </w:rPr>
              <w:t>other acquisition</w:t>
            </w:r>
          </w:p>
        </w:tc>
        <w:tc>
          <w:tcPr>
            <w:tcW w:w="320" w:type="dxa"/>
            <w:vAlign w:val="bottom"/>
          </w:tcPr>
          <w:p>
            <w:pPr>
              <w:spacing w:after="0"/>
              <w:rPr>
                <w:sz w:val="17"/>
                <w:szCs w:val="17"/>
                <w:color w:val="auto"/>
              </w:rPr>
            </w:pPr>
          </w:p>
        </w:tc>
        <w:tc>
          <w:tcPr>
            <w:tcW w:w="10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12,595</w:t>
            </w:r>
          </w:p>
        </w:tc>
        <w:tc>
          <w:tcPr>
            <w:tcW w:w="660" w:type="dxa"/>
            <w:vAlign w:val="bottom"/>
          </w:tcPr>
          <w:p>
            <w:pPr>
              <w:spacing w:after="0"/>
              <w:rPr>
                <w:sz w:val="17"/>
                <w:szCs w:val="17"/>
                <w:color w:val="auto"/>
              </w:rPr>
            </w:pPr>
          </w:p>
        </w:tc>
        <w:tc>
          <w:tcPr>
            <w:tcW w:w="102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vMerge w:val="restart"/>
          </w:tcPr>
          <w:p>
            <w:pPr>
              <w:jc w:val="right"/>
              <w:ind w:right="135"/>
              <w:spacing w:after="0"/>
              <w:rPr>
                <w:sz w:val="20"/>
                <w:szCs w:val="20"/>
                <w:color w:val="auto"/>
              </w:rPr>
            </w:pPr>
            <w:r>
              <w:rPr>
                <w:rFonts w:ascii="Courier New" w:cs="Courier New" w:eastAsia="Courier New" w:hAnsi="Courier New"/>
                <w:sz w:val="17"/>
                <w:szCs w:val="17"/>
                <w:color w:val="auto"/>
                <w:w w:val="95"/>
              </w:rPr>
              <w:t>(12,595)</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vMerge w:val="restart"/>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060" w:type="dxa"/>
            <w:vAlign w:val="bottom"/>
          </w:tcPr>
          <w:p>
            <w:pPr>
              <w:ind w:left="620"/>
              <w:spacing w:after="0"/>
              <w:rPr>
                <w:sz w:val="20"/>
                <w:szCs w:val="20"/>
                <w:color w:val="auto"/>
              </w:rPr>
            </w:pPr>
            <w:r>
              <w:rPr>
                <w:rFonts w:ascii="Courier New" w:cs="Courier New" w:eastAsia="Courier New" w:hAnsi="Courier New"/>
                <w:sz w:val="17"/>
                <w:szCs w:val="17"/>
                <w:color w:val="auto"/>
              </w:rPr>
              <w:t>related costs</w:t>
            </w: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vMerge w:val="restart"/>
          </w:tcPr>
          <w:p>
            <w:pPr>
              <w:spacing w:after="0"/>
              <w:rPr>
                <w:sz w:val="20"/>
                <w:szCs w:val="20"/>
                <w:color w:val="auto"/>
              </w:rPr>
            </w:pPr>
            <w:r>
              <w:rPr>
                <w:rFonts w:ascii="Courier New" w:cs="Courier New" w:eastAsia="Courier New" w:hAnsi="Courier New"/>
                <w:sz w:val="17"/>
                <w:szCs w:val="17"/>
                <w:color w:val="auto"/>
              </w:rPr>
              <w:t>Total operating expenses</w:t>
            </w:r>
          </w:p>
        </w:tc>
        <w:tc>
          <w:tcPr>
            <w:tcW w:w="320" w:type="dxa"/>
            <w:vAlign w:val="bottom"/>
          </w:tcPr>
          <w:p>
            <w:pPr>
              <w:ind w:left="200"/>
              <w:spacing w:after="0"/>
              <w:rPr>
                <w:sz w:val="20"/>
                <w:szCs w:val="20"/>
                <w:color w:val="auto"/>
              </w:rPr>
            </w:pPr>
            <w:r>
              <w:rPr>
                <w:rFonts w:ascii="Courier New" w:cs="Courier New" w:eastAsia="Courier New" w:hAnsi="Courier New"/>
                <w:sz w:val="2"/>
                <w:szCs w:val="2"/>
                <w:color w:val="auto"/>
                <w:w w:val="82"/>
              </w:rPr>
              <w:t>----------</w:t>
            </w:r>
          </w:p>
        </w:tc>
        <w:tc>
          <w:tcPr>
            <w:tcW w:w="10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w w:val="95"/>
              </w:rPr>
              <w:t>1,700,129</w:t>
            </w:r>
          </w:p>
        </w:tc>
        <w:tc>
          <w:tcPr>
            <w:tcW w:w="168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20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7"/>
                <w:szCs w:val="17"/>
                <w:color w:val="auto"/>
              </w:rPr>
            </w:pPr>
          </w:p>
        </w:tc>
        <w:tc>
          <w:tcPr>
            <w:tcW w:w="138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0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(15,356)</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5"/>
              </w:rPr>
              <w:t>(12,595)</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1,672,178</w:t>
            </w:r>
          </w:p>
        </w:tc>
        <w:tc>
          <w:tcPr>
            <w:tcW w:w="0" w:type="dxa"/>
            <w:vAlign w:val="bottom"/>
          </w:tcPr>
          <w:p>
            <w:pPr>
              <w:spacing w:after="0"/>
              <w:rPr>
                <w:sz w:val="1"/>
                <w:szCs w:val="1"/>
                <w:color w:val="auto"/>
              </w:rPr>
            </w:pPr>
          </w:p>
        </w:tc>
      </w:tr>
      <w:tr>
        <w:trPr>
          <w:trHeight w:val="196"/>
        </w:trPr>
        <w:tc>
          <w:tcPr>
            <w:tcW w:w="3060" w:type="dxa"/>
            <w:vAlign w:val="bottom"/>
            <w:vMerge w:val="restart"/>
          </w:tcPr>
          <w:p>
            <w:pPr>
              <w:spacing w:after="0"/>
              <w:rPr>
                <w:sz w:val="20"/>
                <w:szCs w:val="20"/>
                <w:color w:val="auto"/>
              </w:rPr>
            </w:pPr>
            <w:r>
              <w:rPr>
                <w:rFonts w:ascii="Courier New" w:cs="Courier New" w:eastAsia="Courier New" w:hAnsi="Courier New"/>
                <w:sz w:val="17"/>
                <w:szCs w:val="17"/>
                <w:color w:val="auto"/>
              </w:rPr>
              <w:t>Operating income</w:t>
            </w:r>
          </w:p>
        </w:tc>
        <w:tc>
          <w:tcPr>
            <w:tcW w:w="320" w:type="dxa"/>
            <w:vAlign w:val="bottom"/>
          </w:tcPr>
          <w:p>
            <w:pPr>
              <w:ind w:left="200"/>
              <w:spacing w:after="0"/>
              <w:rPr>
                <w:sz w:val="20"/>
                <w:szCs w:val="20"/>
                <w:color w:val="auto"/>
              </w:rPr>
            </w:pPr>
            <w:r>
              <w:rPr>
                <w:rFonts w:ascii="Courier New" w:cs="Courier New" w:eastAsia="Courier New" w:hAnsi="Courier New"/>
                <w:sz w:val="2"/>
                <w:szCs w:val="2"/>
                <w:color w:val="auto"/>
                <w:w w:val="82"/>
              </w:rPr>
              <w:t>----------</w:t>
            </w:r>
          </w:p>
        </w:tc>
        <w:tc>
          <w:tcPr>
            <w:tcW w:w="10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338,492</w:t>
            </w:r>
          </w:p>
        </w:tc>
        <w:tc>
          <w:tcPr>
            <w:tcW w:w="168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20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7"/>
                <w:szCs w:val="17"/>
                <w:color w:val="auto"/>
              </w:rPr>
            </w:pPr>
          </w:p>
        </w:tc>
        <w:tc>
          <w:tcPr>
            <w:tcW w:w="138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0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15,356</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12,595</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366,443</w:t>
            </w:r>
          </w:p>
        </w:tc>
        <w:tc>
          <w:tcPr>
            <w:tcW w:w="0" w:type="dxa"/>
            <w:vAlign w:val="bottom"/>
          </w:tcPr>
          <w:p>
            <w:pPr>
              <w:spacing w:after="0"/>
              <w:rPr>
                <w:sz w:val="1"/>
                <w:szCs w:val="1"/>
                <w:color w:val="auto"/>
              </w:rPr>
            </w:pPr>
          </w:p>
        </w:tc>
      </w:tr>
      <w:tr>
        <w:trPr>
          <w:trHeight w:val="196"/>
        </w:trPr>
        <w:tc>
          <w:tcPr>
            <w:tcW w:w="3060" w:type="dxa"/>
            <w:vAlign w:val="bottom"/>
            <w:vMerge w:val="restart"/>
          </w:tcPr>
          <w:p>
            <w:pPr>
              <w:spacing w:after="0"/>
              <w:rPr>
                <w:sz w:val="20"/>
                <w:szCs w:val="20"/>
                <w:color w:val="auto"/>
              </w:rPr>
            </w:pPr>
            <w:r>
              <w:rPr>
                <w:rFonts w:ascii="Courier New" w:cs="Courier New" w:eastAsia="Courier New" w:hAnsi="Courier New"/>
                <w:sz w:val="17"/>
                <w:szCs w:val="17"/>
                <w:color w:val="auto"/>
              </w:rPr>
              <w:t>Income taxes</w:t>
            </w:r>
          </w:p>
        </w:tc>
        <w:tc>
          <w:tcPr>
            <w:tcW w:w="320" w:type="dxa"/>
            <w:vAlign w:val="bottom"/>
          </w:tcPr>
          <w:p>
            <w:pPr>
              <w:ind w:left="200"/>
              <w:spacing w:after="0"/>
              <w:rPr>
                <w:sz w:val="20"/>
                <w:szCs w:val="20"/>
                <w:color w:val="auto"/>
              </w:rPr>
            </w:pPr>
            <w:r>
              <w:rPr>
                <w:rFonts w:ascii="Courier New" w:cs="Courier New" w:eastAsia="Courier New" w:hAnsi="Courier New"/>
                <w:sz w:val="2"/>
                <w:szCs w:val="2"/>
                <w:color w:val="auto"/>
                <w:w w:val="82"/>
              </w:rPr>
              <w:t>----------</w:t>
            </w:r>
          </w:p>
        </w:tc>
        <w:tc>
          <w:tcPr>
            <w:tcW w:w="10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72,159</w:t>
            </w:r>
          </w:p>
        </w:tc>
        <w:tc>
          <w:tcPr>
            <w:tcW w:w="168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20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7"/>
                <w:szCs w:val="17"/>
                <w:color w:val="auto"/>
              </w:rPr>
            </w:pPr>
          </w:p>
        </w:tc>
        <w:tc>
          <w:tcPr>
            <w:tcW w:w="138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0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5,590</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77,749</w:t>
            </w:r>
          </w:p>
        </w:tc>
        <w:tc>
          <w:tcPr>
            <w:tcW w:w="0" w:type="dxa"/>
            <w:vAlign w:val="bottom"/>
          </w:tcPr>
          <w:p>
            <w:pPr>
              <w:spacing w:after="0"/>
              <w:rPr>
                <w:sz w:val="1"/>
                <w:szCs w:val="1"/>
                <w:color w:val="auto"/>
              </w:rPr>
            </w:pPr>
          </w:p>
        </w:tc>
      </w:tr>
      <w:tr>
        <w:trPr>
          <w:trHeight w:val="196"/>
        </w:trPr>
        <w:tc>
          <w:tcPr>
            <w:tcW w:w="3060" w:type="dxa"/>
            <w:vAlign w:val="bottom"/>
            <w:vMerge w:val="restart"/>
          </w:tcPr>
          <w:p>
            <w:pPr>
              <w:spacing w:after="0"/>
              <w:rPr>
                <w:sz w:val="20"/>
                <w:szCs w:val="20"/>
                <w:color w:val="auto"/>
              </w:rPr>
            </w:pPr>
            <w:r>
              <w:rPr>
                <w:rFonts w:ascii="Courier New" w:cs="Courier New" w:eastAsia="Courier New" w:hAnsi="Courier New"/>
                <w:sz w:val="17"/>
                <w:szCs w:val="17"/>
                <w:color w:val="auto"/>
              </w:rPr>
              <w:t>Net income</w:t>
            </w:r>
          </w:p>
        </w:tc>
        <w:tc>
          <w:tcPr>
            <w:tcW w:w="320" w:type="dxa"/>
            <w:vAlign w:val="bottom"/>
            <w:vMerge w:val="restart"/>
          </w:tcPr>
          <w:p>
            <w:pPr>
              <w:ind w:left="200"/>
              <w:spacing w:after="0"/>
              <w:rPr>
                <w:sz w:val="20"/>
                <w:szCs w:val="20"/>
                <w:color w:val="auto"/>
              </w:rPr>
            </w:pPr>
            <w:r>
              <w:rPr>
                <w:rFonts w:ascii="Courier New" w:cs="Courier New" w:eastAsia="Courier New" w:hAnsi="Courier New"/>
                <w:sz w:val="4"/>
                <w:szCs w:val="4"/>
                <w:color w:val="auto"/>
                <w:w w:val="73"/>
                <w:vertAlign w:val="subscript"/>
              </w:rPr>
              <w:t>$</w:t>
            </w:r>
            <w:r>
              <w:rPr>
                <w:rFonts w:ascii="Courier New" w:cs="Courier New" w:eastAsia="Courier New" w:hAnsi="Courier New"/>
                <w:sz w:val="2"/>
                <w:szCs w:val="2"/>
                <w:color w:val="auto"/>
                <w:w w:val="73"/>
              </w:rPr>
              <w:t>----------</w:t>
            </w:r>
          </w:p>
        </w:tc>
        <w:tc>
          <w:tcPr>
            <w:tcW w:w="1060" w:type="dxa"/>
            <w:vAlign w:val="bottom"/>
            <w:vMerge w:val="restart"/>
          </w:tcPr>
          <w:p>
            <w:pPr>
              <w:jc w:val="right"/>
              <w:ind w:right="75"/>
              <w:spacing w:after="0"/>
              <w:rPr>
                <w:sz w:val="20"/>
                <w:szCs w:val="20"/>
                <w:color w:val="auto"/>
              </w:rPr>
            </w:pPr>
            <w:r>
              <w:rPr>
                <w:rFonts w:ascii="Courier New" w:cs="Courier New" w:eastAsia="Courier New" w:hAnsi="Courier New"/>
                <w:sz w:val="17"/>
                <w:szCs w:val="17"/>
                <w:color w:val="auto"/>
              </w:rPr>
              <w:t>288,636</w:t>
            </w:r>
          </w:p>
        </w:tc>
        <w:tc>
          <w:tcPr>
            <w:tcW w:w="168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20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7"/>
                <w:szCs w:val="17"/>
                <w:color w:val="auto"/>
              </w:rPr>
            </w:pPr>
          </w:p>
        </w:tc>
        <w:tc>
          <w:tcPr>
            <w:tcW w:w="138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30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68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$ 15,356</w:t>
            </w:r>
          </w:p>
        </w:tc>
        <w:tc>
          <w:tcPr>
            <w:tcW w:w="320" w:type="dxa"/>
            <w:vAlign w:val="bottom"/>
          </w:tcPr>
          <w:p>
            <w:pPr>
              <w:spacing w:after="0"/>
              <w:rPr>
                <w:sz w:val="17"/>
                <w:szCs w:val="17"/>
                <w:color w:val="auto"/>
              </w:rPr>
            </w:pPr>
          </w:p>
        </w:tc>
        <w:tc>
          <w:tcPr>
            <w:tcW w:w="20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$ 12,595</w:t>
            </w:r>
          </w:p>
        </w:tc>
        <w:tc>
          <w:tcPr>
            <w:tcW w:w="500" w:type="dxa"/>
            <w:vAlign w:val="bottom"/>
          </w:tcPr>
          <w:p>
            <w:pPr>
              <w:spacing w:after="0"/>
              <w:rPr>
                <w:sz w:val="17"/>
                <w:szCs w:val="17"/>
                <w:color w:val="auto"/>
              </w:rPr>
            </w:pPr>
          </w:p>
        </w:tc>
        <w:tc>
          <w:tcPr>
            <w:tcW w:w="138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$(5,590)</w:t>
            </w:r>
          </w:p>
        </w:tc>
        <w:tc>
          <w:tcPr>
            <w:tcW w:w="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310,997</w:t>
            </w:r>
          </w:p>
        </w:tc>
        <w:tc>
          <w:tcPr>
            <w:tcW w:w="0" w:type="dxa"/>
            <w:vAlign w:val="bottom"/>
          </w:tcPr>
          <w:p>
            <w:pPr>
              <w:spacing w:after="0"/>
              <w:rPr>
                <w:sz w:val="1"/>
                <w:szCs w:val="1"/>
                <w:color w:val="auto"/>
              </w:rPr>
            </w:pPr>
          </w:p>
        </w:tc>
      </w:tr>
      <w:tr>
        <w:trPr>
          <w:trHeight w:val="286"/>
        </w:trPr>
        <w:tc>
          <w:tcPr>
            <w:tcW w:w="3060" w:type="dxa"/>
            <w:vAlign w:val="bottom"/>
          </w:tcPr>
          <w:p>
            <w:pPr>
              <w:spacing w:after="0"/>
              <w:rPr>
                <w:sz w:val="24"/>
                <w:szCs w:val="24"/>
                <w:color w:val="auto"/>
              </w:rPr>
            </w:pPr>
          </w:p>
        </w:tc>
        <w:tc>
          <w:tcPr>
            <w:tcW w:w="13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24"/>
                <w:szCs w:val="24"/>
                <w:color w:val="auto"/>
              </w:rPr>
            </w:pPr>
          </w:p>
        </w:tc>
        <w:tc>
          <w:tcPr>
            <w:tcW w:w="20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24"/>
                <w:szCs w:val="24"/>
                <w:color w:val="auto"/>
              </w:rPr>
            </w:pPr>
          </w:p>
        </w:tc>
        <w:tc>
          <w:tcPr>
            <w:tcW w:w="138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ectPr>
          <w:pgSz w:w="11900" w:h="16838" w:orient="portrait"/>
          <w:cols w:equalWidth="0" w:num="1">
            <w:col w:w="11520"/>
          </w:cols>
          <w:pgMar w:left="240" w:top="674" w:right="139" w:bottom="599" w:gutter="0" w:footer="0" w:header="0"/>
        </w:sectPr>
      </w:pPr>
    </w:p>
    <w:bookmarkStart w:id="14" w:name="page15"/>
    <w:bookmarkEnd w:id="14"/>
    <w:p>
      <w:pPr>
        <w:jc w:val="center"/>
        <w:ind w:right="2039"/>
        <w:spacing w:after="0"/>
        <w:rPr>
          <w:sz w:val="20"/>
          <w:szCs w:val="20"/>
          <w:color w:val="auto"/>
        </w:rPr>
      </w:pPr>
      <w:r>
        <w:rPr>
          <w:rFonts w:ascii="Courier New" w:cs="Courier New" w:eastAsia="Courier New" w:hAnsi="Courier New"/>
          <w:sz w:val="17"/>
          <w:szCs w:val="17"/>
          <w:color w:val="auto"/>
        </w:rPr>
        <w:t>AMDOCS LIMITED</w:t>
      </w:r>
    </w:p>
    <w:p>
      <w:pPr>
        <w:spacing w:after="0" w:line="3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CONDENSED CONSOLIDATED BALANCE SHEETS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60" w:type="dxa"/>
            <w:vAlign w:val="bottom"/>
          </w:tcPr>
          <w:p>
            <w:pPr>
              <w:ind w:left="3380"/>
              <w:spacing w:after="0"/>
              <w:rPr>
                <w:sz w:val="20"/>
                <w:szCs w:val="20"/>
                <w:color w:val="auto"/>
              </w:rPr>
            </w:pPr>
            <w:r>
              <w:rPr>
                <w:rFonts w:ascii="Courier New" w:cs="Courier New" w:eastAsia="Courier New" w:hAnsi="Courier New"/>
                <w:sz w:val="17"/>
                <w:szCs w:val="17"/>
                <w:color w:val="auto"/>
              </w:rPr>
              <w:t>(IN THOUSANDS)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5"/>
        </w:trPr>
        <w:tc>
          <w:tcPr>
            <w:tcW w:w="5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AS OF</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2800" w:type="dxa"/>
            <w:vAlign w:val="bottom"/>
            <w:gridSpan w:val="4"/>
          </w:tcPr>
          <w:p>
            <w:pPr>
              <w:ind w:left="160"/>
              <w:spacing w:after="0"/>
              <w:rPr>
                <w:sz w:val="20"/>
                <w:szCs w:val="20"/>
                <w:color w:val="auto"/>
              </w:rPr>
            </w:pPr>
            <w:r>
              <w:rPr>
                <w:rFonts w:ascii="Courier New" w:cs="Courier New" w:eastAsia="Courier New" w:hAnsi="Courier New"/>
                <w:sz w:val="17"/>
                <w:szCs w:val="17"/>
                <w:color w:val="auto"/>
                <w:w w:val="98"/>
              </w:rPr>
              <w:t>--------------------------</w:t>
            </w: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w w:val="97"/>
              </w:rPr>
              <w:t>SEPTEMBER</w:t>
            </w:r>
          </w:p>
        </w:tc>
        <w:tc>
          <w:tcPr>
            <w:tcW w:w="15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SEPTEMBER 30,</w:t>
            </w: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30, 2006</w:t>
            </w:r>
          </w:p>
        </w:tc>
        <w:tc>
          <w:tcPr>
            <w:tcW w:w="560" w:type="dxa"/>
            <w:vAlign w:val="bottom"/>
          </w:tcPr>
          <w:p>
            <w:pPr>
              <w:spacing w:after="0"/>
              <w:rPr>
                <w:sz w:val="17"/>
                <w:szCs w:val="17"/>
                <w:color w:val="auto"/>
              </w:rPr>
            </w:pPr>
          </w:p>
        </w:tc>
        <w:tc>
          <w:tcPr>
            <w:tcW w:w="10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2005</w:t>
            </w:r>
          </w:p>
        </w:tc>
        <w:tc>
          <w:tcPr>
            <w:tcW w:w="0" w:type="dxa"/>
            <w:vAlign w:val="bottom"/>
          </w:tcPr>
          <w:p>
            <w:pPr>
              <w:spacing w:after="0"/>
              <w:rPr>
                <w:sz w:val="1"/>
                <w:szCs w:val="1"/>
                <w:color w:val="auto"/>
              </w:rPr>
            </w:pPr>
          </w:p>
        </w:tc>
      </w:tr>
      <w:tr>
        <w:trPr>
          <w:trHeight w:val="286"/>
        </w:trPr>
        <w:tc>
          <w:tcPr>
            <w:tcW w:w="536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536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20"/>
                <w:szCs w:val="20"/>
                <w:color w:val="auto"/>
              </w:rPr>
            </w:pPr>
            <w:r>
              <w:rPr>
                <w:rFonts w:ascii="Courier New" w:cs="Courier New" w:eastAsia="Courier New" w:hAnsi="Courier New"/>
                <w:sz w:val="17"/>
                <w:szCs w:val="17"/>
                <w:color w:val="auto"/>
              </w:rPr>
              <w:t>Cash, cash equivalents and short-term interest-</w:t>
            </w:r>
          </w:p>
        </w:tc>
        <w:tc>
          <w:tcPr>
            <w:tcW w:w="260" w:type="dxa"/>
            <w:vAlign w:val="bottom"/>
            <w:vMerge w:val="restart"/>
          </w:tcPr>
          <w:p>
            <w:pPr>
              <w:ind w:left="160"/>
              <w:spacing w:after="0"/>
              <w:rPr>
                <w:sz w:val="20"/>
                <w:szCs w:val="20"/>
                <w:color w:val="auto"/>
              </w:rPr>
            </w:pPr>
            <w:r>
              <w:rPr>
                <w:rFonts w:ascii="Courier New" w:cs="Courier New" w:eastAsia="Courier New" w:hAnsi="Courier New"/>
                <w:sz w:val="17"/>
                <w:szCs w:val="17"/>
                <w:color w:val="auto"/>
                <w:w w:val="77"/>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979,381</w:t>
            </w:r>
          </w:p>
        </w:tc>
        <w:tc>
          <w:tcPr>
            <w:tcW w:w="1580" w:type="dxa"/>
            <w:vAlign w:val="bottom"/>
            <w:gridSpan w:val="2"/>
            <w:vMerge w:val="restart"/>
          </w:tcPr>
          <w:p>
            <w:pPr>
              <w:jc w:val="right"/>
              <w:ind w:right="15"/>
              <w:spacing w:after="0"/>
              <w:rPr>
                <w:sz w:val="20"/>
                <w:szCs w:val="20"/>
                <w:color w:val="auto"/>
              </w:rPr>
            </w:pPr>
            <w:r>
              <w:rPr>
                <w:rFonts w:ascii="Courier New" w:cs="Courier New" w:eastAsia="Courier New" w:hAnsi="Courier New"/>
                <w:sz w:val="17"/>
                <w:szCs w:val="17"/>
                <w:color w:val="auto"/>
              </w:rPr>
              <w:t>$1,145,563</w:t>
            </w:r>
          </w:p>
        </w:tc>
        <w:tc>
          <w:tcPr>
            <w:tcW w:w="0" w:type="dxa"/>
            <w:vAlign w:val="bottom"/>
          </w:tcPr>
          <w:p>
            <w:pPr>
              <w:spacing w:after="0"/>
              <w:rPr>
                <w:sz w:val="1"/>
                <w:szCs w:val="1"/>
                <w:color w:val="auto"/>
              </w:rPr>
            </w:pPr>
          </w:p>
        </w:tc>
      </w:tr>
      <w:tr>
        <w:trPr>
          <w:trHeight w:val="196"/>
        </w:trPr>
        <w:tc>
          <w:tcPr>
            <w:tcW w:w="5360" w:type="dxa"/>
            <w:vAlign w:val="bottom"/>
          </w:tcPr>
          <w:p>
            <w:pPr>
              <w:ind w:left="320"/>
              <w:spacing w:after="0"/>
              <w:rPr>
                <w:sz w:val="20"/>
                <w:szCs w:val="20"/>
                <w:color w:val="auto"/>
              </w:rPr>
            </w:pPr>
            <w:r>
              <w:rPr>
                <w:rFonts w:ascii="Courier New" w:cs="Courier New" w:eastAsia="Courier New" w:hAnsi="Courier New"/>
                <w:sz w:val="17"/>
                <w:szCs w:val="17"/>
                <w:color w:val="auto"/>
              </w:rPr>
              <w:t>bearing investments</w:t>
            </w:r>
          </w:p>
        </w:tc>
        <w:tc>
          <w:tcPr>
            <w:tcW w:w="2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20"/>
                <w:szCs w:val="20"/>
                <w:color w:val="auto"/>
              </w:rPr>
            </w:pPr>
            <w:r>
              <w:rPr>
                <w:rFonts w:ascii="Courier New" w:cs="Courier New" w:eastAsia="Courier New" w:hAnsi="Courier New"/>
                <w:sz w:val="17"/>
                <w:szCs w:val="17"/>
                <w:color w:val="auto"/>
              </w:rPr>
              <w:t>Accounts receivable, net, including unbilled of</w:t>
            </w:r>
          </w:p>
        </w:tc>
        <w:tc>
          <w:tcPr>
            <w:tcW w:w="2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425,805</w:t>
            </w:r>
          </w:p>
        </w:tc>
        <w:tc>
          <w:tcPr>
            <w:tcW w:w="560" w:type="dxa"/>
            <w:vAlign w:val="bottom"/>
          </w:tcPr>
          <w:p>
            <w:pPr>
              <w:spacing w:after="0"/>
              <w:rPr>
                <w:sz w:val="17"/>
                <w:szCs w:val="17"/>
                <w:color w:val="auto"/>
              </w:rPr>
            </w:pPr>
          </w:p>
        </w:tc>
        <w:tc>
          <w:tcPr>
            <w:tcW w:w="102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rPr>
              <w:t>304,237</w:t>
            </w:r>
          </w:p>
        </w:tc>
        <w:tc>
          <w:tcPr>
            <w:tcW w:w="0" w:type="dxa"/>
            <w:vAlign w:val="bottom"/>
          </w:tcPr>
          <w:p>
            <w:pPr>
              <w:spacing w:after="0"/>
              <w:rPr>
                <w:sz w:val="1"/>
                <w:szCs w:val="1"/>
                <w:color w:val="auto"/>
              </w:rPr>
            </w:pPr>
          </w:p>
        </w:tc>
      </w:tr>
      <w:tr>
        <w:trPr>
          <w:trHeight w:val="196"/>
        </w:trPr>
        <w:tc>
          <w:tcPr>
            <w:tcW w:w="5360" w:type="dxa"/>
            <w:vAlign w:val="bottom"/>
          </w:tcPr>
          <w:p>
            <w:pPr>
              <w:ind w:left="320"/>
              <w:spacing w:after="0"/>
              <w:rPr>
                <w:sz w:val="20"/>
                <w:szCs w:val="20"/>
                <w:color w:val="auto"/>
              </w:rPr>
            </w:pPr>
            <w:r>
              <w:rPr>
                <w:rFonts w:ascii="Courier New" w:cs="Courier New" w:eastAsia="Courier New" w:hAnsi="Courier New"/>
                <w:sz w:val="17"/>
                <w:szCs w:val="17"/>
                <w:color w:val="auto"/>
              </w:rPr>
              <w:t>$54,117 and $28,994 respectively</w:t>
            </w:r>
          </w:p>
        </w:tc>
        <w:tc>
          <w:tcPr>
            <w:tcW w:w="2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20"/>
                <w:szCs w:val="20"/>
                <w:color w:val="auto"/>
              </w:rPr>
            </w:pPr>
            <w:r>
              <w:rPr>
                <w:rFonts w:ascii="Courier New" w:cs="Courier New" w:eastAsia="Courier New" w:hAnsi="Courier New"/>
                <w:sz w:val="17"/>
                <w:szCs w:val="17"/>
                <w:color w:val="auto"/>
              </w:rPr>
              <w:t>Deferred income taxes and taxes receivable</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136,044</w:t>
            </w:r>
          </w:p>
        </w:tc>
        <w:tc>
          <w:tcPr>
            <w:tcW w:w="5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101,162</w:t>
            </w:r>
          </w:p>
        </w:tc>
        <w:tc>
          <w:tcPr>
            <w:tcW w:w="0" w:type="dxa"/>
            <w:vAlign w:val="bottom"/>
          </w:tcPr>
          <w:p>
            <w:pPr>
              <w:spacing w:after="0"/>
              <w:rPr>
                <w:sz w:val="1"/>
                <w:szCs w:val="1"/>
                <w:color w:val="auto"/>
              </w:rPr>
            </w:pPr>
          </w:p>
        </w:tc>
      </w:tr>
      <w:tr>
        <w:trPr>
          <w:trHeight w:val="196"/>
        </w:trPr>
        <w:tc>
          <w:tcPr>
            <w:tcW w:w="5360" w:type="dxa"/>
            <w:vAlign w:val="bottom"/>
          </w:tcPr>
          <w:p>
            <w:pPr>
              <w:spacing w:after="0"/>
              <w:rPr>
                <w:sz w:val="20"/>
                <w:szCs w:val="20"/>
                <w:color w:val="auto"/>
              </w:rPr>
            </w:pPr>
            <w:r>
              <w:rPr>
                <w:rFonts w:ascii="Courier New" w:cs="Courier New" w:eastAsia="Courier New" w:hAnsi="Courier New"/>
                <w:sz w:val="17"/>
                <w:szCs w:val="17"/>
                <w:color w:val="auto"/>
              </w:rPr>
              <w:t>Prepaid expenses and other current assets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97,476</w:t>
            </w:r>
          </w:p>
        </w:tc>
        <w:tc>
          <w:tcPr>
            <w:tcW w:w="5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76,780</w:t>
            </w:r>
          </w:p>
        </w:tc>
        <w:tc>
          <w:tcPr>
            <w:tcW w:w="0" w:type="dxa"/>
            <w:vAlign w:val="bottom"/>
          </w:tcPr>
          <w:p>
            <w:pPr>
              <w:spacing w:after="0"/>
              <w:rPr>
                <w:sz w:val="1"/>
                <w:szCs w:val="1"/>
                <w:color w:val="auto"/>
              </w:rPr>
            </w:pPr>
          </w:p>
        </w:tc>
      </w:tr>
      <w:tr>
        <w:trPr>
          <w:trHeight w:val="196"/>
        </w:trPr>
        <w:tc>
          <w:tcPr>
            <w:tcW w:w="5360" w:type="dxa"/>
            <w:vAlign w:val="bottom"/>
            <w:vMerge w:val="restart"/>
          </w:tcPr>
          <w:p>
            <w:pPr>
              <w:ind w:left="320"/>
              <w:spacing w:after="0"/>
              <w:rPr>
                <w:sz w:val="20"/>
                <w:szCs w:val="20"/>
                <w:color w:val="auto"/>
              </w:rPr>
            </w:pPr>
            <w:r>
              <w:rPr>
                <w:rFonts w:ascii="Courier New" w:cs="Courier New" w:eastAsia="Courier New" w:hAnsi="Courier New"/>
                <w:sz w:val="17"/>
                <w:szCs w:val="17"/>
                <w:color w:val="auto"/>
              </w:rPr>
              <w:t>Total current assets</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6"/>
        </w:trPr>
        <w:tc>
          <w:tcPr>
            <w:tcW w:w="5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w w:val="97"/>
              </w:rPr>
              <w:t>1,638,706</w:t>
            </w:r>
          </w:p>
        </w:tc>
        <w:tc>
          <w:tcPr>
            <w:tcW w:w="560" w:type="dxa"/>
            <w:vAlign w:val="bottom"/>
          </w:tcPr>
          <w:p>
            <w:pPr>
              <w:spacing w:after="0"/>
              <w:rPr>
                <w:sz w:val="24"/>
                <w:szCs w:val="24"/>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1,627,742</w:t>
            </w:r>
          </w:p>
        </w:tc>
        <w:tc>
          <w:tcPr>
            <w:tcW w:w="0" w:type="dxa"/>
            <w:vAlign w:val="bottom"/>
          </w:tcPr>
          <w:p>
            <w:pPr>
              <w:spacing w:after="0"/>
              <w:rPr>
                <w:sz w:val="1"/>
                <w:szCs w:val="1"/>
                <w:color w:val="auto"/>
              </w:rPr>
            </w:pPr>
          </w:p>
        </w:tc>
      </w:tr>
      <w:tr>
        <w:trPr>
          <w:trHeight w:val="303"/>
        </w:trPr>
        <w:tc>
          <w:tcPr>
            <w:tcW w:w="5360" w:type="dxa"/>
            <w:vAlign w:val="bottom"/>
          </w:tcPr>
          <w:p>
            <w:pPr>
              <w:spacing w:after="0"/>
              <w:rPr>
                <w:sz w:val="20"/>
                <w:szCs w:val="20"/>
                <w:color w:val="auto"/>
              </w:rPr>
            </w:pPr>
            <w:r>
              <w:rPr>
                <w:rFonts w:ascii="Courier New" w:cs="Courier New" w:eastAsia="Courier New" w:hAnsi="Courier New"/>
                <w:sz w:val="17"/>
                <w:szCs w:val="17"/>
                <w:color w:val="auto"/>
              </w:rPr>
              <w:t>Equipment, vehicles and leasehold improvements, net</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220,290</w:t>
            </w:r>
          </w:p>
        </w:tc>
        <w:tc>
          <w:tcPr>
            <w:tcW w:w="560" w:type="dxa"/>
            <w:vAlign w:val="bottom"/>
          </w:tcPr>
          <w:p>
            <w:pPr>
              <w:spacing w:after="0"/>
              <w:rPr>
                <w:sz w:val="24"/>
                <w:szCs w:val="24"/>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181,812</w:t>
            </w:r>
          </w:p>
        </w:tc>
        <w:tc>
          <w:tcPr>
            <w:tcW w:w="0" w:type="dxa"/>
            <w:vAlign w:val="bottom"/>
          </w:tcPr>
          <w:p>
            <w:pPr>
              <w:spacing w:after="0"/>
              <w:rPr>
                <w:sz w:val="1"/>
                <w:szCs w:val="1"/>
                <w:color w:val="auto"/>
              </w:rPr>
            </w:pPr>
          </w:p>
        </w:tc>
      </w:tr>
      <w:tr>
        <w:trPr>
          <w:trHeight w:val="196"/>
        </w:trPr>
        <w:tc>
          <w:tcPr>
            <w:tcW w:w="5360" w:type="dxa"/>
            <w:vAlign w:val="bottom"/>
          </w:tcPr>
          <w:p>
            <w:pPr>
              <w:spacing w:after="0"/>
              <w:rPr>
                <w:sz w:val="20"/>
                <w:szCs w:val="20"/>
                <w:color w:val="auto"/>
              </w:rPr>
            </w:pPr>
            <w:r>
              <w:rPr>
                <w:rFonts w:ascii="Courier New" w:cs="Courier New" w:eastAsia="Courier New" w:hAnsi="Courier New"/>
                <w:sz w:val="17"/>
                <w:szCs w:val="17"/>
                <w:color w:val="auto"/>
              </w:rPr>
              <w:t>Goodwill and other intangible assets, net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w w:val="97"/>
              </w:rPr>
              <w:t>1,809,322</w:t>
            </w:r>
          </w:p>
        </w:tc>
        <w:tc>
          <w:tcPr>
            <w:tcW w:w="5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1,129,258</w:t>
            </w:r>
          </w:p>
        </w:tc>
        <w:tc>
          <w:tcPr>
            <w:tcW w:w="0" w:type="dxa"/>
            <w:vAlign w:val="bottom"/>
          </w:tcPr>
          <w:p>
            <w:pPr>
              <w:spacing w:after="0"/>
              <w:rPr>
                <w:sz w:val="1"/>
                <w:szCs w:val="1"/>
                <w:color w:val="auto"/>
              </w:rPr>
            </w:pPr>
          </w:p>
        </w:tc>
      </w:tr>
      <w:tr>
        <w:trPr>
          <w:trHeight w:val="196"/>
        </w:trPr>
        <w:tc>
          <w:tcPr>
            <w:tcW w:w="5360" w:type="dxa"/>
            <w:vAlign w:val="bottom"/>
          </w:tcPr>
          <w:p>
            <w:pPr>
              <w:spacing w:after="0"/>
              <w:rPr>
                <w:sz w:val="20"/>
                <w:szCs w:val="20"/>
                <w:color w:val="auto"/>
              </w:rPr>
            </w:pPr>
            <w:r>
              <w:rPr>
                <w:rFonts w:ascii="Courier New" w:cs="Courier New" w:eastAsia="Courier New" w:hAnsi="Courier New"/>
                <w:sz w:val="17"/>
                <w:szCs w:val="17"/>
                <w:color w:val="auto"/>
              </w:rPr>
              <w:t>Other noncurrent assets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294,510</w:t>
            </w:r>
          </w:p>
        </w:tc>
        <w:tc>
          <w:tcPr>
            <w:tcW w:w="5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263,656</w:t>
            </w:r>
          </w:p>
        </w:tc>
        <w:tc>
          <w:tcPr>
            <w:tcW w:w="0" w:type="dxa"/>
            <w:vAlign w:val="bottom"/>
          </w:tcPr>
          <w:p>
            <w:pPr>
              <w:spacing w:after="0"/>
              <w:rPr>
                <w:sz w:val="1"/>
                <w:szCs w:val="1"/>
                <w:color w:val="auto"/>
              </w:rPr>
            </w:pPr>
          </w:p>
        </w:tc>
      </w:tr>
      <w:tr>
        <w:trPr>
          <w:trHeight w:val="196"/>
        </w:trPr>
        <w:tc>
          <w:tcPr>
            <w:tcW w:w="5360" w:type="dxa"/>
            <w:vAlign w:val="bottom"/>
            <w:vMerge w:val="restart"/>
          </w:tcPr>
          <w:p>
            <w:pPr>
              <w:spacing w:after="0"/>
              <w:rPr>
                <w:sz w:val="20"/>
                <w:szCs w:val="20"/>
                <w:color w:val="auto"/>
              </w:rPr>
            </w:pPr>
            <w:r>
              <w:rPr>
                <w:rFonts w:ascii="Courier New" w:cs="Courier New" w:eastAsia="Courier New" w:hAnsi="Courier New"/>
                <w:sz w:val="17"/>
                <w:szCs w:val="17"/>
                <w:color w:val="auto"/>
              </w:rPr>
              <w:t>Total assets</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5360" w:type="dxa"/>
            <w:vAlign w:val="bottom"/>
            <w:vMerge w:val="continue"/>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$3,962,828</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$3,202,468</w:t>
            </w:r>
          </w:p>
        </w:tc>
        <w:tc>
          <w:tcPr>
            <w:tcW w:w="0" w:type="dxa"/>
            <w:vAlign w:val="bottom"/>
          </w:tcPr>
          <w:p>
            <w:pPr>
              <w:spacing w:after="0"/>
              <w:rPr>
                <w:sz w:val="1"/>
                <w:szCs w:val="1"/>
                <w:color w:val="auto"/>
              </w:rPr>
            </w:pPr>
          </w:p>
        </w:tc>
      </w:tr>
      <w:tr>
        <w:trPr>
          <w:trHeight w:val="286"/>
        </w:trPr>
        <w:tc>
          <w:tcPr>
            <w:tcW w:w="5360" w:type="dxa"/>
            <w:vAlign w:val="bottom"/>
            <w:vMerge w:val="restart"/>
          </w:tcPr>
          <w:p>
            <w:pPr>
              <w:spacing w:after="0"/>
              <w:rPr>
                <w:sz w:val="20"/>
                <w:szCs w:val="20"/>
                <w:color w:val="auto"/>
              </w:rPr>
            </w:pPr>
            <w:r>
              <w:rPr>
                <w:rFonts w:ascii="Courier New" w:cs="Courier New" w:eastAsia="Courier New" w:hAnsi="Courier New"/>
                <w:sz w:val="17"/>
                <w:szCs w:val="17"/>
                <w:color w:val="auto"/>
              </w:rPr>
              <w:t>LIABILITIES AND SHAREHOLDERS' EQUITY</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53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260" w:type="dxa"/>
            <w:vAlign w:val="bottom"/>
            <w:vMerge w:val="restart"/>
          </w:tcPr>
          <w:p>
            <w:pPr>
              <w:ind w:left="160"/>
              <w:spacing w:after="0"/>
              <w:rPr>
                <w:sz w:val="20"/>
                <w:szCs w:val="20"/>
                <w:color w:val="auto"/>
              </w:rPr>
            </w:pPr>
            <w:r>
              <w:rPr>
                <w:rFonts w:ascii="Courier New" w:cs="Courier New" w:eastAsia="Courier New" w:hAnsi="Courier New"/>
                <w:sz w:val="17"/>
                <w:szCs w:val="17"/>
                <w:color w:val="auto"/>
                <w:w w:val="77"/>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597,107</w:t>
            </w:r>
          </w:p>
        </w:tc>
        <w:tc>
          <w:tcPr>
            <w:tcW w:w="5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rPr>
              <w:t>462,276</w:t>
            </w:r>
          </w:p>
        </w:tc>
        <w:tc>
          <w:tcPr>
            <w:tcW w:w="0" w:type="dxa"/>
            <w:vAlign w:val="bottom"/>
          </w:tcPr>
          <w:p>
            <w:pPr>
              <w:spacing w:after="0"/>
              <w:rPr>
                <w:sz w:val="1"/>
                <w:szCs w:val="1"/>
                <w:color w:val="auto"/>
              </w:rPr>
            </w:pPr>
          </w:p>
        </w:tc>
      </w:tr>
      <w:tr>
        <w:trPr>
          <w:trHeight w:val="286"/>
        </w:trPr>
        <w:tc>
          <w:tcPr>
            <w:tcW w:w="5360" w:type="dxa"/>
            <w:vAlign w:val="bottom"/>
          </w:tcPr>
          <w:p>
            <w:pPr>
              <w:spacing w:after="0"/>
              <w:rPr>
                <w:sz w:val="20"/>
                <w:szCs w:val="20"/>
                <w:color w:val="auto"/>
              </w:rPr>
            </w:pPr>
            <w:r>
              <w:rPr>
                <w:rFonts w:ascii="Courier New" w:cs="Courier New" w:eastAsia="Courier New" w:hAnsi="Courier New"/>
                <w:sz w:val="17"/>
                <w:szCs w:val="17"/>
                <w:color w:val="auto"/>
              </w:rPr>
              <w:t>Accounts payable and accruals</w:t>
            </w:r>
          </w:p>
        </w:tc>
        <w:tc>
          <w:tcPr>
            <w:tcW w:w="26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560" w:type="dxa"/>
            <w:vAlign w:val="bottom"/>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360" w:type="dxa"/>
            <w:vAlign w:val="bottom"/>
          </w:tcPr>
          <w:p>
            <w:pPr>
              <w:spacing w:after="0"/>
              <w:rPr>
                <w:sz w:val="20"/>
                <w:szCs w:val="20"/>
                <w:color w:val="auto"/>
              </w:rPr>
            </w:pPr>
            <w:r>
              <w:rPr>
                <w:rFonts w:ascii="Courier New" w:cs="Courier New" w:eastAsia="Courier New" w:hAnsi="Courier New"/>
                <w:sz w:val="17"/>
                <w:szCs w:val="17"/>
                <w:color w:val="auto"/>
              </w:rPr>
              <w:t>Short-term portion of capital lease obligations and</w:t>
            </w:r>
          </w:p>
        </w:tc>
        <w:tc>
          <w:tcPr>
            <w:tcW w:w="2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1,963</w:t>
            </w:r>
          </w:p>
        </w:tc>
        <w:tc>
          <w:tcPr>
            <w:tcW w:w="560" w:type="dxa"/>
            <w:vAlign w:val="bottom"/>
          </w:tcPr>
          <w:p>
            <w:pPr>
              <w:spacing w:after="0"/>
              <w:rPr>
                <w:sz w:val="24"/>
                <w:szCs w:val="24"/>
                <w:color w:val="auto"/>
              </w:rPr>
            </w:pPr>
          </w:p>
        </w:tc>
        <w:tc>
          <w:tcPr>
            <w:tcW w:w="102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rPr>
              <w:t>8,480</w:t>
            </w:r>
          </w:p>
        </w:tc>
        <w:tc>
          <w:tcPr>
            <w:tcW w:w="0" w:type="dxa"/>
            <w:vAlign w:val="bottom"/>
          </w:tcPr>
          <w:p>
            <w:pPr>
              <w:spacing w:after="0"/>
              <w:rPr>
                <w:sz w:val="1"/>
                <w:szCs w:val="1"/>
                <w:color w:val="auto"/>
              </w:rPr>
            </w:pPr>
          </w:p>
        </w:tc>
      </w:tr>
      <w:tr>
        <w:trPr>
          <w:trHeight w:val="196"/>
        </w:trPr>
        <w:tc>
          <w:tcPr>
            <w:tcW w:w="5360" w:type="dxa"/>
            <w:vAlign w:val="bottom"/>
          </w:tcPr>
          <w:p>
            <w:pPr>
              <w:ind w:left="320"/>
              <w:spacing w:after="0"/>
              <w:rPr>
                <w:sz w:val="20"/>
                <w:szCs w:val="20"/>
                <w:color w:val="auto"/>
              </w:rPr>
            </w:pPr>
            <w:r>
              <w:rPr>
                <w:rFonts w:ascii="Courier New" w:cs="Courier New" w:eastAsia="Courier New" w:hAnsi="Courier New"/>
                <w:sz w:val="17"/>
                <w:szCs w:val="17"/>
                <w:color w:val="auto"/>
              </w:rPr>
              <w:t>other financing arrangements</w:t>
            </w:r>
          </w:p>
        </w:tc>
        <w:tc>
          <w:tcPr>
            <w:tcW w:w="2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20"/>
                <w:szCs w:val="20"/>
                <w:color w:val="auto"/>
              </w:rPr>
            </w:pPr>
            <w:r>
              <w:rPr>
                <w:rFonts w:ascii="Courier New" w:cs="Courier New" w:eastAsia="Courier New" w:hAnsi="Courier New"/>
                <w:sz w:val="17"/>
                <w:szCs w:val="17"/>
                <w:color w:val="auto"/>
              </w:rPr>
              <w:t>Deferred revenue</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253,376</w:t>
            </w:r>
          </w:p>
        </w:tc>
        <w:tc>
          <w:tcPr>
            <w:tcW w:w="5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216,770</w:t>
            </w:r>
          </w:p>
        </w:tc>
        <w:tc>
          <w:tcPr>
            <w:tcW w:w="0" w:type="dxa"/>
            <w:vAlign w:val="bottom"/>
          </w:tcPr>
          <w:p>
            <w:pPr>
              <w:spacing w:after="0"/>
              <w:rPr>
                <w:sz w:val="1"/>
                <w:szCs w:val="1"/>
                <w:color w:val="auto"/>
              </w:rPr>
            </w:pPr>
          </w:p>
        </w:tc>
      </w:tr>
      <w:tr>
        <w:trPr>
          <w:trHeight w:val="196"/>
        </w:trPr>
        <w:tc>
          <w:tcPr>
            <w:tcW w:w="5360" w:type="dxa"/>
            <w:vAlign w:val="bottom"/>
          </w:tcPr>
          <w:p>
            <w:pPr>
              <w:spacing w:after="0"/>
              <w:rPr>
                <w:sz w:val="20"/>
                <w:szCs w:val="20"/>
                <w:color w:val="auto"/>
              </w:rPr>
            </w:pPr>
            <w:r>
              <w:rPr>
                <w:rFonts w:ascii="Courier New" w:cs="Courier New" w:eastAsia="Courier New" w:hAnsi="Courier New"/>
                <w:sz w:val="17"/>
                <w:szCs w:val="17"/>
                <w:color w:val="auto"/>
              </w:rPr>
              <w:t>Deferred income taxes and taxes payable</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179,241</w:t>
            </w:r>
          </w:p>
        </w:tc>
        <w:tc>
          <w:tcPr>
            <w:tcW w:w="5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171,377</w:t>
            </w:r>
          </w:p>
        </w:tc>
        <w:tc>
          <w:tcPr>
            <w:tcW w:w="0" w:type="dxa"/>
            <w:vAlign w:val="bottom"/>
          </w:tcPr>
          <w:p>
            <w:pPr>
              <w:spacing w:after="0"/>
              <w:rPr>
                <w:sz w:val="1"/>
                <w:szCs w:val="1"/>
                <w:color w:val="auto"/>
              </w:rPr>
            </w:pPr>
          </w:p>
        </w:tc>
      </w:tr>
      <w:tr>
        <w:trPr>
          <w:trHeight w:val="196"/>
        </w:trPr>
        <w:tc>
          <w:tcPr>
            <w:tcW w:w="5360" w:type="dxa"/>
            <w:vAlign w:val="bottom"/>
            <w:vMerge w:val="restart"/>
          </w:tcPr>
          <w:p>
            <w:pPr>
              <w:ind w:left="320"/>
              <w:spacing w:after="0"/>
              <w:rPr>
                <w:sz w:val="20"/>
                <w:szCs w:val="20"/>
                <w:color w:val="auto"/>
              </w:rPr>
            </w:pPr>
            <w:r>
              <w:rPr>
                <w:rFonts w:ascii="Courier New" w:cs="Courier New" w:eastAsia="Courier New" w:hAnsi="Courier New"/>
                <w:sz w:val="17"/>
                <w:szCs w:val="17"/>
                <w:color w:val="auto"/>
              </w:rPr>
              <w:t>Total current liabilities</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6"/>
        </w:trPr>
        <w:tc>
          <w:tcPr>
            <w:tcW w:w="5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w w:val="97"/>
              </w:rPr>
              <w:t>1,031,687</w:t>
            </w:r>
          </w:p>
        </w:tc>
        <w:tc>
          <w:tcPr>
            <w:tcW w:w="560" w:type="dxa"/>
            <w:vAlign w:val="bottom"/>
          </w:tcPr>
          <w:p>
            <w:pPr>
              <w:spacing w:after="0"/>
              <w:rPr>
                <w:sz w:val="24"/>
                <w:szCs w:val="24"/>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858,903</w:t>
            </w:r>
          </w:p>
        </w:tc>
        <w:tc>
          <w:tcPr>
            <w:tcW w:w="0" w:type="dxa"/>
            <w:vAlign w:val="bottom"/>
          </w:tcPr>
          <w:p>
            <w:pPr>
              <w:spacing w:after="0"/>
              <w:rPr>
                <w:sz w:val="1"/>
                <w:szCs w:val="1"/>
                <w:color w:val="auto"/>
              </w:rPr>
            </w:pPr>
          </w:p>
        </w:tc>
      </w:tr>
      <w:tr>
        <w:trPr>
          <w:trHeight w:val="303"/>
        </w:trPr>
        <w:tc>
          <w:tcPr>
            <w:tcW w:w="5360" w:type="dxa"/>
            <w:vAlign w:val="bottom"/>
          </w:tcPr>
          <w:p>
            <w:pPr>
              <w:spacing w:after="0"/>
              <w:rPr>
                <w:sz w:val="20"/>
                <w:szCs w:val="20"/>
                <w:color w:val="auto"/>
              </w:rPr>
            </w:pPr>
            <w:r>
              <w:rPr>
                <w:rFonts w:ascii="Courier New" w:cs="Courier New" w:eastAsia="Courier New" w:hAnsi="Courier New"/>
                <w:sz w:val="17"/>
                <w:szCs w:val="17"/>
                <w:color w:val="auto"/>
              </w:rPr>
              <w:t>0.50% Convertible notes</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450,000</w:t>
            </w:r>
          </w:p>
        </w:tc>
        <w:tc>
          <w:tcPr>
            <w:tcW w:w="560" w:type="dxa"/>
            <w:vAlign w:val="bottom"/>
          </w:tcPr>
          <w:p>
            <w:pPr>
              <w:spacing w:after="0"/>
              <w:rPr>
                <w:sz w:val="24"/>
                <w:szCs w:val="24"/>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450,000</w:t>
            </w:r>
          </w:p>
        </w:tc>
        <w:tc>
          <w:tcPr>
            <w:tcW w:w="0" w:type="dxa"/>
            <w:vAlign w:val="bottom"/>
          </w:tcPr>
          <w:p>
            <w:pPr>
              <w:spacing w:after="0"/>
              <w:rPr>
                <w:sz w:val="1"/>
                <w:szCs w:val="1"/>
                <w:color w:val="auto"/>
              </w:rPr>
            </w:pPr>
          </w:p>
        </w:tc>
      </w:tr>
      <w:tr>
        <w:trPr>
          <w:trHeight w:val="196"/>
        </w:trPr>
        <w:tc>
          <w:tcPr>
            <w:tcW w:w="5360" w:type="dxa"/>
            <w:vAlign w:val="bottom"/>
          </w:tcPr>
          <w:p>
            <w:pPr>
              <w:spacing w:after="0"/>
              <w:rPr>
                <w:sz w:val="20"/>
                <w:szCs w:val="20"/>
                <w:color w:val="auto"/>
              </w:rPr>
            </w:pPr>
            <w:r>
              <w:rPr>
                <w:rFonts w:ascii="Courier New" w:cs="Courier New" w:eastAsia="Courier New" w:hAnsi="Courier New"/>
                <w:sz w:val="17"/>
                <w:szCs w:val="17"/>
                <w:color w:val="auto"/>
              </w:rPr>
              <w:t>Noncurrent liabilities and other</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326,976</w:t>
            </w:r>
          </w:p>
        </w:tc>
        <w:tc>
          <w:tcPr>
            <w:tcW w:w="5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237,113</w:t>
            </w:r>
          </w:p>
        </w:tc>
        <w:tc>
          <w:tcPr>
            <w:tcW w:w="0" w:type="dxa"/>
            <w:vAlign w:val="bottom"/>
          </w:tcPr>
          <w:p>
            <w:pPr>
              <w:spacing w:after="0"/>
              <w:rPr>
                <w:sz w:val="1"/>
                <w:szCs w:val="1"/>
                <w:color w:val="auto"/>
              </w:rPr>
            </w:pPr>
          </w:p>
        </w:tc>
      </w:tr>
      <w:tr>
        <w:trPr>
          <w:trHeight w:val="196"/>
        </w:trPr>
        <w:tc>
          <w:tcPr>
            <w:tcW w:w="536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w w:val="97"/>
              </w:rPr>
              <w:t>2,154,165</w:t>
            </w:r>
          </w:p>
        </w:tc>
        <w:tc>
          <w:tcPr>
            <w:tcW w:w="5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1,656,452</w:t>
            </w:r>
          </w:p>
        </w:tc>
        <w:tc>
          <w:tcPr>
            <w:tcW w:w="0" w:type="dxa"/>
            <w:vAlign w:val="bottom"/>
          </w:tcPr>
          <w:p>
            <w:pPr>
              <w:spacing w:after="0"/>
              <w:rPr>
                <w:sz w:val="1"/>
                <w:szCs w:val="1"/>
                <w:color w:val="auto"/>
              </w:rPr>
            </w:pPr>
          </w:p>
        </w:tc>
      </w:tr>
      <w:tr>
        <w:trPr>
          <w:trHeight w:val="196"/>
        </w:trPr>
        <w:tc>
          <w:tcPr>
            <w:tcW w:w="5360" w:type="dxa"/>
            <w:vAlign w:val="bottom"/>
            <w:vMerge w:val="restart"/>
          </w:tcPr>
          <w:p>
            <w:pPr>
              <w:spacing w:after="0"/>
              <w:rPr>
                <w:sz w:val="20"/>
                <w:szCs w:val="20"/>
                <w:color w:val="auto"/>
              </w:rPr>
            </w:pPr>
            <w:r>
              <w:rPr>
                <w:rFonts w:ascii="Courier New" w:cs="Courier New" w:eastAsia="Courier New" w:hAnsi="Courier New"/>
                <w:sz w:val="17"/>
                <w:szCs w:val="17"/>
                <w:color w:val="auto"/>
              </w:rPr>
              <w:t>Total liabilities and shareholders' equity</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6"/>
        </w:trPr>
        <w:tc>
          <w:tcPr>
            <w:tcW w:w="5360" w:type="dxa"/>
            <w:vAlign w:val="bottom"/>
            <w:vMerge w:val="continue"/>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$3,962,828</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$3,202,468</w:t>
            </w:r>
          </w:p>
        </w:tc>
        <w:tc>
          <w:tcPr>
            <w:tcW w:w="0" w:type="dxa"/>
            <w:vAlign w:val="bottom"/>
          </w:tcPr>
          <w:p>
            <w:pPr>
              <w:spacing w:after="0"/>
              <w:rPr>
                <w:sz w:val="1"/>
                <w:szCs w:val="1"/>
                <w:color w:val="auto"/>
              </w:rPr>
            </w:pPr>
          </w:p>
        </w:tc>
      </w:tr>
      <w:tr>
        <w:trPr>
          <w:trHeight w:val="286"/>
        </w:trPr>
        <w:tc>
          <w:tcPr>
            <w:tcW w:w="536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 # #</w:t>
      </w:r>
    </w:p>
    <w:sectPr>
      <w:pgSz w:w="11900" w:h="16838" w:orient="portrait"/>
      <w:cols w:equalWidth="0" w:num="1">
        <w:col w:w="10219"/>
      </w:cols>
      <w:pgMar w:left="240" w:top="6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2019-12-14T21:11:04Z</dcterms:created>
  <dcterms:modified xsi:type="dcterms:W3CDTF">2019-12-14T21:11:04Z</dcterms:modified>
</cp:coreProperties>
</file>