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980"/>
          </w:cols>
          <w:pgMar w:left="240" w:top="368" w:right="6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2018</w:t>
      </w:r>
    </w:p>
    <w:p>
      <w:pPr>
        <w:sectPr>
          <w:pgSz w:w="11900" w:h="16838" w:orient="portrait"/>
          <w:cols w:equalWidth="0" w:num="1">
            <w:col w:w="11260"/>
          </w:cols>
          <w:pgMar w:left="240" w:top="27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6220" w:type="dxa"/>
            <w:vAlign w:val="bottom"/>
            <w:gridSpan w:val="2"/>
          </w:tcPr>
          <w:p>
            <w:pPr>
              <w:ind w:left="4180"/>
              <w:spacing w:after="0"/>
              <w:rPr>
                <w:sz w:val="20"/>
                <w:szCs w:val="20"/>
                <w:color w:val="auto"/>
              </w:rPr>
            </w:pPr>
            <w:r>
              <w:rPr>
                <w:rFonts w:ascii="Arial" w:cs="Arial" w:eastAsia="Arial" w:hAnsi="Arial"/>
                <w:sz w:val="18"/>
                <w:szCs w:val="18"/>
                <w:color w:val="auto"/>
              </w:rPr>
              <w:t>EXHIBIT INDEX</w:t>
            </w:r>
          </w:p>
        </w:tc>
      </w:tr>
      <w:tr>
        <w:trPr>
          <w:trHeight w:val="392"/>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528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DESCRIPTION</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220" w:type="dxa"/>
            <w:vAlign w:val="bottom"/>
            <w:gridSpan w:val="2"/>
          </w:tcPr>
          <w:p>
            <w:pPr>
              <w:ind w:left="960"/>
              <w:spacing w:after="0"/>
              <w:rPr>
                <w:sz w:val="20"/>
                <w:szCs w:val="20"/>
                <w:color w:val="auto"/>
              </w:rPr>
            </w:pPr>
            <w:r>
              <w:rPr>
                <w:rFonts w:ascii="Arial" w:cs="Arial" w:eastAsia="Arial" w:hAnsi="Arial"/>
                <w:sz w:val="18"/>
                <w:szCs w:val="18"/>
                <w:color w:val="auto"/>
              </w:rPr>
              <w:t>Amdocs Limited Press Release dated January 30, 2018.</w:t>
            </w:r>
          </w:p>
        </w:tc>
      </w:tr>
    </w:tbl>
    <w:p>
      <w:pPr>
        <w:ind w:left="9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4376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3257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172085</wp:posOffset>
            </wp:positionV>
            <wp:extent cx="197231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23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to Acquire Vubiquity to Further Expand into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Media &amp; Entertainment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Deal catapults leading software and services provider into premium content delivery for the benefit of customers and end users worldwide</w:t>
      </w:r>
    </w:p>
    <w:p>
      <w:pPr>
        <w:spacing w:after="0" w:line="233"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b w:val="1"/>
          <w:bCs w:val="1"/>
          <w:color w:val="auto"/>
        </w:rPr>
        <w:t xml:space="preserve">ST. LOUIS — Jan. 30, 2018 — </w:t>
      </w:r>
      <w:r>
        <w:rPr>
          <w:rFonts w:ascii="Arial" w:cs="Arial" w:eastAsia="Arial" w:hAnsi="Arial"/>
          <w:sz w:val="17"/>
          <w:szCs w:val="17"/>
          <w:color w:val="auto"/>
        </w:rPr>
        <w:t>Amdocs (NASDAQ: DOX), a leading provider of solutions to communications and media companies, today announced it</w:t>
      </w:r>
      <w:r>
        <w:rPr>
          <w:rFonts w:ascii="Arial" w:cs="Arial" w:eastAsia="Arial" w:hAnsi="Arial"/>
          <w:sz w:val="17"/>
          <w:szCs w:val="17"/>
          <w:b w:val="1"/>
          <w:bCs w:val="1"/>
          <w:color w:val="auto"/>
        </w:rPr>
        <w:t xml:space="preserve"> </w:t>
      </w:r>
      <w:r>
        <w:rPr>
          <w:rFonts w:ascii="Arial" w:cs="Arial" w:eastAsia="Arial" w:hAnsi="Arial"/>
          <w:sz w:val="17"/>
          <w:szCs w:val="17"/>
          <w:color w:val="auto"/>
        </w:rPr>
        <w:t>has entered into a definitive agreement to acquire Vubiquity, a leading provider of premium content services and technology solutions, subject to customary closing conditions. The two companies are excited about the acquisition with the increased capacity to now deliver enhanced digital content capabilities for network operators, video distributors, OTT companies, content owners and content producers.</w:t>
      </w:r>
    </w:p>
    <w:p>
      <w:pPr>
        <w:spacing w:after="0" w:line="169"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 xml:space="preserve">The combination of Vubiquity’s expertise across the content ecosystem and Amdocs’ proven, scalable solutions enables customers to quickly improve entertainment offerings and maximize revenues while gaining increased customer insights from content consumption. The company is now uniquely positioned to deliver a set of comprehensive content offerings so customers can redirect operations, enable large libraries for global distribution, and efficiently monetize their content offerings. With Vubiquity, Amdocs will enhance its capabilities to deliver an enriched customer experience, including end-to-end solutions, for rapid deployment of new communications and media services worldwide. Please see a short video highlighting our capabilities </w:t>
      </w:r>
      <w:r>
        <w:rPr>
          <w:rFonts w:ascii="Arial" w:cs="Arial" w:eastAsia="Arial" w:hAnsi="Arial"/>
          <w:sz w:val="18"/>
          <w:szCs w:val="18"/>
          <w:u w:val="single" w:color="auto"/>
          <w:color w:val="auto"/>
        </w:rPr>
        <w:t>https://www.amdocs.com/vubiquity</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acquisition uniquely positions Amdocs at the center of increased convergence across the content community and video distributors including major OTT providers,” said Eli Gelman, Amdocs President and CEO. “Our joint offerings address the media and entertainment industry’s challenge in balancing the incredible growth of content and the many ways to consume content with making programming easier, faster to deliver and ultimately watch, while also delivering profits.”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“Vubiquity has successfully been connecting content owners and distributors across many diverse platforms and evolving business models at the core of its support to the media community,” said Vubiquity CEO Darcy Antonellis, who will, upon completion of the deal, be joining Amdocs as head of the Amdocs Media Division. “Our capabilities, coupled with Amdocs’ global scale and rich set of complementary solutions around monetization, analytics and personalized customer experience will be truly unique, allowing us to deliver to a larger set of customers while solving key industry challenges. This includes helping video distributors deliver additional profitable offerings, as well as enabling content owners to focus on content creation and maximizing licensing revenues.”</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Content has become the cornerstone of a consumers’ connectivity experience and remains fundamental to the integrated service provider’s business. Amdocs and Vubiquity can deliver unparalleled cloud solutions using a modern modular micro-services architecture across all aspects of delivery and user experience, including video acquisition, processing, consumer engagement and monetization.</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Vubiquity is a trusted industry player, based in Los Angeles with the experience of working with over 600 leading film studios, television networks, and independent producers. Vubiquity has a large international footprint in 121 countries and 80 languages and manages a 150,000+ asset library, providing superior quality</w:t>
      </w:r>
    </w:p>
    <w:p>
      <w:pPr>
        <w:sectPr>
          <w:pgSz w:w="11900" w:h="16838" w:orient="portrait"/>
          <w:cols w:equalWidth="0" w:num="1">
            <w:col w:w="11420"/>
          </w:cols>
          <w:pgMar w:left="240" w:top="121" w:right="239" w:bottom="1440" w:gutter="0" w:footer="0" w:header="0"/>
        </w:sectPr>
      </w:pPr>
    </w:p>
    <w:bookmarkStart w:id="4" w:name="page5"/>
    <w:bookmarkEnd w:id="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high volumes of assets for predictable day and date delivery. These capabilities are of increasing importance to Amdocs’ 350+ communication and media service provider partners. Amdocs will showcase its media and entertainment solutions next month at its booth at Mobile World Congress in Barcelona.</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impact of the acquisition on Amdocs’ diluted non-GAAP earnings per share is expected to be neutral in fiscal year 2018, and accretive thereafter. The impact on diluted GAAP EPS will not be known until after Amdocs completes the purchase price allocation. Amdocs expects to incur acquisition-related expenses related to operating adjustments, restructuring charges and other acquisition-related costs. The Boards of Directors of Vubiquity and Amdocs have approved the transaction for approximately $224 million in cash which, subject to the satisfaction of the conditions to closing, is expected to be completed before the end of Q2 of FY2018.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$3.9 billion in fiscal 2017. For more information, visit Amdocs at www.amdocs.com.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Forward-Looking Statement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2017 filed on December 11,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Linda Horiuchi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(201) 631-6810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linda.horiuchi@amdocs.com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Headley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Hotwire PR for 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+1 212 897-2156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jennifer.headley@hotwirepr.com or AmdocsUS@hotwirepr.com</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2019-12-06T12:44:29Z</dcterms:created>
  <dcterms:modified xsi:type="dcterms:W3CDTF">2019-12-06T12:44:29Z</dcterms:modified>
</cp:coreProperties>
</file>