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December 31, 2013</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tabs>
          <w:tab w:leader="none" w:pos="9100" w:val="left"/>
        </w:tabs>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r>
        <w:rPr>
          <w:sz w:val="20"/>
          <w:szCs w:val="20"/>
          <w:color w:val="auto"/>
        </w:rPr>
        <w:tab/>
      </w:r>
      <w:r>
        <w:rPr>
          <w:rFonts w:ascii="MS PGothic" w:cs="MS PGothic" w:eastAsia="MS PGothic" w:hAnsi="MS PGothic"/>
          <w:sz w:val="16"/>
          <w:szCs w:val="16"/>
          <w:color w:val="auto"/>
        </w:rPr>
        <w:t>☐</w:t>
      </w:r>
    </w:p>
    <w:p>
      <w:pPr>
        <w:spacing w:after="0" w:line="237" w:lineRule="exact"/>
        <w:rPr>
          <w:sz w:val="24"/>
          <w:szCs w:val="24"/>
          <w:color w:val="auto"/>
        </w:rPr>
      </w:pPr>
    </w:p>
    <w:p>
      <w:pPr>
        <w:spacing w:after="0" w:line="196" w:lineRule="exact"/>
        <w:tabs>
          <w:tab w:leader="none" w:pos="9100" w:val="left"/>
        </w:tabs>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r>
        <w:rPr>
          <w:sz w:val="20"/>
          <w:szCs w:val="20"/>
          <w:color w:val="auto"/>
        </w:rPr>
        <w:tab/>
      </w:r>
      <w:r>
        <w:rPr>
          <w:rFonts w:ascii="MS PGothic" w:cs="MS PGothic" w:eastAsia="MS PGothic" w:hAnsi="MS PGothic"/>
          <w:sz w:val="16"/>
          <w:szCs w:val="16"/>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5080"/>
        <w:spacing w:after="0" w:line="207" w:lineRule="exact"/>
        <w:tabs>
          <w:tab w:leader="none" w:pos="5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AMDOCS LIMITED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6-K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 ENDED DECEMBER 31, 2013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w:t>
      </w:r>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0000EE"/>
        </w:rPr>
        <w:t>Unaudited Consolidated Financial Statements</w:t>
      </w:r>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Income</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Consolidated Financial Statements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 Operating and Financial Review and Prospects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PART II OTHER INFORMATION</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 Changes in Securities, Use of Proceeds and Issuer Purchases of Equity Securities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 Reports on Form 6-K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SIGNATURES</w:t>
        </w:r>
      </w:hyperlink>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890,583</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1,014,192</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320,975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312,188</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678,219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161,810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125,880</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151,595</w:t>
            </w: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2,236,710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2,282,074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275,544</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96,431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113,966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1,831,914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1,818,334</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140,863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156,726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279,169</w:t>
            </w: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4,857,956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4,925,813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132,709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361,907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322,539</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228,520</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151,112</w:t>
            </w: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50,848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39,376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940,841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1,074,256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322,089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315,965</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260,809</w:t>
            </w: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1,524,944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1,651,030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Ordinary Shares — Authorized 700,000 shares; £0.01 par value; 261,376 and 259,668 issued and 159,618 and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160,062 outstanding, 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2,931,402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2,878,898</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101,758 and 99,606 ordinary shares, respectively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(2,869,090)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(2,785,071)</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3,256,808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3,176,125</w:t>
            </w: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3,333,012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3,274,783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4,857,956</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4,925,813</w:t>
            </w: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License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27,209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836,836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807,443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864,045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826,359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556,633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62,325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111,959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743,355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713,702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120,690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119,286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112,549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13,534</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101,435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159,659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161,845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$101,435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19,292</w:t>
            </w:r>
          </w:p>
        </w:tc>
        <w:tc>
          <w:tcPr>
            <w:tcW w:w="0" w:type="dxa"/>
            <w:vAlign w:val="bottom"/>
          </w:tcPr>
          <w:p>
            <w:pPr>
              <w:spacing w:after="0"/>
              <w:rPr>
                <w:sz w:val="1"/>
                <w:szCs w:val="1"/>
                <w:color w:val="auto"/>
              </w:rPr>
            </w:pPr>
          </w:p>
        </w:tc>
      </w:tr>
      <w:tr>
        <w:trPr>
          <w:trHeight w:val="223"/>
        </w:trPr>
        <w:tc>
          <w:tcPr>
            <w:tcW w:w="96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110,466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118,307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$(248) and $(4,556) for the three months ended December 31, 2013 and 2012, respectively.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$0 and $(25) for the three months ended December 31, 2013 and 2012,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101,435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35,729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(14,453)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34,514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20,460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186,538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145,463</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83,763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(92,878)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(12,603)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(41,152)</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(113,196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(200,000)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(84,019)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(103,706)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36,014</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under capital lease and other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(268,995)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(270,650)</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(123,609)</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(238,383)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1,014,192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879,158</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890,583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640,775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paid for: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and the United States.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2013, set forth in the Company’s Annual Report on Form 20-F filed on December 9, 2013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 to time, certain immaterial amounts in prior year financial statements may be reclassified to conform to the current year presentation.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July 2013, the Financial Accounting Standards Board, or FASB, issued an accounting standard update, under which an entity must present an unrecognized tax benefit, or a portion of an unrecognized tax benefit, in the financial statements as a reduction to a deferred tax asset for a net operating loss carryforward, a similar tax loss, or a tax credit carryforward, in the absence of certain conditions. This accounting standard update will be effective for the Company on October 1, 2014, and may result in changes in the Company’s financial statements presentation but will not affect the substantive content of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February 2013, the FASB issued an accounting standard update to require reclassification adjustments from other comprehensive income to be presented either in the financial statements or in the notes to the financial statements. This accounting standard update became effective for the Company in the first quarter of fiscal 2014 and its adoption did not have a material impact on the Company’s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December 31, 2013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2"/>
              </w:rPr>
              <w:t>As of December 31, 2013</w:t>
            </w: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$420,041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$420,041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195,805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83,218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83,218</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29,380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29,380</w:t>
            </w: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6,196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10,414</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Government-guaranteed debt</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4,384</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622,042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128,555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750,597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18,767</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622,042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147,322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769,364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1"/>
              </w:rPr>
              <w:t>As of September 30, 2013</w:t>
            </w: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$565,216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$565,216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198,164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198,164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81,727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81,727</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25,529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25,529</w:t>
            </w: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6,189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3,901</w:t>
            </w:r>
          </w:p>
        </w:tc>
        <w:tc>
          <w:tcPr>
            <w:tcW w:w="1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10,090</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Government-guaranteed debt</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6,311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6,311</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769,569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125,193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894,762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8"/>
                <w:szCs w:val="18"/>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769,569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132,731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902,300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2013.</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8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9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$420,041</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$420,041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3100" w:type="dxa"/>
            <w:vAlign w:val="bottom"/>
            <w:gridSpan w:val="3"/>
          </w:tcPr>
          <w:p>
            <w:pPr>
              <w:jc w:val="right"/>
              <w:ind w:right="500"/>
              <w:spacing w:after="0"/>
              <w:rPr>
                <w:sz w:val="20"/>
                <w:szCs w:val="20"/>
                <w:color w:val="auto"/>
              </w:rPr>
            </w:pPr>
            <w:r>
              <w:rPr>
                <w:rFonts w:ascii="Arial" w:cs="Arial" w:eastAsia="Arial" w:hAnsi="Arial"/>
                <w:sz w:val="18"/>
                <w:szCs w:val="18"/>
                <w:color w:val="auto"/>
              </w:rPr>
              <w:t>195,738</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195,805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83,014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3100" w:type="dxa"/>
            <w:vAlign w:val="bottom"/>
            <w:gridSpan w:val="3"/>
          </w:tcPr>
          <w:p>
            <w:pPr>
              <w:jc w:val="right"/>
              <w:ind w:right="500"/>
              <w:spacing w:after="0"/>
              <w:rPr>
                <w:sz w:val="20"/>
                <w:szCs w:val="20"/>
                <w:color w:val="auto"/>
              </w:rPr>
            </w:pPr>
            <w:r>
              <w:rPr>
                <w:rFonts w:ascii="Arial" w:cs="Arial" w:eastAsia="Arial" w:hAnsi="Arial"/>
                <w:sz w:val="18"/>
                <w:szCs w:val="18"/>
                <w:color w:val="auto"/>
              </w:rPr>
              <w:t>29,399</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10,414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3100" w:type="dxa"/>
            <w:vAlign w:val="bottom"/>
            <w:gridSpan w:val="3"/>
          </w:tcPr>
          <w:p>
            <w:pPr>
              <w:jc w:val="right"/>
              <w:ind w:right="500"/>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4,389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Mortgages (including agencies and corporate)</w:t>
            </w:r>
          </w:p>
        </w:tc>
        <w:tc>
          <w:tcPr>
            <w:tcW w:w="19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750,362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2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December 31, 2013, $320,975 of securities were classified as short term interest-bearing investments and $429,622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1"/>
              </w:rPr>
              <w:t>As of September 30, 2013</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0"/>
                <w:szCs w:val="10"/>
                <w:color w:val="auto"/>
              </w:rPr>
            </w:pPr>
          </w:p>
        </w:tc>
        <w:tc>
          <w:tcPr>
            <w:tcW w:w="8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Losses</w:t>
            </w: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9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$565,216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$565,216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3100" w:type="dxa"/>
            <w:vAlign w:val="bottom"/>
            <w:gridSpan w:val="3"/>
          </w:tcPr>
          <w:p>
            <w:pPr>
              <w:jc w:val="right"/>
              <w:ind w:right="500"/>
              <w:spacing w:after="0"/>
              <w:rPr>
                <w:sz w:val="20"/>
                <w:szCs w:val="20"/>
                <w:color w:val="auto"/>
              </w:rPr>
            </w:pPr>
            <w:r>
              <w:rPr>
                <w:rFonts w:ascii="Arial" w:cs="Arial" w:eastAsia="Arial" w:hAnsi="Arial"/>
                <w:sz w:val="18"/>
                <w:szCs w:val="18"/>
                <w:color w:val="auto"/>
              </w:rPr>
              <w:t>198,031</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198,164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81,599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3100" w:type="dxa"/>
            <w:vAlign w:val="bottom"/>
            <w:gridSpan w:val="3"/>
          </w:tcPr>
          <w:p>
            <w:pPr>
              <w:jc w:val="right"/>
              <w:ind w:right="500"/>
              <w:spacing w:after="0"/>
              <w:rPr>
                <w:sz w:val="20"/>
                <w:szCs w:val="20"/>
                <w:color w:val="auto"/>
              </w:rPr>
            </w:pPr>
            <w:r>
              <w:rPr>
                <w:rFonts w:ascii="Arial" w:cs="Arial" w:eastAsia="Arial" w:hAnsi="Arial"/>
                <w:sz w:val="18"/>
                <w:szCs w:val="18"/>
                <w:color w:val="auto"/>
              </w:rPr>
              <w:t>25,529</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10,090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3100" w:type="dxa"/>
            <w:vAlign w:val="bottom"/>
            <w:gridSpan w:val="3"/>
          </w:tcPr>
          <w:p>
            <w:pPr>
              <w:jc w:val="right"/>
              <w:ind w:right="500"/>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6,318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Mortgages (including agencies and corporate)</w:t>
            </w:r>
          </w:p>
        </w:tc>
        <w:tc>
          <w:tcPr>
            <w:tcW w:w="19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Total(2)</w:t>
            </w:r>
          </w:p>
        </w:tc>
        <w:tc>
          <w:tcPr>
            <w:tcW w:w="3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894,507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2013, $312,188 of securities were classified as short term interest-bearing investments and $582,574 of securities were classified as cash and cash equivalents.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As of December 31, 2013, the unrealized losses attributable to the Company’s available-for-sale securities were primarily due to credit market conditions and interest rate movements. The Company assessed whether such unrealized losses for the investments in its portfolio were other-than-temporary. Based on this assessment, the Company recognized an immaterial credit loss in the three months ended December 31, 2013 and 2012.</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the Company’s available-for-sale securities had the following maturity dates: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Market</w:t>
            </w:r>
          </w:p>
        </w:tc>
      </w:tr>
      <w:tr>
        <w:trPr>
          <w:trHeight w:val="171"/>
        </w:trPr>
        <w:tc>
          <w:tcPr>
            <w:tcW w:w="10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r>
      <w:tr>
        <w:trPr>
          <w:trHeight w:val="210"/>
        </w:trPr>
        <w:tc>
          <w:tcPr>
            <w:tcW w:w="10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$555,630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1 to 2 years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121,434</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70,790</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3 to 4 years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r>
      <w:tr>
        <w:trPr>
          <w:trHeight w:val="223"/>
        </w:trPr>
        <w:tc>
          <w:tcPr>
            <w:tcW w:w="10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750,597</w:t>
            </w:r>
          </w:p>
        </w:tc>
        <w:tc>
          <w:tcPr>
            <w:tcW w:w="10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contractual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$24,104 as of December 31, 2013.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2013. Notional values are in U.S. dollars and are translated and calculated based on forward rates as of December 31, 2013 for forward contracts, and based on spot rates as of December 31, 2013 for options.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w:t>
            </w:r>
          </w:p>
        </w:tc>
      </w:tr>
      <w:tr>
        <w:trPr>
          <w:trHeight w:val="171"/>
        </w:trPr>
        <w:tc>
          <w:tcPr>
            <w:tcW w:w="1064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Value*</w:t>
            </w:r>
          </w:p>
        </w:tc>
      </w:tr>
      <w:tr>
        <w:trPr>
          <w:trHeight w:val="210"/>
        </w:trPr>
        <w:tc>
          <w:tcPr>
            <w:tcW w:w="10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$850,327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unaudited consolidated financial statements. The fair value of the open foreign currency exchange contracts recorded by the Company on its consolidated balance sheets as of December 31, 2013 and September 30, 2013, as an asset or a liability,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25,118</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21,595</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w:t>
            </w: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(6,915)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(11,641)</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(5,567)</w:t>
            </w: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3,135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(2,671)</w:t>
            </w:r>
          </w:p>
        </w:tc>
      </w:t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8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18,767</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7,538</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December 31, 2013, is expected to mature within the next 12 months).</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78"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months ended December 31, 2013 and 2012, respectively, which partially offsets the foreign currency impact from the underlying exposures, is summarized as follows:</w:t>
      </w:r>
    </w:p>
    <w:p>
      <w:pPr>
        <w:spacing w:after="0" w:line="165"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Gains (Losses) Reclassified from</w:t>
      </w:r>
    </w:p>
    <w:p>
      <w:pPr>
        <w:jc w:val="center"/>
        <w:ind w:left="8460"/>
        <w:spacing w:after="0" w:line="226" w:lineRule="auto"/>
        <w:rPr>
          <w:sz w:val="20"/>
          <w:szCs w:val="20"/>
          <w:color w:val="auto"/>
        </w:rPr>
      </w:pPr>
      <w:r>
        <w:rPr>
          <w:rFonts w:ascii="Arial" w:cs="Arial" w:eastAsia="Arial" w:hAnsi="Arial"/>
          <w:sz w:val="14"/>
          <w:szCs w:val="14"/>
          <w:b w:val="1"/>
          <w:bCs w:val="1"/>
          <w:color w:val="auto"/>
        </w:rPr>
        <w:t>Other Comprehensive Income</w:t>
      </w:r>
    </w:p>
    <w:p>
      <w:pPr>
        <w:jc w:val="center"/>
        <w:ind w:left="8460"/>
        <w:spacing w:after="0" w:line="222" w:lineRule="auto"/>
        <w:rPr>
          <w:sz w:val="20"/>
          <w:szCs w:val="20"/>
          <w:color w:val="auto"/>
        </w:rPr>
      </w:pPr>
      <w:r>
        <w:rPr>
          <w:rFonts w:ascii="Arial" w:cs="Arial" w:eastAsia="Arial" w:hAnsi="Arial"/>
          <w:sz w:val="14"/>
          <w:szCs w:val="14"/>
          <w:b w:val="1"/>
          <w:bCs w:val="1"/>
          <w:color w:val="auto"/>
        </w:rPr>
        <w:t>(Effective Portion)</w:t>
      </w:r>
    </w:p>
    <w:p>
      <w:pPr>
        <w:ind w:left="8880"/>
        <w:spacing w:after="0" w:line="231" w:lineRule="auto"/>
        <w:rPr>
          <w:sz w:val="20"/>
          <w:szCs w:val="20"/>
          <w:color w:val="auto"/>
        </w:rPr>
      </w:pPr>
      <w:r>
        <w:rPr>
          <w:rFonts w:ascii="Arial" w:cs="Arial" w:eastAsia="Arial" w:hAnsi="Arial"/>
          <w:sz w:val="14"/>
          <w:szCs w:val="14"/>
          <w:b w:val="1"/>
          <w:bCs w:val="1"/>
          <w:color w:val="auto"/>
        </w:rPr>
        <w:t>Three months ended December 31,</w:t>
      </w:r>
    </w:p>
    <w:tbl>
      <w:tblPr>
        <w:tblLayout w:type="fixed"/>
        <w:tblInd w:w="0" w:type="dxa"/>
        <w:tblCellMar>
          <w:top w:w="0" w:type="dxa"/>
          <w:left w:w="0" w:type="dxa"/>
          <w:bottom w:w="0" w:type="dxa"/>
          <w:right w:w="0" w:type="dxa"/>
        </w:tblCellMar>
      </w:tblPr>
      <w:tr>
        <w:trPr>
          <w:trHeight w:val="142"/>
        </w:trPr>
        <w:tc>
          <w:tcPr>
            <w:tcW w:w="4260" w:type="dxa"/>
            <w:vAlign w:val="bottom"/>
            <w:tcBorders>
              <w:bottom w:val="single" w:sz="8" w:color="CCEEFF"/>
            </w:tcBorders>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4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Revenue</w:t>
            </w:r>
          </w:p>
        </w:tc>
        <w:tc>
          <w:tcPr>
            <w:tcW w:w="4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w:t>
            </w:r>
          </w:p>
        </w:tc>
        <w:tc>
          <w:tcPr>
            <w:tcW w:w="4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1,348</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4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20" w:type="dxa"/>
            <w:vAlign w:val="bottom"/>
            <w:vMerge w:val="restart"/>
          </w:tcPr>
          <w:p>
            <w:pPr>
              <w:jc w:val="right"/>
              <w:ind w:right="269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net of tax, is as follows:</w:t>
      </w:r>
    </w:p>
    <w:p>
      <w:pPr>
        <w:spacing w:after="0" w:line="189"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Three months ended</w:t>
      </w:r>
    </w:p>
    <w:p>
      <w:pPr>
        <w:jc w:val="center"/>
        <w:ind w:left="96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 on cash flow hedges, net of tax,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(17,942)</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12,394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 losses into earnings,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4"/>
              </w:rPr>
              <w:t>(3,343)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3,836</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13,747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Gains from cash flow hedges recognized in other comprehensive income during the three months ended December 31, 2013 and 2012, were $13,756 and $19,258, or $12,394 and $15,233, net of taxes, respectively.</w:t>
      </w:r>
    </w:p>
    <w:p>
      <w:pPr>
        <w:spacing w:after="0" w:line="170"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income as of December 31, 2013, a net gain of $14,137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months ended December 31, 2013 and 2012, was not material.</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months ended December 31, 2013 and 2012, respectively, which partially offsets the foreign currency impact from the underlying exposure, is summarized as follows:</w:t>
      </w:r>
    </w:p>
    <w:p>
      <w:pPr>
        <w:spacing w:after="0" w:line="200"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Gains (Losses)</w:t>
      </w:r>
    </w:p>
    <w:p>
      <w:pPr>
        <w:jc w:val="center"/>
        <w:ind w:left="8420"/>
        <w:spacing w:after="0" w:line="226" w:lineRule="auto"/>
        <w:rPr>
          <w:sz w:val="20"/>
          <w:szCs w:val="20"/>
          <w:color w:val="auto"/>
        </w:rPr>
      </w:pPr>
      <w:r>
        <w:rPr>
          <w:rFonts w:ascii="Arial" w:cs="Arial" w:eastAsia="Arial" w:hAnsi="Arial"/>
          <w:sz w:val="14"/>
          <w:szCs w:val="14"/>
          <w:b w:val="1"/>
          <w:bCs w:val="1"/>
          <w:color w:val="auto"/>
        </w:rPr>
        <w:t>Recognized in Income</w:t>
      </w:r>
    </w:p>
    <w:p>
      <w:pPr>
        <w:jc w:val="center"/>
        <w:ind w:left="8420"/>
        <w:spacing w:after="0" w:line="232" w:lineRule="auto"/>
        <w:rPr>
          <w:sz w:val="20"/>
          <w:szCs w:val="20"/>
          <w:color w:val="auto"/>
        </w:rPr>
      </w:pPr>
      <w:r>
        <w:rPr>
          <w:rFonts w:ascii="Arial" w:cs="Arial" w:eastAsia="Arial" w:hAnsi="Arial"/>
          <w:sz w:val="14"/>
          <w:szCs w:val="14"/>
          <w:b w:val="1"/>
          <w:bCs w:val="1"/>
          <w:color w:val="auto"/>
        </w:rPr>
        <w:t>Three months ended December 31,</w:t>
      </w:r>
    </w:p>
    <w:tbl>
      <w:tblPr>
        <w:tblLayout w:type="fixed"/>
        <w:tblInd w:w="0" w:type="dxa"/>
        <w:tblCellMar>
          <w:top w:w="0" w:type="dxa"/>
          <w:left w:w="0" w:type="dxa"/>
          <w:bottom w:w="0" w:type="dxa"/>
          <w:right w:w="0" w:type="dxa"/>
        </w:tblCellMar>
      </w:tblPr>
      <w:tr>
        <w:trPr>
          <w:trHeight w:val="142"/>
        </w:trPr>
        <w:tc>
          <w:tcPr>
            <w:tcW w:w="4260" w:type="dxa"/>
            <w:vAlign w:val="bottom"/>
            <w:tcBorders>
              <w:bottom w:val="single" w:sz="8" w:color="CCEEFF"/>
            </w:tcBorders>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Revenue</w:t>
            </w:r>
          </w:p>
        </w:tc>
        <w:tc>
          <w:tcPr>
            <w:tcW w:w="4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41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w:t>
            </w: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879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1,242</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4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8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260" w:type="dxa"/>
            <w:vAlign w:val="bottom"/>
            <w:vMerge w:val="restart"/>
          </w:tcPr>
          <w:p>
            <w:pPr>
              <w:jc w:val="right"/>
              <w:ind w:right="263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060" w:type="dxa"/>
            <w:vAlign w:val="bottom"/>
          </w:tcPr>
          <w:p>
            <w:pPr>
              <w:spacing w:after="0"/>
              <w:rPr>
                <w:sz w:val="10"/>
                <w:szCs w:val="10"/>
                <w:color w:val="auto"/>
              </w:rPr>
            </w:pPr>
          </w:p>
        </w:tc>
        <w:tc>
          <w:tcPr>
            <w:tcW w:w="9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9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587,928</w:t>
            </w: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117,037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110,626</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(22,444)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(20,335)</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680,947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678,219</w:t>
            </w:r>
          </w:p>
        </w:tc>
        <w:tc>
          <w:tcPr>
            <w:tcW w:w="10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for the following periods consisted of:</w:t>
      </w:r>
    </w:p>
    <w:p>
      <w:pPr>
        <w:spacing w:after="0" w:line="244"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Three months ended</w:t>
      </w:r>
    </w:p>
    <w:p>
      <w:pPr>
        <w:jc w:val="center"/>
        <w:ind w:left="9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Deferred</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5,397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17,851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44"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Three months ended</w:t>
      </w:r>
    </w:p>
    <w:p>
      <w:pPr>
        <w:jc w:val="center"/>
        <w:ind w:left="93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Foreign taxes</w:t>
            </w:r>
          </w:p>
        </w:tc>
        <w:tc>
          <w:tcPr>
            <w:tcW w:w="1240" w:type="dxa"/>
            <w:vAlign w:val="bottom"/>
            <w:gridSpan w:val="2"/>
          </w:tcPr>
          <w:p>
            <w:pPr>
              <w:jc w:val="right"/>
              <w:ind w:right="820"/>
              <w:spacing w:after="0"/>
              <w:rPr>
                <w:sz w:val="20"/>
                <w:szCs w:val="20"/>
                <w:color w:val="auto"/>
              </w:rPr>
            </w:pPr>
            <w:r>
              <w:rPr>
                <w:rFonts w:ascii="Arial" w:cs="Arial" w:eastAsia="Arial" w:hAnsi="Arial"/>
                <w:sz w:val="18"/>
                <w:szCs w:val="18"/>
                <w:color w:val="auto"/>
              </w:rPr>
              <w:t>15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As of December 31, 2013, deferred tax assets of $121,282, derived primarily from tax credits, net capital and operating loss carry forwards related to some of the Company’s subsidiaries, were offset by valuation allowances related to the uncertainty of realizing tax benefit for such credits and losses.</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$135,560 as of December 31, 2013, all of which would affect the effective tax rate if realized.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the Company had accrued $19,757 in income taxes payable for interest and penalties relating to unrecognized tax benefits.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ectPr>
          <w:pgSz w:w="11900" w:h="16838" w:orient="portrait"/>
          <w:cols w:equalWidth="0" w:num="1">
            <w:col w:w="11420"/>
          </w:cols>
          <w:pgMar w:left="240" w:top="45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82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Numerator for basic and diluted earnings per share</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101,435</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99,015</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Denominator for basic earnings per share — weighted average number of shares outstanding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159,659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assumed conversion of 0.5% convertible notes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Denominator for diluted earnings per share — adjusted weighted average shares and assumed conversions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161,845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163,587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share</w:t>
            </w:r>
          </w:p>
        </w:tc>
        <w:tc>
          <w:tcPr>
            <w:tcW w:w="9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share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For the three months ended December 31, 2013 and 2012, 1,064 and 4,894 shares, respectively, on a weighted average basis, were attributable to antidilutive outstanding stock options and therefore were not included in the calculation of diluted earnings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of Shares</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From time to time, the Company’s board of directors has adopted share repurchase plans authorizing the repurchase of the Company’s outstanding ordinary shares. The current share repurchase plan authorizes the repurchase of up to $500,000 of the Company’s outstanding ordinary shares with no expiration date. In the three months ended December 31, 2013, the Company repurchased approximately 2,152 ordinary shares at an average price of $39.03 per share (excluding broker and transaction fees). As of December 31, 2013, the Company had remaining authority to repurchase up to $251,880 of its outstanding ordinary shares. The authorization permits the Company to purchase its ordinary shares in open market or privately negotiated transactions at times and prices that it considers appropriate.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September 2013, the Company borrowed an aggregate of $200,000 under its unsecured $500,000 five-year revolving credit facility with a syndicate of banks and repaid it in October 2013. As of December 31, 2013, the Company was in compliance with the financial covenants under the revolving credit facility and had no outstanding borrowings under this facility.</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of December 31, 2013, the Company had additional uncommitted lines of credit available for general corporate and other specific purposes and had outstanding letters of credit and bank guarantees from various banks totaling $80,884.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or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currently authorized to be granted under the Plan is 62,300. Awards granted under the Plan generally vest over a period of four years and stock options have a term of ten years.</w:t>
      </w:r>
    </w:p>
    <w:p>
      <w:pPr>
        <w:spacing w:after="0" w:line="189"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three-month period ended December 31, 2013: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9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2013</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39.20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28.76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31.87</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2013</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5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summarizes information relating to awards of restricted shares, as well as changes to such awards during the three-month period ended December 31,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2013</w:t>
            </w:r>
          </w:p>
        </w:tc>
        <w:tc>
          <w:tcPr>
            <w:tcW w:w="4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5280" w:type="dxa"/>
            <w:vAlign w:val="bottom"/>
            <w:gridSpan w:val="3"/>
          </w:tcPr>
          <w:p>
            <w:pPr>
              <w:jc w:val="right"/>
              <w:ind w:right="340"/>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Forfeited</w:t>
            </w:r>
          </w:p>
        </w:tc>
        <w:tc>
          <w:tcPr>
            <w:tcW w:w="42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December 31, 2013</w:t>
            </w:r>
          </w:p>
        </w:tc>
        <w:tc>
          <w:tcPr>
            <w:tcW w:w="4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260" w:type="dxa"/>
            <w:vAlign w:val="bottom"/>
            <w:vMerge w:val="restart"/>
          </w:tcPr>
          <w:p>
            <w:pPr>
              <w:jc w:val="right"/>
              <w:ind w:right="3150"/>
              <w:spacing w:after="0"/>
              <w:rPr>
                <w:sz w:val="20"/>
                <w:szCs w:val="20"/>
                <w:color w:val="auto"/>
              </w:rPr>
            </w:pPr>
            <w:r>
              <w:rPr>
                <w:rFonts w:ascii="Arial" w:cs="Arial" w:eastAsia="Arial" w:hAnsi="Arial"/>
                <w:sz w:val="18"/>
                <w:szCs w:val="18"/>
                <w:color w:val="auto"/>
              </w:rPr>
              <w:t>14</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months ended December 31, 2013 and 2012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914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9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0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8"/>
                <w:szCs w:val="18"/>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13,325</w:t>
            </w:r>
          </w:p>
        </w:tc>
        <w:tc>
          <w:tcPr>
            <w:tcW w:w="10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The total income tax benefit recognized in the income statement for stock-based compensation (including restricted shares) for the three months ended December 31, 2013 and 2012, was $1,218 and $1,120, respectively.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As of December 31, 2013, there was $53,977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selected the Black-Scholes option pricing model as the most appropriate fair value method for its equity-based awards.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assumptions used are noted in the following table (all in weighted averages for options granted during the period):</w:t>
      </w:r>
    </w:p>
    <w:p>
      <w:pPr>
        <w:spacing w:after="0" w:line="229"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Three months ended</w:t>
      </w:r>
    </w:p>
    <w:p>
      <w:pPr>
        <w:jc w:val="center"/>
        <w:ind w:left="91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3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0.57%</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4.50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4.50</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0.18</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1.56%</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5.26</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2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three months ended December 31, 2013 and 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9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Record Date</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58"/>
        </w:trPr>
        <w:tc>
          <w:tcPr>
            <w:tcW w:w="5260" w:type="dxa"/>
            <w:vAlign w:val="bottom"/>
            <w:gridSpan w:val="2"/>
            <w:vMerge w:val="continue"/>
          </w:tcPr>
          <w:p>
            <w:pPr>
              <w:spacing w:after="0"/>
              <w:rPr>
                <w:sz w:val="13"/>
                <w:szCs w:val="13"/>
                <w:color w:val="auto"/>
              </w:rPr>
            </w:pPr>
          </w:p>
        </w:tc>
        <w:tc>
          <w:tcPr>
            <w:tcW w:w="14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Ordinary Share</w:t>
            </w:r>
          </w:p>
        </w:tc>
        <w:tc>
          <w:tcPr>
            <w:tcW w:w="1960" w:type="dxa"/>
            <w:vAlign w:val="bottom"/>
            <w:gridSpan w:val="2"/>
            <w:vMerge w:val="continue"/>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6, 2012</w:t>
            </w:r>
          </w:p>
        </w:tc>
        <w:tc>
          <w:tcPr>
            <w:tcW w:w="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w w:val="79"/>
              </w:rPr>
              <w:t>0.13</w:t>
            </w: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December 31, 2012</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21,032</w:t>
            </w:r>
          </w:p>
        </w:tc>
        <w:tc>
          <w:tcPr>
            <w:tcW w:w="480" w:type="dxa"/>
            <w:vAlign w:val="bottom"/>
            <w:shd w:val="clear" w:color="auto" w:fill="CCEEFF"/>
          </w:tcPr>
          <w:p>
            <w:pPr>
              <w:spacing w:after="0"/>
              <w:rPr>
                <w:sz w:val="17"/>
                <w:szCs w:val="17"/>
                <w:color w:val="auto"/>
              </w:rPr>
            </w:pPr>
          </w:p>
        </w:tc>
        <w:tc>
          <w:tcPr>
            <w:tcW w:w="130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January 18, 2013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0.13</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December 31,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20,752</w:t>
            </w:r>
          </w:p>
        </w:tc>
        <w:tc>
          <w:tcPr>
            <w:tcW w:w="1400" w:type="dxa"/>
            <w:vAlign w:val="bottom"/>
            <w:gridSpan w:val="2"/>
          </w:tcPr>
          <w:p>
            <w:pPr>
              <w:ind w:left="80"/>
              <w:spacing w:after="0"/>
              <w:rPr>
                <w:sz w:val="20"/>
                <w:szCs w:val="20"/>
                <w:color w:val="auto"/>
              </w:rPr>
            </w:pPr>
            <w:r>
              <w:rPr>
                <w:rFonts w:ascii="Arial" w:cs="Arial" w:eastAsia="Arial" w:hAnsi="Arial"/>
                <w:sz w:val="18"/>
                <w:szCs w:val="18"/>
                <w:color w:val="auto"/>
                <w:w w:val="93"/>
              </w:rPr>
              <w:t>January 17, 2014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payable as a result of the November 5, 2013 declaration was included in other current liabilities as of December 31,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January 29, 2014, the Company’s board of directors approved the next quarterly dividend payment and set March 31, 2014 as the record date for determining the shareholders entitled to receive the dividend, which is payable on April 17, 2014. On January 30, 2014, at the annual general meeting of shareholders, the Company’s shareholders approved an increase in the rate of the quarterly cash dividend from $0.13 per share to $0.155 per share. As a result, the April 17, 2014 cash dividend will be paid at the increased rate of $0.155 per share.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is involved in various legal proceedings arising in the normal course of its business. The Company accrues for a loss contingency when it determines that it is more likely than not,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8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three months ended December 31, 2013 and 2012.</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January 1, 2014, the Company completed its acquisition of substantially all of the assets of Celcite Management Solutions LLC, a provider of network management and self-optimizing network solutions, for $141,000 in cash, with the potential for additional consideration to be paid in the future if certain performance metrics are achieved.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2013, filed on December 9, 2013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Amdocs is a leading provider of software and services for communications, media and entertainment industry service providers in developed countries and in emerging markets, such as those in the Commonwealth of Independent States, India, Latin America and Southeast Asia.</w:t>
      </w:r>
    </w:p>
    <w:p>
      <w:pPr>
        <w:spacing w:after="0" w:line="147"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and optimization offerings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systems because of the crucial impact that these systems have on the service providers’ end-user experience.</w:t>
      </w:r>
    </w:p>
    <w:p>
      <w:pPr>
        <w:spacing w:after="0" w:line="154"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believe the demand for our customer experience systems is driven by the desire of service providers to help their consumers navigate the increasing number of devices, services and plans available in the connected communications world and the need of service providers to cope with the rapidly growing demand for data that these new devices and services have created. In fiscal 2013, we released Amdocs CES (Customer Experience Systems) 9 to enable service providers to rapidly launch and monetize innovative offers, personalize every customer interaction and permit subscribers to take control of their experiences across any channel, network, service or device. We also expanded our managed services offerings to include value process operation (VPO) offerings, such as Amdocs Order-to-Activation, which reduces order fallout and decreases order-to-activation costs. Our acquisitions of Actix and Celcite provide mobile network optimization solutions and services, enabling us to advance our strategy to deliver an integrated, holistic customer experience, from the device to the network. Our goal is to supply scalable products and services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providers seek to differentiate themselves by delivering a customer experience that is simple, personal and valuable at every point of interaction.</w:t>
      </w:r>
    </w:p>
    <w:p>
      <w:pPr>
        <w:spacing w:after="0" w:line="18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also offer advertising and media products and services for local marketing service providers, including directory publishers. These offerings enable the management of media selling, fulfillment, operations, consumer experiences and financial processes across digital and print media.</w:t>
      </w:r>
    </w:p>
    <w:p>
      <w:pPr>
        <w:sectPr>
          <w:pgSz w:w="11900" w:h="16838" w:orient="portrait"/>
          <w:cols w:equalWidth="0" w:num="1">
            <w:col w:w="11420"/>
          </w:cols>
          <w:pgMar w:left="240" w:top="459" w:right="239" w:bottom="1440" w:gutter="0" w:footer="0" w:header="0"/>
        </w:sectPr>
      </w:pPr>
    </w:p>
    <w:bookmarkStart w:id="18" w:name="page19"/>
    <w:bookmarkEnd w:id="18"/>
    <w:p>
      <w:pPr>
        <w:ind w:firstLine="456"/>
        <w:spacing w:after="0" w:line="288"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media and entertainment industry. In the three months ended December 31, 2013, customers in North America accounted for 72.7% of our revenue, while customers in Europe and the rest of the world accounted for 13.5% and 13.8%, respectively. Customers in emerging markets accounted for</w:t>
      </w:r>
    </w:p>
    <w:p>
      <w:pPr>
        <w:ind w:right="40"/>
        <w:spacing w:after="0" w:line="261" w:lineRule="auto"/>
        <w:rPr>
          <w:sz w:val="20"/>
          <w:szCs w:val="20"/>
          <w:color w:val="auto"/>
        </w:rPr>
      </w:pPr>
      <w:r>
        <w:rPr>
          <w:rFonts w:ascii="Arial" w:cs="Arial" w:eastAsia="Arial" w:hAnsi="Arial"/>
          <w:sz w:val="18"/>
          <w:szCs w:val="18"/>
          <w:color w:val="auto"/>
        </w:rPr>
        <w:t>11.7% of our revenue in the three months ended December 31, 2013. We maintain development facilities in Brazil, Canada, Cyprus, India, Ireland, Israel and the United States.</w:t>
      </w:r>
    </w:p>
    <w:p>
      <w:pPr>
        <w:spacing w:after="0" w:line="18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ordinary shares ceased being listed on the NYSE after market close on December 19, 2013 and commenced being listed on the Nasdaq Global Select Market on December 20, 2013.</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00" w:right="5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8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Revenue from managed services arrangements (for customer experience systems and advertising and media products, including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$429.3 million and $429.8 million in the three months ended December 31, 2013 and 2012,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July 2013, the Financial Accounting Standards Board, or FASB, issued an accounting standard update, under which an entity must present an unrecognized tax benefit, or a portion of an unrecognized tax benefit, in the financial statements as a reduction to a deferred tax asset for a net operating loss carryforward, a similar tax loss, or a tax credit carryforward, in the absence of certain conditions. This accounting standard update will be effective for us on October 1, 2014, and may result in changes in our financial statements presentation but will not affect the substantive content of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In February 2013, the FASB issued an accounting standard update to require reclassification adjustments from other comprehensive income to be presented either in the financial statements or in the notes to the financial statements. This accounting standard update became effective for us in the first quarter of fiscal 2014 and its adoption did not have a material impact on our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following table sets forth for the three months ended December 31, 2013 and 2012, certain items in our consolidated statements of income reflected as a percentage of total revenue:</w:t>
      </w:r>
    </w:p>
    <w:p>
      <w:pPr>
        <w:spacing w:after="0" w:line="18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Three months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License</w:t>
            </w:r>
          </w:p>
        </w:tc>
        <w:tc>
          <w:tcPr>
            <w:tcW w:w="5700" w:type="dxa"/>
            <w:vAlign w:val="bottom"/>
            <w:gridSpan w:val="3"/>
          </w:tcPr>
          <w:p>
            <w:pPr>
              <w:jc w:val="right"/>
              <w:ind w:right="480"/>
              <w:spacing w:after="0"/>
              <w:rPr>
                <w:sz w:val="20"/>
                <w:szCs w:val="20"/>
                <w:color w:val="auto"/>
              </w:rPr>
            </w:pPr>
            <w:r>
              <w:rPr>
                <w:rFonts w:ascii="Arial" w:cs="Arial" w:eastAsia="Arial" w:hAnsi="Arial"/>
                <w:sz w:val="18"/>
                <w:szCs w:val="18"/>
                <w:color w:val="auto"/>
              </w:rPr>
              <w:t>3.1%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5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96.9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5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64.4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5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4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86.0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5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6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5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5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500" w:type="dxa"/>
            <w:vAlign w:val="bottom"/>
            <w:vMerge w:val="restart"/>
          </w:tcPr>
          <w:p>
            <w:pPr>
              <w:jc w:val="right"/>
              <w:ind w:right="3550"/>
              <w:spacing w:after="0"/>
              <w:rPr>
                <w:sz w:val="20"/>
                <w:szCs w:val="20"/>
                <w:color w:val="auto"/>
              </w:rPr>
            </w:pPr>
            <w:r>
              <w:rPr>
                <w:rFonts w:ascii="Arial" w:cs="Arial" w:eastAsia="Arial" w:hAnsi="Arial"/>
                <w:sz w:val="18"/>
                <w:szCs w:val="18"/>
                <w:color w:val="auto"/>
              </w:rPr>
              <w:t>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2013 and 2012</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2013 compared to the three months ended December 31, 2012. Following the table is a discussion and analysis of our business and results of operations for such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8"/>
              </w:rPr>
              <w:t>Amount</w:t>
            </w: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License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27,209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18,916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8,293</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836,836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807,443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29,393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864,045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826,359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37,686</w:t>
            </w:r>
          </w:p>
        </w:tc>
        <w:tc>
          <w:tcPr>
            <w:tcW w:w="3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556,633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535,013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21,620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62,325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2,965</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111,959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107,460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435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743,355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713,702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29,653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120,690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112,657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8,033</w:t>
            </w:r>
          </w:p>
        </w:tc>
        <w:tc>
          <w:tcPr>
            <w:tcW w:w="3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1,200.0</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119,286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112,549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3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101,435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increased by $37.7 million, or 4.6%, to $864.0 million in the three months ended December 31, 2013, from $826.4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December 31, 2012. The increase in revenue was primarily attributable to increased activity in North America and in Europe, partially offset by a decrease in revenue from customers in the rest of the world. The increase in revenue was also positively affected by network optimization activity related to our recent acquisition of Actix.</w:t>
      </w:r>
    </w:p>
    <w:p>
      <w:pPr>
        <w:spacing w:after="0" w:line="18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License revenue in the three months ended December 31, 2013 increased by $8.3 million, or 43.8%, to $27.2 million, from $18.9 million in the three months ended December 31, 2012. The increase in license revenue was primarily attributable to network optimization activity related to our recent acquisition of Actix, as well as to the progress of certain transformation and implementation projects, which may fluctuate from period to period.</w:t>
      </w:r>
    </w:p>
    <w:p>
      <w:pPr>
        <w:spacing w:after="0" w:line="166"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Total revenue attributable to the sale of customer experience systems increased by $45.8 million, or 5.8%, to $829.6 million in the three months ended December 31, 2013, from $783.8 million in the three months ended December 31, 2012. The increase was primarily attributable to our increased activity in North America and in Europe, partially offset by a decrease in revenue from customers in the rest of the world. The increase in revenue was also positively affected by network optimization activity related to our recent acquisition of Actix. License and service revenue resulting from the sale of customer experience systems represented 96.0% and 94.8% of our total revenue in the three months ended December 31, 2013 and 2012,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attributable to the sale of directory systems decreased by $8.2 million, or 19.2%, to $34.4 million in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from $42.6 million in the three months ended December 31, 2012. The decrease was primarily attributable to continued slowness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directory systems market leading to lower revenue from discretionary spending under managed services arrangements for directory systems. License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revenue from the sale of directory systems represented 4.0% and 5.2% of our total revenue in the three months ended December 31, 2013 and 2012,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We expect revenue from our directory business to continue to decrease in the future.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the three months ended December 31, 2013, revenue from customers in North America, Europe and the rest of the world accounted for 72.7%,</w:t>
      </w:r>
    </w:p>
    <w:p>
      <w:pPr>
        <w:spacing w:after="0" w:line="3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13.5% and 13.8%, respectively, of total revenue, compared to 71.8%, 12.0% and 16.2%, respectively, in the three months ended December 31, 2012. Revenue from North American customers increased as a percentage of total revenue during the three months ended December 31, 2013, primarily due to positive momentum in several customers, AT&amp;T being the primary one. The increase in revenue as a percentage of total revenue from customers in Europe was attributable to higher revenue from managed services arrangements and from transformation and implementation projects. The decrease in revenue as a percentage of total revenue from customers in the rest of the world was primarily attributable to our reduced activity in developed markets in those regions.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i w:val="1"/>
          <w:iCs w:val="1"/>
          <w:color w:val="auto"/>
        </w:rPr>
        <w:t>Cost of License and Service</w:t>
      </w:r>
      <w:r>
        <w:rPr>
          <w:rFonts w:ascii="Arial" w:cs="Arial" w:eastAsia="Arial" w:hAnsi="Arial"/>
          <w:sz w:val="17"/>
          <w:szCs w:val="17"/>
          <w:color w:val="auto"/>
        </w:rPr>
        <w:t>. Cost of license includes fees and royalty payments to software suppliers. Cost of service consists primarily of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providing services to customers, including compensation expense and costs of third-party products. Cost of license and service increased by $21.8 million, or 4.1%, to $557.4 million in the three months ended December 31, 2013, from $535.6 million in the three months ended December 31, 2012. As a percentage of revenue, cost of license and service decreased to 64.5% in the three months ended December 31, 2013, from 64.8% in the three months ended December 31, 2012. The increase in our gross margin was primarily attributable to a larger portion of revenue and expense related to customers in developed markets, where we are well-established and generally realize higher margins, partially offset by our activities in Asia Pacific and Central and Latin America, where we continued our penetration efforts in order to expand our business into those markets.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increased by $3.0 million, or 5.0%, to $62.3 million in the three months ended December 31, 2013, from $59.4 million in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The increase in research and development expense was primarily attributable to network optimization research and development activity.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as a percentage of revenue was 7.2% in both the three months ended December 31, 2013 and 2012. Our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efforts are a key element of our strategy and are essential to our success, and we intend to maintain our commitment to research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An increase or a decrease in our total revenue would not necessarily result in a proportional increase or decrease in the levels of our research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expenditures, which could affect our operating margin.</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$4.5 million, or 4.2%, to $112.0 million in the three months ended December 31, 2013, from $107.5 million in the three months ended December 31, 2012. The increase in selling, general and administrative expense was primarily attributable to network optimization selling and marketing activities. Selling, general and administrative expense may fluctuate from time to time, depending upon such factors as changes in our workforce and sales efforts and the results of any operational efficiency programs that we may undertake.</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2013, increased by $0.4 million to $11.7 million from $11.2 million in the three months ended December 31, 2012. The increase in amortization of purchased intangible assets and other was attributable to an increase in acquisition related costs, partially offset by a decrease in amortization of intangible assets, due to the timing of amortization charges of previously purchased intangible assets.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$8.0 million, or 7.1%, in the three months ended December 31, 2013, to $120.7 million, or 14.0%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revenue, from $112.7 million, or 13.6% of revenue, in the three months ended December 31, 2012. The increase in operating income as a percentage of revenue was primarily attributable to revenue increasing at a higher rate than operating expenses.</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increased by $1.3 million to $1.4 million in the three months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from $0.1 million in the three months ended December 31, 2012. The increase in interest and other expense, net, was primarily attributable to foreign exchange impacts.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December 31, 2013, were $17.9 million on pre-tax income of $119.3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15.0%, compared to 12.0% in the three months ended December 31, 2012. The increase in our effective tax rate was primarily attributable to the geographical distribution of earnings from global operations, as well as to the tax effect of amortization of purchased intangible assets. Our effective tax rate may fluctuate between periods as a result of discrete items that may affect a particular period.</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$2.4 million, or 2.4%, to $101.4 million in the three months ended December 31, 2013, from $99.0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December 31, 2012. The increase in net income was primarily attributable to the increase in operating income, partially offset by the increase in income taxes and in interest and other expense, net.</w:t>
      </w:r>
    </w:p>
    <w:p>
      <w:pPr>
        <w:spacing w:after="0" w:line="18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$0.02, or 3.3%, to $0.63 in the three months ended December 31, 2013,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$0.61 in the three months ended December 31, 2012. The increase in diluted earnings per share was primarily attributable to the increase in net income.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 short-term debt, totaled $1.21 billion as of December 31, 2013, compared to $1.13 billion as of September 30, 2013. The increase was mainly attributable to $186.5 million in positive cash flow from operations and $36.0 million of proceeds from stock options exercised, partially offset by $84.0 million used to repurchase our ordinary shares, $26.7 million for capital expenditures, net, $20.8 million of cash dividend payments and $12.6 million in net cash paid for acquisitions.</w:t>
      </w:r>
    </w:p>
    <w:p>
      <w:pPr>
        <w:spacing w:after="0" w:line="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Net cash provided by operating activities amounted to $186.5 million and $145.5 million for the three months ended December 31, 2013 and 2012, respectively.</w:t>
      </w:r>
    </w:p>
    <w:p>
      <w:pPr>
        <w:spacing w:after="0" w:line="18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January 1, 2014, we used $141.0 million to acquire substantially all of the assets of Celcite Management Solutions LLC. Additional consideration may be paid in the future if certain performance metrics are achieved.</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8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income, net of tax, unless a security is other than temporarily impaired, in which case the loss is recorded in the income statement.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2013 and 2012, we recognized immaterial credit losses. Please see Notes 4 and 5 to the consolidated financial statements.</w:t>
      </w:r>
    </w:p>
    <w:p>
      <w:pPr>
        <w:spacing w:after="0" w:line="17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September 2013, we borrowed an aggregate of $200.0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five-year revolving credit facility with a syndicate of banks and repaid it in October 2013. As of December 31, 2013, we were in compliance with the financial covenants under the revolving credit facility and had no outstanding borrowings under this facility.</w:t>
      </w:r>
    </w:p>
    <w:p>
      <w:pPr>
        <w:spacing w:after="0" w:line="166"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As of December 31, 2013, we had additional uncommitted lines of credit available for general corporate and other specific purposes and had outstanding letters of credit and bank guarantees from various banks totaling $80.9 million.</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pension funding, purchase obligations and unrecognized tax benefits summarized in the disclosure of contractual obligations set forth in our Annual Report on Form 20-F for the fiscal year ended September 30, 2013, filed on December 9, 2013 with the SEC. Since September 30, 2013, there have been no material changes in our contractual obligations.</w:t>
      </w:r>
    </w:p>
    <w:p>
      <w:pPr>
        <w:spacing w:after="0" w:line="14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$26.7 million in the three months ended December 31, 2013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has adopted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Our current share repurchase plan authorizes the repurchase of up to $500.0 million of our outstanding ordinary shares with no expiration date. In the three months ended December 31, 2013, we repurchased 2.2 million ordinary shares at an average price of $39.03 per share (excluding broker and transaction fees). As of December 31, 2013, we had remaining authority to repurchase up to $251.9 million of our outstanding ordinary shares. The authorization permits us to purchase our ordinary shares in open market or privately negotiated transactions at times and prices that we consider appropriate.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three months ended December 31, 2013 and 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98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7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2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332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1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November 6,</w:t>
            </w:r>
          </w:p>
        </w:tc>
        <w:tc>
          <w:tcPr>
            <w:tcW w:w="2280" w:type="dxa"/>
            <w:vAlign w:val="bottom"/>
            <w:tcBorders>
              <w:top w:val="single" w:sz="8" w:color="CCEEFF"/>
            </w:tcBorders>
            <w:shd w:val="clear" w:color="auto" w:fill="CCEEFF"/>
          </w:tcPr>
          <w:p>
            <w:pPr>
              <w:jc w:val="right"/>
              <w:ind w:right="1870"/>
              <w:spacing w:after="0"/>
              <w:rPr>
                <w:sz w:val="20"/>
                <w:szCs w:val="20"/>
                <w:color w:val="auto"/>
              </w:rPr>
            </w:pPr>
            <w:r>
              <w:rPr>
                <w:rFonts w:ascii="Arial" w:cs="Arial" w:eastAsia="Arial" w:hAnsi="Arial"/>
                <w:sz w:val="18"/>
                <w:szCs w:val="18"/>
                <w:color w:val="auto"/>
                <w:w w:val="74"/>
              </w:rPr>
              <w:t>2012</w:t>
            </w:r>
          </w:p>
        </w:tc>
        <w:tc>
          <w:tcPr>
            <w:tcW w:w="19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0.13</w:t>
            </w:r>
          </w:p>
        </w:tc>
        <w:tc>
          <w:tcPr>
            <w:tcW w:w="4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December 31, 2012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January 18, 2013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23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0.13</w:t>
            </w: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December 31, 2013</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20.8</w:t>
            </w:r>
          </w:p>
        </w:tc>
        <w:tc>
          <w:tcPr>
            <w:tcW w:w="1400" w:type="dxa"/>
            <w:vAlign w:val="bottom"/>
            <w:gridSpan w:val="2"/>
          </w:tcPr>
          <w:p>
            <w:pPr>
              <w:ind w:left="80"/>
              <w:spacing w:after="0"/>
              <w:rPr>
                <w:sz w:val="20"/>
                <w:szCs w:val="20"/>
                <w:color w:val="auto"/>
              </w:rPr>
            </w:pPr>
            <w:r>
              <w:rPr>
                <w:rFonts w:ascii="Arial" w:cs="Arial" w:eastAsia="Arial" w:hAnsi="Arial"/>
                <w:sz w:val="18"/>
                <w:szCs w:val="18"/>
                <w:color w:val="auto"/>
                <w:w w:val="93"/>
              </w:rPr>
              <w:t>January 17, 2014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January 29, 2014, our board of directors approved the next dividend payment and set March 31, 2014 as the record date for determining the shareholders entitled to receive the dividend, which is payable on April 17, 2014. On January 30, 2014, at the annual general meeting of shareholders, our shareholders approved an increase in the rate of the quarterly cash dividend from $0.13 per share to $0.155 per share. As a result, the April 17, 2014 cash dividend will be paid at the increased rate of $0.155 per share.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three months ended December 31, 2013 and 2012,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2013 of equity securities that are registered by us pursuant to Section 12 of the Exchange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(b)</w:t>
            </w: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940" w:type="dxa"/>
            <w:vAlign w:val="bottom"/>
            <w:gridSpan w:val="2"/>
            <w:vMerge w:val="restart"/>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148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Average Price</w:t>
            </w: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4940" w:type="dxa"/>
            <w:vAlign w:val="bottom"/>
            <w:tcBorders>
              <w:bottom w:val="single" w:sz="8" w:color="CCEEFF"/>
            </w:tcBorders>
            <w:gridSpan w:val="2"/>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Paid per Share</w:t>
            </w:r>
          </w:p>
        </w:tc>
        <w:tc>
          <w:tcPr>
            <w:tcW w:w="5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or Programs(1)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10/01/13-10/31/13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832,900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832,900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304,874,168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11/01/13-11/30/13</w:t>
            </w:r>
          </w:p>
        </w:tc>
        <w:tc>
          <w:tcPr>
            <w:tcW w:w="1040" w:type="dxa"/>
            <w:vAlign w:val="bottom"/>
          </w:tcPr>
          <w:p>
            <w:pPr>
              <w:jc w:val="right"/>
              <w:spacing w:after="0"/>
              <w:rPr>
                <w:sz w:val="20"/>
                <w:szCs w:val="20"/>
                <w:color w:val="auto"/>
              </w:rPr>
            </w:pPr>
            <w:r>
              <w:rPr>
                <w:rFonts w:ascii="Arial" w:cs="Arial" w:eastAsia="Arial" w:hAnsi="Arial"/>
                <w:sz w:val="18"/>
                <w:szCs w:val="18"/>
                <w:color w:val="auto"/>
              </w:rPr>
              <w:t>574,200</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39.63</w:t>
            </w:r>
          </w:p>
        </w:tc>
        <w:tc>
          <w:tcPr>
            <w:tcW w:w="1700" w:type="dxa"/>
            <w:vAlign w:val="bottom"/>
            <w:gridSpan w:val="2"/>
          </w:tcPr>
          <w:p>
            <w:pPr>
              <w:ind w:left="540"/>
              <w:spacing w:after="0"/>
              <w:rPr>
                <w:sz w:val="20"/>
                <w:szCs w:val="20"/>
                <w:color w:val="auto"/>
              </w:rPr>
            </w:pPr>
            <w:r>
              <w:rPr>
                <w:rFonts w:ascii="Arial" w:cs="Arial" w:eastAsia="Arial" w:hAnsi="Arial"/>
                <w:sz w:val="18"/>
                <w:szCs w:val="18"/>
                <w:color w:val="auto"/>
              </w:rPr>
              <w:t>574,200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282,117,379</w:t>
            </w: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12/01/13-12/31/13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744,700</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40.60</w:t>
            </w:r>
          </w:p>
        </w:tc>
        <w:tc>
          <w:tcPr>
            <w:tcW w:w="1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744,700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251,879,986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2,151,800</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39.03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2,151,800</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251,879,986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right="320" w:firstLine="464"/>
        <w:spacing w:after="0" w:line="264"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November 2012, our board of directors adopted a share repurchase plan authorizing the repurchase of up to $500.0 million of our outstanding ordinary shares, which has no expiration date. The authorization permits us to purchase our ordinary shares in open market or privately negotiated transactions at times and prices we consider appropriate.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3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6-K</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furnished or filed the following reports on Form 6-K during the three months ended December 31, 2013:</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Form 6-K dated November 5, 2013</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Form 6-K dated December 5, 2013</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Form 6-K dated December 19,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2019-12-06T19:09:58Z</dcterms:created>
  <dcterms:modified xsi:type="dcterms:W3CDTF">2019-12-06T19:09:58Z</dcterms:modified>
</cp:coreProperties>
</file>