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760" w:right="3359" w:hanging="3297"/>
        <w:spacing w:after="0" w:line="248" w:lineRule="auto"/>
        <w:rPr>
          <w:sz w:val="20"/>
          <w:szCs w:val="20"/>
          <w:color w:val="auto"/>
        </w:rPr>
      </w:pPr>
      <w:r>
        <w:rPr>
          <w:rFonts w:ascii="Courier New" w:cs="Courier New" w:eastAsia="Courier New" w:hAnsi="Courier New"/>
          <w:sz w:val="15"/>
          <w:szCs w:val="15"/>
          <w:color w:val="auto"/>
        </w:rPr>
        <w:t>As filed with the Securities and Exchange Commission on March 31, 2004 Registration Statement No. 333-</w:t>
      </w:r>
    </w:p>
    <w:p>
      <w:pPr>
        <w:spacing w:after="0" w:line="1"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FORM F-3</w:t>
      </w:r>
    </w:p>
    <w:p>
      <w:pPr>
        <w:spacing w:after="0" w:line="18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REGISTRATION STATEMENT UNDER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SECURITIES ACT OF 1933</w:t>
      </w:r>
    </w:p>
    <w:p>
      <w:pPr>
        <w:spacing w:after="0" w:line="18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588" w:right="1440" w:bottom="12" w:gutter="0" w:footer="0" w:header="0"/>
        </w:sectPr>
      </w:pPr>
    </w:p>
    <w:p>
      <w:pPr>
        <w:spacing w:after="0" w:line="182"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Island of Guernsey</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(State or other jurisdiction</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Not Applicable</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6" w:lineRule="exact"/>
        <w:rPr>
          <w:sz w:val="24"/>
          <w:szCs w:val="24"/>
          <w:color w:val="auto"/>
        </w:rPr>
      </w:pPr>
    </w:p>
    <w:p>
      <w:pPr>
        <w:sectPr>
          <w:pgSz w:w="11900" w:h="16838" w:orient="portrait"/>
          <w:cols w:equalWidth="0" w:num="2">
            <w:col w:w="3300" w:space="720"/>
            <w:col w:w="6199"/>
          </w:cols>
          <w:pgMar w:left="240" w:top="588" w:right="1440" w:bottom="12"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of incorporation or organization)</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Suite 5, Tower Hill House Le Bordage</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011-44-1481-728444</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Amdocs, Inc.</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(314) 212-8328</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82"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The Commission is requested to send copies of</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all communications to:</w:t>
      </w:r>
    </w:p>
    <w:p>
      <w:pPr>
        <w:spacing w:after="0" w:line="182"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Robert A. Schwed, Esq.</w:t>
      </w:r>
    </w:p>
    <w:p>
      <w:pPr>
        <w:spacing w:after="0" w:line="6"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Hale and Dorr LLP</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300 Park Avenue</w:t>
      </w:r>
    </w:p>
    <w:p>
      <w:pPr>
        <w:spacing w:after="0" w:line="6" w:lineRule="exact"/>
        <w:rPr>
          <w:sz w:val="24"/>
          <w:szCs w:val="24"/>
          <w:color w:val="auto"/>
        </w:rPr>
      </w:pPr>
    </w:p>
    <w:p>
      <w:pPr>
        <w:ind w:left="2560"/>
        <w:spacing w:after="0"/>
        <w:rPr>
          <w:sz w:val="20"/>
          <w:szCs w:val="20"/>
          <w:color w:val="auto"/>
        </w:rPr>
      </w:pPr>
      <w:r>
        <w:rPr>
          <w:rFonts w:ascii="Courier New" w:cs="Courier New" w:eastAsia="Courier New" w:hAnsi="Courier New"/>
          <w:sz w:val="15"/>
          <w:szCs w:val="15"/>
          <w:color w:val="auto"/>
        </w:rPr>
        <w:t>New York, New York 10022</w:t>
      </w:r>
    </w:p>
    <w:p>
      <w:pPr>
        <w:spacing w:after="0" w:line="6" w:lineRule="exact"/>
        <w:rPr>
          <w:sz w:val="24"/>
          <w:szCs w:val="24"/>
          <w:color w:val="auto"/>
        </w:rPr>
      </w:pPr>
    </w:p>
    <w:p>
      <w:pPr>
        <w:ind w:left="3020"/>
        <w:spacing w:after="0"/>
        <w:rPr>
          <w:sz w:val="20"/>
          <w:szCs w:val="20"/>
          <w:color w:val="auto"/>
        </w:rPr>
      </w:pPr>
      <w:r>
        <w:rPr>
          <w:rFonts w:ascii="Courier New" w:cs="Courier New" w:eastAsia="Courier New" w:hAnsi="Courier New"/>
          <w:sz w:val="15"/>
          <w:szCs w:val="15"/>
          <w:color w:val="auto"/>
        </w:rPr>
        <w:t>(212) 937-7200</w:t>
      </w:r>
    </w:p>
    <w:p>
      <w:pPr>
        <w:spacing w:after="0" w:line="359" w:lineRule="exact"/>
        <w:rPr>
          <w:sz w:val="24"/>
          <w:szCs w:val="24"/>
          <w:color w:val="auto"/>
        </w:rPr>
      </w:pPr>
    </w:p>
    <w:p>
      <w:pPr>
        <w:jc w:val="both"/>
        <w:ind w:right="2979" w:firstLine="824"/>
        <w:spacing w:after="0" w:line="250" w:lineRule="auto"/>
        <w:rPr>
          <w:sz w:val="20"/>
          <w:szCs w:val="20"/>
          <w:color w:val="auto"/>
        </w:rPr>
      </w:pPr>
      <w:r>
        <w:rPr>
          <w:rFonts w:ascii="Courier New" w:cs="Courier New" w:eastAsia="Courier New" w:hAnsi="Courier New"/>
          <w:sz w:val="15"/>
          <w:szCs w:val="15"/>
          <w:color w:val="auto"/>
        </w:rPr>
        <w:t>Approximate date of commencement of proposed sale to public: From time to time after this Registration Statement becomes effective.</w:t>
      </w:r>
    </w:p>
    <w:p>
      <w:pPr>
        <w:spacing w:after="0" w:line="175" w:lineRule="exact"/>
        <w:rPr>
          <w:sz w:val="24"/>
          <w:szCs w:val="24"/>
          <w:color w:val="auto"/>
        </w:rPr>
      </w:pPr>
    </w:p>
    <w:p>
      <w:pPr>
        <w:jc w:val="both"/>
        <w:ind w:right="2979" w:firstLine="824"/>
        <w:spacing w:after="0" w:line="249"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176" w:lineRule="exact"/>
        <w:rPr>
          <w:sz w:val="24"/>
          <w:szCs w:val="24"/>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right="3259" w:firstLine="641"/>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5"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838" w:orient="portrait"/>
          <w:cols w:equalWidth="0" w:num="1">
            <w:col w:w="10219"/>
          </w:cols>
          <w:pgMar w:left="240" w:top="588" w:right="1440" w:bottom="12"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Title of Shares to be Registered</w:t>
      </w:r>
    </w:p>
    <w:p>
      <w:pPr>
        <w:spacing w:after="0" w:line="6"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Amount</w:t>
      </w:r>
    </w:p>
    <w:p>
      <w:pPr>
        <w:spacing w:after="0" w:line="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to be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Registered</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Proposed Maximum</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Offering Price</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Per Share(1)</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Proposed Maximum</w:t>
      </w:r>
    </w:p>
    <w:p>
      <w:pPr>
        <w:spacing w:after="0" w:line="6"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Aggregate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Offering Price(1)</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Amount of</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Registration</w:t>
      </w:r>
    </w:p>
    <w:p>
      <w:pPr>
        <w:spacing w:after="0" w:line="6" w:lineRule="exact"/>
        <w:rPr>
          <w:sz w:val="24"/>
          <w:szCs w:val="24"/>
          <w:color w:val="auto"/>
        </w:rPr>
      </w:pPr>
    </w:p>
    <w:p>
      <w:pPr>
        <w:ind w:left="380"/>
        <w:spacing w:after="0"/>
        <w:rPr>
          <w:sz w:val="20"/>
          <w:szCs w:val="20"/>
          <w:color w:val="auto"/>
        </w:rPr>
      </w:pPr>
      <w:r>
        <w:rPr>
          <w:rFonts w:ascii="Courier New" w:cs="Courier New" w:eastAsia="Courier New" w:hAnsi="Courier New"/>
          <w:sz w:val="15"/>
          <w:szCs w:val="15"/>
          <w:color w:val="auto"/>
        </w:rPr>
        <w:t>Fee</w:t>
      </w:r>
    </w:p>
    <w:p>
      <w:pPr>
        <w:spacing w:after="0" w:line="6" w:lineRule="exact"/>
        <w:rPr>
          <w:sz w:val="24"/>
          <w:szCs w:val="24"/>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sectPr>
          <w:pgSz w:w="11900" w:h="16838" w:orient="portrait"/>
          <w:cols w:equalWidth="0" w:num="5">
            <w:col w:w="3300" w:space="460"/>
            <w:col w:w="1080" w:space="280"/>
            <w:col w:w="1660" w:space="0"/>
            <w:col w:w="1740" w:space="260"/>
            <w:col w:w="1439"/>
          </w:cols>
          <w:pgMar w:left="240" w:top="588" w:right="1440" w:bottom="12"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Ordinary Shares,(pound)0.01 par</w:t>
      </w:r>
    </w:p>
    <w:p>
      <w:pPr>
        <w:sectPr>
          <w:pgSz w:w="11900" w:h="16838" w:orient="portrait"/>
          <w:cols w:equalWidth="0" w:num="1">
            <w:col w:w="10219"/>
          </w:cols>
          <w:pgMar w:left="240" w:top="588" w:right="1440" w:bottom="12" w:gutter="0" w:footer="0" w:header="0"/>
          <w:type w:val="continuous"/>
        </w:sectPr>
      </w:pPr>
    </w:p>
    <w:p>
      <w:pPr>
        <w:spacing w:after="0" w:line="6"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560,777</w:t>
      </w:r>
    </w:p>
    <w:p>
      <w:pPr>
        <w:spacing w:after="0" w:line="20" w:lineRule="exact"/>
        <w:rPr>
          <w:sz w:val="24"/>
          <w:szCs w:val="24"/>
          <w:color w:val="auto"/>
        </w:rPr>
      </w:pPr>
      <w:r>
        <w:rPr>
          <w:sz w:val="24"/>
          <w:szCs w:val="24"/>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$26.52</w:t>
      </w:r>
    </w:p>
    <w:p>
      <w:pPr>
        <w:spacing w:after="0" w:line="20" w:lineRule="exact"/>
        <w:rPr>
          <w:sz w:val="24"/>
          <w:szCs w:val="24"/>
          <w:color w:val="auto"/>
        </w:rPr>
      </w:pPr>
      <w:r>
        <w:rPr>
          <w:sz w:val="24"/>
          <w:szCs w:val="24"/>
          <w:color w:val="auto"/>
        </w:rPr>
        <w:br w:type="column"/>
      </w:r>
    </w:p>
    <w:p>
      <w:pPr>
        <w:jc w:val="center"/>
        <w:ind w:right="200"/>
        <w:spacing w:after="0"/>
        <w:rPr>
          <w:sz w:val="20"/>
          <w:szCs w:val="20"/>
          <w:color w:val="auto"/>
        </w:rPr>
      </w:pPr>
      <w:r>
        <w:rPr>
          <w:rFonts w:ascii="Courier New" w:cs="Courier New" w:eastAsia="Courier New" w:hAnsi="Courier New"/>
          <w:sz w:val="15"/>
          <w:szCs w:val="15"/>
          <w:color w:val="auto"/>
        </w:rPr>
        <w:t>$14,871,806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$1,885</w:t>
      </w:r>
    </w:p>
    <w:p>
      <w:pPr>
        <w:sectPr>
          <w:pgSz w:w="11900" w:h="16838" w:orient="portrait"/>
          <w:cols w:equalWidth="0" w:num="5">
            <w:col w:w="3300" w:space="640"/>
            <w:col w:w="920" w:space="720"/>
            <w:col w:w="840" w:space="720"/>
            <w:col w:w="1200" w:space="720"/>
            <w:col w:w="1159"/>
          </w:cols>
          <w:pgMar w:left="240" w:top="588" w:right="1440" w:bottom="12" w:gutter="0" w:footer="0" w:header="0"/>
          <w:type w:val="continuous"/>
        </w:sectPr>
      </w:pPr>
    </w:p>
    <w:bookmarkStart w:id="1" w:name="page2"/>
    <w:bookmarkEnd w:id="1"/>
    <w:p>
      <w:pPr>
        <w:ind w:left="820" w:right="2979" w:hanging="368"/>
        <w:spacing w:after="0" w:line="249" w:lineRule="auto"/>
        <w:tabs>
          <w:tab w:leader="none" w:pos="8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purposes of calculating the registration fee pursuant to Rule 457(c) under the Securities Act and based upon the average of the high and low prices on the New York Stock Exchange on March 24, 2004. Pursuant to Rule 416 under the Securities Act of 1933, as amended, the amount to be registered also includes an indeterminate number of ordinary shares issuable as a result of stock splits, stock dividends, recapitalizations or similar events.</w:t>
      </w:r>
    </w:p>
    <w:p>
      <w:pPr>
        <w:spacing w:after="0" w:line="35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right="2899"/>
        <w:spacing w:after="0" w:line="249" w:lineRule="auto"/>
        <w:rPr>
          <w:sz w:val="20"/>
          <w:szCs w:val="20"/>
          <w:color w:val="auto"/>
        </w:rPr>
      </w:pPr>
      <w:r>
        <w:rPr>
          <w:rFonts w:ascii="Courier New" w:cs="Courier New" w:eastAsia="Courier New" w:hAnsi="Courier New"/>
          <w:sz w:val="15"/>
          <w:szCs w:val="15"/>
          <w:color w:val="auto"/>
        </w:rPr>
        <w:t>The information in this prospectus is not complete and may be changed. The selling securityholders named in this prospectus may not sell these securities until the registration statement filed with the Securities and Exchange Commission is effective. This prospectus is not an offer to sell these securities and the selling securityholders named in this prospectus are not soliciting offers to buy these securities in any jurisdiction where the offer or sale is not permitted.</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Subject to completion, dated March 31, 2004</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560,777 ORDINARY SHARES</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Amdocs Limited to former shareholders of XACCT Technologies Ltd. in connection with our acquisition of that company.</w:t>
      </w:r>
    </w:p>
    <w:p>
      <w:pPr>
        <w:spacing w:after="0" w:line="176" w:lineRule="exact"/>
        <w:rPr>
          <w:sz w:val="20"/>
          <w:szCs w:val="20"/>
          <w:color w:val="auto"/>
        </w:rPr>
      </w:pPr>
    </w:p>
    <w:p>
      <w:pPr>
        <w:ind w:right="3359" w:firstLine="824"/>
        <w:spacing w:after="0" w:line="250" w:lineRule="auto"/>
        <w:rPr>
          <w:sz w:val="20"/>
          <w:szCs w:val="20"/>
          <w:color w:val="auto"/>
        </w:rPr>
      </w:pPr>
      <w:r>
        <w:rPr>
          <w:rFonts w:ascii="Courier New" w:cs="Courier New" w:eastAsia="Courier New" w:hAnsi="Courier New"/>
          <w:sz w:val="15"/>
          <w:szCs w:val="15"/>
          <w:color w:val="auto"/>
        </w:rPr>
        <w:t>We will not receive any proceeds from sales of the ordinary shares offered by this prospectus.</w:t>
      </w:r>
    </w:p>
    <w:p>
      <w:pPr>
        <w:spacing w:after="0" w:line="175" w:lineRule="exact"/>
        <w:rPr>
          <w:sz w:val="20"/>
          <w:szCs w:val="20"/>
          <w:color w:val="auto"/>
        </w:rPr>
      </w:pPr>
    </w:p>
    <w:p>
      <w:pPr>
        <w:jc w:val="both"/>
        <w:ind w:right="3179" w:firstLine="824"/>
        <w:spacing w:after="0" w:line="249" w:lineRule="auto"/>
        <w:rPr>
          <w:sz w:val="20"/>
          <w:szCs w:val="20"/>
          <w:color w:val="auto"/>
        </w:rPr>
      </w:pPr>
      <w:r>
        <w:rPr>
          <w:rFonts w:ascii="Courier New" w:cs="Courier New" w:eastAsia="Courier New" w:hAnsi="Courier New"/>
          <w:sz w:val="15"/>
          <w:szCs w:val="15"/>
          <w:color w:val="auto"/>
        </w:rPr>
        <w:t>The selling securityholders identified in this prospectus, or their pledgees, donees, transferees or other successors-in-interest, may offer the shares from time to time through public or private transactions at prevailing market prices, at prices related to prevailing market prices or at privately negotiated prices.</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ordinary shares are traded on the New York Stock Exchange under the symbol "DOX." On March 29, 2004, the closing sale price of our ordinary shares on the New York Stock Exchange was $27.49 per share. You are urged to obtain current market quotations for our ordinary shares.</w:t>
      </w:r>
    </w:p>
    <w:p>
      <w:pPr>
        <w:spacing w:after="0" w:line="35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See "Risk Factors" beginning on page 4 to read about factors you should</w:t>
      </w:r>
    </w:p>
    <w:p>
      <w:pPr>
        <w:spacing w:after="0" w:line="6"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consider before investing in our ordinary shares.</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Neither the Securities and Exchange Commission nor any state securities</w:t>
      </w:r>
    </w:p>
    <w:p>
      <w:pPr>
        <w:spacing w:after="0" w:line="6" w:lineRule="exact"/>
        <w:rPr>
          <w:sz w:val="20"/>
          <w:szCs w:val="20"/>
          <w:color w:val="auto"/>
        </w:rPr>
      </w:pPr>
    </w:p>
    <w:p>
      <w:pPr>
        <w:jc w:val="center"/>
        <w:ind w:left="340" w:right="820"/>
        <w:spacing w:after="0" w:line="249" w:lineRule="auto"/>
        <w:rPr>
          <w:sz w:val="20"/>
          <w:szCs w:val="20"/>
          <w:color w:val="auto"/>
        </w:rPr>
      </w:pPr>
      <w:r>
        <w:rPr>
          <w:rFonts w:ascii="Courier New" w:cs="Courier New" w:eastAsia="Courier New" w:hAnsi="Courier New"/>
          <w:sz w:val="15"/>
          <w:szCs w:val="15"/>
          <w:color w:val="auto"/>
        </w:rPr>
        <w:t>commission has approved or disapproved of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1640" w:type="dxa"/>
        <w:tblCellMar>
          <w:top w:w="0" w:type="dxa"/>
          <w:left w:w="0" w:type="dxa"/>
          <w:bottom w:w="0" w:type="dxa"/>
          <w:right w:w="0" w:type="dxa"/>
        </w:tblCellMar>
      </w:tblPr>
      <w:tr>
        <w:trPr>
          <w:trHeight w:val="171"/>
        </w:trPr>
        <w:tc>
          <w:tcPr>
            <w:tcW w:w="3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r>
      <w:tr>
        <w:trPr>
          <w:trHeight w:val="529"/>
        </w:trPr>
        <w:tc>
          <w:tcPr>
            <w:tcW w:w="33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The date of this prospectus is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2004.</w:t>
            </w:r>
          </w:p>
        </w:tc>
      </w:tr>
    </w:tbl>
    <w:p>
      <w:pPr>
        <w:sectPr>
          <w:pgSz w:w="11900" w:h="16838" w:orient="portrait"/>
          <w:cols w:equalWidth="0" w:num="1">
            <w:col w:w="10219"/>
          </w:cols>
          <w:pgMar w:left="240" w:top="647" w:right="1440" w:bottom="1440" w:gutter="0" w:footer="0" w:header="0"/>
        </w:sectPr>
      </w:pPr>
    </w:p>
    <w:bookmarkStart w:id="3" w:name="page4"/>
    <w:bookmarkEnd w:id="3"/>
    <w:p>
      <w:pPr>
        <w:ind w:left="2920"/>
        <w:spacing w:after="0"/>
        <w:rPr>
          <w:sz w:val="20"/>
          <w:szCs w:val="20"/>
          <w:color w:val="auto"/>
        </w:rPr>
      </w:pPr>
      <w:r>
        <w:rPr>
          <w:rFonts w:ascii="Courier New" w:cs="Courier New" w:eastAsia="Courier New" w:hAnsi="Courier New"/>
          <w:sz w:val="15"/>
          <w:szCs w:val="15"/>
          <w:color w:val="auto"/>
        </w:rPr>
        <w:t>TABLE OF CONTENTS</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60"/>
        <w:spacing w:after="0"/>
        <w:tabs>
          <w:tab w:leader="dot" w:pos="7020" w:val="left"/>
        </w:tabs>
        <w:rPr>
          <w:sz w:val="20"/>
          <w:szCs w:val="20"/>
          <w:color w:val="auto"/>
        </w:rPr>
      </w:pPr>
      <w:r>
        <w:rPr>
          <w:rFonts w:ascii="Courier New" w:cs="Courier New" w:eastAsia="Courier New" w:hAnsi="Courier New"/>
          <w:sz w:val="15"/>
          <w:szCs w:val="15"/>
          <w:color w:val="auto"/>
        </w:rPr>
        <w:t>INCORPORATION OF DOCUMENTS BY REFERENCE</w:t>
      </w:r>
      <w:r>
        <w:rPr>
          <w:sz w:val="20"/>
          <w:szCs w:val="20"/>
          <w:color w:val="auto"/>
        </w:rPr>
        <w:tab/>
      </w:r>
      <w:r>
        <w:rPr>
          <w:rFonts w:ascii="Courier New" w:cs="Courier New" w:eastAsia="Courier New" w:hAnsi="Courier New"/>
          <w:sz w:val="15"/>
          <w:szCs w:val="15"/>
          <w:color w:val="auto"/>
        </w:rPr>
        <w:t>ii</w:t>
      </w:r>
    </w:p>
    <w:p>
      <w:pPr>
        <w:spacing w:after="0" w:line="6" w:lineRule="exact"/>
        <w:rPr>
          <w:sz w:val="20"/>
          <w:szCs w:val="20"/>
          <w:color w:val="auto"/>
        </w:rPr>
      </w:pPr>
    </w:p>
    <w:p>
      <w:pPr>
        <w:ind w:left="260"/>
        <w:spacing w:after="0"/>
        <w:tabs>
          <w:tab w:leader="dot" w:pos="70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ii</w:t>
      </w:r>
    </w:p>
    <w:p>
      <w:pPr>
        <w:spacing w:after="0" w:line="6" w:lineRule="exact"/>
        <w:rPr>
          <w:sz w:val="20"/>
          <w:szCs w:val="20"/>
          <w:color w:val="auto"/>
        </w:rPr>
      </w:pPr>
    </w:p>
    <w:p>
      <w:pPr>
        <w:ind w:left="260"/>
        <w:spacing w:after="0"/>
        <w:tabs>
          <w:tab w:leader="dot" w:pos="702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1</w:t>
      </w:r>
    </w:p>
    <w:p>
      <w:pPr>
        <w:spacing w:after="0" w:line="6" w:lineRule="exact"/>
        <w:rPr>
          <w:sz w:val="20"/>
          <w:szCs w:val="20"/>
          <w:color w:val="auto"/>
        </w:rPr>
      </w:pPr>
    </w:p>
    <w:p>
      <w:pPr>
        <w:ind w:left="260"/>
        <w:spacing w:after="0"/>
        <w:tabs>
          <w:tab w:leader="dot" w:pos="7020" w:val="left"/>
        </w:tabs>
        <w:rPr>
          <w:sz w:val="20"/>
          <w:szCs w:val="20"/>
          <w:color w:val="auto"/>
        </w:rPr>
      </w:pPr>
      <w:r>
        <w:rPr>
          <w:rFonts w:ascii="Courier New" w:cs="Courier New" w:eastAsia="Courier New" w:hAnsi="Courier New"/>
          <w:sz w:val="15"/>
          <w:szCs w:val="15"/>
          <w:color w:val="auto"/>
        </w:rPr>
        <w:t>THE OFFERING</w:t>
      </w:r>
      <w:r>
        <w:rPr>
          <w:sz w:val="20"/>
          <w:szCs w:val="20"/>
          <w:color w:val="auto"/>
        </w:rPr>
        <w:tab/>
      </w:r>
      <w:r>
        <w:rPr>
          <w:rFonts w:ascii="Courier New" w:cs="Courier New" w:eastAsia="Courier New" w:hAnsi="Courier New"/>
          <w:sz w:val="15"/>
          <w:szCs w:val="15"/>
          <w:color w:val="auto"/>
        </w:rPr>
        <w:t>2</w:t>
      </w:r>
    </w:p>
    <w:p>
      <w:pPr>
        <w:spacing w:after="0" w:line="6" w:lineRule="exact"/>
        <w:rPr>
          <w:sz w:val="20"/>
          <w:szCs w:val="20"/>
          <w:color w:val="auto"/>
        </w:rPr>
      </w:pPr>
    </w:p>
    <w:p>
      <w:pPr>
        <w:ind w:left="260"/>
        <w:spacing w:after="0"/>
        <w:tabs>
          <w:tab w:leader="dot" w:pos="7020" w:val="left"/>
        </w:tabs>
        <w:rPr>
          <w:sz w:val="20"/>
          <w:szCs w:val="20"/>
          <w:color w:val="auto"/>
        </w:rPr>
      </w:pPr>
      <w:r>
        <w:rPr>
          <w:rFonts w:ascii="Courier New" w:cs="Courier New" w:eastAsia="Courier New" w:hAnsi="Courier New"/>
          <w:sz w:val="15"/>
          <w:szCs w:val="15"/>
          <w:color w:val="auto"/>
        </w:rPr>
        <w:t>SPECIAL NOTE REGARDING FORWARD-LOOKING INFORMATION</w:t>
      </w:r>
      <w:r>
        <w:rPr>
          <w:sz w:val="20"/>
          <w:szCs w:val="20"/>
          <w:color w:val="auto"/>
        </w:rPr>
        <w:tab/>
      </w:r>
      <w:r>
        <w:rPr>
          <w:rFonts w:ascii="Courier New" w:cs="Courier New" w:eastAsia="Courier New" w:hAnsi="Courier New"/>
          <w:sz w:val="15"/>
          <w:szCs w:val="15"/>
          <w:color w:val="auto"/>
        </w:rPr>
        <w:t>3</w:t>
      </w:r>
    </w:p>
    <w:p>
      <w:pPr>
        <w:spacing w:after="0" w:line="6" w:lineRule="exact"/>
        <w:rPr>
          <w:sz w:val="20"/>
          <w:szCs w:val="20"/>
          <w:color w:val="auto"/>
        </w:rPr>
      </w:pPr>
    </w:p>
    <w:p>
      <w:pPr>
        <w:ind w:left="260"/>
        <w:spacing w:after="0"/>
        <w:tabs>
          <w:tab w:leader="dot" w:pos="70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OFFERING STATISTICS AND TIMETABLE</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REASONS FOR THE OFFER AND USE OF PROCEEDS</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MATERIAL CHANGES</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THE OFFER AND LISTING</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16</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17</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20</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COMPARISON OF UNITED STATES AND GUERNSEY CORPORATE LAW</w:t>
      </w:r>
      <w:r>
        <w:rPr>
          <w:sz w:val="20"/>
          <w:szCs w:val="20"/>
          <w:color w:val="auto"/>
        </w:rPr>
        <w:tab/>
      </w:r>
      <w:r>
        <w:rPr>
          <w:rFonts w:ascii="Courier New" w:cs="Courier New" w:eastAsia="Courier New" w:hAnsi="Courier New"/>
          <w:sz w:val="15"/>
          <w:szCs w:val="15"/>
          <w:color w:val="auto"/>
        </w:rPr>
        <w:t>22</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23</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24</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24</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ENFORCEABILITY OF CIVIL LIABILITIES</w:t>
      </w:r>
      <w:r>
        <w:rPr>
          <w:sz w:val="20"/>
          <w:szCs w:val="20"/>
          <w:color w:val="auto"/>
        </w:rPr>
        <w:tab/>
      </w:r>
      <w:r>
        <w:rPr>
          <w:rFonts w:ascii="Courier New" w:cs="Courier New" w:eastAsia="Courier New" w:hAnsi="Courier New"/>
          <w:sz w:val="15"/>
          <w:szCs w:val="15"/>
          <w:color w:val="auto"/>
        </w:rPr>
        <w:t>25</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UNAUDITED PRO FORMA CONDENSED CONSOLIDATED FINANCIAL STATEMENTS</w:t>
      </w:r>
      <w:r>
        <w:rPr>
          <w:sz w:val="20"/>
          <w:szCs w:val="20"/>
          <w:color w:val="auto"/>
        </w:rPr>
        <w:tab/>
      </w:r>
      <w:r>
        <w:rPr>
          <w:rFonts w:ascii="Courier New" w:cs="Courier New" w:eastAsia="Courier New" w:hAnsi="Courier New"/>
          <w:sz w:val="15"/>
          <w:szCs w:val="15"/>
          <w:color w:val="auto"/>
        </w:rPr>
        <w:t>26</w:t>
      </w:r>
    </w:p>
    <w:p>
      <w:pPr>
        <w:spacing w:after="0" w:line="6" w:lineRule="exact"/>
        <w:rPr>
          <w:sz w:val="20"/>
          <w:szCs w:val="20"/>
          <w:color w:val="auto"/>
        </w:rPr>
      </w:pPr>
    </w:p>
    <w:p>
      <w:pPr>
        <w:ind w:left="260"/>
        <w:spacing w:after="0"/>
        <w:tabs>
          <w:tab w:leader="dot" w:pos="6940" w:val="left"/>
        </w:tabs>
        <w:rPr>
          <w:sz w:val="20"/>
          <w:szCs w:val="20"/>
          <w:color w:val="auto"/>
        </w:rPr>
      </w:pPr>
      <w:r>
        <w:rPr>
          <w:rFonts w:ascii="Courier New" w:cs="Courier New" w:eastAsia="Courier New" w:hAnsi="Courier New"/>
          <w:sz w:val="15"/>
          <w:szCs w:val="15"/>
          <w:color w:val="auto"/>
        </w:rPr>
        <w:t>UNAUDITED FINANCIAL STATEMENTS OF CERTEN INC</w:t>
      </w:r>
      <w:r>
        <w:rPr>
          <w:sz w:val="20"/>
          <w:szCs w:val="20"/>
          <w:color w:val="auto"/>
        </w:rPr>
        <w:tab/>
      </w:r>
      <w:r>
        <w:rPr>
          <w:rFonts w:ascii="Courier New" w:cs="Courier New" w:eastAsia="Courier New" w:hAnsi="Courier New"/>
          <w:sz w:val="15"/>
          <w:szCs w:val="15"/>
          <w:color w:val="auto"/>
        </w:rPr>
        <w:t>29</w:t>
      </w:r>
    </w:p>
    <w:p>
      <w:pPr>
        <w:spacing w:after="0" w:line="359"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have not authorized anyone to provide you with information different from that contained or incorporated by reference in this prospectus. The selling securityholders are offering to sell, and seeking offers to buy, our ordinary shares only in jurisdictions where offers and sales are permitted. The information contained in this prospectus is accurate only as of the date of this prospectus, regardless of the time of delivery of this prospectus or of any sale of ordinary shares.</w:t>
      </w:r>
    </w:p>
    <w:p>
      <w:pPr>
        <w:spacing w:after="0" w:line="175" w:lineRule="exact"/>
        <w:rPr>
          <w:sz w:val="20"/>
          <w:szCs w:val="20"/>
          <w:color w:val="auto"/>
        </w:rPr>
      </w:pPr>
    </w:p>
    <w:p>
      <w:pPr>
        <w:ind w:right="2899" w:firstLine="824"/>
        <w:spacing w:after="0" w:line="250" w:lineRule="auto"/>
        <w:rPr>
          <w:sz w:val="20"/>
          <w:szCs w:val="20"/>
          <w:color w:val="auto"/>
        </w:rPr>
      </w:pPr>
      <w:r>
        <w:rPr>
          <w:rFonts w:ascii="Courier New" w:cs="Courier New" w:eastAsia="Courier New" w:hAnsi="Courier New"/>
          <w:sz w:val="15"/>
          <w:szCs w:val="15"/>
          <w:color w:val="auto"/>
        </w:rPr>
        <w:t>Unless the context otherwise requires, references in this prospectus to "Amdocs," "we," "us," and "our" refer to Amdocs Limited and its subsidiaries.</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47" w:right="1440" w:bottom="1440" w:gutter="0" w:footer="0" w:header="0"/>
        </w:sectPr>
      </w:pPr>
    </w:p>
    <w:bookmarkStart w:id="4" w:name="page5"/>
    <w:bookmarkEnd w:id="4"/>
    <w:p>
      <w:pPr>
        <w:ind w:left="1926"/>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82"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We incorporate by reference into this prospectus the documents listed below and any future filings we make with the Securities and Exchange Commission, referred to herein as the SEC, under Sections 13(a), 13(c) or 15(d) of the Securities Exchange Act of 1934, as amended, referred to herein as the Exchange Act, including any filings or submissions after the date of this prospectus, until the selling securityholders have sold all of the ordinary shares to which this prospectus relates:</w:t>
      </w:r>
    </w:p>
    <w:p>
      <w:pPr>
        <w:spacing w:after="0" w:line="175" w:lineRule="exact"/>
        <w:rPr>
          <w:sz w:val="20"/>
          <w:szCs w:val="20"/>
          <w:color w:val="auto"/>
        </w:rPr>
      </w:pPr>
    </w:p>
    <w:p>
      <w:pPr>
        <w:ind w:left="826" w:right="2979" w:hanging="368"/>
        <w:spacing w:after="0" w:line="250"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fiscal year ended September 30, 2003, filed on December 24, 2003;</w:t>
      </w:r>
    </w:p>
    <w:p>
      <w:pPr>
        <w:spacing w:after="0" w:line="174" w:lineRule="exact"/>
        <w:rPr>
          <w:rFonts w:ascii="Courier New" w:cs="Courier New" w:eastAsia="Courier New" w:hAnsi="Courier New"/>
          <w:sz w:val="15"/>
          <w:szCs w:val="15"/>
          <w:color w:val="auto"/>
        </w:rPr>
      </w:pPr>
    </w:p>
    <w:p>
      <w:pPr>
        <w:ind w:left="826" w:right="3179" w:hanging="368"/>
        <w:spacing w:after="0" w:line="250"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proxy materials for our annual general meeting of shareholders, filed on December 24, 2003;</w:t>
      </w:r>
    </w:p>
    <w:p>
      <w:pPr>
        <w:spacing w:after="0" w:line="174" w:lineRule="exact"/>
        <w:rPr>
          <w:rFonts w:ascii="Courier New" w:cs="Courier New" w:eastAsia="Courier New" w:hAnsi="Courier New"/>
          <w:sz w:val="15"/>
          <w:szCs w:val="15"/>
          <w:color w:val="auto"/>
        </w:rPr>
      </w:pPr>
    </w:p>
    <w:p>
      <w:pPr>
        <w:ind w:left="826" w:right="2979" w:hanging="368"/>
        <w:spacing w:after="0" w:line="250"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on Form 6-K containing our results for the quarterly period ended December 31, 2003, filed on February 17, 2004;</w:t>
      </w:r>
    </w:p>
    <w:p>
      <w:pPr>
        <w:spacing w:after="0" w:line="174" w:lineRule="exact"/>
        <w:rPr>
          <w:rFonts w:ascii="Courier New" w:cs="Courier New" w:eastAsia="Courier New" w:hAnsi="Courier New"/>
          <w:sz w:val="15"/>
          <w:szCs w:val="15"/>
          <w:color w:val="auto"/>
        </w:rPr>
      </w:pPr>
    </w:p>
    <w:p>
      <w:pPr>
        <w:ind w:left="826" w:right="2979" w:hanging="368"/>
        <w:spacing w:after="0" w:line="249"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reports on Form 6-K with respect to our offering of 0.50% Convertible Senior Notes due 2024, filed on March 1, March 2 and March 5, 2004; and</w:t>
      </w:r>
    </w:p>
    <w:p>
      <w:pPr>
        <w:spacing w:after="0" w:line="175" w:lineRule="exact"/>
        <w:rPr>
          <w:rFonts w:ascii="Courier New" w:cs="Courier New" w:eastAsia="Courier New" w:hAnsi="Courier New"/>
          <w:sz w:val="15"/>
          <w:szCs w:val="15"/>
          <w:color w:val="auto"/>
        </w:rPr>
      </w:pPr>
    </w:p>
    <w:p>
      <w:pPr>
        <w:ind w:left="826" w:right="3179" w:hanging="368"/>
        <w:spacing w:after="0" w:line="249" w:lineRule="auto"/>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ordinary shares contained in our Registration Statement on Form 8-A filed on June 17, 1998 under Section 12 of the Exchange Act, including any amendment or report updating this description.</w:t>
      </w:r>
    </w:p>
    <w:p>
      <w:pPr>
        <w:spacing w:after="0" w:line="176" w:lineRule="exact"/>
        <w:rPr>
          <w:sz w:val="20"/>
          <w:szCs w:val="20"/>
          <w:color w:val="auto"/>
        </w:rPr>
      </w:pPr>
    </w:p>
    <w:p>
      <w:pPr>
        <w:ind w:left="6" w:right="2979" w:firstLine="824"/>
        <w:spacing w:after="0" w:line="248" w:lineRule="auto"/>
        <w:rPr>
          <w:sz w:val="20"/>
          <w:szCs w:val="20"/>
          <w:color w:val="auto"/>
        </w:rPr>
      </w:pPr>
      <w:r>
        <w:rPr>
          <w:rFonts w:ascii="Courier New" w:cs="Courier New" w:eastAsia="Courier New" w:hAnsi="Courier New"/>
          <w:sz w:val="15"/>
          <w:szCs w:val="15"/>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w:t>
      </w:r>
    </w:p>
    <w:p>
      <w:pPr>
        <w:spacing w:after="0" w:line="2" w:lineRule="exact"/>
        <w:rPr>
          <w:sz w:val="20"/>
          <w:szCs w:val="20"/>
          <w:color w:val="auto"/>
        </w:rPr>
      </w:pPr>
    </w:p>
    <w:p>
      <w:pPr>
        <w:ind w:left="6" w:right="2899" w:hanging="6"/>
        <w:spacing w:after="0" w:line="250" w:lineRule="auto"/>
        <w:tabs>
          <w:tab w:leader="none" w:pos="37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subsequently filed document that is incorporated by reference into this prospectus modifies or supersedes such statement.</w:t>
      </w:r>
    </w:p>
    <w:p>
      <w:pPr>
        <w:spacing w:after="0" w:line="175"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352" w:lineRule="exact"/>
        <w:rPr>
          <w:sz w:val="20"/>
          <w:szCs w:val="20"/>
          <w:color w:val="auto"/>
        </w:rPr>
      </w:pPr>
    </w:p>
    <w:p>
      <w:pPr>
        <w:ind w:left="2106"/>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left="6" w:right="2899" w:firstLine="824"/>
        <w:spacing w:after="0" w:line="249" w:lineRule="auto"/>
        <w:rPr>
          <w:sz w:val="20"/>
          <w:szCs w:val="20"/>
          <w:color w:val="auto"/>
        </w:rPr>
      </w:pPr>
      <w:r>
        <w:rPr>
          <w:rFonts w:ascii="Courier New" w:cs="Courier New" w:eastAsia="Courier New" w:hAnsi="Courier New"/>
          <w:sz w:val="15"/>
          <w:szCs w:val="15"/>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 Information on the operation of the Public Reference Room may be obtained by calling the SEC at 1-800-SEC-0330. Reports and information statements and other information filed electronically with the SEC are available at the SEC's website at http://www.sec.gov. Some of this information may also be found on our website at www.amdocs.com.</w:t>
      </w:r>
    </w:p>
    <w:p>
      <w:pPr>
        <w:spacing w:after="0" w:line="175" w:lineRule="exact"/>
        <w:rPr>
          <w:sz w:val="20"/>
          <w:szCs w:val="20"/>
          <w:color w:val="auto"/>
        </w:rPr>
      </w:pPr>
    </w:p>
    <w:p>
      <w:pPr>
        <w:ind w:left="6" w:right="2979" w:firstLine="824"/>
        <w:spacing w:after="0" w:line="249"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25"/>
          </w:cols>
          <w:pgMar w:left="234" w:top="999" w:right="1440" w:bottom="1440" w:gutter="0" w:footer="0" w:header="0"/>
        </w:sectPr>
      </w:pPr>
    </w:p>
    <w:bookmarkStart w:id="5" w:name="page6"/>
    <w:bookmarkEnd w:id="5"/>
    <w:p>
      <w:pPr>
        <w:ind w:left="2840"/>
        <w:spacing w:after="0"/>
        <w:rPr>
          <w:sz w:val="20"/>
          <w:szCs w:val="20"/>
          <w:color w:val="auto"/>
        </w:rPr>
      </w:pPr>
      <w:r>
        <w:rPr>
          <w:rFonts w:ascii="Courier New" w:cs="Courier New" w:eastAsia="Courier New" w:hAnsi="Courier New"/>
          <w:sz w:val="15"/>
          <w:szCs w:val="15"/>
          <w:color w:val="auto"/>
        </w:rPr>
        <w:t>PROSPECTUS SUMMARY</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This summary highlights important features of this offering and the information included or incorporated by reference in this prospectus. This summary does not contain all of the information that you should consider before investing in our ordinary shares. You should read the entire prospectus carefully, especially the risks of investing in our ordinary shares discussed under "Risk Factors."</w:t>
      </w:r>
    </w:p>
    <w:p>
      <w:pPr>
        <w:spacing w:after="0" w:line="17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Amdocs Limited</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market focus is primarily the communications industry, and we are a leading provider of software products and services to major communications companies in North America, Europe and the rest of the world. Our products and services provide an integrated approach to customer management, which we refer to as Integrated Customer Management. Our Integrated Customer Management product offerings consist primarily of billing and customer relationship management systems, which we refer to, collectively, as CC&amp;B Systems. Our portfolio also includes a full range of directory sales and publishing systems for publishers of both traditional printed yellow page and white page directories and electronic Internet directories.</w:t>
      </w:r>
    </w:p>
    <w:p>
      <w:pPr>
        <w:spacing w:after="0" w:line="175"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Our Integrated Customer Management systems are designed to meet the mission-critical needs of leading communications service providers, which include customer relationship management, order management, call rating, invoice calculation and preparation, bill formatting, collections, partner relationship management and directory publishing services. We support a wide range of communications services, including wireline, wireless, voice, data, broadband, content, electronic and mobile commerce and Internet Protocol based services. We also support companies that offer multiple service packages, commonly referred to as bundled or convergent services. Due to the complexity of our customers' projects and the expertise required for system support, we also provide extensive system implementation, integration, modification, ongoing support, enhancement and maintenance services. In addition, we offer Managed Services, which include a combination of services, such as system modernization and consolidation, management and operation of data centers, purchase and management of related hardware assets, billing operations and application support.</w:t>
      </w:r>
    </w:p>
    <w:p>
      <w:pPr>
        <w:spacing w:after="0" w:line="18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companies (such as Bell Canada, SBC, Telefonica and Deutsche Telekom) and wireless companies (such as Nextel, Cingular Wireless, Vodafone Group and T-Mobile).</w:t>
      </w:r>
    </w:p>
    <w:p>
      <w:pPr>
        <w:spacing w:after="0" w:line="175" w:lineRule="exact"/>
        <w:rPr>
          <w:sz w:val="20"/>
          <w:szCs w:val="20"/>
          <w:color w:val="auto"/>
        </w:rPr>
      </w:pPr>
    </w:p>
    <w:p>
      <w:pPr>
        <w:jc w:val="both"/>
        <w:ind w:right="3619" w:firstLine="824"/>
        <w:spacing w:after="0" w:line="249"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communications companies. We seek to accomplish our goal by pursuing the strategies described below.</w:t>
      </w:r>
    </w:p>
    <w:p>
      <w:pPr>
        <w:spacing w:after="0" w:line="176" w:lineRule="exact"/>
        <w:rPr>
          <w:sz w:val="20"/>
          <w:szCs w:val="20"/>
          <w:color w:val="auto"/>
        </w:rPr>
      </w:pPr>
    </w:p>
    <w:p>
      <w:pPr>
        <w:ind w:left="1280" w:right="2979" w:hanging="462"/>
        <w:spacing w:after="0" w:line="249" w:lineRule="auto"/>
        <w:tabs>
          <w:tab w:leader="none" w:pos="1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Communications Industry. We intend to continue to concentrate our main resources and efforts on providing strategic information systems to the communications industry. This strategy has enabled us to develop the specialized industry know-how and capability necessary to deliver the technologically advanced, large-scale, specifications-intensive information systems solutions required by the leading communications companies in the wireless, wireline and convergent service sectors.</w:t>
      </w:r>
    </w:p>
    <w:p>
      <w:pPr>
        <w:spacing w:after="0" w:line="175" w:lineRule="exact"/>
        <w:rPr>
          <w:rFonts w:ascii="Courier New" w:cs="Courier New" w:eastAsia="Courier New" w:hAnsi="Courier New"/>
          <w:sz w:val="15"/>
          <w:szCs w:val="15"/>
          <w:color w:val="auto"/>
        </w:rPr>
      </w:pPr>
    </w:p>
    <w:p>
      <w:pPr>
        <w:ind w:left="1280" w:right="3179" w:hanging="462"/>
        <w:spacing w:after="0" w:line="249" w:lineRule="auto"/>
        <w:tabs>
          <w:tab w:leader="none" w:pos="12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We intend to continue to direct our marketing efforts principally towards the major communications companies. Our customer base includes major communications companies in North America (including SBC, Verizon and Nextel), Europe (including Deutsche Telekom (Germany), BT (UK), Vodafone Group (UK) and Telefonica</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7" w:right="1440" w:bottom="1440" w:gutter="0" w:footer="0" w:header="0"/>
        </w:sectPr>
      </w:pPr>
    </w:p>
    <w:bookmarkStart w:id="6" w:name="page7"/>
    <w:bookmarkEnd w:id="6"/>
    <w:p>
      <w:pPr>
        <w:ind w:left="1280" w:right="3020"/>
        <w:spacing w:after="0" w:line="249" w:lineRule="auto"/>
        <w:rPr>
          <w:sz w:val="20"/>
          <w:szCs w:val="20"/>
          <w:color w:val="auto"/>
        </w:rPr>
      </w:pPr>
      <w:r>
        <w:rPr>
          <w:rFonts w:ascii="Courier New" w:cs="Courier New" w:eastAsia="Courier New" w:hAnsi="Courier New"/>
          <w:sz w:val="15"/>
          <w:szCs w:val="15"/>
          <w:color w:val="auto"/>
        </w:rPr>
        <w:t>(Spain)) and the Asia-Pacific region (Telstra (Australia)).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the forefront of developments in the industry.</w:t>
      </w:r>
    </w:p>
    <w:p>
      <w:pPr>
        <w:spacing w:after="0" w:line="175" w:lineRule="exact"/>
        <w:rPr>
          <w:sz w:val="20"/>
          <w:szCs w:val="20"/>
          <w:color w:val="auto"/>
        </w:rPr>
      </w:pPr>
    </w:p>
    <w:p>
      <w:pPr>
        <w:ind w:left="1280" w:right="2940" w:hanging="462"/>
        <w:spacing w:after="0" w:line="249" w:lineRule="auto"/>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 Integrated Products and Services Solutions. Our strategy is to provide customers with total systems solutions consisting of our Integrated Customer Management products and our specialized services. By leveraging our product and industry knowledge, we believe that we can provide effective system integration and implementation services as well as Managed Services to our customers.</w:t>
      </w:r>
    </w:p>
    <w:p>
      <w:pPr>
        <w:spacing w:after="0" w:line="175" w:lineRule="exact"/>
        <w:rPr>
          <w:rFonts w:ascii="Courier New" w:cs="Courier New" w:eastAsia="Courier New" w:hAnsi="Courier New"/>
          <w:sz w:val="15"/>
          <w:szCs w:val="15"/>
          <w:color w:val="auto"/>
        </w:rPr>
      </w:pPr>
    </w:p>
    <w:p>
      <w:pPr>
        <w:ind w:left="1280" w:right="2940" w:hanging="462"/>
        <w:spacing w:after="0" w:line="249" w:lineRule="auto"/>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Customers with a Broad, Integrated Suite of Products. We seek to provide our customers with a broad suite of products to meet all their Integrated Customer Management needs.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175" w:lineRule="exact"/>
        <w:rPr>
          <w:rFonts w:ascii="Courier New" w:cs="Courier New" w:eastAsia="Courier New" w:hAnsi="Courier New"/>
          <w:sz w:val="15"/>
          <w:szCs w:val="15"/>
          <w:color w:val="auto"/>
        </w:rPr>
      </w:pPr>
    </w:p>
    <w:p>
      <w:pPr>
        <w:ind w:left="1280" w:right="3020" w:hanging="462"/>
        <w:spacing w:after="0" w:line="249" w:lineRule="auto"/>
        <w:tabs>
          <w:tab w:leader="none" w:pos="12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175" w:lineRule="exact"/>
        <w:rPr>
          <w:sz w:val="20"/>
          <w:szCs w:val="20"/>
          <w:color w:val="auto"/>
        </w:rPr>
      </w:pPr>
    </w:p>
    <w:p>
      <w:pPr>
        <w:ind w:right="3020" w:firstLine="824"/>
        <w:spacing w:after="0" w:line="249" w:lineRule="auto"/>
        <w:rPr>
          <w:sz w:val="20"/>
          <w:szCs w:val="20"/>
          <w:color w:val="auto"/>
        </w:rPr>
      </w:pPr>
      <w:r>
        <w:rPr>
          <w:rFonts w:ascii="Courier New" w:cs="Courier New" w:eastAsia="Courier New" w:hAnsi="Courier New"/>
          <w:sz w:val="15"/>
          <w:szCs w:val="15"/>
          <w:color w:val="auto"/>
        </w:rPr>
        <w:t>On February 19, 2004, we acquired XACCT Technologies Ltd., or XACCT, a privately-held company organized under the laws of the State of Israel and a provider of mediation software to communications service providers. We acquired the outstanding capital stock of XACCT for a combination of cash and our ordinary shares. All of the ordinary shares covered by this prospectus were issued to shareholders of XACCT in connection with the acquisition.</w:t>
      </w:r>
    </w:p>
    <w:p>
      <w:pPr>
        <w:spacing w:after="0" w:line="17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right="2940" w:firstLine="824"/>
        <w:spacing w:after="0" w:line="249" w:lineRule="auto"/>
        <w:rPr>
          <w:sz w:val="20"/>
          <w:szCs w:val="20"/>
          <w:color w:val="auto"/>
        </w:rPr>
      </w:pPr>
      <w:r>
        <w:rPr>
          <w:rFonts w:ascii="Courier New" w:cs="Courier New" w:eastAsia="Courier New" w:hAnsi="Courier New"/>
          <w:sz w:val="15"/>
          <w:szCs w:val="15"/>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35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60"/>
          </w:cols>
          <w:pgMar w:left="240" w:top="647" w:right="139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offered by selling securityholders...........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Stock Exchange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560,777 ordinary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will not receive any proceeds from the sale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in this offering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5580" w:space="180"/>
            <w:col w:w="4500"/>
          </w:cols>
          <w:pgMar w:left="240" w:top="647" w:right="139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60"/>
          </w:cols>
          <w:pgMar w:left="240" w:top="647" w:right="1399" w:bottom="1440" w:gutter="0" w:footer="0" w:header="0"/>
          <w:type w:val="continuous"/>
        </w:sectPr>
      </w:pPr>
    </w:p>
    <w:bookmarkStart w:id="7" w:name="page8"/>
    <w:bookmarkEnd w:id="7"/>
    <w:p>
      <w:pPr>
        <w:ind w:left="1360"/>
        <w:spacing w:after="0"/>
        <w:rPr>
          <w:sz w:val="20"/>
          <w:szCs w:val="20"/>
          <w:color w:val="auto"/>
        </w:rPr>
      </w:pPr>
      <w:r>
        <w:rPr>
          <w:rFonts w:ascii="Courier New" w:cs="Courier New" w:eastAsia="Courier New" w:hAnsi="Courier New"/>
          <w:sz w:val="15"/>
          <w:szCs w:val="15"/>
          <w:color w:val="auto"/>
        </w:rPr>
        <w:t>SPECIAL NOTE REGARDING FORWARD-LOOKING INFORMATION</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187"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999" w:right="1440" w:bottom="1440" w:gutter="0" w:footer="0" w:header="0"/>
        </w:sectPr>
      </w:pPr>
    </w:p>
    <w:bookmarkStart w:id="8" w:name="page9"/>
    <w:bookmarkEnd w:id="8"/>
    <w:p>
      <w:pPr>
        <w:ind w:left="3100"/>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Investing in our ordinary shares involves a high degree of risk. You should carefully consider the following risk factors, in addition to the other information presented in this prospectus and the documents incorporated by reference in this prospectus, in evaluating our business and an investment in our ordinary shares. Any of the following risks, as well as other risks and uncertainties, could seriously harm our business and financial results and cause the value of our ordinary shares to decline, which in turn could cause you to lose all or part of your investment.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82" w:lineRule="exact"/>
        <w:rPr>
          <w:sz w:val="20"/>
          <w:szCs w:val="20"/>
          <w:color w:val="auto"/>
        </w:rPr>
      </w:pPr>
    </w:p>
    <w:p>
      <w:pPr>
        <w:ind w:right="3999" w:firstLine="366"/>
        <w:spacing w:after="0" w:line="250" w:lineRule="auto"/>
        <w:rPr>
          <w:sz w:val="20"/>
          <w:szCs w:val="20"/>
          <w:color w:val="auto"/>
        </w:rPr>
      </w:pPr>
      <w:r>
        <w:rPr>
          <w:rFonts w:ascii="Courier New" w:cs="Courier New" w:eastAsia="Courier New" w:hAnsi="Courier New"/>
          <w:sz w:val="15"/>
          <w:szCs w:val="15"/>
          <w:color w:val="auto"/>
        </w:rPr>
        <w:t>WE ARE EXPOSED TO GENERAL GLOBAL ECONOMIC AND MARKET CONDITIONS, PARTICULARLY THOSE IMPACTING THE COMMUNICATIONS INDUSTRY.</w:t>
      </w:r>
    </w:p>
    <w:p>
      <w:pPr>
        <w:spacing w:after="0" w:line="175"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The need for communications providers to control operating expenses and capital investment budgets has resulted in slowed customer buying decisions, as well as price pressures. Adverse conditions in the business environment for communications companies have had, and could continue to have, a negative impact on our business by reducing the number of new contracts we are able to sign and the size of initial spending commitments, as well as decreasing the level of discretionary spending under contracts with existing customers.</w:t>
      </w:r>
    </w:p>
    <w:p>
      <w:pPr>
        <w:spacing w:after="0" w:line="361" w:lineRule="exact"/>
        <w:rPr>
          <w:sz w:val="20"/>
          <w:szCs w:val="20"/>
          <w:color w:val="auto"/>
        </w:rPr>
      </w:pPr>
    </w:p>
    <w:p>
      <w:pPr>
        <w:ind w:right="3359" w:firstLine="366"/>
        <w:spacing w:after="0" w:line="250" w:lineRule="auto"/>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HARMED.</w:t>
      </w:r>
    </w:p>
    <w:p>
      <w:pPr>
        <w:spacing w:after="0" w:line="175"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75"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We believe that our ability to compete depends on a number of factors, including:</w:t>
      </w:r>
    </w:p>
    <w:p>
      <w:pPr>
        <w:spacing w:after="0" w:line="175" w:lineRule="exact"/>
        <w:rPr>
          <w:sz w:val="20"/>
          <w:szCs w:val="20"/>
          <w:color w:val="auto"/>
        </w:rPr>
      </w:pPr>
    </w:p>
    <w:p>
      <w:pPr>
        <w:ind w:left="1100" w:right="3079" w:hanging="282"/>
        <w:spacing w:after="0" w:line="250" w:lineRule="auto"/>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1100" w:hanging="28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82" w:lineRule="exact"/>
        <w:rPr>
          <w:rFonts w:ascii="Courier New" w:cs="Courier New" w:eastAsia="Courier New" w:hAnsi="Courier New"/>
          <w:sz w:val="15"/>
          <w:szCs w:val="15"/>
          <w:color w:val="auto"/>
        </w:rPr>
      </w:pPr>
    </w:p>
    <w:p>
      <w:pPr>
        <w:ind w:left="1100" w:hanging="282"/>
        <w:spacing w:after="0"/>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82" w:lineRule="exact"/>
        <w:rPr>
          <w:rFonts w:ascii="Courier New" w:cs="Courier New" w:eastAsia="Courier New" w:hAnsi="Courier New"/>
          <w:sz w:val="15"/>
          <w:szCs w:val="15"/>
          <w:color w:val="auto"/>
        </w:rPr>
      </w:pPr>
    </w:p>
    <w:p>
      <w:pPr>
        <w:ind w:left="1100" w:right="3359" w:hanging="282"/>
        <w:spacing w:after="0" w:line="250" w:lineRule="auto"/>
        <w:tabs>
          <w:tab w:leader="none" w:pos="11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5" w:lineRule="exact"/>
        <w:rPr>
          <w:sz w:val="20"/>
          <w:szCs w:val="20"/>
          <w:color w:val="auto"/>
        </w:rPr>
      </w:pPr>
    </w:p>
    <w:p>
      <w:pPr>
        <w:ind w:right="3539" w:firstLine="824"/>
        <w:spacing w:after="0" w:line="249" w:lineRule="auto"/>
        <w:rPr>
          <w:sz w:val="20"/>
          <w:szCs w:val="20"/>
          <w:color w:val="auto"/>
        </w:rPr>
      </w:pPr>
      <w:r>
        <w:rPr>
          <w:rFonts w:ascii="Courier New" w:cs="Courier New" w:eastAsia="Courier New" w:hAnsi="Courier New"/>
          <w:sz w:val="15"/>
          <w:szCs w:val="15"/>
          <w:color w:val="auto"/>
        </w:rPr>
        <w:t>We compete with a number of companies that have long operating histories, large customer bases, substantial financial, technical, sales, marketing and other resources, and strong name recognition.</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99" w:right="1440" w:bottom="1440" w:gutter="0" w:footer="0" w:header="0"/>
        </w:sectPr>
      </w:pPr>
    </w:p>
    <w:bookmarkStart w:id="9" w:name="page10"/>
    <w:bookmarkEnd w:id="9"/>
    <w:p>
      <w:pPr>
        <w:ind w:right="2899"/>
        <w:spacing w:after="0" w:line="248" w:lineRule="auto"/>
        <w:rPr>
          <w:sz w:val="20"/>
          <w:szCs w:val="20"/>
          <w:color w:val="auto"/>
        </w:rPr>
      </w:pPr>
      <w:r>
        <w:rPr>
          <w:rFonts w:ascii="Courier New" w:cs="Courier New" w:eastAsia="Courier New" w:hAnsi="Courier New"/>
          <w:sz w:val="15"/>
          <w:szCs w:val="15"/>
          <w:color w:val="auto"/>
        </w:rPr>
        <w:t>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36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351" w:lineRule="exact"/>
        <w:rPr>
          <w:sz w:val="20"/>
          <w:szCs w:val="20"/>
          <w:color w:val="auto"/>
        </w:rPr>
      </w:pPr>
    </w:p>
    <w:p>
      <w:pPr>
        <w:ind w:left="360" w:right="2899"/>
        <w:spacing w:after="0" w:line="249" w:lineRule="auto"/>
        <w:rPr>
          <w:sz w:val="20"/>
          <w:szCs w:val="20"/>
          <w:color w:val="auto"/>
        </w:rPr>
      </w:pPr>
      <w:r>
        <w:rPr>
          <w:rFonts w:ascii="Courier New" w:cs="Courier New" w:eastAsia="Courier New" w:hAnsi="Courier New"/>
          <w:sz w:val="15"/>
          <w:szCs w:val="15"/>
          <w:color w:val="auto"/>
        </w:rPr>
        <w:t>WE MAY SEEK TO ACQUIRE COMPANIES OR TECHNOLOGIES, WHICH COULD DISRUPT OUR ONGOING BUSINESS, DISTRACT OUR MANAGEMENT AND EMPLOYEES AND ADVERSELY AFFECT OUR RESULTS OF OPERATIONS.</w:t>
      </w:r>
    </w:p>
    <w:p>
      <w:pPr>
        <w:spacing w:after="0" w:line="176" w:lineRule="exact"/>
        <w:rPr>
          <w:sz w:val="20"/>
          <w:szCs w:val="20"/>
          <w:color w:val="auto"/>
        </w:rPr>
      </w:pPr>
    </w:p>
    <w:p>
      <w:pPr>
        <w:ind w:right="2979" w:firstLine="824"/>
        <w:spacing w:after="0" w:line="248" w:lineRule="auto"/>
        <w:rPr>
          <w:sz w:val="20"/>
          <w:szCs w:val="20"/>
          <w:color w:val="auto"/>
        </w:rPr>
      </w:pPr>
      <w:r>
        <w:rPr>
          <w:rFonts w:ascii="Courier New" w:cs="Courier New" w:eastAsia="Courier New" w:hAnsi="Courier New"/>
          <w:sz w:val="15"/>
          <w:szCs w:val="15"/>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360" w:lineRule="exact"/>
        <w:rPr>
          <w:sz w:val="20"/>
          <w:szCs w:val="20"/>
          <w:color w:val="auto"/>
        </w:rPr>
      </w:pPr>
    </w:p>
    <w:p>
      <w:pPr>
        <w:ind w:left="360" w:right="3719"/>
        <w:spacing w:after="0" w:line="250"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Our three largest groups of customers are comprised of Bell Canada, Nextel Communications, Inc. ("Nextel") and SBC Communications Inc. ("SBC") and certain of their subsidiaries, each of which accounted for more than 10% of our revenue in fiscal 2003. Aggregate revenue derived from the multiple business arrangements we have with our five largest customer groups accounted for approximately 55% of our revenue in fiscal 2003. SBC has historically been one of our largest shareholders, and, as of February 29, 2004, it beneficially owned approximately 9.6% of our outstanding ordinary shares. The loss of any significant customer or a significant decrease in business from any such customer could harm our results of operations and financial condition.</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47" w:right="1440" w:bottom="1440" w:gutter="0" w:footer="0" w:header="0"/>
        </w:sectPr>
      </w:pPr>
    </w:p>
    <w:bookmarkStart w:id="10" w:name="page11"/>
    <w:bookmarkEnd w:id="10"/>
    <w:p>
      <w:pPr>
        <w:ind w:left="360" w:right="3819"/>
        <w:spacing w:after="0" w:line="250" w:lineRule="auto"/>
        <w:rPr>
          <w:sz w:val="20"/>
          <w:szCs w:val="20"/>
          <w:color w:val="auto"/>
        </w:rPr>
      </w:pPr>
      <w:r>
        <w:rPr>
          <w:rFonts w:ascii="Courier New" w:cs="Courier New" w:eastAsia="Courier New" w:hAnsi="Courier New"/>
          <w:sz w:val="15"/>
          <w:szCs w:val="15"/>
          <w:color w:val="auto"/>
        </w:rPr>
        <w:t>OUR FUTURE SUCCESS WILL DEPEND ON OUR ABILITY TO DEVELOP LONG-TERM RELATIONSHIPS WITH OUR CUSTOMERS.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351" w:lineRule="exact"/>
        <w:rPr>
          <w:sz w:val="20"/>
          <w:szCs w:val="20"/>
          <w:color w:val="auto"/>
        </w:rPr>
      </w:pPr>
    </w:p>
    <w:p>
      <w:pPr>
        <w:ind w:left="360" w:right="3079"/>
        <w:spacing w:after="0" w:line="250" w:lineRule="auto"/>
        <w:rPr>
          <w:sz w:val="20"/>
          <w:szCs w:val="20"/>
          <w:color w:val="auto"/>
        </w:rPr>
      </w:pPr>
      <w:r>
        <w:rPr>
          <w:rFonts w:ascii="Courier New" w:cs="Courier New" w:eastAsia="Courier New" w:hAnsi="Courier New"/>
          <w:sz w:val="15"/>
          <w:szCs w:val="15"/>
          <w:color w:val="auto"/>
        </w:rPr>
        <w:t>WE MAY BE EXPOSED TO THE CREDIT RISK OF CUSTOMERS THAT HAVE BEEN ADVERSELY AFFECTED BY WEAKENED MARKETS.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352" w:lineRule="exact"/>
        <w:rPr>
          <w:sz w:val="20"/>
          <w:szCs w:val="20"/>
          <w:color w:val="auto"/>
        </w:rPr>
      </w:pPr>
    </w:p>
    <w:p>
      <w:pPr>
        <w:ind w:left="360" w:right="2979"/>
        <w:spacing w:after="0" w:line="250" w:lineRule="auto"/>
        <w:rPr>
          <w:sz w:val="20"/>
          <w:szCs w:val="20"/>
          <w:color w:val="auto"/>
        </w:rPr>
      </w:pPr>
      <w:r>
        <w:rPr>
          <w:rFonts w:ascii="Courier New" w:cs="Courier New" w:eastAsia="Courier New" w:hAnsi="Courier New"/>
          <w:sz w:val="15"/>
          <w:szCs w:val="15"/>
          <w:color w:val="auto"/>
        </w:rPr>
        <w:t>THE SKILLED AND HIGHLY QUALIFIED EMPLOYEES THAT WE NEED MAY BE DIFFICULT TO HIRE AND RETAIN.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We continually need to hire sales, support, technical and other personnel. We may face difficulties identifying and hiring qualified personnel and may be unable to retain employees with the skills and experience that we require. Our inability to hire and retain the appropriate personnel could make it difficult for us to manage our operations and to compete for new customer contracts.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success will also depend, to a certain extent, upon the continued active participation of a relatively small group of senior management personnel. The loss of the services of all or some of these executives could harm our business.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82" w:lineRule="exact"/>
        <w:rPr>
          <w:sz w:val="20"/>
          <w:szCs w:val="20"/>
          <w:color w:val="auto"/>
        </w:rPr>
      </w:pPr>
    </w:p>
    <w:p>
      <w:pPr>
        <w:jc w:val="both"/>
        <w:ind w:right="2899" w:firstLine="824"/>
        <w:spacing w:after="0" w:line="249"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movement may continue and could intensify. Fluctuations may result from many factors, including:</w:t>
      </w:r>
    </w:p>
    <w:p>
      <w:pPr>
        <w:spacing w:after="0" w:line="176" w:lineRule="exact"/>
        <w:rPr>
          <w:sz w:val="20"/>
          <w:szCs w:val="20"/>
          <w:color w:val="auto"/>
        </w:rPr>
      </w:pPr>
    </w:p>
    <w:p>
      <w:pPr>
        <w:ind w:left="1280" w:right="3079" w:hanging="462"/>
        <w:spacing w:after="0" w:line="250" w:lineRule="auto"/>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or cancellations of significant projects by customers,</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 fluctuations, and</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conditions.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modification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47" w:right="1440" w:bottom="1440" w:gutter="0" w:footer="0" w:header="0"/>
        </w:sectPr>
      </w:pPr>
    </w:p>
    <w:bookmarkStart w:id="11" w:name="page12"/>
    <w:bookmarkEnd w:id="11"/>
    <w:p>
      <w:pPr>
        <w:ind w:right="2899" w:firstLine="824"/>
        <w:spacing w:after="0" w:line="249"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w:t>
      </w:r>
    </w:p>
    <w:p>
      <w:pPr>
        <w:spacing w:after="0" w:line="200" w:lineRule="exact"/>
        <w:rPr>
          <w:sz w:val="20"/>
          <w:szCs w:val="20"/>
          <w:color w:val="auto"/>
        </w:rPr>
      </w:pPr>
    </w:p>
    <w:p>
      <w:pPr>
        <w:spacing w:after="0" w:line="32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OUR BUSINESS IS IMPACTED BY THE LENGTH OF OUR SALES CYCLE.</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the future. In addition, the lengthening of our sales cycle contributes to an increased cost of sales, thereby reducing our profitability.</w:t>
      </w:r>
    </w:p>
    <w:p>
      <w:pPr>
        <w:spacing w:after="0" w:line="200" w:lineRule="exact"/>
        <w:rPr>
          <w:sz w:val="20"/>
          <w:szCs w:val="20"/>
          <w:color w:val="auto"/>
        </w:rPr>
      </w:pPr>
    </w:p>
    <w:p>
      <w:pPr>
        <w:spacing w:after="0" w:line="327" w:lineRule="exact"/>
        <w:rPr>
          <w:sz w:val="20"/>
          <w:szCs w:val="20"/>
          <w:color w:val="auto"/>
        </w:rPr>
      </w:pPr>
    </w:p>
    <w:p>
      <w:pPr>
        <w:ind w:left="360" w:right="3619"/>
        <w:spacing w:after="0" w:line="250" w:lineRule="auto"/>
        <w:rPr>
          <w:sz w:val="20"/>
          <w:szCs w:val="20"/>
          <w:color w:val="auto"/>
        </w:rPr>
      </w:pPr>
      <w:r>
        <w:rPr>
          <w:rFonts w:ascii="Courier New" w:cs="Courier New" w:eastAsia="Courier New" w:hAnsi="Courier New"/>
          <w:sz w:val="15"/>
          <w:szCs w:val="15"/>
          <w:color w:val="auto"/>
        </w:rPr>
        <w:t>IF THE MARKET FOR OUR PRODUCTS DETERIORATES, WE MAY INCUR ADDITIONAL RESTRUCTURING CHARGES.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 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351" w:lineRule="exact"/>
        <w:rPr>
          <w:sz w:val="20"/>
          <w:szCs w:val="20"/>
          <w:color w:val="auto"/>
        </w:rPr>
      </w:pPr>
    </w:p>
    <w:p>
      <w:pPr>
        <w:ind w:left="360" w:right="3539"/>
        <w:spacing w:after="0" w:line="250" w:lineRule="auto"/>
        <w:rPr>
          <w:sz w:val="20"/>
          <w:szCs w:val="20"/>
          <w:color w:val="auto"/>
        </w:rPr>
      </w:pPr>
      <w:r>
        <w:rPr>
          <w:rFonts w:ascii="Courier New" w:cs="Courier New" w:eastAsia="Courier New" w:hAnsi="Courier New"/>
          <w:sz w:val="15"/>
          <w:szCs w:val="15"/>
          <w:color w:val="auto"/>
        </w:rPr>
        <w:t>IF WE FAIL TO SUCCESSFULLY PLAN AND MANAGE CHANGES IN THE SIZE OF OUR OPERATIONS OUR BUSINESS WILL SUFFER.</w:t>
      </w:r>
    </w:p>
    <w:p>
      <w:pPr>
        <w:spacing w:after="0" w:line="175"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Over the last several years, we have both grown and contracted our operations in order to profitably offer our products and services in a rapidly changing market. If we are unable to manage these changes and plan and manage any future changes in the size and scope of our operations, our business will suffer.</w:t>
      </w:r>
    </w:p>
    <w:p>
      <w:pPr>
        <w:spacing w:after="0" w:line="176"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Our restructurings and cost reduction measures reduced the size of our operations. On February 29, 2004, we employed approximately 9,000 individuals in software and information technology positions, compared to approximately 7,800 on January 31, 2003 and 9,100 on November 30, 2001. Our software and information technology workforce increased in the fourth quarter of fiscal 2003 and first quarter of fiscal 2004, primarily as a result of the Certen acquisition in July 2003 and a Managed Services agreement signed in January 2003. During periods of contraction, we disposed of office space and related obligations in an effort to keep pace with the changing size of our operations. Our recent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12" w:name="page13"/>
    <w:bookmarkEnd w:id="12"/>
    <w:p>
      <w:pPr>
        <w:ind w:left="36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We are affected by risks associated with conducting business internationally. We maintain development facilities in Israel, the United States, Cyprus, Ireland and Canada, operate a support center in Brazil and have operations in North America, Europe, Latin America and the Asia-Pacific region.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75" w:lineRule="exact"/>
        <w:rPr>
          <w:sz w:val="20"/>
          <w:szCs w:val="20"/>
          <w:color w:val="auto"/>
        </w:rPr>
      </w:pPr>
    </w:p>
    <w:p>
      <w:pPr>
        <w:ind w:left="1280" w:hanging="462"/>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82" w:lineRule="exact"/>
        <w:rPr>
          <w:rFonts w:ascii="Courier New" w:cs="Courier New" w:eastAsia="Courier New" w:hAnsi="Courier New"/>
          <w:sz w:val="15"/>
          <w:szCs w:val="15"/>
          <w:color w:val="auto"/>
        </w:rPr>
      </w:pPr>
    </w:p>
    <w:p>
      <w:pPr>
        <w:ind w:left="1280" w:right="3259" w:hanging="462"/>
        <w:spacing w:after="0" w:line="250" w:lineRule="auto"/>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82" w:lineRule="exact"/>
        <w:rPr>
          <w:rFonts w:ascii="Courier New" w:cs="Courier New" w:eastAsia="Courier New" w:hAnsi="Courier New"/>
          <w:sz w:val="15"/>
          <w:szCs w:val="15"/>
          <w:color w:val="auto"/>
        </w:rPr>
      </w:pPr>
    </w:p>
    <w:p>
      <w:pPr>
        <w:ind w:left="1280" w:right="3439" w:hanging="462"/>
        <w:spacing w:after="0" w:line="250" w:lineRule="auto"/>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82" w:lineRule="exact"/>
        <w:rPr>
          <w:rFonts w:ascii="Courier New" w:cs="Courier New" w:eastAsia="Courier New" w:hAnsi="Courier New"/>
          <w:sz w:val="15"/>
          <w:szCs w:val="15"/>
          <w:color w:val="auto"/>
        </w:rPr>
      </w:pPr>
    </w:p>
    <w:p>
      <w:pPr>
        <w:ind w:left="1280" w:right="2979" w:hanging="462"/>
        <w:spacing w:after="0" w:line="250" w:lineRule="auto"/>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5" w:lineRule="exact"/>
        <w:rPr>
          <w:sz w:val="20"/>
          <w:szCs w:val="20"/>
          <w:color w:val="auto"/>
        </w:rPr>
      </w:pPr>
    </w:p>
    <w:p>
      <w:pPr>
        <w:jc w:val="both"/>
        <w:ind w:right="3179" w:firstLine="824"/>
        <w:spacing w:after="0" w:line="249" w:lineRule="auto"/>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 which could harm our results of operations and financial condition.</w:t>
      </w:r>
    </w:p>
    <w:p>
      <w:pPr>
        <w:spacing w:after="0" w:line="352"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POLITICAL AND ECONOMIC CONDITIONS IN THE MIDDLE EAST MAY ADVERSELY AFFECT OUR BUSINESS.</w:t>
      </w:r>
    </w:p>
    <w:p>
      <w:pPr>
        <w:spacing w:after="0" w:line="175"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Of the five development centers we maintain worldwide, our largest development center is located in five different sites throughout Israel. Approximately half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184"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While Israel has entered into peace agreements with both Egypt and Jordan, Israel has not entered into peace arrangements with any other neighboring countries. Over the past three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After intensive discussions facilitated by the United Nations, the European Union and the United States, the Greek and Turkish communities recently agreed on a timetable calling for the parties to negotiate and agree on a</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13" w:name="page14"/>
    <w:bookmarkEnd w:id="13"/>
    <w:p>
      <w:pPr>
        <w:ind w:right="2899"/>
        <w:spacing w:after="0" w:line="249" w:lineRule="auto"/>
        <w:rPr>
          <w:sz w:val="20"/>
          <w:szCs w:val="20"/>
          <w:color w:val="auto"/>
        </w:rPr>
      </w:pPr>
      <w:r>
        <w:rPr>
          <w:rFonts w:ascii="Courier New" w:cs="Courier New" w:eastAsia="Courier New" w:hAnsi="Courier New"/>
          <w:sz w:val="15"/>
          <w:szCs w:val="15"/>
          <w:color w:val="auto"/>
        </w:rPr>
        <w:t>plan of reunification prior to the entry of Cyprus to the European Union. Cyprus is scheduled to join the European Union on May 1, 2004. Any major hostilities between Cyprus and Turkey or the failure of the parties to finalize a peaceful resolution may have a material adverse effect on our development facility in Cyprus.</w:t>
      </w:r>
    </w:p>
    <w:p>
      <w:pPr>
        <w:spacing w:after="0" w:line="352" w:lineRule="exact"/>
        <w:rPr>
          <w:sz w:val="20"/>
          <w:szCs w:val="20"/>
          <w:color w:val="auto"/>
        </w:rPr>
      </w:pPr>
    </w:p>
    <w:p>
      <w:pPr>
        <w:ind w:left="360" w:right="3079"/>
        <w:spacing w:after="0" w:line="250" w:lineRule="auto"/>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 significant portion of our operating costs is incurred outside the United States.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addition, a portion of our revenue (approximately 20% in fiscal 2003 and 30% in the first quarter of fiscal 2004) is not earned in dollars or linked to the dollar, and, therefore, fluctuations in exchange rates between the currencies in which such revenue is earned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76" w:lineRule="exact"/>
        <w:rPr>
          <w:sz w:val="20"/>
          <w:szCs w:val="20"/>
          <w:color w:val="auto"/>
        </w:rPr>
      </w:pPr>
    </w:p>
    <w:p>
      <w:pPr>
        <w:jc w:val="both"/>
        <w:ind w:right="3079" w:firstLine="824"/>
        <w:spacing w:after="0" w:line="249"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175" w:lineRule="exact"/>
        <w:rPr>
          <w:sz w:val="20"/>
          <w:szCs w:val="20"/>
          <w:color w:val="auto"/>
        </w:rPr>
      </w:pPr>
    </w:p>
    <w:p>
      <w:pPr>
        <w:jc w:val="both"/>
        <w:ind w:right="3079" w:firstLine="824"/>
        <w:spacing w:after="0" w:line="249"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protracted and expensive and could involve a high degree of risk.</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14" w:name="page15"/>
    <w:bookmarkEnd w:id="14"/>
    <w:p>
      <w:pPr>
        <w:ind w:left="360" w:right="3179"/>
        <w:spacing w:after="0" w:line="250" w:lineRule="auto"/>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5"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184"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35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361" w:lineRule="exact"/>
        <w:rPr>
          <w:sz w:val="20"/>
          <w:szCs w:val="20"/>
          <w:color w:val="auto"/>
        </w:rPr>
      </w:pPr>
    </w:p>
    <w:p>
      <w:pPr>
        <w:jc w:val="both"/>
        <w:ind w:left="360" w:right="3359"/>
        <w:spacing w:after="0" w:line="249" w:lineRule="auto"/>
        <w:rPr>
          <w:sz w:val="20"/>
          <w:szCs w:val="20"/>
          <w:color w:val="auto"/>
        </w:rPr>
      </w:pPr>
      <w:r>
        <w:rPr>
          <w:rFonts w:ascii="Courier New" w:cs="Courier New" w:eastAsia="Courier New" w:hAnsi="Courier New"/>
          <w:sz w:val="15"/>
          <w:szCs w:val="15"/>
          <w:color w:val="auto"/>
        </w:rPr>
        <w:t>SYSTEM DISRUPTIONS AND FAILURES MAY RESULT IN CUSTOMER DISSATISFACTION, CUSTOMER LOSS OR BOTH, WHICH COULD MATERIALLY AND ADVERSELY AFFECT OUR REPUTATION AND BUSINESS.</w:t>
      </w:r>
    </w:p>
    <w:p>
      <w:pPr>
        <w:spacing w:after="0" w:line="17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Our Integrated Customer Management systems are an integral part of our customers' business operations. The continued and uninterrupted performance of these systems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Managed Services include a combination of services, such as system modernization and consolidation, management and operation of data centers, purchase and management of related hardware assets, billing operations and application support. 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5" w:name="page16"/>
    <w:bookmarkEnd w:id="15"/>
    <w:p>
      <w:pPr>
        <w:ind w:right="2979"/>
        <w:spacing w:after="0" w:line="250" w:lineRule="auto"/>
        <w:rPr>
          <w:sz w:val="20"/>
          <w:szCs w:val="20"/>
          <w:color w:val="auto"/>
        </w:rPr>
      </w:pPr>
      <w:r>
        <w:rPr>
          <w:rFonts w:ascii="Courier New" w:cs="Courier New" w:eastAsia="Courier New" w:hAnsi="Courier New"/>
          <w:sz w:val="15"/>
          <w:szCs w:val="15"/>
          <w:color w:val="auto"/>
        </w:rPr>
        <w:t>enough business interruption insurance to compensate for any significant losses that may occur as a result of any of these events.</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352" w:lineRule="exact"/>
        <w:rPr>
          <w:sz w:val="20"/>
          <w:szCs w:val="20"/>
          <w:color w:val="auto"/>
        </w:rPr>
      </w:pPr>
    </w:p>
    <w:p>
      <w:pPr>
        <w:ind w:left="360" w:right="2899"/>
        <w:spacing w:after="0" w:line="250" w:lineRule="auto"/>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have benefited or currently benefit from a variety of government programs and tax benefits, including programs and benefits in Israel, Cyprus and Ireland. Generally, these programs contain conditions that we must meet in order to be eligible to obtain any benefit.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5" w:lineRule="exact"/>
        <w:rPr>
          <w:sz w:val="20"/>
          <w:szCs w:val="20"/>
          <w:color w:val="auto"/>
        </w:rPr>
      </w:pPr>
    </w:p>
    <w:p>
      <w:pPr>
        <w:ind w:right="3539" w:firstLine="824"/>
        <w:spacing w:after="0" w:line="250" w:lineRule="auto"/>
        <w:rPr>
          <w:sz w:val="20"/>
          <w:szCs w:val="20"/>
          <w:color w:val="auto"/>
        </w:rPr>
      </w:pPr>
      <w:r>
        <w:rPr>
          <w:rFonts w:ascii="Courier New" w:cs="Courier New" w:eastAsia="Courier New" w:hAnsi="Courier New"/>
          <w:sz w:val="15"/>
          <w:szCs w:val="15"/>
          <w:color w:val="auto"/>
        </w:rPr>
        <w:t>Any of the following could have a material effect on our overall effective tax rate:</w:t>
      </w:r>
    </w:p>
    <w:p>
      <w:pPr>
        <w:spacing w:after="0" w:line="175" w:lineRule="exact"/>
        <w:rPr>
          <w:sz w:val="20"/>
          <w:szCs w:val="20"/>
          <w:color w:val="auto"/>
        </w:rPr>
      </w:pPr>
    </w:p>
    <w:p>
      <w:pPr>
        <w:ind w:left="1280" w:hanging="462"/>
        <w:spacing w:after="0"/>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82" w:lineRule="exact"/>
        <w:rPr>
          <w:rFonts w:ascii="Courier New" w:cs="Courier New" w:eastAsia="Courier New" w:hAnsi="Courier New"/>
          <w:sz w:val="15"/>
          <w:szCs w:val="15"/>
          <w:color w:val="auto"/>
        </w:rPr>
      </w:pPr>
    </w:p>
    <w:p>
      <w:pPr>
        <w:ind w:left="1280" w:right="3539" w:hanging="462"/>
        <w:spacing w:after="0" w:line="250" w:lineRule="auto"/>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4" w:lineRule="exact"/>
        <w:rPr>
          <w:rFonts w:ascii="Courier New" w:cs="Courier New" w:eastAsia="Courier New" w:hAnsi="Courier New"/>
          <w:sz w:val="15"/>
          <w:szCs w:val="15"/>
          <w:color w:val="auto"/>
        </w:rPr>
      </w:pPr>
    </w:p>
    <w:p>
      <w:pPr>
        <w:ind w:left="1280" w:right="3539" w:hanging="462"/>
        <w:spacing w:after="0" w:line="250" w:lineRule="auto"/>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w:t>
      </w:r>
    </w:p>
    <w:p>
      <w:pPr>
        <w:spacing w:after="0" w:line="174" w:lineRule="exact"/>
        <w:rPr>
          <w:rFonts w:ascii="Courier New" w:cs="Courier New" w:eastAsia="Courier New" w:hAnsi="Courier New"/>
          <w:sz w:val="15"/>
          <w:szCs w:val="15"/>
          <w:color w:val="auto"/>
        </w:rPr>
      </w:pPr>
    </w:p>
    <w:p>
      <w:pPr>
        <w:jc w:val="both"/>
        <w:ind w:left="1280" w:right="2899" w:hanging="462"/>
        <w:spacing w:after="0" w:line="249" w:lineRule="auto"/>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w:t>
      </w:r>
    </w:p>
    <w:p>
      <w:pPr>
        <w:spacing w:after="0" w:line="175" w:lineRule="exact"/>
        <w:rPr>
          <w:rFonts w:ascii="Courier New" w:cs="Courier New" w:eastAsia="Courier New" w:hAnsi="Courier New"/>
          <w:sz w:val="15"/>
          <w:szCs w:val="15"/>
          <w:color w:val="auto"/>
        </w:rPr>
      </w:pPr>
    </w:p>
    <w:p>
      <w:pPr>
        <w:ind w:left="1280" w:right="2899" w:hanging="462"/>
        <w:spacing w:after="0" w:line="250" w:lineRule="auto"/>
        <w:tabs>
          <w:tab w:leader="none" w:pos="12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refund previously recognized tax benefits if we are found to be in violation of the stipulated conditions.</w:t>
      </w:r>
    </w:p>
    <w:p>
      <w:pPr>
        <w:spacing w:after="0" w:line="351" w:lineRule="exact"/>
        <w:rPr>
          <w:sz w:val="20"/>
          <w:szCs w:val="20"/>
          <w:color w:val="auto"/>
        </w:rPr>
      </w:pPr>
    </w:p>
    <w:p>
      <w:pPr>
        <w:ind w:left="360" w:right="2979"/>
        <w:spacing w:after="0" w:line="249" w:lineRule="auto"/>
        <w:rPr>
          <w:sz w:val="20"/>
          <w:szCs w:val="20"/>
          <w:color w:val="auto"/>
        </w:rPr>
      </w:pPr>
      <w:r>
        <w:rPr>
          <w:rFonts w:ascii="Courier New" w:cs="Courier New" w:eastAsia="Courier New" w:hAnsi="Courier New"/>
          <w:sz w:val="15"/>
          <w:szCs w:val="15"/>
          <w:color w:val="auto"/>
        </w:rPr>
        <w:t>WE ARE CURRENTLY A PARTY TO SECURITIES LITIGATION CLASS ACTION LAWSUITS AND A SECURITIES EXCHANGE COMMISSION INVESTIGATION, WHICH COULD NEGATIVELY AFFECT OUR BUSINESS AND RESULTS OF OPERATIONS.</w:t>
      </w:r>
    </w:p>
    <w:p>
      <w:pPr>
        <w:spacing w:after="0" w:line="176"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Beginning in June 2002, a number of complaints were filed by holders of our ordinary shares against Amdocs and certain of our officers and directors in the United States District Court for the Eastern District of Missouri and the Southern District of New York. The cases were transferred to and consolidated in the Eastern District of Missouri. The consolidated amended complaint filed in the action alleged that Amdocs and the individual defendants had made false or misleading statements about our business and future prospects during a putative class period between July 18, 2000 and June 20, 2002. On December 1, 2003, the court issued an order granting our motion to dismiss the securities class action lawsuits and directing that judgment be entered in favor of the defendants. On December 29, 2003, the lead plaintiffs appealed to the United States Court of Appeals for the Eighth Circuit from the final judgment entered on December 1, 2003. The litigation has been, and may continue to be, time-consuming and costly and could divert the attention of our management personnel. These lawsuits or any future lawsuits filed against us could harm our business.</w:t>
      </w:r>
    </w:p>
    <w:p>
      <w:pPr>
        <w:spacing w:after="0" w:line="18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addition, we have been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RISKS RELATED TO OUR CAPITAL STRUCTURE</w:t>
      </w:r>
    </w:p>
    <w:p>
      <w:pPr>
        <w:spacing w:after="0" w:line="182" w:lineRule="exact"/>
        <w:rPr>
          <w:sz w:val="20"/>
          <w:szCs w:val="20"/>
          <w:color w:val="auto"/>
        </w:rPr>
      </w:pPr>
    </w:p>
    <w:p>
      <w:pPr>
        <w:ind w:left="360" w:right="3179"/>
        <w:spacing w:after="0" w:line="250" w:lineRule="auto"/>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During fiscal year 2003, our ordinary shares traded as high as $27.25 per share and as low as $5.85 per share. Our ordinary shares traded as high as $39.25 per share and as low as $6.10 per share in fiscal 2002 and as high as $80.50 per share and as low as $25.85 per share in fiscal 2001. As of March 29, 2004, the closing price of our ordinary shares was $27.49 per share. Many factors could cause the market price of our ordinary shares to rise and fall, including:</w:t>
      </w:r>
    </w:p>
    <w:p>
      <w:pPr>
        <w:spacing w:after="0" w:line="175" w:lineRule="exact"/>
        <w:rPr>
          <w:sz w:val="20"/>
          <w:szCs w:val="20"/>
          <w:color w:val="auto"/>
        </w:rPr>
      </w:pPr>
    </w:p>
    <w:p>
      <w:pPr>
        <w:ind w:left="1280" w:hanging="462"/>
        <w:spacing w:after="0"/>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82" w:lineRule="exact"/>
        <w:rPr>
          <w:rFonts w:ascii="Courier New" w:cs="Courier New" w:eastAsia="Courier New" w:hAnsi="Courier New"/>
          <w:sz w:val="15"/>
          <w:szCs w:val="15"/>
          <w:color w:val="auto"/>
        </w:rPr>
      </w:pPr>
    </w:p>
    <w:p>
      <w:pPr>
        <w:ind w:left="1280" w:right="3899" w:hanging="462"/>
        <w:spacing w:after="0" w:line="250" w:lineRule="auto"/>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4" w:lineRule="exact"/>
        <w:rPr>
          <w:rFonts w:ascii="Courier New" w:cs="Courier New" w:eastAsia="Courier New" w:hAnsi="Courier New"/>
          <w:sz w:val="15"/>
          <w:szCs w:val="15"/>
          <w:color w:val="auto"/>
        </w:rPr>
      </w:pPr>
    </w:p>
    <w:p>
      <w:pPr>
        <w:ind w:left="1280" w:right="2899" w:hanging="462"/>
        <w:spacing w:after="0" w:line="250" w:lineRule="auto"/>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introductions of new products or new pricing policies by us or our competitors,</w:t>
      </w:r>
    </w:p>
    <w:p>
      <w:pPr>
        <w:spacing w:after="0" w:line="174"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communications or software industries,</w:t>
      </w:r>
    </w:p>
    <w:p>
      <w:pPr>
        <w:spacing w:after="0" w:line="182" w:lineRule="exact"/>
        <w:rPr>
          <w:rFonts w:ascii="Courier New" w:cs="Courier New" w:eastAsia="Courier New" w:hAnsi="Courier New"/>
          <w:sz w:val="15"/>
          <w:szCs w:val="15"/>
          <w:color w:val="auto"/>
        </w:rPr>
      </w:pPr>
    </w:p>
    <w:p>
      <w:pPr>
        <w:ind w:left="1280" w:right="3619" w:hanging="462"/>
        <w:spacing w:after="0" w:line="250" w:lineRule="auto"/>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4" w:lineRule="exact"/>
        <w:rPr>
          <w:rFonts w:ascii="Courier New" w:cs="Courier New" w:eastAsia="Courier New" w:hAnsi="Courier New"/>
          <w:sz w:val="15"/>
          <w:szCs w:val="15"/>
          <w:color w:val="auto"/>
        </w:rPr>
      </w:pPr>
    </w:p>
    <w:p>
      <w:pPr>
        <w:ind w:left="1280" w:right="3359" w:hanging="462"/>
        <w:spacing w:after="0" w:line="250" w:lineRule="auto"/>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developments in the Middle East.</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352" w:lineRule="exact"/>
        <w:rPr>
          <w:sz w:val="20"/>
          <w:szCs w:val="20"/>
          <w:color w:val="auto"/>
        </w:rPr>
      </w:pPr>
    </w:p>
    <w:p>
      <w:pPr>
        <w:ind w:left="360" w:right="3079"/>
        <w:spacing w:after="0" w:line="249" w:lineRule="auto"/>
        <w:rPr>
          <w:sz w:val="20"/>
          <w:szCs w:val="20"/>
          <w:color w:val="auto"/>
        </w:rPr>
      </w:pPr>
      <w:r>
        <w:rPr>
          <w:rFonts w:ascii="Courier New" w:cs="Courier New" w:eastAsia="Courier New" w:hAnsi="Courier New"/>
          <w:sz w:val="15"/>
          <w:szCs w:val="15"/>
          <w:color w:val="auto"/>
        </w:rPr>
        <w:t>WE MAY NEED TO USE A SIGNIFICANT AMOUNT OF OUR CASH AND/OR ISSUE A SIGNIFICANT NUMBER OF OUR ORDINARY SHARES IF WE ARE REQUIRED TO REPURCHASE OUR 2% CONVERTIBLE NOTES DUE 2008.</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Holders of our 2% Convertible Notes due June 1, 2008, which we refer to as the 2% Notes, may require us to repurchase all or any of their 2% Notes as early as June 1, 2004 at a repurchase price equal to 100% of the principal amount plus accrued and unpaid interest, if any. The 2% Notes are convertible into our ordinary shares at a conversion rate of 10.8587 shares per $1,000 principal amount, representing a conversion price of approximately $92.09 per share. As of March 29, 2004, the closing price of our ordinary shares on the New York Stock Exchange, or the NYSE, was $27.49. Because the conversion price of the 2% Notes is significantly higher than the current market price of the ordinary shares, it is likely that the holders of the 2% Notes will require us to repurchase their 2% Notes on June 1, 2004.</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may choose to pay the repurchase price for the 2% Notes in cash, ordinary shares or a combination of cash and ordinary shares. As of December 31, 2003, $395.5 million aggregate principal amount of the 2% Notes was outstanding. If we repurchase the 2% Notes using cash, it would significantly reduce the amount of cash and cash equivalents on our consolidated balance sheet. If we repurchase the 2% Notes using shares, it could involve the issuance of a significant number of our ordinary shares. If we repurchased all of the 2% Notes using only ordinary shares, we could be required to issue approximately 14.4 million ordinary shares, based on the closing price of the ordinary shares on the NYSE on March 29, 2004. If we repurchased all or part of the 2% Notes using ordinary shares, it could cause the trading price of the ordinary shares to decline.</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7" w:name="page18"/>
    <w:bookmarkEnd w:id="17"/>
    <w:p>
      <w:pPr>
        <w:ind w:left="2200"/>
        <w:spacing w:after="0"/>
        <w:rPr>
          <w:sz w:val="20"/>
          <w:szCs w:val="20"/>
          <w:color w:val="auto"/>
        </w:rPr>
      </w:pPr>
      <w:r>
        <w:rPr>
          <w:rFonts w:ascii="Courier New" w:cs="Courier New" w:eastAsia="Courier New" w:hAnsi="Courier New"/>
          <w:sz w:val="15"/>
          <w:szCs w:val="15"/>
          <w:color w:val="auto"/>
        </w:rPr>
        <w:t>OFFERING STATISTICS AND TIMETABLE</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560,777 ordinary shares being offered hereby are being sold by the selling securityholders listed under the caption "Selling Securityholders" beginning on page 17. The offer will be open until the earliest to occur of (1) the date on which all of the ordinary shares being offered hereby have been sold pursuant to the Registration Statement of which this prospectus constitutes a part or pursuant to Rule 144 under the Securities Act of 1933, as amended, which we refer to as to the Securities Act, (2) the date on which all of the shares being offered hereby can be sold without registration without regard to the volume restrictions of Rule 144 under the Securities Act and (3) February 19, 2006.</w:t>
      </w:r>
    </w:p>
    <w:p>
      <w:pPr>
        <w:spacing w:after="0" w:line="35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5"/>
          <w:szCs w:val="15"/>
          <w:color w:val="auto"/>
        </w:rPr>
        <w:t>REASONS FOR THE OFFER AND USE OF PROCEEDS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This prospectus relates to the resale from time to time of up to 560,777 ordinary shares previously issued by us to former shareholders of XACCT in connection with our acquisition of that company. We will not receive any proceeds from the sale of ordinary shares by the selling securityholders.</w:t>
      </w:r>
    </w:p>
    <w:p>
      <w:pPr>
        <w:spacing w:after="0" w:line="35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35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MATERIAL CHANGES</w:t>
      </w:r>
    </w:p>
    <w:p>
      <w:pPr>
        <w:spacing w:after="0" w:line="182"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On March 5, 2004, we sold $450.0 million aggregate principal amount of 0.50% Convertible Senior Notes due 2024, referred to herein as the 0.50% Notes, through a private placement to qualified institutional buyers pursuant to Rule 144A under the Securities Act. We granted the initial purchasers of the 0.50% Notes an option to purchase up to an additional $67.5 million to cover over-allotments, which will expire on April 1, 2004 if not exercised. We used approximately $170.1 million of the net proceeds from the sale of the 0.50% Notes to repurchase approximately 6.1 million of ordinary shares sold short by purchasers of the 0.50% Notes in negotiated transactions concurrently with the offering. We intend to use the balance of the net proceeds for general corporate purposes, including working capital and capital expenditures, as well as for future possible strategic opportunities, including acquisitions. We may also use net proceeds and other cash resources to pay the repurchase price for our 2% Notes, which we may be required to repurchase from the holders thereof on June 1, 2004. As of December 31, 2003, there was approximately $395.5 million aggregate principal amount of our 2% Notes outstanding.</w:t>
      </w:r>
    </w:p>
    <w:p>
      <w:pPr>
        <w:spacing w:after="0" w:line="186" w:lineRule="exact"/>
        <w:rPr>
          <w:sz w:val="20"/>
          <w:szCs w:val="20"/>
          <w:color w:val="auto"/>
        </w:rPr>
      </w:pPr>
    </w:p>
    <w:p>
      <w:pPr>
        <w:ind w:right="3179" w:firstLine="824"/>
        <w:spacing w:after="0" w:line="249" w:lineRule="auto"/>
        <w:rPr>
          <w:sz w:val="20"/>
          <w:szCs w:val="20"/>
          <w:color w:val="auto"/>
        </w:rPr>
      </w:pPr>
      <w:r>
        <w:rPr>
          <w:rFonts w:ascii="Courier New" w:cs="Courier New" w:eastAsia="Courier New" w:hAnsi="Courier New"/>
          <w:sz w:val="15"/>
          <w:szCs w:val="15"/>
          <w:color w:val="auto"/>
        </w:rPr>
        <w:t>In connection with the sale of the 0.50% Notes, we entered into an Indenture, dated as of March 5, 2004, by and between us and The Bank of New York, as Trustee, and a Registration Rights Agreement, dated as of March 5, 2004, with the initial purchasers of the 0.50% Notes, pursuant to which we agreed to file a registration statement on Form F-3 with respect to the 0.50% Notes and the ordinary shares issuable upon conversion of the 0.50% Notes. We filed three reports on Form 6-K with respect to the 0.50% Notes, on each of March 1, March 2 and March 5, 2004. See "Incorporation of Documents by Reference" and "Where You Can Find More Information."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23" w:right="1440" w:bottom="1440" w:gutter="0" w:footer="0" w:header="0"/>
        </w:sectPr>
      </w:pPr>
    </w:p>
    <w:bookmarkStart w:id="18" w:name="page19"/>
    <w:bookmarkEnd w:id="18"/>
    <w:p>
      <w:pPr>
        <w:ind w:left="2740"/>
        <w:spacing w:after="0"/>
        <w:rPr>
          <w:sz w:val="20"/>
          <w:szCs w:val="20"/>
          <w:color w:val="auto"/>
        </w:rPr>
      </w:pPr>
      <w:r>
        <w:rPr>
          <w:rFonts w:ascii="Courier New" w:cs="Courier New" w:eastAsia="Courier New" w:hAnsi="Courier New"/>
          <w:sz w:val="15"/>
          <w:szCs w:val="15"/>
          <w:color w:val="auto"/>
        </w:rPr>
        <w:t>THE OFFER AND LISTING</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The following table sets forth the high and low reported sale prices for our ordinary shares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High Low --------</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FISCAL YEAR ENDED</w:t>
            </w: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jc w:val="center"/>
              <w:ind w:right="804"/>
              <w:spacing w:after="0"/>
              <w:rPr>
                <w:sz w:val="20"/>
                <w:szCs w:val="20"/>
                <w:color w:val="auto"/>
              </w:rPr>
            </w:pPr>
            <w:r>
              <w:rPr>
                <w:rFonts w:ascii="Courier New" w:cs="Courier New" w:eastAsia="Courier New" w:hAnsi="Courier New"/>
                <w:sz w:val="15"/>
                <w:szCs w:val="15"/>
                <w:color w:val="auto"/>
              </w:rPr>
              <w:t>SEPTEMBER 30,</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1999...............................................</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$ 30.25</w:t>
            </w:r>
          </w:p>
        </w:tc>
        <w:tc>
          <w:tcPr>
            <w:tcW w:w="1540" w:type="dxa"/>
            <w:vAlign w:val="bottom"/>
          </w:tcPr>
          <w:p>
            <w:pPr>
              <w:jc w:val="center"/>
              <w:ind w:right="844"/>
              <w:spacing w:after="0"/>
              <w:rPr>
                <w:sz w:val="20"/>
                <w:szCs w:val="20"/>
                <w:color w:val="auto"/>
              </w:rPr>
            </w:pPr>
            <w:r>
              <w:rPr>
                <w:rFonts w:ascii="Courier New" w:cs="Courier New" w:eastAsia="Courier New" w:hAnsi="Courier New"/>
                <w:sz w:val="15"/>
                <w:szCs w:val="15"/>
                <w:color w:val="auto"/>
                <w:w w:val="99"/>
              </w:rPr>
              <w:t>$ 8.75</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2000...............................................</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$ 96.00</w:t>
            </w:r>
          </w:p>
        </w:tc>
        <w:tc>
          <w:tcPr>
            <w:tcW w:w="154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$ 19.81</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2001...............................................</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$ 80.50</w:t>
            </w:r>
          </w:p>
        </w:tc>
        <w:tc>
          <w:tcPr>
            <w:tcW w:w="1540" w:type="dxa"/>
            <w:vAlign w:val="bottom"/>
          </w:tcPr>
          <w:p>
            <w:pPr>
              <w:jc w:val="center"/>
              <w:ind w:right="824"/>
              <w:spacing w:after="0"/>
              <w:rPr>
                <w:sz w:val="20"/>
                <w:szCs w:val="20"/>
                <w:color w:val="auto"/>
              </w:rPr>
            </w:pPr>
            <w:r>
              <w:rPr>
                <w:rFonts w:ascii="Courier New" w:cs="Courier New" w:eastAsia="Courier New" w:hAnsi="Courier New"/>
                <w:sz w:val="15"/>
                <w:szCs w:val="15"/>
                <w:color w:val="auto"/>
              </w:rPr>
              <w:t>$ 25.85</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2002...............................................</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$ 39.25</w:t>
            </w:r>
          </w:p>
        </w:tc>
        <w:tc>
          <w:tcPr>
            <w:tcW w:w="1540" w:type="dxa"/>
            <w:vAlign w:val="bottom"/>
          </w:tcPr>
          <w:p>
            <w:pPr>
              <w:jc w:val="center"/>
              <w:ind w:right="844"/>
              <w:spacing w:after="0"/>
              <w:rPr>
                <w:sz w:val="20"/>
                <w:szCs w:val="20"/>
                <w:color w:val="auto"/>
              </w:rPr>
            </w:pPr>
            <w:r>
              <w:rPr>
                <w:rFonts w:ascii="Courier New" w:cs="Courier New" w:eastAsia="Courier New" w:hAnsi="Courier New"/>
                <w:sz w:val="15"/>
                <w:szCs w:val="15"/>
                <w:color w:val="auto"/>
                <w:w w:val="99"/>
              </w:rPr>
              <w:t>$ 6.10</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4"/>
              </w:rPr>
              <w:t>2003...............................................</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4620" w:type="dxa"/>
            <w:vAlign w:val="bottom"/>
            <w:gridSpan w:val="5"/>
          </w:tcPr>
          <w:p>
            <w:pPr>
              <w:jc w:val="center"/>
              <w:spacing w:after="0"/>
              <w:rPr>
                <w:sz w:val="20"/>
                <w:szCs w:val="20"/>
                <w:color w:val="auto"/>
              </w:rPr>
            </w:pPr>
            <w:r>
              <w:rPr>
                <w:rFonts w:ascii="Courier New" w:cs="Courier New" w:eastAsia="Courier New" w:hAnsi="Courier New"/>
                <w:sz w:val="15"/>
                <w:szCs w:val="15"/>
                <w:color w:val="auto"/>
              </w:rPr>
              <w:t>$ 27.25 $ 5.85 QUARTER Fiscal 2002: First</w:t>
            </w: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Quarter...................................</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$ 35.90</w:t>
            </w: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jc w:val="center"/>
              <w:ind w:right="824"/>
              <w:spacing w:after="0"/>
              <w:rPr>
                <w:sz w:val="20"/>
                <w:szCs w:val="20"/>
                <w:color w:val="auto"/>
              </w:rPr>
            </w:pPr>
            <w:r>
              <w:rPr>
                <w:rFonts w:ascii="Courier New" w:cs="Courier New" w:eastAsia="Courier New" w:hAnsi="Courier New"/>
                <w:sz w:val="15"/>
                <w:szCs w:val="15"/>
                <w:color w:val="auto"/>
              </w:rPr>
              <w:t>$ 24.00 Second</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Quarter..................................</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$ 39.25</w:t>
            </w: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jc w:val="center"/>
              <w:ind w:right="804"/>
              <w:spacing w:after="0"/>
              <w:rPr>
                <w:sz w:val="20"/>
                <w:szCs w:val="20"/>
                <w:color w:val="auto"/>
              </w:rPr>
            </w:pPr>
            <w:r>
              <w:rPr>
                <w:rFonts w:ascii="Courier New" w:cs="Courier New" w:eastAsia="Courier New" w:hAnsi="Courier New"/>
                <w:sz w:val="15"/>
                <w:szCs w:val="15"/>
                <w:color w:val="auto"/>
              </w:rPr>
              <w:t>$ 23.60 Third</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Quarter...................................</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$ 26.27</w:t>
            </w:r>
          </w:p>
        </w:tc>
      </w:tr>
      <w:tr>
        <w:trPr>
          <w:trHeight w:val="176"/>
        </w:trPr>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jc w:val="center"/>
              <w:ind w:right="804"/>
              <w:spacing w:after="0"/>
              <w:rPr>
                <w:sz w:val="20"/>
                <w:szCs w:val="20"/>
                <w:color w:val="auto"/>
              </w:rPr>
            </w:pPr>
            <w:r>
              <w:rPr>
                <w:rFonts w:ascii="Courier New" w:cs="Courier New" w:eastAsia="Courier New" w:hAnsi="Courier New"/>
                <w:sz w:val="15"/>
                <w:szCs w:val="15"/>
                <w:color w:val="auto"/>
              </w:rPr>
              <w:t>$ 6.62 Fourth</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2"/>
              </w:rPr>
              <w:t>Quarter..................................</w:t>
            </w:r>
          </w:p>
        </w:tc>
        <w:tc>
          <w:tcPr>
            <w:tcW w:w="760" w:type="dxa"/>
            <w:vAlign w:val="bottom"/>
          </w:tcPr>
          <w:p>
            <w:pPr>
              <w:spacing w:after="0"/>
              <w:rPr>
                <w:sz w:val="15"/>
                <w:szCs w:val="15"/>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$ 9.65 $</w:t>
            </w:r>
          </w:p>
        </w:tc>
      </w:tr>
      <w:tr>
        <w:trPr>
          <w:trHeight w:val="176"/>
        </w:trPr>
        <w:tc>
          <w:tcPr>
            <w:tcW w:w="3920" w:type="dxa"/>
            <w:vAlign w:val="bottom"/>
            <w:gridSpan w:val="4"/>
          </w:tcPr>
          <w:p>
            <w:pPr>
              <w:jc w:val="center"/>
              <w:ind w:left="671"/>
              <w:spacing w:after="0"/>
              <w:rPr>
                <w:sz w:val="20"/>
                <w:szCs w:val="20"/>
                <w:color w:val="auto"/>
              </w:rPr>
            </w:pPr>
            <w:r>
              <w:rPr>
                <w:rFonts w:ascii="Courier New" w:cs="Courier New" w:eastAsia="Courier New" w:hAnsi="Courier New"/>
                <w:sz w:val="15"/>
                <w:szCs w:val="15"/>
                <w:color w:val="auto"/>
              </w:rPr>
              <w:t>6.10 Fiscal 2003: First Quarter</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7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$ 11.98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$ 5.85</w:t>
            </w: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Second Quarter..................................</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13.95</w:t>
            </w:r>
          </w:p>
        </w:tc>
        <w:tc>
          <w:tcPr>
            <w:tcW w:w="2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$ 9.86 Third Quarter</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7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$ 25.01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$ 13.25</w:t>
            </w: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9"/>
              </w:rPr>
              <w:t>Fourth Quarter..................................</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400" w:type="dxa"/>
            <w:vAlign w:val="bottom"/>
          </w:tcPr>
          <w:p>
            <w:pPr>
              <w:jc w:val="right"/>
              <w:ind w:right="31"/>
              <w:spacing w:after="0"/>
              <w:rPr>
                <w:sz w:val="20"/>
                <w:szCs w:val="20"/>
                <w:color w:val="auto"/>
              </w:rPr>
            </w:pPr>
            <w:r>
              <w:rPr>
                <w:rFonts w:ascii="Courier New" w:cs="Courier New" w:eastAsia="Courier New" w:hAnsi="Courier New"/>
                <w:sz w:val="15"/>
                <w:szCs w:val="15"/>
                <w:color w:val="auto"/>
              </w:rPr>
              <w:t>27.25</w:t>
            </w:r>
          </w:p>
        </w:tc>
        <w:tc>
          <w:tcPr>
            <w:tcW w:w="2520" w:type="dxa"/>
            <w:vAlign w:val="bottom"/>
            <w:gridSpan w:val="3"/>
          </w:tcPr>
          <w:p>
            <w:pPr>
              <w:jc w:val="right"/>
              <w:ind w:right="44"/>
              <w:spacing w:after="0"/>
              <w:rPr>
                <w:sz w:val="20"/>
                <w:szCs w:val="20"/>
                <w:color w:val="auto"/>
              </w:rPr>
            </w:pPr>
            <w:r>
              <w:rPr>
                <w:rFonts w:ascii="Courier New" w:cs="Courier New" w:eastAsia="Courier New" w:hAnsi="Courier New"/>
                <w:sz w:val="15"/>
                <w:szCs w:val="15"/>
                <w:color w:val="auto"/>
              </w:rPr>
              <w:t>$ 18.55 Fiscal 2004: First</w:t>
            </w:r>
          </w:p>
        </w:tc>
        <w:tc>
          <w:tcPr>
            <w:tcW w:w="700" w:type="dxa"/>
            <w:vAlign w:val="bottom"/>
          </w:tcPr>
          <w:p>
            <w:pPr>
              <w:spacing w:after="0"/>
              <w:rPr>
                <w:sz w:val="15"/>
                <w:szCs w:val="15"/>
                <w:color w:val="auto"/>
              </w:rPr>
            </w:pPr>
          </w:p>
        </w:tc>
      </w:tr>
      <w:tr>
        <w:trPr>
          <w:trHeight w:val="176"/>
        </w:trPr>
        <w:tc>
          <w:tcPr>
            <w:tcW w:w="16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0"/>
              </w:rPr>
              <w:t>Quarter...................................</w:t>
            </w: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$ 27.10</w:t>
            </w:r>
          </w:p>
        </w:tc>
      </w:tr>
    </w:tbl>
    <w:p>
      <w:pPr>
        <w:spacing w:after="0" w:line="5" w:lineRule="exact"/>
        <w:rPr>
          <w:sz w:val="20"/>
          <w:szCs w:val="20"/>
          <w:color w:val="auto"/>
        </w:rPr>
      </w:pPr>
    </w:p>
    <w:p>
      <w:pPr>
        <w:ind w:left="640" w:hanging="193"/>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18.90 Second Quarter (through March 29,</w:t>
      </w:r>
    </w:p>
    <w:p>
      <w:pPr>
        <w:spacing w:after="0" w:line="6" w:lineRule="exact"/>
        <w:rPr>
          <w:rFonts w:ascii="Courier New" w:cs="Courier New" w:eastAsia="Courier New" w:hAnsi="Courier New"/>
          <w:sz w:val="15"/>
          <w:szCs w:val="15"/>
          <w:color w:val="auto"/>
        </w:rPr>
      </w:pPr>
    </w:p>
    <w:p>
      <w:pPr>
        <w:ind w:left="2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2004)......... $ 29.74 $ 22.17 Most Recent Six</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00" w:type="dxa"/>
            <w:vAlign w:val="bottom"/>
          </w:tcPr>
          <w:p>
            <w:pPr>
              <w:ind w:left="460"/>
              <w:spacing w:after="0"/>
              <w:rPr>
                <w:sz w:val="20"/>
                <w:szCs w:val="20"/>
                <w:color w:val="auto"/>
              </w:rPr>
            </w:pPr>
            <w:r>
              <w:rPr>
                <w:rFonts w:ascii="Courier New" w:cs="Courier New" w:eastAsia="Courier New" w:hAnsi="Courier New"/>
                <w:sz w:val="15"/>
                <w:szCs w:val="15"/>
                <w:color w:val="auto"/>
              </w:rPr>
              <w:t>Months</w:t>
            </w:r>
          </w:p>
        </w:tc>
        <w:tc>
          <w:tcPr>
            <w:tcW w:w="1140" w:type="dxa"/>
            <w:vAlign w:val="bottom"/>
          </w:tcPr>
          <w:p>
            <w:pPr>
              <w:jc w:val="right"/>
              <w:spacing w:after="0"/>
              <w:rPr>
                <w:sz w:val="20"/>
                <w:szCs w:val="20"/>
                <w:color w:val="auto"/>
              </w:rPr>
            </w:pPr>
            <w:r>
              <w:rPr>
                <w:rFonts w:ascii="Courier New" w:cs="Courier New" w:eastAsia="Courier New" w:hAnsi="Courier New"/>
                <w:sz w:val="12"/>
                <w:szCs w:val="12"/>
                <w:color w:val="auto"/>
                <w:w w:val="70"/>
              </w:rPr>
              <w:t>----------------------</w:t>
            </w:r>
          </w:p>
        </w:tc>
        <w:tc>
          <w:tcPr>
            <w:tcW w:w="2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September,</w:t>
            </w:r>
          </w:p>
        </w:tc>
      </w:tr>
      <w:tr>
        <w:trPr>
          <w:trHeight w:val="176"/>
        </w:trPr>
        <w:tc>
          <w:tcPr>
            <w:tcW w:w="22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2003....................................</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$ 23.50 $</w:t>
            </w:r>
          </w:p>
        </w:tc>
      </w:tr>
      <w:tr>
        <w:trPr>
          <w:trHeight w:val="176"/>
        </w:trPr>
        <w:tc>
          <w:tcPr>
            <w:tcW w:w="1100" w:type="dxa"/>
            <w:vAlign w:val="bottom"/>
          </w:tcPr>
          <w:p>
            <w:pPr>
              <w:spacing w:after="0"/>
              <w:rPr>
                <w:sz w:val="15"/>
                <w:szCs w:val="15"/>
                <w:color w:val="auto"/>
              </w:rPr>
            </w:pPr>
          </w:p>
        </w:tc>
        <w:tc>
          <w:tcPr>
            <w:tcW w:w="3480" w:type="dxa"/>
            <w:vAlign w:val="bottom"/>
            <w:gridSpan w:val="2"/>
          </w:tcPr>
          <w:p>
            <w:pPr>
              <w:jc w:val="center"/>
              <w:ind w:right="1044"/>
              <w:spacing w:after="0"/>
              <w:rPr>
                <w:sz w:val="20"/>
                <w:szCs w:val="20"/>
                <w:color w:val="auto"/>
              </w:rPr>
            </w:pPr>
            <w:r>
              <w:rPr>
                <w:rFonts w:ascii="Courier New" w:cs="Courier New" w:eastAsia="Courier New" w:hAnsi="Courier New"/>
                <w:sz w:val="15"/>
                <w:szCs w:val="15"/>
                <w:color w:val="auto"/>
              </w:rPr>
              <w:t>18.60 October,</w:t>
            </w:r>
          </w:p>
        </w:tc>
      </w:tr>
      <w:tr>
        <w:trPr>
          <w:trHeight w:val="176"/>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2003......................................</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$ 21.70</w:t>
            </w:r>
          </w:p>
        </w:tc>
      </w:tr>
      <w:tr>
        <w:trPr>
          <w:trHeight w:val="176"/>
        </w:trPr>
        <w:tc>
          <w:tcPr>
            <w:tcW w:w="1100" w:type="dxa"/>
            <w:vAlign w:val="bottom"/>
          </w:tcPr>
          <w:p>
            <w:pPr>
              <w:spacing w:after="0"/>
              <w:rPr>
                <w:sz w:val="15"/>
                <w:szCs w:val="15"/>
                <w:color w:val="auto"/>
              </w:rPr>
            </w:pPr>
          </w:p>
        </w:tc>
        <w:tc>
          <w:tcPr>
            <w:tcW w:w="1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$ 18.90</w:t>
            </w:r>
          </w:p>
        </w:tc>
        <w:tc>
          <w:tcPr>
            <w:tcW w:w="2340" w:type="dxa"/>
            <w:vAlign w:val="bottom"/>
          </w:tcPr>
          <w:p>
            <w:pPr>
              <w:jc w:val="right"/>
              <w:ind w:right="1444"/>
              <w:spacing w:after="0"/>
              <w:rPr>
                <w:sz w:val="20"/>
                <w:szCs w:val="20"/>
                <w:color w:val="auto"/>
              </w:rPr>
            </w:pPr>
            <w:r>
              <w:rPr>
                <w:rFonts w:ascii="Courier New" w:cs="Courier New" w:eastAsia="Courier New" w:hAnsi="Courier New"/>
                <w:sz w:val="15"/>
                <w:szCs w:val="15"/>
                <w:color w:val="auto"/>
                <w:w w:val="98"/>
              </w:rPr>
              <w:t>November,</w:t>
            </w:r>
          </w:p>
        </w:tc>
      </w:tr>
      <w:tr>
        <w:trPr>
          <w:trHeight w:val="176"/>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2003.....................................</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$ 25.66</w:t>
            </w:r>
          </w:p>
        </w:tc>
      </w:tr>
      <w:tr>
        <w:trPr>
          <w:trHeight w:val="176"/>
        </w:trPr>
        <w:tc>
          <w:tcPr>
            <w:tcW w:w="1100" w:type="dxa"/>
            <w:vAlign w:val="bottom"/>
          </w:tcPr>
          <w:p>
            <w:pPr>
              <w:spacing w:after="0"/>
              <w:rPr>
                <w:sz w:val="15"/>
                <w:szCs w:val="15"/>
                <w:color w:val="auto"/>
              </w:rPr>
            </w:pPr>
          </w:p>
        </w:tc>
        <w:tc>
          <w:tcPr>
            <w:tcW w:w="1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$ 20.85</w:t>
            </w:r>
          </w:p>
        </w:tc>
        <w:tc>
          <w:tcPr>
            <w:tcW w:w="2340" w:type="dxa"/>
            <w:vAlign w:val="bottom"/>
          </w:tcPr>
          <w:p>
            <w:pPr>
              <w:jc w:val="right"/>
              <w:ind w:right="1444"/>
              <w:spacing w:after="0"/>
              <w:rPr>
                <w:sz w:val="20"/>
                <w:szCs w:val="20"/>
                <w:color w:val="auto"/>
              </w:rPr>
            </w:pPr>
            <w:r>
              <w:rPr>
                <w:rFonts w:ascii="Courier New" w:cs="Courier New" w:eastAsia="Courier New" w:hAnsi="Courier New"/>
                <w:sz w:val="15"/>
                <w:szCs w:val="15"/>
                <w:color w:val="auto"/>
                <w:w w:val="98"/>
              </w:rPr>
              <w:t>December,</w:t>
            </w:r>
          </w:p>
        </w:tc>
      </w:tr>
      <w:tr>
        <w:trPr>
          <w:trHeight w:val="176"/>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2003.....................................</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$ 27.10</w:t>
            </w:r>
          </w:p>
        </w:tc>
      </w:tr>
      <w:tr>
        <w:trPr>
          <w:trHeight w:val="176"/>
        </w:trPr>
        <w:tc>
          <w:tcPr>
            <w:tcW w:w="1100" w:type="dxa"/>
            <w:vAlign w:val="bottom"/>
          </w:tcPr>
          <w:p>
            <w:pPr>
              <w:spacing w:after="0"/>
              <w:rPr>
                <w:sz w:val="15"/>
                <w:szCs w:val="15"/>
                <w:color w:val="auto"/>
              </w:rPr>
            </w:pPr>
          </w:p>
        </w:tc>
        <w:tc>
          <w:tcPr>
            <w:tcW w:w="3480" w:type="dxa"/>
            <w:vAlign w:val="bottom"/>
            <w:gridSpan w:val="2"/>
          </w:tcPr>
          <w:p>
            <w:pPr>
              <w:jc w:val="center"/>
              <w:ind w:right="1024"/>
              <w:spacing w:after="0"/>
              <w:rPr>
                <w:sz w:val="20"/>
                <w:szCs w:val="20"/>
                <w:color w:val="auto"/>
              </w:rPr>
            </w:pPr>
            <w:r>
              <w:rPr>
                <w:rFonts w:ascii="Courier New" w:cs="Courier New" w:eastAsia="Courier New" w:hAnsi="Courier New"/>
                <w:sz w:val="15"/>
                <w:szCs w:val="15"/>
                <w:color w:val="auto"/>
              </w:rPr>
              <w:t>$ 20.00 January,</w:t>
            </w:r>
          </w:p>
        </w:tc>
      </w:tr>
      <w:tr>
        <w:trPr>
          <w:trHeight w:val="176"/>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2004......................................</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$ 29.74</w:t>
            </w:r>
          </w:p>
        </w:tc>
      </w:tr>
      <w:tr>
        <w:trPr>
          <w:trHeight w:val="176"/>
        </w:trPr>
        <w:tc>
          <w:tcPr>
            <w:tcW w:w="1100" w:type="dxa"/>
            <w:vAlign w:val="bottom"/>
          </w:tcPr>
          <w:p>
            <w:pPr>
              <w:spacing w:after="0"/>
              <w:rPr>
                <w:sz w:val="15"/>
                <w:szCs w:val="15"/>
                <w:color w:val="auto"/>
              </w:rPr>
            </w:pPr>
          </w:p>
        </w:tc>
        <w:tc>
          <w:tcPr>
            <w:tcW w:w="1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$ 22.17</w:t>
            </w:r>
          </w:p>
        </w:tc>
        <w:tc>
          <w:tcPr>
            <w:tcW w:w="2340" w:type="dxa"/>
            <w:vAlign w:val="bottom"/>
          </w:tcPr>
          <w:p>
            <w:pPr>
              <w:jc w:val="right"/>
              <w:ind w:right="1444"/>
              <w:spacing w:after="0"/>
              <w:rPr>
                <w:sz w:val="20"/>
                <w:szCs w:val="20"/>
                <w:color w:val="auto"/>
              </w:rPr>
            </w:pPr>
            <w:r>
              <w:rPr>
                <w:rFonts w:ascii="Courier New" w:cs="Courier New" w:eastAsia="Courier New" w:hAnsi="Courier New"/>
                <w:sz w:val="15"/>
                <w:szCs w:val="15"/>
                <w:color w:val="auto"/>
                <w:w w:val="98"/>
              </w:rPr>
              <w:t>February,</w:t>
            </w:r>
          </w:p>
        </w:tc>
      </w:tr>
      <w:tr>
        <w:trPr>
          <w:trHeight w:val="176"/>
        </w:trPr>
        <w:tc>
          <w:tcPr>
            <w:tcW w:w="22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2004.....................................</w:t>
            </w:r>
          </w:p>
        </w:tc>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$ 29.45</w:t>
            </w:r>
          </w:p>
        </w:tc>
      </w:tr>
      <w:tr>
        <w:trPr>
          <w:trHeight w:val="176"/>
        </w:trPr>
        <w:tc>
          <w:tcPr>
            <w:tcW w:w="1100" w:type="dxa"/>
            <w:vAlign w:val="bottom"/>
          </w:tcPr>
          <w:p>
            <w:pPr>
              <w:spacing w:after="0"/>
              <w:rPr>
                <w:sz w:val="15"/>
                <w:szCs w:val="15"/>
                <w:color w:val="auto"/>
              </w:rPr>
            </w:pPr>
          </w:p>
        </w:tc>
        <w:tc>
          <w:tcPr>
            <w:tcW w:w="3480" w:type="dxa"/>
            <w:vAlign w:val="bottom"/>
            <w:gridSpan w:val="2"/>
          </w:tcPr>
          <w:p>
            <w:pPr>
              <w:jc w:val="center"/>
              <w:ind w:right="1044"/>
              <w:spacing w:after="0"/>
              <w:rPr>
                <w:sz w:val="20"/>
                <w:szCs w:val="20"/>
                <w:color w:val="auto"/>
              </w:rPr>
            </w:pPr>
            <w:r>
              <w:rPr>
                <w:rFonts w:ascii="Courier New" w:cs="Courier New" w:eastAsia="Courier New" w:hAnsi="Courier New"/>
                <w:sz w:val="15"/>
                <w:szCs w:val="15"/>
                <w:color w:val="auto"/>
              </w:rPr>
              <w:t>$ 26.42</w:t>
            </w:r>
          </w:p>
        </w:tc>
      </w:tr>
    </w:tbl>
    <w:p>
      <w:pPr>
        <w:spacing w:after="0" w:line="357"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As of February 29, 2004, we had 211,438,162 ordinary shares outstanding and there were approximately 224 holders of record of our ordinary shares. This figure does not reflect persons or entities who hold their ordinary shares in nominee or "street" name through various brokerage firms.</w:t>
      </w:r>
    </w:p>
    <w:p>
      <w:pPr>
        <w:spacing w:after="0" w:line="176" w:lineRule="exact"/>
        <w:rPr>
          <w:sz w:val="20"/>
          <w:szCs w:val="20"/>
          <w:color w:val="auto"/>
        </w:rPr>
      </w:pPr>
    </w:p>
    <w:p>
      <w:pPr>
        <w:ind w:right="2979" w:firstLine="824"/>
        <w:spacing w:after="0" w:line="250" w:lineRule="auto"/>
        <w:rPr>
          <w:sz w:val="20"/>
          <w:szCs w:val="20"/>
          <w:color w:val="auto"/>
        </w:rPr>
      </w:pPr>
      <w:r>
        <w:rPr>
          <w:rFonts w:ascii="Courier New" w:cs="Courier New" w:eastAsia="Courier New" w:hAnsi="Courier New"/>
          <w:sz w:val="15"/>
          <w:szCs w:val="15"/>
          <w:color w:val="auto"/>
        </w:rPr>
        <w:t>On March 29, 2004, the last reported sale price of our ordinary shares on the NYSE was $27.49.</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117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EXPENSES OF THE ISSUE</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selling securityholders will pay any underwriting discounts and commissions and expenses incurred by them for brokerage, accounting, tax or legal services (other than the reasonable fees, costs and expenses of one counsel for the selling securityholders up to an aggregate of $10,000)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Filing Fee - Securities and Exchange Commission ....................</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1,885</w:t>
            </w:r>
          </w:p>
        </w:tc>
      </w:tr>
      <w:tr>
        <w:trPr>
          <w:trHeight w:val="176"/>
        </w:trPr>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Legal fees and expenses.............................................</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$ 25,000</w:t>
            </w:r>
          </w:p>
        </w:tc>
      </w:tr>
      <w:tr>
        <w:trPr>
          <w:trHeight w:val="176"/>
        </w:trPr>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Registrar and Transfer agent fees and expenses......................</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6"/>
        </w:trPr>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Accounting fees and expenses........................................</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$ 20,000</w:t>
            </w:r>
          </w:p>
        </w:tc>
      </w:tr>
      <w:tr>
        <w:trPr>
          <w:trHeight w:val="176"/>
        </w:trPr>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Printing, EDGAR formatting and mailing expenses.....................</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Miscellaneous expenses..............................................</w:t>
            </w:r>
          </w:p>
        </w:tc>
        <w:tc>
          <w:tcPr>
            <w:tcW w:w="180" w:type="dxa"/>
            <w:vAlign w:val="bottom"/>
          </w:tcPr>
          <w:p>
            <w:pPr>
              <w:jc w:val="right"/>
              <w:ind w:right="4"/>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62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6220" w:type="dxa"/>
            <w:vAlign w:val="bottom"/>
          </w:tcPr>
          <w:p>
            <w:pPr>
              <w:jc w:val="right"/>
              <w:spacing w:after="0"/>
              <w:rPr>
                <w:sz w:val="20"/>
                <w:szCs w:val="20"/>
                <w:color w:val="auto"/>
              </w:rPr>
            </w:pPr>
            <w:r>
              <w:rPr>
                <w:rFonts w:ascii="Courier New" w:cs="Courier New" w:eastAsia="Courier New" w:hAnsi="Courier New"/>
                <w:sz w:val="15"/>
                <w:szCs w:val="15"/>
                <w:color w:val="auto"/>
              </w:rPr>
              <w:t>Total Expenses............................................</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$ 63,385</w:t>
            </w:r>
          </w:p>
        </w:tc>
      </w:tr>
      <w:tr>
        <w:trPr>
          <w:trHeight w:val="176"/>
        </w:trPr>
        <w:tc>
          <w:tcPr>
            <w:tcW w:w="62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6220" w:type="dxa"/>
            <w:vAlign w:val="bottom"/>
          </w:tcPr>
          <w:p>
            <w:pPr>
              <w:jc w:val="right"/>
              <w:ind w:right="2384"/>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20" w:name="page21"/>
    <w:bookmarkEnd w:id="20"/>
    <w:p>
      <w:pPr>
        <w:ind w:left="3020"/>
        <w:spacing w:after="0"/>
        <w:rPr>
          <w:sz w:val="20"/>
          <w:szCs w:val="20"/>
          <w:color w:val="auto"/>
        </w:rPr>
      </w:pPr>
      <w:r>
        <w:rPr>
          <w:rFonts w:ascii="Courier New" w:cs="Courier New" w:eastAsia="Courier New" w:hAnsi="Courier New"/>
          <w:sz w:val="15"/>
          <w:szCs w:val="15"/>
          <w:color w:val="auto"/>
        </w:rPr>
        <w:t>CAPITALIZATION</w:t>
      </w:r>
    </w:p>
    <w:p>
      <w:pPr>
        <w:spacing w:after="0" w:line="35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following table sets forth:</w:t>
      </w:r>
    </w:p>
    <w:p>
      <w:pPr>
        <w:spacing w:after="0" w:line="182" w:lineRule="exact"/>
        <w:rPr>
          <w:sz w:val="20"/>
          <w:szCs w:val="20"/>
          <w:color w:val="auto"/>
        </w:rPr>
      </w:pPr>
    </w:p>
    <w:p>
      <w:pPr>
        <w:ind w:left="1280" w:right="3480" w:hanging="462"/>
        <w:spacing w:after="0" w:line="250" w:lineRule="auto"/>
        <w:tabs>
          <w:tab w:leader="none" w:pos="1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unaudited actual consolidated capitalization as of December 31, 2003; and</w:t>
      </w:r>
    </w:p>
    <w:p>
      <w:pPr>
        <w:spacing w:after="0" w:line="174" w:lineRule="exact"/>
        <w:rPr>
          <w:rFonts w:ascii="Courier New" w:cs="Courier New" w:eastAsia="Courier New" w:hAnsi="Courier New"/>
          <w:sz w:val="15"/>
          <w:szCs w:val="15"/>
          <w:color w:val="auto"/>
        </w:rPr>
      </w:pPr>
    </w:p>
    <w:p>
      <w:pPr>
        <w:ind w:left="1280" w:right="3280" w:hanging="462"/>
        <w:spacing w:after="0" w:line="249" w:lineRule="auto"/>
        <w:tabs>
          <w:tab w:leader="none" w:pos="12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consolidated capitalization as of December 31, 2003, as adjusted to give effect to the sale on March 5, 2004 of $450.0 million aggregate principal amount of the 0.50% Notes, and the application of approximately $170.1 million of the net proceeds from the sale of the 0.50% Notes to repurchase ordinary shares on March 5, 2004, as if the sale of the notes and the repurchase of the shares had occurred on December 31, 2003.</w:t>
      </w:r>
    </w:p>
    <w:p>
      <w:pPr>
        <w:spacing w:after="0" w:line="175" w:lineRule="exact"/>
        <w:rPr>
          <w:sz w:val="20"/>
          <w:szCs w:val="20"/>
          <w:color w:val="auto"/>
        </w:rPr>
      </w:pPr>
    </w:p>
    <w:p>
      <w:pPr>
        <w:ind w:right="3200" w:firstLine="824"/>
        <w:spacing w:after="0" w:line="249" w:lineRule="auto"/>
        <w:rPr>
          <w:sz w:val="20"/>
          <w:szCs w:val="20"/>
          <w:color w:val="auto"/>
        </w:rPr>
      </w:pPr>
      <w:r>
        <w:rPr>
          <w:rFonts w:ascii="Courier New" w:cs="Courier New" w:eastAsia="Courier New" w:hAnsi="Courier New"/>
          <w:sz w:val="15"/>
          <w:szCs w:val="15"/>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64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As of December 31, 2003</w:t>
            </w:r>
          </w:p>
        </w:tc>
      </w:tr>
      <w:tr>
        <w:trPr>
          <w:trHeight w:val="176"/>
        </w:trPr>
        <w:tc>
          <w:tcPr>
            <w:tcW w:w="7880" w:type="dxa"/>
            <w:vAlign w:val="bottom"/>
          </w:tcPr>
          <w:p>
            <w:pPr>
              <w:spacing w:after="0"/>
              <w:rPr>
                <w:sz w:val="15"/>
                <w:szCs w:val="15"/>
                <w:color w:val="auto"/>
              </w:rPr>
            </w:pPr>
          </w:p>
        </w:tc>
        <w:tc>
          <w:tcPr>
            <w:tcW w:w="2640" w:type="dxa"/>
            <w:vAlign w:val="bottom"/>
            <w:gridSpan w:val="2"/>
          </w:tcPr>
          <w:p>
            <w:pPr>
              <w:jc w:val="center"/>
              <w:ind w:right="104"/>
              <w:spacing w:after="0"/>
              <w:rPr>
                <w:sz w:val="20"/>
                <w:szCs w:val="20"/>
                <w:color w:val="auto"/>
              </w:rPr>
            </w:pPr>
            <w:r>
              <w:rPr>
                <w:rFonts w:ascii="Courier New" w:cs="Courier New" w:eastAsia="Courier New" w:hAnsi="Courier New"/>
                <w:sz w:val="15"/>
                <w:szCs w:val="15"/>
                <w:color w:val="auto"/>
              </w:rPr>
              <w:t>(unaudited)</w:t>
            </w:r>
          </w:p>
        </w:tc>
      </w:tr>
      <w:tr>
        <w:trPr>
          <w:trHeight w:val="176"/>
        </w:trPr>
        <w:tc>
          <w:tcPr>
            <w:tcW w:w="10520" w:type="dxa"/>
            <w:vAlign w:val="bottom"/>
            <w:gridSpan w:val="3"/>
          </w:tcPr>
          <w:p>
            <w:pPr>
              <w:jc w:val="center"/>
              <w:ind w:left="7604"/>
              <w:spacing w:after="0"/>
              <w:rPr>
                <w:sz w:val="20"/>
                <w:szCs w:val="20"/>
                <w:color w:val="auto"/>
              </w:rPr>
            </w:pPr>
            <w:r>
              <w:rPr>
                <w:rFonts w:ascii="Courier New" w:cs="Courier New" w:eastAsia="Courier New" w:hAnsi="Courier New"/>
                <w:sz w:val="15"/>
                <w:szCs w:val="15"/>
                <w:color w:val="auto"/>
              </w:rPr>
              <w:t>-------------------------------</w:t>
            </w:r>
          </w:p>
        </w:tc>
      </w:tr>
      <w:tr>
        <w:trPr>
          <w:trHeight w:val="176"/>
        </w:trPr>
        <w:tc>
          <w:tcPr>
            <w:tcW w:w="7880" w:type="dxa"/>
            <w:vAlign w:val="bottom"/>
          </w:tcPr>
          <w:p>
            <w:pPr>
              <w:spacing w:after="0"/>
              <w:rPr>
                <w:sz w:val="15"/>
                <w:szCs w:val="15"/>
                <w:color w:val="auto"/>
              </w:rPr>
            </w:pPr>
          </w:p>
        </w:tc>
        <w:tc>
          <w:tcPr>
            <w:tcW w:w="26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(in thousands)</w:t>
            </w:r>
          </w:p>
        </w:tc>
      </w:tr>
      <w:tr>
        <w:trPr>
          <w:trHeight w:val="176"/>
        </w:trPr>
        <w:tc>
          <w:tcPr>
            <w:tcW w:w="7880" w:type="dxa"/>
            <w:vAlign w:val="bottom"/>
          </w:tcPr>
          <w:p>
            <w:pPr>
              <w:spacing w:after="0"/>
              <w:rPr>
                <w:sz w:val="15"/>
                <w:szCs w:val="15"/>
                <w:color w:val="auto"/>
              </w:rPr>
            </w:pPr>
          </w:p>
        </w:tc>
        <w:tc>
          <w:tcPr>
            <w:tcW w:w="12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Actual</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 adjusted</w:t>
            </w:r>
          </w:p>
        </w:tc>
      </w:tr>
      <w:tr>
        <w:trPr>
          <w:trHeight w:val="352"/>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$ 26,640</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$ 26,640</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Capital lease obligations, less current portion....................................</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18,142</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18,142</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Short-term portion of financing arrangement........................................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2,366</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2,366</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 Convertible Notes due June 1, 2008 (1)..........................................</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395,454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395,454</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0.50% Convertible Senior Notes due 2024 (1)........................................</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450,000</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 indebtedness.......................................................</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442,602</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892,602</w:t>
            </w:r>
          </w:p>
        </w:tc>
      </w:tr>
      <w:tr>
        <w:trPr>
          <w:trHeight w:val="176"/>
        </w:trPr>
        <w:tc>
          <w:tcPr>
            <w:tcW w:w="7880" w:type="dxa"/>
            <w:vAlign w:val="bottom"/>
          </w:tcPr>
          <w:p>
            <w:pPr>
              <w:jc w:val="right"/>
              <w:ind w:right="5884"/>
              <w:spacing w:after="0"/>
              <w:rPr>
                <w:sz w:val="20"/>
                <w:szCs w:val="20"/>
                <w:color w:val="auto"/>
              </w:rPr>
            </w:pPr>
            <w:r>
              <w:rPr>
                <w:rFonts w:ascii="Courier New" w:cs="Courier New" w:eastAsia="Courier New" w:hAnsi="Courier New"/>
                <w:sz w:val="15"/>
                <w:szCs w:val="15"/>
                <w:color w:val="auto"/>
              </w:rPr>
              <w:t>Shareholders' equity:</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880" w:type="dxa"/>
            <w:vAlign w:val="bottom"/>
          </w:tcPr>
          <w:p>
            <w:pPr>
              <w:ind w:left="360"/>
              <w:spacing w:after="0"/>
              <w:rPr>
                <w:sz w:val="20"/>
                <w:szCs w:val="20"/>
                <w:color w:val="auto"/>
              </w:rPr>
            </w:pPr>
            <w:r>
              <w:rPr>
                <w:rFonts w:ascii="Courier New" w:cs="Courier New" w:eastAsia="Courier New" w:hAnsi="Courier New"/>
                <w:sz w:val="15"/>
                <w:szCs w:val="15"/>
                <w:color w:val="auto"/>
              </w:rPr>
              <w:t>Preferred Shares - Authorized 25,000 shares;(pound)0.01 par value; 0 shares issued</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and outstanding..............................................................</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7880" w:type="dxa"/>
            <w:vAlign w:val="bottom"/>
          </w:tcPr>
          <w:p>
            <w:pPr>
              <w:ind w:left="360"/>
              <w:spacing w:after="0"/>
              <w:rPr>
                <w:sz w:val="20"/>
                <w:szCs w:val="20"/>
                <w:color w:val="auto"/>
              </w:rPr>
            </w:pPr>
            <w:r>
              <w:rPr>
                <w:rFonts w:ascii="Courier New" w:cs="Courier New" w:eastAsia="Courier New" w:hAnsi="Courier New"/>
                <w:sz w:val="15"/>
                <w:szCs w:val="15"/>
                <w:color w:val="auto"/>
              </w:rPr>
              <w:t>Ordinary Shares - Authorized 550,000 shares;(pound)0.01 par value; 224,318 issued</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and 211,596 outstanding and 205,522 outstanding, as adjusted (2).............</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3,589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3,589</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Additional paid-in capital.....................................................</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1,827,471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1,827,471</w:t>
            </w:r>
          </w:p>
        </w:tc>
      </w:tr>
      <w:tr>
        <w:trPr>
          <w:trHeight w:val="176"/>
        </w:trPr>
        <w:tc>
          <w:tcPr>
            <w:tcW w:w="7880" w:type="dxa"/>
            <w:vAlign w:val="bottom"/>
          </w:tcPr>
          <w:p>
            <w:pPr>
              <w:ind w:left="360"/>
              <w:spacing w:after="0"/>
              <w:rPr>
                <w:sz w:val="20"/>
                <w:szCs w:val="20"/>
                <w:color w:val="auto"/>
              </w:rPr>
            </w:pPr>
            <w:r>
              <w:rPr>
                <w:rFonts w:ascii="Courier New" w:cs="Courier New" w:eastAsia="Courier New" w:hAnsi="Courier New"/>
                <w:sz w:val="15"/>
                <w:szCs w:val="15"/>
                <w:color w:val="auto"/>
              </w:rPr>
              <w:t>Treasury Stock, at cost - 12,722 ordinary shares and 18,796 ordinary shares,</w:t>
            </w:r>
          </w:p>
        </w:tc>
        <w:tc>
          <w:tcPr>
            <w:tcW w:w="12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as adjusted (2)..............................................................</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(233,274)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(403,335)</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Accumulated other comprehensive income.........................................</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Accumulated deficit............................................................</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(74,302)</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(74,302)</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 shareholders' equity...............................................</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1,523,535</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1,353,474</w:t>
            </w:r>
          </w:p>
        </w:tc>
      </w:tr>
      <w:tr>
        <w:trPr>
          <w:trHeight w:val="176"/>
        </w:trPr>
        <w:tc>
          <w:tcPr>
            <w:tcW w:w="7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 capitalization.....................................................</w:t>
            </w:r>
          </w:p>
        </w:tc>
        <w:tc>
          <w:tcPr>
            <w:tcW w:w="122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$1,966,137</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$2,246,076</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jc w:val="both"/>
        <w:ind w:left="820" w:right="3200" w:hanging="559"/>
        <w:spacing w:after="0" w:line="248" w:lineRule="auto"/>
        <w:tabs>
          <w:tab w:leader="none" w:pos="80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We may use net proceeds from the sale of the 0.50% Notes and other cash resources to pay the repurchase price for the 2% Notes, which we may be required to repurchase from the holders thereof on June 1, 2004.</w:t>
      </w:r>
    </w:p>
    <w:p>
      <w:pPr>
        <w:spacing w:after="0" w:line="2" w:lineRule="exact"/>
        <w:rPr>
          <w:sz w:val="20"/>
          <w:szCs w:val="20"/>
          <w:color w:val="auto"/>
        </w:rPr>
      </w:pPr>
    </w:p>
    <w:p>
      <w:pPr>
        <w:ind w:left="820" w:right="3740"/>
        <w:spacing w:after="0" w:line="250" w:lineRule="auto"/>
        <w:rPr>
          <w:sz w:val="20"/>
          <w:szCs w:val="20"/>
          <w:color w:val="auto"/>
        </w:rPr>
      </w:pPr>
      <w:r>
        <w:rPr>
          <w:rFonts w:ascii="Courier New" w:cs="Courier New" w:eastAsia="Courier New" w:hAnsi="Courier New"/>
          <w:sz w:val="15"/>
          <w:szCs w:val="15"/>
          <w:color w:val="auto"/>
        </w:rPr>
        <w:t>Amounts presented do not give effect to any repurchases of the 2% Notes.</w:t>
      </w:r>
    </w:p>
    <w:p>
      <w:pPr>
        <w:spacing w:after="0" w:line="175" w:lineRule="exact"/>
        <w:rPr>
          <w:sz w:val="20"/>
          <w:szCs w:val="20"/>
          <w:color w:val="auto"/>
        </w:rPr>
      </w:pPr>
    </w:p>
    <w:p>
      <w:pPr>
        <w:ind w:left="820" w:right="3200" w:hanging="559"/>
        <w:spacing w:after="0" w:line="249" w:lineRule="auto"/>
        <w:tabs>
          <w:tab w:leader="none" w:pos="80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Reflects the purchase of approximately 6,074 ordinary shares on March 5, 2004, which were sold short by purchasers of the 0.50% Notes in negotiated transactions concurrently with that offering. Does not include 26,640 ordinary shares reserved for issuance upon the exercise of stock options that have been granted under our stock option plan and by companies we have acquired.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520"/>
          </w:cols>
          <w:pgMar w:left="240" w:top="647" w:right="1139" w:bottom="1440" w:gutter="0" w:footer="0" w:header="0"/>
        </w:sectPr>
      </w:pPr>
    </w:p>
    <w:bookmarkStart w:id="21" w:name="page22"/>
    <w:bookmarkEnd w:id="21"/>
    <w:p>
      <w:pPr>
        <w:ind w:left="2660"/>
        <w:spacing w:after="0"/>
        <w:rPr>
          <w:sz w:val="20"/>
          <w:szCs w:val="20"/>
          <w:color w:val="auto"/>
        </w:rPr>
      </w:pPr>
      <w:r>
        <w:rPr>
          <w:rFonts w:ascii="Courier New" w:cs="Courier New" w:eastAsia="Courier New" w:hAnsi="Courier New"/>
          <w:sz w:val="15"/>
          <w:szCs w:val="15"/>
          <w:color w:val="auto"/>
        </w:rPr>
        <w:t>SELLING SECURITYHOLDERS</w:t>
      </w:r>
    </w:p>
    <w:p>
      <w:pPr>
        <w:spacing w:after="0" w:line="182" w:lineRule="exact"/>
        <w:rPr>
          <w:sz w:val="20"/>
          <w:szCs w:val="20"/>
          <w:color w:val="auto"/>
        </w:rPr>
      </w:pPr>
    </w:p>
    <w:p>
      <w:pPr>
        <w:ind w:right="3580" w:firstLine="824"/>
        <w:spacing w:after="0" w:line="249" w:lineRule="auto"/>
        <w:rPr>
          <w:sz w:val="20"/>
          <w:szCs w:val="20"/>
          <w:color w:val="auto"/>
        </w:rPr>
      </w:pPr>
      <w:r>
        <w:rPr>
          <w:rFonts w:ascii="Courier New" w:cs="Courier New" w:eastAsia="Courier New" w:hAnsi="Courier New"/>
          <w:sz w:val="15"/>
          <w:szCs w:val="15"/>
          <w:color w:val="auto"/>
        </w:rPr>
        <w:t>We issued the ordinary shares covered by this prospectus in a private placement in connection with our acquisition of XACCT in February 2004. The following table sets forth, to our knowledge, certain information about the selling securityholders based on information provided by or on behalf of the selling securityholders in a questionnaire and is as of the date specified by the securityholders in those questionnaires. The percentages set forth below are based on 211,438,162 of our ordinary shares outstanding as of February 29, 2004.</w:t>
      </w:r>
    </w:p>
    <w:p>
      <w:pPr>
        <w:spacing w:after="0" w:line="175" w:lineRule="exact"/>
        <w:rPr>
          <w:sz w:val="20"/>
          <w:szCs w:val="20"/>
          <w:color w:val="auto"/>
        </w:rPr>
      </w:pPr>
    </w:p>
    <w:p>
      <w:pPr>
        <w:ind w:right="3580" w:firstLine="824"/>
        <w:spacing w:after="0" w:line="249"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voting or investment power with respect to shares. Unless otherwise indicated below, to our knowledge, all persons named in the table have sole voting and investment power with respect to their ordinary shares, except to the extent authority is shared by spouses under applicable law. The inclusion of any shares in this table does not constitute an admission of beneficial ownership for the person named below.</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3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Ordinary Shares</w:t>
            </w:r>
          </w:p>
        </w:tc>
        <w:tc>
          <w:tcPr>
            <w:tcW w:w="1420" w:type="dxa"/>
            <w:vAlign w:val="bottom"/>
          </w:tcPr>
          <w:p>
            <w:pPr>
              <w:spacing w:after="0"/>
              <w:rPr>
                <w:sz w:val="14"/>
                <w:szCs w:val="14"/>
                <w:color w:val="auto"/>
              </w:rPr>
            </w:pPr>
          </w:p>
        </w:tc>
        <w:tc>
          <w:tcPr>
            <w:tcW w:w="22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Ordinary Shares to be</w:t>
            </w:r>
          </w:p>
        </w:tc>
      </w:tr>
      <w:tr>
        <w:trPr>
          <w:trHeight w:val="176"/>
        </w:trPr>
        <w:tc>
          <w:tcPr>
            <w:tcW w:w="4940" w:type="dxa"/>
            <w:vAlign w:val="bottom"/>
          </w:tcPr>
          <w:p>
            <w:pPr>
              <w:spacing w:after="0"/>
              <w:rPr>
                <w:sz w:val="15"/>
                <w:szCs w:val="15"/>
                <w:color w:val="auto"/>
              </w:rPr>
            </w:pPr>
          </w:p>
        </w:tc>
        <w:tc>
          <w:tcPr>
            <w:tcW w:w="23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Beneficially Owned</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2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4940" w:type="dxa"/>
            <w:vAlign w:val="bottom"/>
          </w:tcPr>
          <w:p>
            <w:pPr>
              <w:spacing w:after="0"/>
              <w:rPr>
                <w:sz w:val="15"/>
                <w:szCs w:val="15"/>
                <w:color w:val="auto"/>
              </w:rPr>
            </w:pPr>
          </w:p>
        </w:tc>
        <w:tc>
          <w:tcPr>
            <w:tcW w:w="23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Prior to Offering (1)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Ordinary</w:t>
            </w:r>
          </w:p>
        </w:tc>
        <w:tc>
          <w:tcPr>
            <w:tcW w:w="2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After Offering (1)(2)</w:t>
            </w:r>
          </w:p>
        </w:tc>
      </w:tr>
      <w:tr>
        <w:trPr>
          <w:trHeight w:val="176"/>
        </w:trPr>
        <w:tc>
          <w:tcPr>
            <w:tcW w:w="4940" w:type="dxa"/>
            <w:vAlign w:val="bottom"/>
          </w:tcPr>
          <w:p>
            <w:pPr>
              <w:spacing w:after="0"/>
              <w:rPr>
                <w:sz w:val="15"/>
                <w:szCs w:val="15"/>
                <w:color w:val="auto"/>
              </w:rPr>
            </w:pPr>
          </w:p>
        </w:tc>
        <w:tc>
          <w:tcPr>
            <w:tcW w:w="2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Shares</w:t>
            </w:r>
          </w:p>
        </w:tc>
        <w:tc>
          <w:tcPr>
            <w:tcW w:w="2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ind w:left="820"/>
              <w:spacing w:after="0"/>
              <w:rPr>
                <w:sz w:val="20"/>
                <w:szCs w:val="20"/>
                <w:color w:val="auto"/>
              </w:rPr>
            </w:pPr>
            <w:r>
              <w:rPr>
                <w:rFonts w:ascii="Courier New" w:cs="Courier New" w:eastAsia="Courier New" w:hAnsi="Courier New"/>
                <w:sz w:val="15"/>
                <w:szCs w:val="15"/>
                <w:color w:val="auto"/>
              </w:rPr>
              <w:t>Name of Selling Securityholder (3)</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Percentage</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Being Offered</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Percentage</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40" w:type="dxa"/>
            <w:vAlign w:val="bottom"/>
          </w:tcPr>
          <w:p>
            <w:pPr>
              <w:spacing w:after="0"/>
              <w:rPr>
                <w:sz w:val="20"/>
                <w:szCs w:val="20"/>
                <w:color w:val="auto"/>
              </w:rPr>
            </w:pPr>
            <w:r>
              <w:rPr>
                <w:rFonts w:ascii="Courier New" w:cs="Courier New" w:eastAsia="Courier New" w:hAnsi="Courier New"/>
                <w:sz w:val="15"/>
                <w:szCs w:val="15"/>
                <w:color w:val="auto"/>
              </w:rPr>
              <w:t>Ampal - American Israel Corporation(4).............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8,058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8,058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Ampal Industries (Israel) Ltd.(4)..................</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74,682</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74,682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Marinera Ltd.......................................</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2,095</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2,095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Inveco International, Inc..........................</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845</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845</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Israel Seed Limited Partnership....................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7,610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7,610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Israel Seed II, L.P................................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9,883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9,883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Technorov Holdings 1993 Ltd........................</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9,754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9,754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WSG Capital, L.P.(5)...............................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5,071</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5,071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WSG Capital II, L.P.(5)............................</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4,823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4,823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Information Associates-II, L.P.(6).................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61,698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61,698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IA-II Affiliates Fund, L.L.C.(6)...................</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3,599</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3,599</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Eucalyptus Ventures LP.............................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21,966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21,966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Eucalyptus Ventures (Israel) LP....................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1,104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1,104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Eucalyptus Ventures (Cayman) LP....................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663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Eucalyptus Ventures (Affiliated) LP................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TCV III (GP)(7)....................................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401</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401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TCV III, L.P.(7)...................................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1,904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1,904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TCV III (Q), L.P.(7)...............................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50,613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50,613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TCV III Strategic Partners, L.P.(7)................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2,292</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2,292</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TCV IV, L.P.(7)....................................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71,987</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71,987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TCV IV Strategic Partners, L.P.(7).................</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2,684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2,684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Deutsche Bank AG, London Branch....................</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415,794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19,487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396,307</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Globe LinQ International Fund I, LLC...............</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9,647</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9,647</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Infocom Corporation................................</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6,493</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6,493</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Sun Microsystems, Inc..............................</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129,864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129,864</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Dell Ventures L.P..................................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32,466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32,466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Old Point International Corporation................</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12,986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Credit Suisse First Boston Venture Fund I, L.P.....</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1,948</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John D. Sternfield..................................</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4940" w:type="dxa"/>
            <w:vAlign w:val="bottom"/>
          </w:tcPr>
          <w:p>
            <w:pPr>
              <w:spacing w:after="0"/>
              <w:rPr>
                <w:sz w:val="20"/>
                <w:szCs w:val="20"/>
                <w:color w:val="auto"/>
              </w:rPr>
            </w:pPr>
            <w:r>
              <w:rPr>
                <w:rFonts w:ascii="Courier New" w:cs="Courier New" w:eastAsia="Courier New" w:hAnsi="Courier New"/>
                <w:sz w:val="15"/>
                <w:szCs w:val="15"/>
                <w:color w:val="auto"/>
              </w:rPr>
              <w:t>Edward &amp; Marie Jackson..............................</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88"/>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529"/>
        </w:trPr>
        <w:tc>
          <w:tcPr>
            <w:tcW w:w="4940" w:type="dxa"/>
            <w:vAlign w:val="bottom"/>
          </w:tcPr>
          <w:p>
            <w:pPr>
              <w:ind w:left="3560"/>
              <w:spacing w:after="0"/>
              <w:rPr>
                <w:sz w:val="20"/>
                <w:szCs w:val="20"/>
                <w:color w:val="auto"/>
              </w:rPr>
            </w:pPr>
            <w:r>
              <w:rPr>
                <w:rFonts w:ascii="Courier New" w:cs="Courier New" w:eastAsia="Courier New" w:hAnsi="Courier New"/>
                <w:sz w:val="15"/>
                <w:szCs w:val="15"/>
                <w:color w:val="auto"/>
              </w:rPr>
              <w:t>17</w:t>
            </w:r>
          </w:p>
        </w:tc>
        <w:tc>
          <w:tcPr>
            <w:tcW w:w="1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900"/>
          </w:cols>
          <w:pgMar w:left="240" w:top="647" w:right="759" w:bottom="1440" w:gutter="0" w:footer="0" w:header="0"/>
        </w:sectPr>
      </w:pPr>
    </w:p>
    <w:bookmarkStart w:id="22" w:name="page23"/>
    <w:bookmarkEnd w:id="22"/>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Ordinary Shares</w:t>
            </w:r>
          </w:p>
        </w:tc>
        <w:tc>
          <w:tcPr>
            <w:tcW w:w="1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Ordinary Shares to be</w:t>
            </w:r>
          </w:p>
        </w:tc>
      </w:tr>
      <w:tr>
        <w:trPr>
          <w:trHeight w:val="176"/>
        </w:trPr>
        <w:tc>
          <w:tcPr>
            <w:tcW w:w="5040" w:type="dxa"/>
            <w:vAlign w:val="bottom"/>
          </w:tcPr>
          <w:p>
            <w:pPr>
              <w:spacing w:after="0"/>
              <w:rPr>
                <w:sz w:val="15"/>
                <w:szCs w:val="15"/>
                <w:color w:val="auto"/>
              </w:rPr>
            </w:pPr>
          </w:p>
        </w:tc>
        <w:tc>
          <w:tcPr>
            <w:tcW w:w="220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Beneficially Owned</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Number of</w:t>
            </w:r>
          </w:p>
        </w:tc>
        <w:tc>
          <w:tcPr>
            <w:tcW w:w="2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Beneficially Owned</w:t>
            </w:r>
          </w:p>
        </w:tc>
      </w:tr>
      <w:tr>
        <w:trPr>
          <w:trHeight w:val="176"/>
        </w:trPr>
        <w:tc>
          <w:tcPr>
            <w:tcW w:w="5040" w:type="dxa"/>
            <w:vAlign w:val="bottom"/>
          </w:tcPr>
          <w:p>
            <w:pPr>
              <w:spacing w:after="0"/>
              <w:rPr>
                <w:sz w:val="15"/>
                <w:szCs w:val="15"/>
                <w:color w:val="auto"/>
              </w:rPr>
            </w:pPr>
          </w:p>
        </w:tc>
        <w:tc>
          <w:tcPr>
            <w:tcW w:w="2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Prior to Offering (1)</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Ordinary</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After Offering (1)(2)</w:t>
            </w:r>
          </w:p>
        </w:tc>
      </w:tr>
      <w:tr>
        <w:trPr>
          <w:trHeight w:val="176"/>
        </w:trPr>
        <w:tc>
          <w:tcPr>
            <w:tcW w:w="5040" w:type="dxa"/>
            <w:vAlign w:val="bottom"/>
          </w:tcPr>
          <w:p>
            <w:pPr>
              <w:spacing w:after="0"/>
              <w:rPr>
                <w:sz w:val="15"/>
                <w:szCs w:val="15"/>
                <w:color w:val="auto"/>
              </w:rPr>
            </w:pPr>
          </w:p>
        </w:tc>
        <w:tc>
          <w:tcPr>
            <w:tcW w:w="2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Shares</w:t>
            </w:r>
          </w:p>
        </w:tc>
        <w:tc>
          <w:tcPr>
            <w:tcW w:w="2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Name of Selling Securityholder (continued)(3)</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Percentage</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9"/>
              </w:rPr>
              <w:t>Being Offered</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Percentage</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Tad W. Piper.........................................</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129</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H&amp;Q Employee Venture Fund 2000, L.P..................</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Hambrecht &amp; Quist California.........................</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260</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260</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Eric Zimits..........................................</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Mark Zanoli..........................................</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Erez Levy............................................</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Werner Robert Genieser...............................</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Bill Duff............................................</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Plenus Technologies Ltd..............................</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4,545</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4,545</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957,084</w:t>
            </w:r>
          </w:p>
        </w:tc>
        <w:tc>
          <w:tcPr>
            <w:tcW w:w="11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560,777</w:t>
            </w:r>
          </w:p>
        </w:tc>
        <w:tc>
          <w:tcPr>
            <w:tcW w:w="11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466" w:hanging="466"/>
        <w:spacing w:after="0"/>
        <w:tabs>
          <w:tab w:leader="none" w:pos="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82" w:lineRule="exact"/>
        <w:rPr>
          <w:sz w:val="20"/>
          <w:szCs w:val="20"/>
          <w:color w:val="auto"/>
        </w:rPr>
      </w:pPr>
    </w:p>
    <w:p>
      <w:pPr>
        <w:ind w:left="466" w:right="358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ordinary shares listed as owned by the selling securityholders, a total of 68,529 ordinary shares are held in an escrow account to secure indemnification obligations of the former shareholders of XACCT to us. We expect that these ordinary shares, less any ordinary shares that may be distributed from the escrow account to us in satisfaction of indemnification claims, will be released from escrow and distributed to the selling securityholders on August 19, 2005. The number of ordinary shares indicated as owned by each selling securityholder includes those ordinary shares that such selling securityholder is entitled to receive upon distribution of these shares from the escrow account.</w:t>
      </w:r>
    </w:p>
    <w:p>
      <w:pPr>
        <w:spacing w:after="0" w:line="175" w:lineRule="exact"/>
        <w:rPr>
          <w:rFonts w:ascii="Courier New" w:cs="Courier New" w:eastAsia="Courier New" w:hAnsi="Courier New"/>
          <w:sz w:val="15"/>
          <w:szCs w:val="15"/>
          <w:color w:val="auto"/>
        </w:rPr>
      </w:pPr>
    </w:p>
    <w:p>
      <w:pPr>
        <w:ind w:left="466" w:right="358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know when or in what amounts a selling securityholder may offer ordinary shares for sale. The selling securityholders might not sell any or all of the shares offered by this prospectus. Because the selling securityholders may offer all or some of the shares pursuant to this offering, and because there are currently no agreements, arrangements or understandings with respect to the sale of any of the shares, we cannot estimate the number of the ordinary shares that will be held by the selling securityholders after completion of the offering. However, for purposes of this table, we have assumed that, after completion of this offering, none of the ordinary shares covered by this prospectus will be held by the selling securityholder.</w:t>
      </w:r>
    </w:p>
    <w:p>
      <w:pPr>
        <w:spacing w:after="0" w:line="175" w:lineRule="exact"/>
        <w:rPr>
          <w:rFonts w:ascii="Courier New" w:cs="Courier New" w:eastAsia="Courier New" w:hAnsi="Courier New"/>
          <w:sz w:val="15"/>
          <w:szCs w:val="15"/>
          <w:color w:val="auto"/>
        </w:rPr>
      </w:pPr>
    </w:p>
    <w:p>
      <w:pPr>
        <w:ind w:left="466" w:right="358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former shareholders of XACCT appointed Fahn KanneTrust Limited as their agents and representatives. The address of each of the selling securityholders is c/o Fahn KanneTrust Limited, 23 Menachem Begin Road, Tel Aviv 66184, Israel.</w:t>
      </w:r>
    </w:p>
    <w:p>
      <w:pPr>
        <w:spacing w:after="0" w:line="175" w:lineRule="exact"/>
        <w:rPr>
          <w:rFonts w:ascii="Courier New" w:cs="Courier New" w:eastAsia="Courier New" w:hAnsi="Courier New"/>
          <w:sz w:val="15"/>
          <w:szCs w:val="15"/>
          <w:color w:val="auto"/>
        </w:rPr>
      </w:pPr>
    </w:p>
    <w:p>
      <w:pPr>
        <w:ind w:left="466" w:right="358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Ampal Industries (Israel) Ltd. is owned by Ampal Industries Inc., which is owned by Ampal American-Israel Corporation. Ampal American Israel Corporation is a public company traded on the Nasdaq National Market. Mr. Yosef A. Maiman is the beneficial owner of 59.58% of the outstanding shares of Class A stock of Ampal American Israel Corporation.</w:t>
      </w:r>
    </w:p>
    <w:p>
      <w:pPr>
        <w:spacing w:after="0" w:line="175" w:lineRule="exact"/>
        <w:rPr>
          <w:rFonts w:ascii="Courier New" w:cs="Courier New" w:eastAsia="Courier New" w:hAnsi="Courier New"/>
          <w:sz w:val="15"/>
          <w:szCs w:val="15"/>
          <w:color w:val="auto"/>
        </w:rPr>
      </w:pPr>
    </w:p>
    <w:p>
      <w:pPr>
        <w:ind w:left="466" w:right="358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partner of WSG Capital, L.P. and WSG Capital II, L.P. is WSG Management, LLC. All of the membership interests of WSG Management, LLC are held in equal parts by Eran Wagner, Limor Schweitzer and Eric Gries. Each of Eran Wagner, Limor Schweitzer and Eric Gries was a significant shareholder of XACCT. In addition, Mr. Wagner served as Chairman of the Board of Directors and Executive Vice President-Technologies, Mr. Schweitzer served as Chief Technology Officer and a director, and Mr. Gries served as President and Chief Executive Officer of XACCT. Each of these persons is currently employed by us or our affiliates. Each of these persons disclaims beneficial ownership of such shares except to the extent of his pecuniary interest therein.</w:t>
      </w:r>
    </w:p>
    <w:p>
      <w:pPr>
        <w:spacing w:after="0" w:line="175" w:lineRule="exact"/>
        <w:rPr>
          <w:rFonts w:ascii="Courier New" w:cs="Courier New" w:eastAsia="Courier New" w:hAnsi="Courier New"/>
          <w:sz w:val="15"/>
          <w:szCs w:val="15"/>
          <w:color w:val="auto"/>
        </w:rPr>
      </w:pPr>
    </w:p>
    <w:p>
      <w:pPr>
        <w:ind w:left="466" w:right="366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Todd A. Springer is a Managing Director of Trident Capital Management, L.L.C., which is the General Partner of Information Associates-II, L.P. He is also a Managing Director and Member of IA-II Affiliates, L.L.C. Mr. Springer served as a director of XACCT from October 1998 until its acquisition. Mr. Springer disclaims beneficial ownership of such shares except to the extent of his pecuniary interest therein.</w:t>
      </w:r>
    </w:p>
    <w:p>
      <w:pPr>
        <w:spacing w:after="0" w:line="175" w:lineRule="exact"/>
        <w:rPr>
          <w:rFonts w:ascii="Courier New" w:cs="Courier New" w:eastAsia="Courier New" w:hAnsi="Courier New"/>
          <w:sz w:val="15"/>
          <w:szCs w:val="15"/>
          <w:color w:val="auto"/>
        </w:rPr>
      </w:pPr>
    </w:p>
    <w:p>
      <w:pPr>
        <w:ind w:left="466" w:right="3760" w:hanging="466"/>
        <w:spacing w:after="0" w:line="249" w:lineRule="auto"/>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Jon Q. Reynolds, Jr. is a non-managing Member of Technology Crossover Management III, L.L.C. which is the Managing General Partner of TCV III (GP) and the sole General Partner of TCV III, L.P., TCV III (Q), L.P. and TCV III Strategic Partners, L.P. He is also a non-managing Member of Technology Crossover Management IV, L.L.C. which is the sole General Partner of TCV IV, L.P. and TCV IV Strategic Partners,</w:t>
      </w:r>
    </w:p>
    <w:p>
      <w:pPr>
        <w:spacing w:after="0" w:line="200" w:lineRule="exact"/>
        <w:rPr>
          <w:sz w:val="20"/>
          <w:szCs w:val="20"/>
          <w:color w:val="auto"/>
        </w:rPr>
      </w:pPr>
    </w:p>
    <w:p>
      <w:pPr>
        <w:spacing w:after="0" w:line="32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906"/>
          </w:cols>
          <w:pgMar w:left="234" w:top="999" w:right="759" w:bottom="129" w:gutter="0" w:footer="0" w:header="0"/>
        </w:sectPr>
      </w:pPr>
    </w:p>
    <w:bookmarkStart w:id="23" w:name="page24"/>
    <w:bookmarkEnd w:id="23"/>
    <w:p>
      <w:pPr>
        <w:ind w:left="460" w:right="3259"/>
        <w:spacing w:after="0" w:line="249" w:lineRule="auto"/>
        <w:rPr>
          <w:sz w:val="20"/>
          <w:szCs w:val="20"/>
          <w:color w:val="auto"/>
        </w:rPr>
      </w:pPr>
      <w:r>
        <w:rPr>
          <w:rFonts w:ascii="Courier New" w:cs="Courier New" w:eastAsia="Courier New" w:hAnsi="Courier New"/>
          <w:sz w:val="15"/>
          <w:szCs w:val="15"/>
          <w:color w:val="auto"/>
        </w:rPr>
        <w:t>L.P. Mr. Reynolds was a director of XACCT from October 1999 until its acquisition. Mr. Reynolds disclaims beneficial ownership of such shares except to the extent of his pecuniary interest therein.</w:t>
      </w:r>
    </w:p>
    <w:p>
      <w:pPr>
        <w:spacing w:after="0" w:line="176" w:lineRule="exact"/>
        <w:rPr>
          <w:sz w:val="20"/>
          <w:szCs w:val="20"/>
          <w:color w:val="auto"/>
        </w:rPr>
      </w:pPr>
    </w:p>
    <w:p>
      <w:pPr>
        <w:jc w:val="both"/>
        <w:ind w:right="3079" w:firstLine="824"/>
        <w:spacing w:after="0" w:line="249" w:lineRule="auto"/>
        <w:rPr>
          <w:sz w:val="20"/>
          <w:szCs w:val="20"/>
          <w:color w:val="auto"/>
        </w:rPr>
      </w:pPr>
      <w:r>
        <w:rPr>
          <w:rFonts w:ascii="Courier New" w:cs="Courier New" w:eastAsia="Courier New" w:hAnsi="Courier New"/>
          <w:sz w:val="15"/>
          <w:szCs w:val="15"/>
          <w:color w:val="auto"/>
        </w:rPr>
        <w:t>Except as indicated, none of the selling securityholders has held any position or office with, or has otherwise had a material relationship with, us or any of our subsidiaries within the past three years.</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24" w:name="page25"/>
    <w:bookmarkEnd w:id="24"/>
    <w:p>
      <w:pPr>
        <w:ind w:left="2380"/>
        <w:spacing w:after="0"/>
        <w:rPr>
          <w:sz w:val="20"/>
          <w:szCs w:val="20"/>
          <w:color w:val="auto"/>
        </w:rPr>
      </w:pPr>
      <w:r>
        <w:rPr>
          <w:rFonts w:ascii="Courier New" w:cs="Courier New" w:eastAsia="Courier New" w:hAnsi="Courier New"/>
          <w:sz w:val="15"/>
          <w:szCs w:val="15"/>
          <w:color w:val="auto"/>
        </w:rPr>
        <w:t>DESCRIPTION OF SHARE CAPITAL</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76" w:lineRule="exact"/>
        <w:rPr>
          <w:sz w:val="20"/>
          <w:szCs w:val="20"/>
          <w:color w:val="auto"/>
        </w:rPr>
      </w:pPr>
    </w:p>
    <w:p>
      <w:pPr>
        <w:ind w:right="3079" w:firstLine="824"/>
        <w:spacing w:after="0" w:line="249" w:lineRule="auto"/>
        <w:rPr>
          <w:sz w:val="20"/>
          <w:szCs w:val="20"/>
          <w:color w:val="auto"/>
        </w:rPr>
      </w:pPr>
      <w:r>
        <w:rPr>
          <w:rFonts w:ascii="Courier New" w:cs="Courier New" w:eastAsia="Courier New" w:hAnsi="Courier New"/>
          <w:sz w:val="15"/>
          <w:szCs w:val="15"/>
          <w:color w:val="auto"/>
        </w:rPr>
        <w:t>The share capital of Amdocs is (pound)5,750,000 divided into (i) 25,000,000 preferred shares with a par value of (pound)0.01 per share and (ii) 550,000,000 ordinary shares with a par value of (pound)0.01 per share, consisting of 500,000,000 voting ordinary shares and 50,000,000 non-voting ordinary shares. As of February 29, 2004, 211,438,162 ordinary shares were outstanding (net of treasury shares) and no non-voting ordinary shares or preferred shares were outstanding. The rights, preferences and restrictions attaching to each class of the shares are as follows: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PREFERRED SHARES</w:t>
      </w:r>
    </w:p>
    <w:p>
      <w:pPr>
        <w:spacing w:after="0" w:line="182" w:lineRule="exact"/>
        <w:rPr>
          <w:sz w:val="20"/>
          <w:szCs w:val="20"/>
          <w:color w:val="auto"/>
        </w:rPr>
      </w:pPr>
    </w:p>
    <w:p>
      <w:pPr>
        <w:ind w:left="1280" w:right="3179" w:hanging="462"/>
        <w:spacing w:after="0" w:line="249" w:lineRule="auto"/>
        <w:tabs>
          <w:tab w:leader="none" w:pos="1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the preferred shares may be issued from time to time in one or more series of any number of shares up to the amount authorized.</w:t>
      </w:r>
    </w:p>
    <w:p>
      <w:pPr>
        <w:spacing w:after="0" w:line="175" w:lineRule="exact"/>
        <w:rPr>
          <w:rFonts w:ascii="Courier New" w:cs="Courier New" w:eastAsia="Courier New" w:hAnsi="Courier New"/>
          <w:sz w:val="15"/>
          <w:szCs w:val="15"/>
          <w:color w:val="auto"/>
        </w:rPr>
      </w:pPr>
    </w:p>
    <w:p>
      <w:pPr>
        <w:ind w:left="1280" w:right="2979" w:hanging="462"/>
        <w:spacing w:after="0" w:line="249" w:lineRule="auto"/>
        <w:tabs>
          <w:tab w:leader="none" w:pos="1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to Issue Preferred Shares -- authority is vested in the directors from time to time to authorize the issue of one or more series of preferred shares and to provide for the designations, powers, preferences and relative participating, optional or other special rights and qualifications, limitations or restrictions thereon.</w:t>
      </w:r>
    </w:p>
    <w:p>
      <w:pPr>
        <w:spacing w:after="0" w:line="175" w:lineRule="exact"/>
        <w:rPr>
          <w:rFonts w:ascii="Courier New" w:cs="Courier New" w:eastAsia="Courier New" w:hAnsi="Courier New"/>
          <w:sz w:val="15"/>
          <w:szCs w:val="15"/>
          <w:color w:val="auto"/>
        </w:rPr>
      </w:pPr>
    </w:p>
    <w:p>
      <w:pPr>
        <w:ind w:left="1280" w:right="2899" w:hanging="462"/>
        <w:spacing w:after="0" w:line="249" w:lineRule="auto"/>
        <w:tabs>
          <w:tab w:leader="none" w:pos="1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Rights -- all shares of any one series of preferred shares must be identical with each other in all respects, except that shares of any one series issued at different times may differ as to the dates from which dividends shall be cumulative.</w:t>
      </w:r>
    </w:p>
    <w:p>
      <w:pPr>
        <w:spacing w:after="0" w:line="175" w:lineRule="exact"/>
        <w:rPr>
          <w:rFonts w:ascii="Courier New" w:cs="Courier New" w:eastAsia="Courier New" w:hAnsi="Courier New"/>
          <w:sz w:val="15"/>
          <w:szCs w:val="15"/>
          <w:color w:val="auto"/>
        </w:rPr>
      </w:pPr>
    </w:p>
    <w:p>
      <w:pPr>
        <w:ind w:left="1280" w:right="2899" w:hanging="462"/>
        <w:spacing w:after="0" w:line="249" w:lineRule="auto"/>
        <w:tabs>
          <w:tab w:leader="none" w:pos="1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in the event of any liquidation, dissolution or winding-up, the holders of our preferred shares are entitled to preference 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175" w:lineRule="exact"/>
        <w:rPr>
          <w:rFonts w:ascii="Courier New" w:cs="Courier New" w:eastAsia="Courier New" w:hAnsi="Courier New"/>
          <w:sz w:val="15"/>
          <w:szCs w:val="15"/>
          <w:color w:val="auto"/>
        </w:rPr>
      </w:pPr>
    </w:p>
    <w:p>
      <w:pPr>
        <w:ind w:left="1280" w:right="2899" w:hanging="462"/>
        <w:spacing w:after="0" w:line="249" w:lineRule="auto"/>
        <w:tabs>
          <w:tab w:leader="none" w:pos="12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except as otherwise provided for by the directors upon the issue of any new series of preferred shares, the holders of shares of preferred shares have no right or power to vote on any question or in any proceeding or to be represented at, or to receive notice of, any meeting of members.</w:t>
      </w:r>
    </w:p>
    <w:p>
      <w:pPr>
        <w:spacing w:after="0" w:line="35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ORDINARY SHARES AND NON-VOTING ORDINARY SHARES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Except as otherwise provided by the Memorandum of Association and Articles of Association, the ordinary shares and non-voting ordinary shares are identical and entitle holders thereof to the same rights and privileges.</w:t>
      </w:r>
    </w:p>
    <w:p>
      <w:pPr>
        <w:spacing w:after="0" w:line="176" w:lineRule="exact"/>
        <w:rPr>
          <w:sz w:val="20"/>
          <w:szCs w:val="20"/>
          <w:color w:val="auto"/>
        </w:rPr>
      </w:pPr>
    </w:p>
    <w:p>
      <w:pPr>
        <w:ind w:left="1280" w:right="2899" w:hanging="462"/>
        <w:spacing w:after="0" w:line="249" w:lineRule="auto"/>
        <w:tabs>
          <w:tab w:leader="none" w:pos="1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 when and as dividends are declared on our shares, the holders of voting ordinary shares and non-voting ordinary shares are entitled to share 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75" w:lineRule="exact"/>
        <w:rPr>
          <w:rFonts w:ascii="Courier New" w:cs="Courier New" w:eastAsia="Courier New" w:hAnsi="Courier New"/>
          <w:sz w:val="15"/>
          <w:szCs w:val="15"/>
          <w:color w:val="auto"/>
        </w:rPr>
      </w:pPr>
    </w:p>
    <w:p>
      <w:pPr>
        <w:ind w:left="1280" w:right="2899" w:hanging="462"/>
        <w:spacing w:after="0" w:line="249" w:lineRule="auto"/>
        <w:tabs>
          <w:tab w:leader="none" w:pos="12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Non-Voting Ordinary Shares into Voting Ordinary Shares -- upon the transfer of non-voting ordinary shares from the original holder thereof to any third party not affiliated with such original holder, non-voting ordinary shares are redesignated in our books as voting ordinary shares and automatically convert into the same number of voting ordinary shares.</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47" w:right="1440" w:bottom="1440" w:gutter="0" w:footer="0" w:header="0"/>
        </w:sectPr>
      </w:pPr>
    </w:p>
    <w:bookmarkStart w:id="25" w:name="page26"/>
    <w:bookmarkEnd w:id="25"/>
    <w:p>
      <w:pPr>
        <w:ind w:left="462" w:right="2899" w:hanging="462"/>
        <w:spacing w:after="0" w:line="249" w:lineRule="auto"/>
        <w:tabs>
          <w:tab w:leader="none" w:pos="46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 upon any liquidation, dissolution or winding-up, any of our assets remaining after creditors and the holders of any preferred shares have been paid in full shall be distributed to the holders of voting ordinary shares and non-voting ordinary shares equally share for share.</w:t>
      </w:r>
    </w:p>
    <w:p>
      <w:pPr>
        <w:spacing w:after="0" w:line="175" w:lineRule="exact"/>
        <w:rPr>
          <w:rFonts w:ascii="Courier New" w:cs="Courier New" w:eastAsia="Courier New" w:hAnsi="Courier New"/>
          <w:sz w:val="15"/>
          <w:szCs w:val="15"/>
          <w:color w:val="auto"/>
        </w:rPr>
      </w:pPr>
    </w:p>
    <w:p>
      <w:pPr>
        <w:ind w:left="462" w:right="2899" w:hanging="462"/>
        <w:spacing w:after="0" w:line="249" w:lineRule="auto"/>
        <w:tabs>
          <w:tab w:leader="none" w:pos="46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Rights -- the holders of voting ordinary shares are entitled to vote on all matters to be voted on by the members, and the holders of non-voting ordinary shares are not entitled to any voting rights.</w:t>
      </w:r>
    </w:p>
    <w:p>
      <w:pPr>
        <w:spacing w:after="0" w:line="175" w:lineRule="exact"/>
        <w:rPr>
          <w:rFonts w:ascii="Courier New" w:cs="Courier New" w:eastAsia="Courier New" w:hAnsi="Courier New"/>
          <w:sz w:val="15"/>
          <w:szCs w:val="15"/>
          <w:color w:val="auto"/>
        </w:rPr>
      </w:pPr>
    </w:p>
    <w:p>
      <w:pPr>
        <w:ind w:left="462" w:right="2979" w:hanging="462"/>
        <w:spacing w:after="0" w:line="249" w:lineRule="auto"/>
        <w:tabs>
          <w:tab w:leader="none" w:pos="46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Preferences -- the voting ordinary shares and non-voting ordinary shares are subject to all the powers, rights, privileges, preferences and priorities of the preferred shares as are set out in the Articles of Association.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742"/>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401"/>
          </w:cols>
          <w:pgMar w:left="1058" w:top="647" w:right="1440" w:bottom="1440" w:gutter="0" w:footer="0" w:header="0"/>
        </w:sectPr>
      </w:pPr>
    </w:p>
    <w:bookmarkStart w:id="26" w:name="page27"/>
    <w:bookmarkEnd w:id="26"/>
    <w:p>
      <w:pPr>
        <w:ind w:left="1180"/>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following discussion is a summary of the material differences between United States and Guernsey corporate law relevant to an investment in the ordinary shares and is based on the advice of Hale and Dorr LLP, with respect to the corporate law of the United States, and Carey Olsen, with respect to the corporate law of Guernsey. The following discussion is based upon laws and relevant interpretations thereof in effect as of the date hereof, all of which are subject to change.</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5"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36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5"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999" w:right="1440" w:bottom="1440" w:gutter="0" w:footer="0" w:header="0"/>
        </w:sectPr>
      </w:pPr>
    </w:p>
    <w:bookmarkStart w:id="27" w:name="page28"/>
    <w:bookmarkEnd w:id="27"/>
    <w:p>
      <w:pPr>
        <w:ind w:left="2740"/>
        <w:spacing w:after="0"/>
        <w:rPr>
          <w:sz w:val="20"/>
          <w:szCs w:val="20"/>
          <w:color w:val="auto"/>
        </w:rPr>
      </w:pPr>
      <w:r>
        <w:rPr>
          <w:rFonts w:ascii="Courier New" w:cs="Courier New" w:eastAsia="Courier New" w:hAnsi="Courier New"/>
          <w:sz w:val="15"/>
          <w:szCs w:val="15"/>
          <w:color w:val="auto"/>
        </w:rPr>
        <w:t>PLAN OF DISTRIBUTION</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selling securityholders may offer and sell the ordinary shares covered by this prospectus from time to time. The term "selling securityholders" includes donees, pledgees, transferees, distributees or other successors-in-interest selling shares received after the date of this prospectus from a selling securityholder as a gift, pledge, partnership or limited liability company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ordinary shares by one or more of, or a combination of, the following methods:</w:t>
      </w:r>
    </w:p>
    <w:p>
      <w:pPr>
        <w:spacing w:after="0" w:line="175" w:lineRule="exact"/>
        <w:rPr>
          <w:sz w:val="20"/>
          <w:szCs w:val="20"/>
          <w:color w:val="auto"/>
        </w:rPr>
      </w:pPr>
    </w:p>
    <w:p>
      <w:pPr>
        <w:ind w:left="1280" w:right="3259" w:hanging="462"/>
        <w:spacing w:after="0" w:line="250" w:lineRule="auto"/>
        <w:tabs>
          <w:tab w:leader="none" w:pos="1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broker-dealer as principal and resale by such broker-dealer for its own account pursuant to this prospectus;</w:t>
      </w:r>
    </w:p>
    <w:p>
      <w:pPr>
        <w:spacing w:after="0" w:line="174" w:lineRule="exact"/>
        <w:rPr>
          <w:rFonts w:ascii="Courier New" w:cs="Courier New" w:eastAsia="Courier New" w:hAnsi="Courier New"/>
          <w:sz w:val="15"/>
          <w:szCs w:val="15"/>
          <w:color w:val="auto"/>
        </w:rPr>
      </w:pPr>
    </w:p>
    <w:p>
      <w:pPr>
        <w:ind w:left="1280" w:right="3359" w:hanging="462"/>
        <w:spacing w:after="0" w:line="250" w:lineRule="auto"/>
        <w:tabs>
          <w:tab w:leader="none" w:pos="1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purchasers;</w:t>
      </w:r>
    </w:p>
    <w:p>
      <w:pPr>
        <w:spacing w:after="0" w:line="174" w:lineRule="exact"/>
        <w:rPr>
          <w:rFonts w:ascii="Courier New" w:cs="Courier New" w:eastAsia="Courier New" w:hAnsi="Courier New"/>
          <w:sz w:val="15"/>
          <w:szCs w:val="15"/>
          <w:color w:val="auto"/>
        </w:rPr>
      </w:pPr>
    </w:p>
    <w:p>
      <w:pPr>
        <w:ind w:left="1280" w:right="2899" w:hanging="462"/>
        <w:spacing w:after="0" w:line="249" w:lineRule="auto"/>
        <w:tabs>
          <w:tab w:leader="none" w:pos="1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block trades in which the broker-dealer so engaged will attempt to sell the shares as agent but may position and resell a portion of the block as principal to facilitate the transaction;</w:t>
      </w:r>
    </w:p>
    <w:p>
      <w:pPr>
        <w:spacing w:after="0" w:line="175" w:lineRule="exact"/>
        <w:rPr>
          <w:rFonts w:ascii="Courier New" w:cs="Courier New" w:eastAsia="Courier New" w:hAnsi="Courier New"/>
          <w:sz w:val="15"/>
          <w:szCs w:val="15"/>
          <w:color w:val="auto"/>
        </w:rPr>
      </w:pPr>
    </w:p>
    <w:p>
      <w:pPr>
        <w:jc w:val="both"/>
        <w:ind w:left="1280" w:right="2899" w:hanging="462"/>
        <w:spacing w:after="0" w:line="249" w:lineRule="auto"/>
        <w:tabs>
          <w:tab w:leader="none" w:pos="1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any national securities exchange or U.S. inter-dealer system of a registered national securities association on which our ordinary shares may be listed or quoted at the time of sale;</w:t>
      </w:r>
    </w:p>
    <w:p>
      <w:pPr>
        <w:spacing w:after="0" w:line="175"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privately negotiated transactions; and</w:t>
      </w:r>
    </w:p>
    <w:p>
      <w:pPr>
        <w:spacing w:after="0" w:line="182" w:lineRule="exact"/>
        <w:rPr>
          <w:rFonts w:ascii="Courier New" w:cs="Courier New" w:eastAsia="Courier New" w:hAnsi="Courier New"/>
          <w:sz w:val="15"/>
          <w:szCs w:val="15"/>
          <w:color w:val="auto"/>
        </w:rPr>
      </w:pPr>
    </w:p>
    <w:p>
      <w:pPr>
        <w:ind w:left="1280" w:hanging="462"/>
        <w:spacing w:after="0"/>
        <w:tabs>
          <w:tab w:leader="none" w:pos="12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options transactions.</w:t>
      </w:r>
    </w:p>
    <w:p>
      <w:pPr>
        <w:spacing w:after="0" w:line="182" w:lineRule="exact"/>
        <w:rPr>
          <w:sz w:val="20"/>
          <w:szCs w:val="20"/>
          <w:color w:val="auto"/>
        </w:rPr>
      </w:pPr>
    </w:p>
    <w:p>
      <w:pPr>
        <w:ind w:right="3439" w:firstLine="824"/>
        <w:spacing w:after="0" w:line="250" w:lineRule="auto"/>
        <w:rPr>
          <w:sz w:val="20"/>
          <w:szCs w:val="20"/>
          <w:color w:val="auto"/>
        </w:rPr>
      </w:pPr>
      <w:r>
        <w:rPr>
          <w:rFonts w:ascii="Courier New" w:cs="Courier New" w:eastAsia="Courier New" w:hAnsi="Courier New"/>
          <w:sz w:val="15"/>
          <w:szCs w:val="15"/>
          <w:color w:val="auto"/>
        </w:rPr>
        <w:t>In addition, the selling securityholders may sell any shares that qualify for sale under Rule 144 rather than pursuant to this prospectus.</w:t>
      </w:r>
    </w:p>
    <w:p>
      <w:pPr>
        <w:spacing w:after="0" w:line="175" w:lineRule="exact"/>
        <w:rPr>
          <w:sz w:val="20"/>
          <w:szCs w:val="20"/>
          <w:color w:val="auto"/>
        </w:rPr>
      </w:pPr>
    </w:p>
    <w:p>
      <w:pPr>
        <w:ind w:right="2899" w:firstLine="824"/>
        <w:spacing w:after="0" w:line="248" w:lineRule="auto"/>
        <w:rPr>
          <w:sz w:val="20"/>
          <w:szCs w:val="20"/>
          <w:color w:val="auto"/>
        </w:rPr>
      </w:pPr>
      <w:r>
        <w:rPr>
          <w:rFonts w:ascii="Courier New" w:cs="Courier New" w:eastAsia="Courier New" w:hAnsi="Courier New"/>
          <w:sz w:val="15"/>
          <w:szCs w:val="15"/>
          <w:color w:val="auto"/>
        </w:rPr>
        <w:t>In connection with distributions of the ordinary shares covered by this prospectus or otherwise, the selling securityholders may enter into hedging transactions with broker-dealers or other financial institutions. In connection with such transactions, broker-dealers or other financial institutions may engage in short sales of the ordinary shares in the course of hedging the positions they assume with selling securityholders. The selling securityholders may also sell ordinary shares short and deliver the shares offered by this prospectus to close out such short positions. The selling securityholders may also enter into option or other transactions with broker-dealers or other financial institutions which require the delivery to such broker-dealer or other financial institution of ordinary shares offered by this prospectus, which shares such broker-dealer or other financial institution may resell pursuant to this prospectus, as supplemented or amended to reflect such transaction. The selling securityholders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86"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In offering the ordinary shares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treated as underwriting discounts and commissions.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Our ordinary shares are listed on the New York Stock Exchange.</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47" w:right="1440" w:bottom="1440" w:gutter="0" w:footer="0" w:header="0"/>
        </w:sectPr>
      </w:pPr>
    </w:p>
    <w:bookmarkStart w:id="28" w:name="page29"/>
    <w:bookmarkEnd w:id="28"/>
    <w:p>
      <w:pPr>
        <w:ind w:right="2899" w:firstLine="824"/>
        <w:spacing w:after="0" w:line="249" w:lineRule="auto"/>
        <w:rPr>
          <w:sz w:val="20"/>
          <w:szCs w:val="20"/>
          <w:color w:val="auto"/>
        </w:rPr>
      </w:pPr>
      <w:r>
        <w:rPr>
          <w:rFonts w:ascii="Courier New" w:cs="Courier New" w:eastAsia="Courier New" w:hAnsi="Courier New"/>
          <w:sz w:val="15"/>
          <w:szCs w:val="15"/>
          <w:color w:val="auto"/>
        </w:rPr>
        <w:t>In order to comply with the securities laws of some states, the selling securityholders may be required to sell their shares in such jurisdictions only through registered or licensed brokers or dealers. In addition, some states may restrict the selling securityholders from selling their shares unless the shares have been registered or qualified for sale in the applicable state or an exemption from the registration or qualification requirement is available and is complied with.</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have advised the selling securityholders that the anti-manipulation rules of Regulation M under the Exchange Act may apply to sales of shares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NYSE pursuant to Rule 153 under the Securities Act. The selling securityholders may indemnify any broker-dealer that participates in transactions involving the sale of the shares against certain liabilities, including liabilities arising under the Securities Act.</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At the time a particular offer of shares is made, if required, we will distribute a prospectus supplement that will set forth the number of ordinary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175" w:lineRule="exact"/>
        <w:rPr>
          <w:sz w:val="20"/>
          <w:szCs w:val="20"/>
          <w:color w:val="auto"/>
        </w:rPr>
      </w:pPr>
    </w:p>
    <w:p>
      <w:pPr>
        <w:ind w:right="2899" w:firstLine="824"/>
        <w:spacing w:after="0" w:line="250" w:lineRule="auto"/>
        <w:rPr>
          <w:sz w:val="20"/>
          <w:szCs w:val="20"/>
          <w:color w:val="auto"/>
        </w:rPr>
      </w:pPr>
      <w:r>
        <w:rPr>
          <w:rFonts w:ascii="Courier New" w:cs="Courier New" w:eastAsia="Courier New" w:hAnsi="Courier New"/>
          <w:sz w:val="15"/>
          <w:szCs w:val="15"/>
          <w:color w:val="auto"/>
        </w:rPr>
        <w:t>We have agreed to indemnify the selling securityholders against certain liabilities, including certain liabilities under the Securities Act.</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have agreed with the selling securityholders to keep the Registration Statement of which this prospectus constitutes a part effective until the earliest to occur of (1) the date on which all of the shares being offered hereby have been sold pursuant to the Registration Statement of which this prospectus constitutes a part or pursuant to Rule 144 under the Securities Act, (2) the date on which all of the shares being offered hereby can be sold without registration without regard to the volume restrictions of Rule 144 under the Securities Act and (3) February 19, 2006.</w:t>
      </w:r>
    </w:p>
    <w:p>
      <w:pPr>
        <w:spacing w:after="0" w:line="17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validity of the ordinary shares offered hereby will be passed upon for us by Carey Olsen, Island of Guernsey. Certain legal matters in connection with the offering will be passed upon for us by Hale and Dorr LLP, New York, New York.</w:t>
      </w:r>
    </w:p>
    <w:p>
      <w:pPr>
        <w:spacing w:after="0" w:line="17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consolidated financial statements and schedule of Amdocs Limited appearing in Amdocs Limited's Annual Report (Form 20-F) for the year ended September 30, 2003, have been audited by Ernst &amp; Young LLP, independent auditors,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Deloitte &amp; Touche, LLP, independent auditors, have audited the Financial Statements of Certen Inc. as set forth in their report included in our Annual Report on Form 20-F for the year ended September 30, 2003, which is incorporated by reference herein. The Financial Statements of Certen are incorporated by reference in reliance on Deloitte &amp; Touche, LLP's report, given 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47" w:right="1440" w:bottom="1440" w:gutter="0" w:footer="0" w:header="0"/>
        </w:sectPr>
      </w:pPr>
    </w:p>
    <w:bookmarkStart w:id="29" w:name="page30"/>
    <w:bookmarkEnd w:id="29"/>
    <w:p>
      <w:pPr>
        <w:ind w:left="210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We are incorporated under the laws of the Island of Guernsey. Several of our directors and officers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351" w:lineRule="exact"/>
        <w:rPr>
          <w:sz w:val="20"/>
          <w:szCs w:val="20"/>
          <w:color w:val="auto"/>
        </w:rPr>
      </w:pPr>
    </w:p>
    <w:p>
      <w:pPr>
        <w:ind w:left="1280" w:right="3179" w:hanging="462"/>
        <w:spacing w:after="0" w:line="250" w:lineRule="auto"/>
        <w:tabs>
          <w:tab w:leader="none" w:pos="12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4" w:lineRule="exact"/>
        <w:rPr>
          <w:rFonts w:ascii="Courier New" w:cs="Courier New" w:eastAsia="Courier New" w:hAnsi="Courier New"/>
          <w:sz w:val="15"/>
          <w:szCs w:val="15"/>
          <w:color w:val="auto"/>
        </w:rPr>
      </w:pPr>
    </w:p>
    <w:p>
      <w:pPr>
        <w:ind w:left="1280" w:right="2979" w:hanging="462"/>
        <w:spacing w:after="0" w:line="250" w:lineRule="auto"/>
        <w:tabs>
          <w:tab w:leader="none" w:pos="12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4" w:lineRule="exact"/>
        <w:rPr>
          <w:rFonts w:ascii="Courier New" w:cs="Courier New" w:eastAsia="Courier New" w:hAnsi="Courier New"/>
          <w:sz w:val="15"/>
          <w:szCs w:val="15"/>
          <w:color w:val="auto"/>
        </w:rPr>
      </w:pPr>
    </w:p>
    <w:p>
      <w:pPr>
        <w:ind w:left="1280" w:right="2979" w:hanging="462"/>
        <w:spacing w:after="0" w:line="249" w:lineRule="auto"/>
        <w:tabs>
          <w:tab w:leader="none" w:pos="12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5" w:lineRule="exact"/>
        <w:rPr>
          <w:rFonts w:ascii="Courier New" w:cs="Courier New" w:eastAsia="Courier New" w:hAnsi="Courier New"/>
          <w:sz w:val="15"/>
          <w:szCs w:val="15"/>
          <w:color w:val="auto"/>
        </w:rPr>
      </w:pPr>
    </w:p>
    <w:p>
      <w:pPr>
        <w:ind w:left="1280" w:right="3439" w:hanging="462"/>
        <w:spacing w:after="0" w:line="249" w:lineRule="auto"/>
        <w:tabs>
          <w:tab w:leader="none" w:pos="12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47" w:right="1440" w:bottom="1440" w:gutter="0" w:footer="0" w:header="0"/>
        </w:sectPr>
      </w:pPr>
    </w:p>
    <w:bookmarkStart w:id="30" w:name="page31"/>
    <w:bookmarkEnd w:id="30"/>
    <w:p>
      <w:pPr>
        <w:ind w:left="820"/>
        <w:spacing w:after="0"/>
        <w:rPr>
          <w:sz w:val="20"/>
          <w:szCs w:val="20"/>
          <w:color w:val="auto"/>
        </w:rPr>
      </w:pPr>
      <w:r>
        <w:rPr>
          <w:rFonts w:ascii="Courier New" w:cs="Courier New" w:eastAsia="Courier New" w:hAnsi="Courier New"/>
          <w:sz w:val="15"/>
          <w:szCs w:val="15"/>
          <w:color w:val="auto"/>
        </w:rPr>
        <w:t>UNAUDITED PRO FORMA CONDENSED CONSOLIDATED FINANCIAL STATEMENTS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unaudited pro forma condensed consolidated statement of operations for the twelve months ended September 30, 2003, gives effect to the acquisition from Bell Canada of its 90% ownership interest in Certen Inc., which we refer to as Certen, which closed on July 2, 2003, as if it had occurred on October 1, 2002.</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unaudited pro forma condensed consolidated statements of operations are based upon, and should be read in conjunction with, (i) our historical audited financial statements for the year ended September 30, 2003, (ii) the historical audited financial statements of Certen for the year ended December 31, 2002 (together with the reconciliation to U.S. GAAP), and (iii) the historical unaudited financial statements of Certen for the six months ended June 30, 2003 (together with the reconciliation to U.S. GAAP).</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historical financial statements of Certen have been prepared in accordance with Canadian GAAP. For the purpose of presenting the unaudited pro forma condensed consolidated financial statements, financial statements relating to Certen have been adjusted to conform with accounting policies under U.S. GAAP. In addition, the historical financial information of Certen has been presented in accordance with Amdocs' fiscal year.</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The historical financial statements of Certen were presented in Canadian dollars. For the purpose of presenting the unaudited pro forma condensed consolidated statements, the adjusted income statements of Certen for the nine months ended June 30, 2003 have been translated into U.S. dollars using the average Canadian dollar/U.S. dollar exchange rates for the period presented as listed on Bloomberg. The average Canadian dollar/U.S. dollar exchange rate was 1.493 for the nine months ended June 30, 2003.</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unaudited pro forma financial information has been prepared to provide an analysis of the financial effects of the acquisition of Certen for purposes of illustration only. The pro forma financial information is not intended to be a projection of future results and is not necessarily indicative of the results that would have occurred if the business combination had been in effect on the period presented.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47" w:right="1440" w:bottom="1440" w:gutter="0" w:footer="0" w:header="0"/>
        </w:sectPr>
      </w:pPr>
    </w:p>
    <w:bookmarkStart w:id="31" w:name="page32"/>
    <w:bookmarkEnd w:id="31"/>
    <w:p>
      <w:pPr>
        <w:jc w:val="center"/>
        <w:ind w:right="4194"/>
        <w:spacing w:after="0"/>
        <w:rPr>
          <w:sz w:val="20"/>
          <w:szCs w:val="20"/>
          <w:color w:val="auto"/>
        </w:rPr>
      </w:pPr>
      <w:r>
        <w:rPr>
          <w:rFonts w:ascii="Courier New" w:cs="Courier New" w:eastAsia="Courier New" w:hAnsi="Courier New"/>
          <w:sz w:val="15"/>
          <w:szCs w:val="15"/>
          <w:color w:val="auto"/>
        </w:rPr>
        <w:t>UNAUDITED PRO FORMA CONDENSED CONSOLIDATED STATEMENT OF OPERATIONS</w:t>
      </w:r>
    </w:p>
    <w:p>
      <w:pPr>
        <w:spacing w:after="0" w:line="6" w:lineRule="exact"/>
        <w:rPr>
          <w:sz w:val="20"/>
          <w:szCs w:val="20"/>
          <w:color w:val="auto"/>
        </w:rPr>
      </w:pPr>
    </w:p>
    <w:p>
      <w:pPr>
        <w:ind w:left="1566"/>
        <w:spacing w:after="0"/>
        <w:rPr>
          <w:sz w:val="20"/>
          <w:szCs w:val="20"/>
          <w:color w:val="auto"/>
        </w:rPr>
      </w:pPr>
      <w:r>
        <w:rPr>
          <w:rFonts w:ascii="Courier New" w:cs="Courier New" w:eastAsia="Courier New" w:hAnsi="Courier New"/>
          <w:sz w:val="15"/>
          <w:szCs w:val="15"/>
          <w:color w:val="auto"/>
        </w:rPr>
        <w:t>FOR THE TWELVE MONTHS ENDED SEPTEMBER 30, 2003</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6"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(in U.S. dollars)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w w:val="96"/>
              </w:rPr>
              <w:t>AMDOCS</w:t>
            </w:r>
          </w:p>
        </w:tc>
        <w:tc>
          <w:tcPr>
            <w:tcW w:w="280" w:type="dxa"/>
            <w:vAlign w:val="bottom"/>
          </w:tcPr>
          <w:p>
            <w:pPr>
              <w:spacing w:after="0"/>
              <w:rPr>
                <w:sz w:val="14"/>
                <w:szCs w:val="14"/>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CERTEN</w:t>
            </w:r>
          </w:p>
        </w:tc>
        <w:tc>
          <w:tcPr>
            <w:tcW w:w="460" w:type="dxa"/>
            <w:vAlign w:val="bottom"/>
          </w:tcPr>
          <w:p>
            <w:pPr>
              <w:spacing w:after="0"/>
              <w:rPr>
                <w:sz w:val="14"/>
                <w:szCs w:val="14"/>
                <w:color w:val="auto"/>
              </w:rPr>
            </w:pPr>
          </w:p>
        </w:tc>
        <w:tc>
          <w:tcPr>
            <w:tcW w:w="1100" w:type="dxa"/>
            <w:vAlign w:val="bottom"/>
          </w:tcPr>
          <w:p>
            <w:pPr>
              <w:jc w:val="center"/>
              <w:ind w:right="184"/>
              <w:spacing w:after="0"/>
              <w:rPr>
                <w:sz w:val="20"/>
                <w:szCs w:val="20"/>
                <w:color w:val="auto"/>
              </w:rPr>
            </w:pPr>
            <w:r>
              <w:rPr>
                <w:rFonts w:ascii="Courier New" w:cs="Courier New" w:eastAsia="Courier New" w:hAnsi="Courier New"/>
                <w:sz w:val="15"/>
                <w:szCs w:val="15"/>
                <w:color w:val="auto"/>
              </w:rPr>
              <w:t>PRO FORMA</w:t>
            </w:r>
          </w:p>
        </w:tc>
        <w:tc>
          <w:tcPr>
            <w:tcW w:w="380" w:type="dxa"/>
            <w:vAlign w:val="bottom"/>
          </w:tcPr>
          <w:p>
            <w:pPr>
              <w:spacing w:after="0"/>
              <w:rPr>
                <w:sz w:val="14"/>
                <w:szCs w:val="14"/>
                <w:color w:val="auto"/>
              </w:rPr>
            </w:pPr>
          </w:p>
        </w:tc>
        <w:tc>
          <w:tcPr>
            <w:tcW w:w="1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4980" w:type="dxa"/>
            <w:vAlign w:val="bottom"/>
          </w:tcPr>
          <w:p>
            <w:pPr>
              <w:spacing w:after="0"/>
              <w:rPr>
                <w:sz w:val="15"/>
                <w:szCs w:val="15"/>
                <w:color w:val="auto"/>
              </w:rPr>
            </w:pPr>
          </w:p>
        </w:tc>
        <w:tc>
          <w:tcPr>
            <w:tcW w:w="15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HISTORICAL</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HISTORICAL</w:t>
            </w:r>
          </w:p>
        </w:tc>
        <w:tc>
          <w:tcPr>
            <w:tcW w:w="156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ADJUSTMENTS</w:t>
            </w: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CONSOLIDATED</w:t>
            </w:r>
          </w:p>
        </w:tc>
      </w:tr>
      <w:tr>
        <w:trPr>
          <w:trHeight w:val="176"/>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U.S.</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U.S.</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U.S. GAAP</w:t>
            </w:r>
          </w:p>
        </w:tc>
        <w:tc>
          <w:tcPr>
            <w:tcW w:w="28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U.S. GAAP (*)</w:t>
            </w:r>
          </w:p>
        </w:tc>
        <w:tc>
          <w:tcPr>
            <w:tcW w:w="46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GAAP</w:t>
            </w: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GAAP</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29"/>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$1,483,327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226,579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(87,949)</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44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$ 1,621,957</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 of revenue......................................</w:t>
            </w: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913,359</w:t>
            </w:r>
          </w:p>
        </w:tc>
        <w:tc>
          <w:tcPr>
            <w:tcW w:w="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214,437</w:t>
            </w: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(27,767)</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44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1,064,833</w:t>
            </w:r>
          </w:p>
        </w:tc>
      </w:tr>
      <w:tr>
        <w:trPr>
          <w:trHeight w:val="176"/>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(35,196)</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Research and development.............................</w:t>
            </w: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119,256</w:t>
            </w:r>
          </w:p>
        </w:tc>
        <w:tc>
          <w:tcPr>
            <w:tcW w:w="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119,256</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206,265</w:t>
            </w:r>
          </w:p>
        </w:tc>
        <w:tc>
          <w:tcPr>
            <w:tcW w:w="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8,333</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214,598</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Amortization of purchased intangible assets..........</w:t>
            </w: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19,940</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3,738</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5"/>
                <w:szCs w:val="15"/>
                <w:color w:val="auto"/>
              </w:rPr>
            </w:pP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23,678</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Restructuring charges and other......................</w:t>
            </w: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14,089</w:t>
            </w:r>
          </w:p>
        </w:tc>
        <w:tc>
          <w:tcPr>
            <w:tcW w:w="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54</w:t>
            </w: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(4,133)</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5"/>
                <w:szCs w:val="15"/>
                <w:color w:val="auto"/>
              </w:rPr>
            </w:pP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10,010</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1,272,909</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222,824</w:t>
            </w: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(63,358)</w:t>
            </w:r>
          </w:p>
        </w:tc>
        <w:tc>
          <w:tcPr>
            <w:tcW w:w="380" w:type="dxa"/>
            <w:vAlign w:val="bottom"/>
          </w:tcPr>
          <w:p>
            <w:pPr>
              <w:spacing w:after="0"/>
              <w:rPr>
                <w:sz w:val="15"/>
                <w:szCs w:val="15"/>
                <w:color w:val="auto"/>
              </w:rPr>
            </w:pPr>
          </w:p>
        </w:tc>
        <w:tc>
          <w:tcPr>
            <w:tcW w:w="144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1,432,375</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2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210,418</w:t>
            </w:r>
          </w:p>
        </w:tc>
        <w:tc>
          <w:tcPr>
            <w:tcW w:w="28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3,755</w:t>
            </w:r>
          </w:p>
        </w:tc>
        <w:tc>
          <w:tcPr>
            <w:tcW w:w="46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(24,591)</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189,582</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Interest income (expense) and other, net.............</w:t>
            </w: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14,759</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(311)</w:t>
            </w: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(1,314)</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5"/>
                <w:szCs w:val="15"/>
                <w:color w:val="auto"/>
              </w:rPr>
            </w:pP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11,979</w:t>
            </w:r>
          </w:p>
        </w:tc>
      </w:tr>
      <w:tr>
        <w:trPr>
          <w:trHeight w:val="176"/>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(1,931)</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776</w:t>
            </w:r>
          </w:p>
        </w:tc>
        <w:tc>
          <w:tcPr>
            <w:tcW w:w="38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42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225,177</w:t>
            </w:r>
          </w:p>
        </w:tc>
        <w:tc>
          <w:tcPr>
            <w:tcW w:w="280" w:type="dxa"/>
            <w:vAlign w:val="bottom"/>
          </w:tcPr>
          <w:p>
            <w:pPr>
              <w:spacing w:after="0"/>
              <w:rPr>
                <w:sz w:val="24"/>
                <w:szCs w:val="24"/>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3,444</w:t>
            </w:r>
          </w:p>
        </w:tc>
        <w:tc>
          <w:tcPr>
            <w:tcW w:w="460" w:type="dxa"/>
            <w:vAlign w:val="bottom"/>
          </w:tcPr>
          <w:p>
            <w:pPr>
              <w:spacing w:after="0"/>
              <w:rPr>
                <w:sz w:val="24"/>
                <w:szCs w:val="24"/>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(27,060)</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201,561</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2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56,294</w:t>
            </w:r>
          </w:p>
        </w:tc>
        <w:tc>
          <w:tcPr>
            <w:tcW w:w="280" w:type="dxa"/>
            <w:vAlign w:val="bottom"/>
          </w:tcPr>
          <w:p>
            <w:pPr>
              <w:spacing w:after="0"/>
              <w:rPr>
                <w:sz w:val="15"/>
                <w:szCs w:val="15"/>
                <w:color w:val="auto"/>
              </w:rPr>
            </w:pP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2,322</w:t>
            </w:r>
          </w:p>
        </w:tc>
        <w:tc>
          <w:tcPr>
            <w:tcW w:w="46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(8,226)</w:t>
            </w:r>
          </w:p>
        </w:tc>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(10)</w:t>
            </w:r>
          </w:p>
        </w:tc>
        <w:tc>
          <w:tcPr>
            <w:tcW w:w="440" w:type="dxa"/>
            <w:vAlign w:val="bottom"/>
          </w:tcPr>
          <w:p>
            <w:pPr>
              <w:spacing w:after="0"/>
              <w:rPr>
                <w:sz w:val="15"/>
                <w:szCs w:val="15"/>
                <w:color w:val="auto"/>
              </w:rPr>
            </w:pPr>
          </w:p>
        </w:tc>
        <w:tc>
          <w:tcPr>
            <w:tcW w:w="1000" w:type="dxa"/>
            <w:vAlign w:val="bottom"/>
          </w:tcPr>
          <w:p>
            <w:pPr>
              <w:jc w:val="right"/>
              <w:ind w:right="84"/>
              <w:spacing w:after="0"/>
              <w:rPr>
                <w:sz w:val="20"/>
                <w:szCs w:val="20"/>
                <w:color w:val="auto"/>
              </w:rPr>
            </w:pPr>
            <w:r>
              <w:rPr>
                <w:rFonts w:ascii="Courier New" w:cs="Courier New" w:eastAsia="Courier New" w:hAnsi="Courier New"/>
                <w:sz w:val="15"/>
                <w:szCs w:val="15"/>
                <w:color w:val="auto"/>
              </w:rPr>
              <w:t>50,390</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168,883</w:t>
            </w:r>
          </w:p>
        </w:tc>
        <w:tc>
          <w:tcPr>
            <w:tcW w:w="280" w:type="dxa"/>
            <w:vAlign w:val="bottom"/>
          </w:tcPr>
          <w:p>
            <w:pPr>
              <w:spacing w:after="0"/>
              <w:rPr>
                <w:sz w:val="24"/>
                <w:szCs w:val="24"/>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$ 1,122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(18,834)</w:t>
            </w:r>
          </w:p>
        </w:tc>
        <w:tc>
          <w:tcPr>
            <w:tcW w:w="380" w:type="dxa"/>
            <w:vAlign w:val="bottom"/>
          </w:tcPr>
          <w:p>
            <w:pPr>
              <w:spacing w:after="0"/>
              <w:rPr>
                <w:sz w:val="24"/>
                <w:szCs w:val="24"/>
                <w:color w:val="auto"/>
              </w:rPr>
            </w:pPr>
          </w:p>
        </w:tc>
        <w:tc>
          <w:tcPr>
            <w:tcW w:w="1440" w:type="dxa"/>
            <w:vAlign w:val="bottom"/>
            <w:gridSpan w:val="2"/>
          </w:tcPr>
          <w:p>
            <w:pPr>
              <w:jc w:val="right"/>
              <w:ind w:right="264"/>
              <w:spacing w:after="0"/>
              <w:rPr>
                <w:sz w:val="20"/>
                <w:szCs w:val="20"/>
                <w:color w:val="auto"/>
              </w:rPr>
            </w:pPr>
            <w:r>
              <w:rPr>
                <w:rFonts w:ascii="Courier New" w:cs="Courier New" w:eastAsia="Courier New" w:hAnsi="Courier New"/>
                <w:sz w:val="15"/>
                <w:szCs w:val="15"/>
                <w:color w:val="auto"/>
              </w:rPr>
              <w:t>$ 151,171</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center"/>
              <w:ind w:left="124"/>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498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0.78</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0.70</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Diluted income per share.............................</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0.77</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0.69</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42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215,849</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215,849</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w:t>
            </w:r>
          </w:p>
        </w:tc>
      </w:tr>
      <w:tr>
        <w:trPr>
          <w:trHeight w:val="529"/>
        </w:trPr>
        <w:tc>
          <w:tcPr>
            <w:tcW w:w="49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42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219,876</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219,876</w:t>
            </w:r>
          </w:p>
        </w:tc>
      </w:tr>
      <w:tr>
        <w:trPr>
          <w:trHeight w:val="176"/>
        </w:trPr>
        <w:tc>
          <w:tcPr>
            <w:tcW w:w="4980" w:type="dxa"/>
            <w:vAlign w:val="bottom"/>
          </w:tcPr>
          <w:p>
            <w:pPr>
              <w:spacing w:after="0"/>
              <w:rPr>
                <w:sz w:val="15"/>
                <w:szCs w:val="15"/>
                <w:color w:val="auto"/>
              </w:rPr>
            </w:pPr>
          </w:p>
        </w:tc>
        <w:tc>
          <w:tcPr>
            <w:tcW w:w="15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6" w:right="4200" w:hanging="466"/>
        <w:spacing w:after="0" w:line="249" w:lineRule="auto"/>
        <w:tabs>
          <w:tab w:leader="none" w:pos="46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Certen historical U.S. GAAP statement reflects Certen's results for the nine months ended June 30, 2003. Since the acquisition of Certen on July 2, 2003, Certen's results are included and consolidated into Amdocs results.</w:t>
      </w:r>
    </w:p>
    <w:p>
      <w:pPr>
        <w:spacing w:after="0" w:line="35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See Notes to Unaudited Pro Forma Condensed Consolidated</w:t>
      </w:r>
    </w:p>
    <w:p>
      <w:pPr>
        <w:spacing w:after="0" w:line="6"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Financial Statements for discussion of adjustments.</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526"/>
          </w:cols>
          <w:pgMar w:left="234" w:top="999" w:right="139" w:bottom="1440" w:gutter="0" w:footer="0" w:header="0"/>
        </w:sectPr>
      </w:pPr>
    </w:p>
    <w:bookmarkStart w:id="32" w:name="page33"/>
    <w:bookmarkEnd w:id="32"/>
    <w:p>
      <w:pPr>
        <w:jc w:val="center"/>
        <w:ind w:right="2893"/>
        <w:spacing w:after="0"/>
        <w:rPr>
          <w:sz w:val="20"/>
          <w:szCs w:val="20"/>
          <w:color w:val="auto"/>
        </w:rPr>
      </w:pPr>
      <w:r>
        <w:rPr>
          <w:rFonts w:ascii="Courier New" w:cs="Courier New" w:eastAsia="Courier New" w:hAnsi="Courier New"/>
          <w:sz w:val="15"/>
          <w:szCs w:val="15"/>
          <w:color w:val="auto"/>
        </w:rPr>
        <w:t>NOTES TO UNAUDITED PRO FORMA CONDENSED CONSOLIDATED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thousands)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 U.S. dollars, unless otherwise stated)</w:t>
      </w:r>
    </w:p>
    <w:p>
      <w:pPr>
        <w:spacing w:after="0" w:line="359" w:lineRule="exact"/>
        <w:rPr>
          <w:sz w:val="20"/>
          <w:szCs w:val="20"/>
          <w:color w:val="auto"/>
        </w:rPr>
      </w:pPr>
    </w:p>
    <w:p>
      <w:pPr>
        <w:ind w:left="826" w:right="2899" w:hanging="826"/>
        <w:spacing w:after="0" w:line="249"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 2003, Amdocs acquired from Bell Canada its 90% ownership interest in Certen for approximately U.S. $66 million in cash, pursuant to an Acquisition Agreement, dated as of May 28, 2003. Amdocs and Bell Canada formed Certen, which commenced operations in January 2001, to provide customer care and billing solutions to Bell Canada and a number of Bell Canada's affiliated companies. Prior to the acquisition of Certen, Bell Canada's ownership interest in Certen was 90% and Amdocs owned the remainder. Accordingly, Certen's operations are included in the historical results of Amdocs from July 2, 2003. Since Certen's inception, Amdocs has provided customer care and billing software required by Certen, including related customization, installation, maintenance and other services.</w:t>
      </w:r>
    </w:p>
    <w:p>
      <w:pPr>
        <w:spacing w:after="0" w:line="174" w:lineRule="exact"/>
        <w:rPr>
          <w:rFonts w:ascii="Courier New" w:cs="Courier New" w:eastAsia="Courier New" w:hAnsi="Courier New"/>
          <w:sz w:val="15"/>
          <w:szCs w:val="15"/>
          <w:color w:val="auto"/>
        </w:rPr>
      </w:pPr>
    </w:p>
    <w:p>
      <w:pPr>
        <w:ind w:left="826"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acquisition of Certen, Amdocs accounted for the investment in Certen under the cost method for its 10% ownership. In the fourth quarter of 2003, Amdocs recognized the cumulative effect of its 10% interest in Certen prior to the acquisition of Certen. The cumulative effect is a loss of $4,133.</w:t>
      </w:r>
    </w:p>
    <w:p>
      <w:pPr>
        <w:spacing w:after="0" w:line="175" w:lineRule="exact"/>
        <w:rPr>
          <w:rFonts w:ascii="Courier New" w:cs="Courier New" w:eastAsia="Courier New" w:hAnsi="Courier New"/>
          <w:sz w:val="15"/>
          <w:szCs w:val="15"/>
          <w:color w:val="auto"/>
        </w:rPr>
      </w:pPr>
    </w:p>
    <w:p>
      <w:pPr>
        <w:ind w:left="826" w:right="307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revenue to Amdocs attributable to license and services provided to Certen.</w:t>
      </w:r>
    </w:p>
    <w:p>
      <w:pPr>
        <w:spacing w:after="0" w:line="174" w:lineRule="exact"/>
        <w:rPr>
          <w:rFonts w:ascii="Courier New" w:cs="Courier New" w:eastAsia="Courier New" w:hAnsi="Courier New"/>
          <w:sz w:val="15"/>
          <w:szCs w:val="15"/>
          <w:color w:val="auto"/>
        </w:rPr>
      </w:pPr>
    </w:p>
    <w:p>
      <w:pPr>
        <w:ind w:left="826" w:right="289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expenses incurred by Certen attributable to Amdocs services that were not capitalized.</w:t>
      </w:r>
    </w:p>
    <w:p>
      <w:pPr>
        <w:spacing w:after="0" w:line="174" w:lineRule="exact"/>
        <w:rPr>
          <w:rFonts w:ascii="Courier New" w:cs="Courier New" w:eastAsia="Courier New" w:hAnsi="Courier New"/>
          <w:sz w:val="15"/>
          <w:szCs w:val="15"/>
          <w:color w:val="auto"/>
        </w:rPr>
      </w:pPr>
    </w:p>
    <w:p>
      <w:pPr>
        <w:ind w:left="826" w:right="317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depreciation related to Amdocs system on Certen's books.</w:t>
      </w:r>
    </w:p>
    <w:p>
      <w:pPr>
        <w:spacing w:after="0" w:line="174" w:lineRule="exact"/>
        <w:rPr>
          <w:rFonts w:ascii="Courier New" w:cs="Courier New" w:eastAsia="Courier New" w:hAnsi="Courier New"/>
          <w:sz w:val="15"/>
          <w:szCs w:val="15"/>
          <w:color w:val="auto"/>
        </w:rPr>
      </w:pPr>
    </w:p>
    <w:p>
      <w:pPr>
        <w:ind w:left="826" w:right="307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purchased customer arrangements incurred in the acquisition of Certen.</w:t>
      </w:r>
    </w:p>
    <w:p>
      <w:pPr>
        <w:spacing w:after="0" w:line="174" w:lineRule="exact"/>
        <w:rPr>
          <w:rFonts w:ascii="Courier New" w:cs="Courier New" w:eastAsia="Courier New" w:hAnsi="Courier New"/>
          <w:sz w:val="15"/>
          <w:szCs w:val="15"/>
          <w:color w:val="auto"/>
        </w:rPr>
      </w:pPr>
    </w:p>
    <w:p>
      <w:pPr>
        <w:ind w:left="826" w:right="353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cumulative effect of Amdocs' 10% interest in Certen results prior to the acquisition of Certen.</w:t>
      </w:r>
    </w:p>
    <w:p>
      <w:pPr>
        <w:spacing w:after="0" w:line="174" w:lineRule="exact"/>
        <w:rPr>
          <w:rFonts w:ascii="Courier New" w:cs="Courier New" w:eastAsia="Courier New" w:hAnsi="Courier New"/>
          <w:sz w:val="15"/>
          <w:szCs w:val="15"/>
          <w:color w:val="auto"/>
        </w:rPr>
      </w:pPr>
    </w:p>
    <w:p>
      <w:pPr>
        <w:ind w:left="826" w:right="289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interest income earned on the cash used for the acquisition of Certen.</w:t>
      </w:r>
    </w:p>
    <w:p>
      <w:pPr>
        <w:spacing w:after="0" w:line="174" w:lineRule="exact"/>
        <w:rPr>
          <w:rFonts w:ascii="Courier New" w:cs="Courier New" w:eastAsia="Courier New" w:hAnsi="Courier New"/>
          <w:sz w:val="15"/>
          <w:szCs w:val="15"/>
          <w:color w:val="auto"/>
        </w:rPr>
      </w:pPr>
    </w:p>
    <w:p>
      <w:pPr>
        <w:ind w:left="826" w:right="335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capitalized interest expense in Certen related to the convertible debentures issued to Amdocs.</w:t>
      </w:r>
    </w:p>
    <w:p>
      <w:pPr>
        <w:spacing w:after="0" w:line="174" w:lineRule="exact"/>
        <w:rPr>
          <w:rFonts w:ascii="Courier New" w:cs="Courier New" w:eastAsia="Courier New" w:hAnsi="Courier New"/>
          <w:sz w:val="15"/>
          <w:szCs w:val="15"/>
          <w:color w:val="auto"/>
        </w:rPr>
      </w:pPr>
    </w:p>
    <w:p>
      <w:pPr>
        <w:ind w:left="826" w:right="317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liability related to adjustment to fair value of capital lease obligations on Certen's books.</w:t>
      </w:r>
    </w:p>
    <w:p>
      <w:pPr>
        <w:spacing w:after="0" w:line="174" w:lineRule="exact"/>
        <w:rPr>
          <w:rFonts w:ascii="Courier New" w:cs="Courier New" w:eastAsia="Courier New" w:hAnsi="Courier New"/>
          <w:sz w:val="15"/>
          <w:szCs w:val="15"/>
          <w:color w:val="auto"/>
        </w:rPr>
      </w:pPr>
    </w:p>
    <w:p>
      <w:pPr>
        <w:ind w:left="826" w:right="2979" w:hanging="826"/>
        <w:spacing w:after="0" w:line="250" w:lineRule="auto"/>
        <w:tabs>
          <w:tab w:leader="none" w:pos="82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tax adjustment to reflect the combined results at Amdocs' effective tax rate.</w:t>
      </w:r>
    </w:p>
    <w:p>
      <w:pPr>
        <w:spacing w:after="0" w:line="200" w:lineRule="exact"/>
        <w:rPr>
          <w:sz w:val="20"/>
          <w:szCs w:val="20"/>
          <w:color w:val="auto"/>
        </w:rPr>
      </w:pPr>
    </w:p>
    <w:p>
      <w:pPr>
        <w:spacing w:after="0" w:line="32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5"/>
          </w:cols>
          <w:pgMar w:left="234" w:top="647" w:right="1440" w:bottom="1440" w:gutter="0" w:footer="0" w:header="0"/>
        </w:sectPr>
      </w:pPr>
    </w:p>
    <w:bookmarkStart w:id="33" w:name="page34"/>
    <w:bookmarkEnd w:id="33"/>
    <w:p>
      <w:pPr>
        <w:ind w:left="1640"/>
        <w:spacing w:after="0"/>
        <w:rPr>
          <w:sz w:val="20"/>
          <w:szCs w:val="20"/>
          <w:color w:val="auto"/>
        </w:rPr>
      </w:pPr>
      <w:r>
        <w:rPr>
          <w:rFonts w:ascii="Courier New" w:cs="Courier New" w:eastAsia="Courier New" w:hAnsi="Courier New"/>
          <w:sz w:val="15"/>
          <w:szCs w:val="15"/>
          <w:color w:val="auto"/>
        </w:rPr>
        <w:t>UNAUDITED FINANCIAL STATEMENTS OF CERTEN INC.</w:t>
      </w:r>
    </w:p>
    <w:p>
      <w:pPr>
        <w:spacing w:after="0" w:line="182"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The unaudited financial statements of Certen for the six months ended June 30, 2003 and 2002, are based upon, and should be read in conjunction with, the historical audited financial statements of Certen for the year ended December 31, 2002 and 2001 (together with the reconciliation to U.S. GAAP). The historical financial statements of Certen have been prepared in accordance with Canadian GAAP and presented in Canadian dollars.</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999" w:right="1440" w:bottom="1440" w:gutter="0" w:footer="0" w:header="0"/>
        </w:sectPr>
      </w:pPr>
    </w:p>
    <w:bookmarkStart w:id="34" w:name="page35"/>
    <w:bookmarkEnd w:id="34"/>
    <w:p>
      <w:pPr>
        <w:jc w:val="center"/>
        <w:ind w:right="3194"/>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ind w:left="1646"/>
        <w:spacing w:after="0"/>
        <w:rPr>
          <w:sz w:val="20"/>
          <w:szCs w:val="20"/>
          <w:color w:val="auto"/>
        </w:rPr>
      </w:pPr>
      <w:r>
        <w:rPr>
          <w:rFonts w:ascii="Courier New" w:cs="Courier New" w:eastAsia="Courier New" w:hAnsi="Courier New"/>
          <w:sz w:val="15"/>
          <w:szCs w:val="15"/>
          <w:color w:val="auto"/>
        </w:rPr>
        <w:t>STATEMENT OF OPERATIONS AND RETAINED EARNINGS</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(in thousands of dollars)</w:t>
      </w:r>
    </w:p>
    <w:p>
      <w:pPr>
        <w:spacing w:after="0" w:line="6"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66"/>
        <w:spacing w:after="0"/>
        <w:tabs>
          <w:tab w:leader="none" w:pos="9786"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4020" w:type="dxa"/>
            <w:vAlign w:val="bottom"/>
          </w:tcPr>
          <w:p>
            <w:pPr>
              <w:jc w:val="right"/>
              <w:ind w:right="82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529"/>
        </w:trPr>
        <w:tc>
          <w:tcPr>
            <w:tcW w:w="5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40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Billing services</w:t>
            </w:r>
          </w:p>
        </w:tc>
        <w:tc>
          <w:tcPr>
            <w:tcW w:w="4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215,881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184,106</w:t>
            </w:r>
          </w:p>
        </w:tc>
      </w:tr>
      <w:tr>
        <w:trPr>
          <w:trHeight w:val="176"/>
        </w:trPr>
        <w:tc>
          <w:tcPr>
            <w:tcW w:w="5220" w:type="dxa"/>
            <w:vAlign w:val="bottom"/>
          </w:tcPr>
          <w:p>
            <w:pPr>
              <w:ind w:left="360"/>
              <w:spacing w:after="0"/>
              <w:rPr>
                <w:sz w:val="20"/>
                <w:szCs w:val="20"/>
                <w:color w:val="auto"/>
              </w:rPr>
            </w:pPr>
            <w:r>
              <w:rPr>
                <w:rFonts w:ascii="Courier New" w:cs="Courier New" w:eastAsia="Courier New" w:hAnsi="Courier New"/>
                <w:sz w:val="15"/>
                <w:szCs w:val="15"/>
                <w:color w:val="auto"/>
              </w:rPr>
              <w:t>Professional services</w:t>
            </w:r>
          </w:p>
        </w:tc>
        <w:tc>
          <w:tcPr>
            <w:tcW w:w="4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11,799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29,642</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227,680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213,748</w:t>
            </w:r>
          </w:p>
        </w:tc>
      </w:tr>
      <w:tr>
        <w:trPr>
          <w:trHeight w:val="352"/>
        </w:trPr>
        <w:tc>
          <w:tcPr>
            <w:tcW w:w="6500" w:type="dxa"/>
            <w:vAlign w:val="bottom"/>
          </w:tcPr>
          <w:p>
            <w:pPr>
              <w:spacing w:after="0"/>
              <w:rPr>
                <w:sz w:val="20"/>
                <w:szCs w:val="20"/>
                <w:color w:val="auto"/>
              </w:rPr>
            </w:pPr>
            <w:r>
              <w:rPr>
                <w:rFonts w:ascii="Courier New" w:cs="Courier New" w:eastAsia="Courier New" w:hAnsi="Courier New"/>
                <w:sz w:val="15"/>
                <w:szCs w:val="15"/>
                <w:color w:val="auto"/>
              </w:rPr>
              <w:t>Cost of services, selling and administrative expenses</w:t>
            </w:r>
          </w:p>
        </w:tc>
        <w:tc>
          <w:tcPr>
            <w:tcW w:w="2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169,270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159,297</w:t>
            </w:r>
          </w:p>
        </w:tc>
      </w:tr>
      <w:tr>
        <w:trPr>
          <w:trHeight w:val="352"/>
        </w:trPr>
        <w:tc>
          <w:tcPr>
            <w:tcW w:w="6500" w:type="dxa"/>
            <w:vAlign w:val="bottom"/>
          </w:tcPr>
          <w:p>
            <w:pPr>
              <w:spacing w:after="0"/>
              <w:rPr>
                <w:sz w:val="20"/>
                <w:szCs w:val="20"/>
                <w:color w:val="auto"/>
              </w:rPr>
            </w:pPr>
            <w:r>
              <w:rPr>
                <w:rFonts w:ascii="Courier New" w:cs="Courier New" w:eastAsia="Courier New" w:hAnsi="Courier New"/>
                <w:sz w:val="15"/>
                <w:szCs w:val="15"/>
                <w:color w:val="auto"/>
              </w:rPr>
              <w:t>Net benefit plans expense</w:t>
            </w:r>
          </w:p>
        </w:tc>
        <w:tc>
          <w:tcPr>
            <w:tcW w:w="2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2,139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637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Operating earnings before undernoted</w:t>
            </w:r>
          </w:p>
        </w:tc>
        <w:tc>
          <w:tcPr>
            <w:tcW w:w="35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56,271</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53,814</w:t>
            </w:r>
          </w:p>
        </w:tc>
      </w:tr>
      <w:tr>
        <w:trPr>
          <w:trHeight w:val="352"/>
        </w:trPr>
        <w:tc>
          <w:tcPr>
            <w:tcW w:w="576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35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56,453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30,843</w:t>
            </w:r>
          </w:p>
        </w:tc>
      </w:tr>
      <w:tr>
        <w:trPr>
          <w:trHeight w:val="352"/>
        </w:trPr>
        <w:tc>
          <w:tcPr>
            <w:tcW w:w="5760" w:type="dxa"/>
            <w:vAlign w:val="bottom"/>
          </w:tcPr>
          <w:p>
            <w:pPr>
              <w:spacing w:after="0"/>
              <w:rPr>
                <w:sz w:val="20"/>
                <w:szCs w:val="20"/>
                <w:color w:val="auto"/>
              </w:rPr>
            </w:pPr>
            <w:r>
              <w:rPr>
                <w:rFonts w:ascii="Courier New" w:cs="Courier New" w:eastAsia="Courier New" w:hAnsi="Courier New"/>
                <w:sz w:val="15"/>
                <w:szCs w:val="15"/>
                <w:color w:val="auto"/>
              </w:rPr>
              <w:t>Restructuring charge</w:t>
            </w:r>
          </w:p>
        </w:tc>
        <w:tc>
          <w:tcPr>
            <w:tcW w:w="354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80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721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680" w:type="dxa"/>
            <w:vAlign w:val="bottom"/>
          </w:tcPr>
          <w:p>
            <w:pPr>
              <w:spacing w:after="0"/>
              <w:rPr>
                <w:sz w:val="20"/>
                <w:szCs w:val="20"/>
                <w:color w:val="auto"/>
              </w:rPr>
            </w:pPr>
            <w:r>
              <w:rPr>
                <w:rFonts w:ascii="Courier New" w:cs="Courier New" w:eastAsia="Courier New" w:hAnsi="Courier New"/>
                <w:sz w:val="15"/>
                <w:szCs w:val="15"/>
                <w:color w:val="auto"/>
              </w:rPr>
              <w:t>Operating (loss) income</w:t>
            </w:r>
          </w:p>
        </w:tc>
        <w:tc>
          <w:tcPr>
            <w:tcW w:w="26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(262)</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22,250</w:t>
            </w:r>
          </w:p>
        </w:tc>
      </w:tr>
      <w:tr>
        <w:trPr>
          <w:trHeight w:val="352"/>
        </w:trPr>
        <w:tc>
          <w:tcPr>
            <w:tcW w:w="6680" w:type="dxa"/>
            <w:vAlign w:val="bottom"/>
          </w:tcPr>
          <w:p>
            <w:pPr>
              <w:spacing w:after="0"/>
              <w:rPr>
                <w:sz w:val="20"/>
                <w:szCs w:val="20"/>
                <w:color w:val="auto"/>
              </w:rPr>
            </w:pPr>
            <w:r>
              <w:rPr>
                <w:rFonts w:ascii="Courier New" w:cs="Courier New" w:eastAsia="Courier New" w:hAnsi="Courier New"/>
                <w:sz w:val="15"/>
                <w:szCs w:val="15"/>
                <w:color w:val="auto"/>
              </w:rPr>
              <w:t>Interest expense - long-term debt</w:t>
            </w:r>
          </w:p>
        </w:tc>
        <w:tc>
          <w:tcPr>
            <w:tcW w:w="2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3,615</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3,623</w:t>
            </w:r>
          </w:p>
        </w:tc>
      </w:tr>
      <w:tr>
        <w:trPr>
          <w:trHeight w:val="352"/>
        </w:trPr>
        <w:tc>
          <w:tcPr>
            <w:tcW w:w="6680" w:type="dxa"/>
            <w:vAlign w:val="bottom"/>
          </w:tcPr>
          <w:p>
            <w:pPr>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26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3,054</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2,286</w:t>
            </w:r>
          </w:p>
        </w:tc>
      </w:tr>
      <w:tr>
        <w:trPr>
          <w:trHeight w:val="352"/>
        </w:trPr>
        <w:tc>
          <w:tcPr>
            <w:tcW w:w="668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26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(2,385)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620" w:type="dxa"/>
            <w:vAlign w:val="bottom"/>
          </w:tcPr>
          <w:p>
            <w:pPr>
              <w:spacing w:after="0"/>
              <w:rPr>
                <w:sz w:val="20"/>
                <w:szCs w:val="20"/>
                <w:color w:val="auto"/>
              </w:rPr>
            </w:pPr>
            <w:r>
              <w:rPr>
                <w:rFonts w:ascii="Courier New" w:cs="Courier New" w:eastAsia="Courier New" w:hAnsi="Courier New"/>
                <w:sz w:val="15"/>
                <w:szCs w:val="15"/>
                <w:color w:val="auto"/>
              </w:rPr>
              <w:t>(Loss) income before income taxes</w:t>
            </w:r>
          </w:p>
        </w:tc>
        <w:tc>
          <w:tcPr>
            <w:tcW w:w="37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(5,517)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18,726</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5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Current</w:t>
            </w:r>
          </w:p>
        </w:tc>
        <w:tc>
          <w:tcPr>
            <w:tcW w:w="45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6"/>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Future</w:t>
            </w:r>
          </w:p>
        </w:tc>
        <w:tc>
          <w:tcPr>
            <w:tcW w:w="45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(691)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(9,163)</w:t>
            </w:r>
          </w:p>
        </w:tc>
      </w:tr>
    </w:tbl>
    <w:p>
      <w:pPr>
        <w:spacing w:after="0" w:line="5" w:lineRule="exact"/>
        <w:rPr>
          <w:sz w:val="20"/>
          <w:szCs w:val="20"/>
          <w:color w:val="auto"/>
        </w:rPr>
      </w:pPr>
    </w:p>
    <w:p>
      <w:pPr>
        <w:ind w:left="186" w:hanging="186"/>
        <w:spacing w:after="0"/>
        <w:tabs>
          <w:tab w:leader="none" w:pos="18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806" w:hanging="1377"/>
        <w:spacing w:after="0"/>
        <w:tabs>
          <w:tab w:leader="none" w:pos="980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(9,534)</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60" w:type="dxa"/>
            <w:vAlign w:val="bottom"/>
          </w:tcPr>
          <w:p>
            <w:pPr>
              <w:spacing w:after="0"/>
              <w:rPr>
                <w:sz w:val="20"/>
                <w:szCs w:val="20"/>
                <w:color w:val="auto"/>
              </w:rPr>
            </w:pPr>
            <w:r>
              <w:rPr>
                <w:rFonts w:ascii="Courier New" w:cs="Courier New" w:eastAsia="Courier New" w:hAnsi="Courier New"/>
                <w:sz w:val="15"/>
                <w:szCs w:val="15"/>
                <w:color w:val="auto"/>
              </w:rPr>
              <w:t>NET (LOSS) INCOME</w:t>
            </w:r>
          </w:p>
        </w:tc>
        <w:tc>
          <w:tcPr>
            <w:tcW w:w="3480" w:type="dxa"/>
            <w:vAlign w:val="bottom"/>
          </w:tcPr>
          <w:p>
            <w:pPr>
              <w:ind w:left="2380"/>
              <w:spacing w:after="0"/>
              <w:rPr>
                <w:sz w:val="20"/>
                <w:szCs w:val="20"/>
                <w:color w:val="auto"/>
              </w:rPr>
            </w:pPr>
            <w:r>
              <w:rPr>
                <w:rFonts w:ascii="Courier New" w:cs="Courier New" w:eastAsia="Courier New" w:hAnsi="Courier New"/>
                <w:sz w:val="15"/>
                <w:szCs w:val="15"/>
                <w:color w:val="auto"/>
              </w:rPr>
              <w:t>(6,208)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9,192</w:t>
            </w:r>
          </w:p>
        </w:tc>
      </w:tr>
      <w:tr>
        <w:trPr>
          <w:trHeight w:val="352"/>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Retained earnings, beginning of period</w:t>
            </w:r>
          </w:p>
        </w:tc>
        <w:tc>
          <w:tcPr>
            <w:tcW w:w="3480" w:type="dxa"/>
            <w:vAlign w:val="bottom"/>
          </w:tcPr>
          <w:p>
            <w:pPr>
              <w:ind w:left="2380"/>
              <w:spacing w:after="0"/>
              <w:rPr>
                <w:sz w:val="20"/>
                <w:szCs w:val="20"/>
                <w:color w:val="auto"/>
              </w:rPr>
            </w:pPr>
            <w:r>
              <w:rPr>
                <w:rFonts w:ascii="Courier New" w:cs="Courier New" w:eastAsia="Courier New" w:hAnsi="Courier New"/>
                <w:sz w:val="15"/>
                <w:szCs w:val="15"/>
                <w:color w:val="auto"/>
              </w:rPr>
              <w:t>51,068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35,774</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RETAINED EARNINGS, END OF PERIOD</w:t>
            </w:r>
          </w:p>
        </w:tc>
        <w:tc>
          <w:tcPr>
            <w:tcW w:w="37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44,860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44,966</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626"/>
          </w:cols>
          <w:pgMar w:left="234" w:top="999" w:right="1039" w:bottom="1440" w:gutter="0" w:footer="0" w:header="0"/>
        </w:sectPr>
      </w:pPr>
    </w:p>
    <w:bookmarkStart w:id="35" w:name="page36"/>
    <w:bookmarkEnd w:id="35"/>
    <w:p>
      <w:pPr>
        <w:jc w:val="center"/>
        <w:ind w:right="3194"/>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BALANCE SHEET</w:t>
      </w:r>
    </w:p>
    <w:p>
      <w:pPr>
        <w:spacing w:after="0" w:line="6"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AS AT JUNE 30, 2003</w:t>
      </w:r>
    </w:p>
    <w:p>
      <w:pPr>
        <w:spacing w:after="0" w:line="6"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(in thousands of dollars)</w:t>
      </w:r>
    </w:p>
    <w:p>
      <w:pPr>
        <w:spacing w:after="0" w:line="6"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(unaudited)</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41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r>
      <w:tr>
        <w:trPr>
          <w:trHeight w:val="529"/>
        </w:trPr>
        <w:tc>
          <w:tcPr>
            <w:tcW w:w="6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120" w:type="dxa"/>
            <w:vAlign w:val="bottom"/>
          </w:tcPr>
          <w:p>
            <w:pPr>
              <w:spacing w:after="0"/>
              <w:rPr>
                <w:sz w:val="24"/>
                <w:szCs w:val="24"/>
                <w:color w:val="auto"/>
              </w:rPr>
            </w:pPr>
          </w:p>
        </w:tc>
      </w:tr>
      <w:tr>
        <w:trPr>
          <w:trHeight w:val="176"/>
        </w:trPr>
        <w:tc>
          <w:tcPr>
            <w:tcW w:w="6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120" w:type="dxa"/>
            <w:vAlign w:val="bottom"/>
          </w:tcPr>
          <w:p>
            <w:pPr>
              <w:spacing w:after="0"/>
              <w:rPr>
                <w:sz w:val="15"/>
                <w:szCs w:val="15"/>
                <w:color w:val="auto"/>
              </w:rPr>
            </w:pP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Cash</w:t>
            </w:r>
          </w:p>
        </w:tc>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34,358</w:t>
            </w: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4,891</w:t>
            </w: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Other current receivables</w:t>
            </w:r>
          </w:p>
        </w:tc>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24,292</w:t>
            </w:r>
          </w:p>
        </w:tc>
      </w:tr>
      <w:tr>
        <w:trPr>
          <w:trHeight w:val="176"/>
        </w:trPr>
        <w:tc>
          <w:tcPr>
            <w:tcW w:w="622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w:t>
            </w:r>
          </w:p>
        </w:tc>
        <w:tc>
          <w:tcPr>
            <w:tcW w:w="4120" w:type="dxa"/>
            <w:vAlign w:val="bottom"/>
          </w:tcPr>
          <w:p>
            <w:pPr>
              <w:jc w:val="right"/>
              <w:spacing w:after="0"/>
              <w:rPr>
                <w:sz w:val="20"/>
                <w:szCs w:val="20"/>
                <w:color w:val="auto"/>
              </w:rPr>
            </w:pPr>
            <w:r>
              <w:rPr>
                <w:rFonts w:ascii="Courier New" w:cs="Courier New" w:eastAsia="Courier New" w:hAnsi="Courier New"/>
                <w:sz w:val="15"/>
                <w:szCs w:val="15"/>
                <w:color w:val="auto"/>
              </w:rPr>
              <w:t>7,471</w:t>
            </w:r>
          </w:p>
        </w:tc>
      </w:tr>
    </w:tbl>
    <w:p>
      <w:pPr>
        <w:spacing w:after="0" w:line="5" w:lineRule="exact"/>
        <w:rPr>
          <w:sz w:val="20"/>
          <w:szCs w:val="20"/>
          <w:color w:val="auto"/>
        </w:rPr>
      </w:pPr>
    </w:p>
    <w:p>
      <w:pPr>
        <w:ind w:left="186" w:hanging="186"/>
        <w:spacing w:after="0"/>
        <w:tabs>
          <w:tab w:leader="none" w:pos="18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8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71,012</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1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53,495</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384,277</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10,082</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Accrued benefit asset</w:t>
            </w: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3,046</w:t>
            </w:r>
          </w:p>
        </w:tc>
      </w:tr>
    </w:tbl>
    <w:p>
      <w:pPr>
        <w:spacing w:after="0" w:line="5" w:lineRule="exact"/>
        <w:rPr>
          <w:sz w:val="20"/>
          <w:szCs w:val="20"/>
          <w:color w:val="auto"/>
        </w:rPr>
      </w:pPr>
    </w:p>
    <w:p>
      <w:pPr>
        <w:ind w:left="186" w:hanging="186"/>
        <w:spacing w:after="0"/>
        <w:tabs>
          <w:tab w:leader="none" w:pos="1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7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521,912</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72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060" w:type="dxa"/>
            <w:vAlign w:val="bottom"/>
          </w:tcPr>
          <w:p>
            <w:pPr>
              <w:spacing w:after="0"/>
              <w:rPr>
                <w:sz w:val="14"/>
                <w:szCs w:val="14"/>
                <w:color w:val="auto"/>
              </w:rPr>
            </w:pPr>
          </w:p>
        </w:tc>
      </w:tr>
      <w:tr>
        <w:trPr>
          <w:trHeight w:val="176"/>
        </w:trPr>
        <w:tc>
          <w:tcPr>
            <w:tcW w:w="72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60" w:type="dxa"/>
            <w:vAlign w:val="bottom"/>
          </w:tcPr>
          <w:p>
            <w:pPr>
              <w:spacing w:after="0"/>
              <w:rPr>
                <w:sz w:val="15"/>
                <w:szCs w:val="15"/>
                <w:color w:val="auto"/>
              </w:rPr>
            </w:pPr>
          </w:p>
        </w:tc>
      </w:tr>
      <w:tr>
        <w:trPr>
          <w:trHeight w:val="176"/>
        </w:trPr>
        <w:tc>
          <w:tcPr>
            <w:tcW w:w="728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 and accrued liabilities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155,110</w:t>
            </w:r>
          </w:p>
        </w:tc>
      </w:tr>
      <w:tr>
        <w:trPr>
          <w:trHeight w:val="176"/>
        </w:trPr>
        <w:tc>
          <w:tcPr>
            <w:tcW w:w="7280" w:type="dxa"/>
            <w:vAlign w:val="bottom"/>
          </w:tcPr>
          <w:p>
            <w:pPr>
              <w:ind w:left="360"/>
              <w:spacing w:after="0"/>
              <w:rPr>
                <w:sz w:val="20"/>
                <w:szCs w:val="20"/>
                <w:color w:val="auto"/>
              </w:rPr>
            </w:pPr>
            <w:r>
              <w:rPr>
                <w:rFonts w:ascii="Courier New" w:cs="Courier New" w:eastAsia="Courier New" w:hAnsi="Courier New"/>
                <w:sz w:val="15"/>
                <w:szCs w:val="15"/>
                <w:color w:val="auto"/>
              </w:rPr>
              <w:t>Income and other taxes payable</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8,241</w:t>
            </w:r>
          </w:p>
        </w:tc>
      </w:tr>
      <w:tr>
        <w:trPr>
          <w:trHeight w:val="176"/>
        </w:trPr>
        <w:tc>
          <w:tcPr>
            <w:tcW w:w="728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loan payable</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2,976</w:t>
            </w:r>
          </w:p>
        </w:tc>
      </w:tr>
      <w:tr>
        <w:trPr>
          <w:trHeight w:val="176"/>
        </w:trPr>
        <w:tc>
          <w:tcPr>
            <w:tcW w:w="7280" w:type="dxa"/>
            <w:vAlign w:val="bottom"/>
          </w:tcPr>
          <w:p>
            <w:pPr>
              <w:ind w:left="360"/>
              <w:spacing w:after="0"/>
              <w:rPr>
                <w:sz w:val="20"/>
                <w:szCs w:val="20"/>
                <w:color w:val="auto"/>
              </w:rPr>
            </w:pPr>
            <w:r>
              <w:rPr>
                <w:rFonts w:ascii="Courier New" w:cs="Courier New" w:eastAsia="Courier New" w:hAnsi="Courier New"/>
                <w:sz w:val="15"/>
                <w:szCs w:val="15"/>
                <w:color w:val="auto"/>
              </w:rPr>
              <w:t>Current portion of obligation under capital lease</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27,740</w:t>
            </w:r>
          </w:p>
        </w:tc>
      </w:tr>
      <w:tr>
        <w:trPr>
          <w:trHeight w:val="176"/>
        </w:trPr>
        <w:tc>
          <w:tcPr>
            <w:tcW w:w="7280" w:type="dxa"/>
            <w:vAlign w:val="bottom"/>
          </w:tcPr>
          <w:p>
            <w:pPr>
              <w:ind w:left="360"/>
              <w:spacing w:after="0"/>
              <w:rPr>
                <w:sz w:val="20"/>
                <w:szCs w:val="20"/>
                <w:color w:val="auto"/>
              </w:rPr>
            </w:pPr>
            <w:r>
              <w:rPr>
                <w:rFonts w:ascii="Courier New" w:cs="Courier New" w:eastAsia="Courier New" w:hAnsi="Courier New"/>
                <w:sz w:val="15"/>
                <w:szCs w:val="15"/>
                <w:color w:val="auto"/>
              </w:rPr>
              <w:t>Other current liabilities</w:t>
            </w:r>
          </w:p>
        </w:tc>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4,920</w:t>
            </w:r>
          </w:p>
        </w:tc>
      </w:tr>
    </w:tbl>
    <w:p>
      <w:pPr>
        <w:spacing w:after="0" w:line="5" w:lineRule="exact"/>
        <w:rPr>
          <w:sz w:val="20"/>
          <w:szCs w:val="20"/>
          <w:color w:val="auto"/>
        </w:rPr>
      </w:pPr>
    </w:p>
    <w:p>
      <w:pPr>
        <w:ind w:left="186" w:hanging="186"/>
        <w:spacing w:after="0"/>
        <w:tabs>
          <w:tab w:leader="none" w:pos="18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7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198,987</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860" w:type="dxa"/>
            <w:vAlign w:val="bottom"/>
          </w:tcPr>
          <w:p>
            <w:pPr>
              <w:spacing w:after="0"/>
              <w:rPr>
                <w:sz w:val="20"/>
                <w:szCs w:val="20"/>
                <w:color w:val="auto"/>
              </w:rPr>
            </w:pPr>
            <w:r>
              <w:rPr>
                <w:rFonts w:ascii="Courier New" w:cs="Courier New" w:eastAsia="Courier New" w:hAnsi="Courier New"/>
                <w:sz w:val="15"/>
                <w:szCs w:val="15"/>
                <w:color w:val="auto"/>
              </w:rPr>
              <w:t>Convertible debentures due to related party</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36,281</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Loan</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1,529</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Obligation under capital lease</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25,179</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Future income taxes</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39,493</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Accrued benefit liability</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10,318</w:t>
            </w:r>
          </w:p>
        </w:tc>
      </w:tr>
      <w:tr>
        <w:trPr>
          <w:trHeight w:val="176"/>
        </w:trPr>
        <w:tc>
          <w:tcPr>
            <w:tcW w:w="686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25,136</w:t>
            </w:r>
          </w:p>
        </w:tc>
      </w:tr>
    </w:tbl>
    <w:p>
      <w:pPr>
        <w:spacing w:after="0" w:line="5" w:lineRule="exact"/>
        <w:rPr>
          <w:sz w:val="20"/>
          <w:szCs w:val="20"/>
          <w:color w:val="auto"/>
        </w:rPr>
      </w:pPr>
    </w:p>
    <w:p>
      <w:pPr>
        <w:ind w:left="186" w:hanging="186"/>
        <w:spacing w:after="0"/>
        <w:tabs>
          <w:tab w:leader="none" w:pos="18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7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336,923</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74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880" w:type="dxa"/>
            <w:vAlign w:val="bottom"/>
          </w:tcPr>
          <w:p>
            <w:pPr>
              <w:spacing w:after="0"/>
              <w:rPr>
                <w:sz w:val="14"/>
                <w:szCs w:val="14"/>
                <w:color w:val="auto"/>
              </w:rPr>
            </w:pPr>
          </w:p>
        </w:tc>
      </w:tr>
      <w:tr>
        <w:trPr>
          <w:trHeight w:val="176"/>
        </w:trPr>
        <w:tc>
          <w:tcPr>
            <w:tcW w:w="7460" w:type="dxa"/>
            <w:vAlign w:val="bottom"/>
          </w:tcPr>
          <w:p>
            <w:pPr>
              <w:ind w:left="360"/>
              <w:spacing w:after="0"/>
              <w:rPr>
                <w:sz w:val="20"/>
                <w:szCs w:val="20"/>
                <w:color w:val="auto"/>
              </w:rPr>
            </w:pPr>
            <w:r>
              <w:rPr>
                <w:rFonts w:ascii="Courier New" w:cs="Courier New" w:eastAsia="Courier New" w:hAnsi="Courier New"/>
                <w:sz w:val="15"/>
                <w:szCs w:val="15"/>
                <w:color w:val="auto"/>
              </w:rPr>
              <w:t>Option on convertible debentures due to related party</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37,960</w:t>
            </w:r>
          </w:p>
        </w:tc>
      </w:tr>
      <w:tr>
        <w:trPr>
          <w:trHeight w:val="176"/>
        </w:trPr>
        <w:tc>
          <w:tcPr>
            <w:tcW w:w="7460" w:type="dxa"/>
            <w:vAlign w:val="bottom"/>
          </w:tcPr>
          <w:p>
            <w:pPr>
              <w:ind w:left="360"/>
              <w:spacing w:after="0"/>
              <w:rPr>
                <w:sz w:val="20"/>
                <w:szCs w:val="20"/>
                <w:color w:val="auto"/>
              </w:rPr>
            </w:pPr>
            <w:r>
              <w:rPr>
                <w:rFonts w:ascii="Courier New" w:cs="Courier New" w:eastAsia="Courier New" w:hAnsi="Courier New"/>
                <w:sz w:val="15"/>
                <w:szCs w:val="15"/>
                <w:color w:val="auto"/>
              </w:rPr>
              <w:t>Common shares</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102,169</w:t>
            </w:r>
          </w:p>
        </w:tc>
      </w:tr>
      <w:tr>
        <w:trPr>
          <w:trHeight w:val="176"/>
        </w:trPr>
        <w:tc>
          <w:tcPr>
            <w:tcW w:w="7460" w:type="dxa"/>
            <w:vAlign w:val="bottom"/>
          </w:tcPr>
          <w:p>
            <w:pPr>
              <w:ind w:left="360"/>
              <w:spacing w:after="0"/>
              <w:rPr>
                <w:sz w:val="20"/>
                <w:szCs w:val="20"/>
                <w:color w:val="auto"/>
              </w:rPr>
            </w:pPr>
            <w:r>
              <w:rPr>
                <w:rFonts w:ascii="Courier New" w:cs="Courier New" w:eastAsia="Courier New" w:hAnsi="Courier New"/>
                <w:sz w:val="15"/>
                <w:szCs w:val="15"/>
                <w:color w:val="auto"/>
              </w:rPr>
              <w:t>Retained earnings</w:t>
            </w:r>
          </w:p>
        </w:tc>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rPr>
              <w:t>44,860</w:t>
            </w:r>
          </w:p>
        </w:tc>
      </w:tr>
    </w:tbl>
    <w:p>
      <w:pPr>
        <w:spacing w:after="0" w:line="5" w:lineRule="exact"/>
        <w:rPr>
          <w:sz w:val="20"/>
          <w:szCs w:val="20"/>
          <w:color w:val="auto"/>
        </w:rPr>
      </w:pPr>
    </w:p>
    <w:p>
      <w:pPr>
        <w:ind w:left="186" w:hanging="186"/>
        <w:spacing w:after="0"/>
        <w:tabs>
          <w:tab w:leader="none" w:pos="18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7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184,989</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970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521,912</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626"/>
          </w:cols>
          <w:pgMar w:left="234" w:top="999" w:right="1039" w:bottom="1440" w:gutter="0" w:footer="0" w:header="0"/>
        </w:sectPr>
      </w:pPr>
    </w:p>
    <w:bookmarkStart w:id="36" w:name="page37"/>
    <w:bookmarkEnd w:id="36"/>
    <w:p>
      <w:pPr>
        <w:jc w:val="center"/>
        <w:ind w:right="3194"/>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jc w:val="center"/>
        <w:ind w:right="3194"/>
        <w:spacing w:after="0"/>
        <w:rPr>
          <w:sz w:val="20"/>
          <w:szCs w:val="20"/>
          <w:color w:val="auto"/>
        </w:rPr>
      </w:pPr>
      <w:r>
        <w:rPr>
          <w:rFonts w:ascii="Courier New" w:cs="Courier New" w:eastAsia="Courier New" w:hAnsi="Courier New"/>
          <w:sz w:val="15"/>
          <w:szCs w:val="15"/>
          <w:color w:val="auto"/>
        </w:rPr>
        <w:t>STATEMENT OF CASH FLOWS</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ind w:left="2566"/>
        <w:spacing w:after="0"/>
        <w:rPr>
          <w:sz w:val="20"/>
          <w:szCs w:val="20"/>
          <w:color w:val="auto"/>
        </w:rPr>
      </w:pPr>
      <w:r>
        <w:rPr>
          <w:rFonts w:ascii="Courier New" w:cs="Courier New" w:eastAsia="Courier New" w:hAnsi="Courier New"/>
          <w:sz w:val="15"/>
          <w:szCs w:val="15"/>
          <w:color w:val="auto"/>
        </w:rPr>
        <w:t>(in thousands of dollars)</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3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7886"/>
        <w:spacing w:after="0"/>
        <w:tabs>
          <w:tab w:leader="none" w:pos="9606"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spacing w:after="0" w:line="6" w:lineRule="exact"/>
        <w:rPr>
          <w:sz w:val="20"/>
          <w:szCs w:val="20"/>
          <w:color w:val="auto"/>
        </w:rPr>
      </w:pPr>
    </w:p>
    <w:p>
      <w:pPr>
        <w:ind w:left="186" w:hanging="186"/>
        <w:spacing w:after="0"/>
        <w:tabs>
          <w:tab w:leader="none" w:pos="18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0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3"/>
          <w:szCs w:val="13"/>
          <w:color w:val="auto"/>
        </w:rPr>
        <w:t>$</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70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2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6"/>
        </w:trPr>
        <w:tc>
          <w:tcPr>
            <w:tcW w:w="7040" w:type="dxa"/>
            <w:vAlign w:val="bottom"/>
          </w:tcPr>
          <w:p>
            <w:pPr>
              <w:ind w:left="360"/>
              <w:spacing w:after="0"/>
              <w:rPr>
                <w:sz w:val="20"/>
                <w:szCs w:val="20"/>
                <w:color w:val="auto"/>
              </w:rPr>
            </w:pPr>
            <w:r>
              <w:rPr>
                <w:rFonts w:ascii="Courier New" w:cs="Courier New" w:eastAsia="Courier New" w:hAnsi="Courier New"/>
                <w:sz w:val="15"/>
                <w:szCs w:val="15"/>
                <w:color w:val="auto"/>
              </w:rPr>
              <w:t>Net (loss) income</w:t>
            </w:r>
          </w:p>
        </w:tc>
        <w:tc>
          <w:tcPr>
            <w:tcW w:w="22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(6,208)</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9,192</w:t>
            </w:r>
          </w:p>
        </w:tc>
      </w:tr>
      <w:tr>
        <w:trPr>
          <w:trHeight w:val="176"/>
        </w:trPr>
        <w:tc>
          <w:tcPr>
            <w:tcW w:w="7040" w:type="dxa"/>
            <w:vAlign w:val="bottom"/>
          </w:tcPr>
          <w:p>
            <w:pPr>
              <w:ind w:left="360"/>
              <w:spacing w:after="0"/>
              <w:rPr>
                <w:sz w:val="20"/>
                <w:szCs w:val="20"/>
                <w:color w:val="auto"/>
              </w:rPr>
            </w:pPr>
            <w:r>
              <w:rPr>
                <w:rFonts w:ascii="Courier New" w:cs="Courier New" w:eastAsia="Courier New" w:hAnsi="Courier New"/>
                <w:sz w:val="15"/>
                <w:szCs w:val="15"/>
                <w:color w:val="auto"/>
              </w:rPr>
              <w:t>Adjustments for:</w:t>
            </w:r>
          </w:p>
        </w:tc>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7040" w:type="dxa"/>
            <w:vAlign w:val="bottom"/>
          </w:tcPr>
          <w:p>
            <w:pPr>
              <w:ind w:left="720"/>
              <w:spacing w:after="0"/>
              <w:rPr>
                <w:sz w:val="20"/>
                <w:szCs w:val="20"/>
                <w:color w:val="auto"/>
              </w:rPr>
            </w:pPr>
            <w:r>
              <w:rPr>
                <w:rFonts w:ascii="Courier New" w:cs="Courier New" w:eastAsia="Courier New" w:hAnsi="Courier New"/>
                <w:sz w:val="15"/>
                <w:szCs w:val="15"/>
                <w:color w:val="auto"/>
              </w:rPr>
              <w:t>Amortization</w:t>
            </w:r>
          </w:p>
        </w:tc>
        <w:tc>
          <w:tcPr>
            <w:tcW w:w="22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56,453</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30,843</w:t>
            </w:r>
          </w:p>
        </w:tc>
      </w:tr>
      <w:tr>
        <w:trPr>
          <w:trHeight w:val="176"/>
        </w:trPr>
        <w:tc>
          <w:tcPr>
            <w:tcW w:w="7040" w:type="dxa"/>
            <w:vAlign w:val="bottom"/>
          </w:tcPr>
          <w:p>
            <w:pPr>
              <w:ind w:left="720"/>
              <w:spacing w:after="0"/>
              <w:rPr>
                <w:sz w:val="20"/>
                <w:szCs w:val="20"/>
                <w:color w:val="auto"/>
              </w:rPr>
            </w:pPr>
            <w:r>
              <w:rPr>
                <w:rFonts w:ascii="Courier New" w:cs="Courier New" w:eastAsia="Courier New" w:hAnsi="Courier New"/>
                <w:sz w:val="15"/>
                <w:szCs w:val="15"/>
                <w:color w:val="auto"/>
              </w:rPr>
              <w:t>Accretion on convertible debentures due to related party</w:t>
            </w:r>
          </w:p>
        </w:tc>
        <w:tc>
          <w:tcPr>
            <w:tcW w:w="22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3,054</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2,286</w:t>
            </w:r>
          </w:p>
        </w:tc>
      </w:tr>
      <w:tr>
        <w:trPr>
          <w:trHeight w:val="176"/>
        </w:trPr>
        <w:tc>
          <w:tcPr>
            <w:tcW w:w="7040" w:type="dxa"/>
            <w:vAlign w:val="bottom"/>
          </w:tcPr>
          <w:p>
            <w:pPr>
              <w:ind w:left="720"/>
              <w:spacing w:after="0"/>
              <w:rPr>
                <w:sz w:val="20"/>
                <w:szCs w:val="20"/>
                <w:color w:val="auto"/>
              </w:rPr>
            </w:pPr>
            <w:r>
              <w:rPr>
                <w:rFonts w:ascii="Courier New" w:cs="Courier New" w:eastAsia="Courier New" w:hAnsi="Courier New"/>
                <w:sz w:val="15"/>
                <w:szCs w:val="15"/>
                <w:color w:val="auto"/>
              </w:rPr>
              <w:t>Gain from sale of property, plant and equipment</w:t>
            </w:r>
          </w:p>
        </w:tc>
        <w:tc>
          <w:tcPr>
            <w:tcW w:w="22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7040" w:type="dxa"/>
            <w:vAlign w:val="bottom"/>
          </w:tcPr>
          <w:p>
            <w:pPr>
              <w:ind w:left="720"/>
              <w:spacing w:after="0"/>
              <w:rPr>
                <w:sz w:val="20"/>
                <w:szCs w:val="20"/>
                <w:color w:val="auto"/>
              </w:rPr>
            </w:pPr>
            <w:r>
              <w:rPr>
                <w:rFonts w:ascii="Courier New" w:cs="Courier New" w:eastAsia="Courier New" w:hAnsi="Courier New"/>
                <w:sz w:val="15"/>
                <w:szCs w:val="15"/>
                <w:color w:val="auto"/>
              </w:rPr>
              <w:t>Future income taxes</w:t>
            </w:r>
          </w:p>
        </w:tc>
        <w:tc>
          <w:tcPr>
            <w:tcW w:w="22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691</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9,163</w:t>
            </w:r>
          </w:p>
        </w:tc>
      </w:tr>
      <w:tr>
        <w:trPr>
          <w:trHeight w:val="176"/>
        </w:trPr>
        <w:tc>
          <w:tcPr>
            <w:tcW w:w="7040" w:type="dxa"/>
            <w:vAlign w:val="bottom"/>
          </w:tcPr>
          <w:p>
            <w:pPr>
              <w:ind w:left="720"/>
              <w:spacing w:after="0"/>
              <w:rPr>
                <w:sz w:val="20"/>
                <w:szCs w:val="20"/>
                <w:color w:val="auto"/>
              </w:rPr>
            </w:pPr>
            <w:r>
              <w:rPr>
                <w:rFonts w:ascii="Courier New" w:cs="Courier New" w:eastAsia="Courier New" w:hAnsi="Courier New"/>
                <w:sz w:val="15"/>
                <w:szCs w:val="15"/>
                <w:color w:val="auto"/>
              </w:rPr>
              <w:t>Net benefit plans expense</w:t>
            </w:r>
          </w:p>
        </w:tc>
        <w:tc>
          <w:tcPr>
            <w:tcW w:w="22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2,139</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637</w:t>
            </w:r>
          </w:p>
        </w:tc>
      </w:tr>
      <w:tr>
        <w:trPr>
          <w:trHeight w:val="176"/>
        </w:trPr>
        <w:tc>
          <w:tcPr>
            <w:tcW w:w="7040" w:type="dxa"/>
            <w:vAlign w:val="bottom"/>
          </w:tcPr>
          <w:p>
            <w:pPr>
              <w:ind w:left="360"/>
              <w:spacing w:after="0"/>
              <w:rPr>
                <w:sz w:val="20"/>
                <w:szCs w:val="20"/>
                <w:color w:val="auto"/>
              </w:rPr>
            </w:pPr>
            <w:r>
              <w:rPr>
                <w:rFonts w:ascii="Courier New" w:cs="Courier New" w:eastAsia="Courier New" w:hAnsi="Courier New"/>
                <w:sz w:val="15"/>
                <w:szCs w:val="15"/>
                <w:color w:val="auto"/>
              </w:rPr>
              <w:t>Net change in non-cash working capital items</w:t>
            </w:r>
          </w:p>
        </w:tc>
        <w:tc>
          <w:tcPr>
            <w:tcW w:w="22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47,987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(17,535)</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146"/>
        <w:spacing w:after="0"/>
        <w:tabs>
          <w:tab w:leader="none" w:pos="9786" w:val="left"/>
        </w:tabs>
        <w:rPr>
          <w:sz w:val="20"/>
          <w:szCs w:val="20"/>
          <w:color w:val="auto"/>
        </w:rPr>
      </w:pPr>
      <w:r>
        <w:rPr>
          <w:rFonts w:ascii="Courier New" w:cs="Courier New" w:eastAsia="Courier New" w:hAnsi="Courier New"/>
          <w:sz w:val="15"/>
          <w:szCs w:val="15"/>
          <w:color w:val="auto"/>
        </w:rPr>
        <w:t>104,105</w:t>
      </w:r>
      <w:r>
        <w:rPr>
          <w:sz w:val="20"/>
          <w:szCs w:val="20"/>
          <w:color w:val="auto"/>
        </w:rPr>
        <w:tab/>
      </w:r>
      <w:r>
        <w:rPr>
          <w:rFonts w:ascii="Courier New" w:cs="Courier New" w:eastAsia="Courier New" w:hAnsi="Courier New"/>
          <w:sz w:val="15"/>
          <w:szCs w:val="15"/>
          <w:color w:val="auto"/>
        </w:rPr>
        <w:t>34,586</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6"/>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2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(79,311)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(127,823)</w:t>
            </w:r>
          </w:p>
        </w:tc>
      </w:tr>
      <w:tr>
        <w:trPr>
          <w:trHeight w:val="176"/>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Proceeds from disposal of property, plant and equipment</w:t>
            </w:r>
          </w:p>
        </w:tc>
        <w:tc>
          <w:tcPr>
            <w:tcW w:w="2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332</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146"/>
        <w:spacing w:after="0"/>
        <w:tabs>
          <w:tab w:leader="none" w:pos="9606" w:val="left"/>
        </w:tabs>
        <w:rPr>
          <w:sz w:val="20"/>
          <w:szCs w:val="20"/>
          <w:color w:val="auto"/>
        </w:rPr>
      </w:pPr>
      <w:r>
        <w:rPr>
          <w:rFonts w:ascii="Courier New" w:cs="Courier New" w:eastAsia="Courier New" w:hAnsi="Courier New"/>
          <w:sz w:val="15"/>
          <w:szCs w:val="15"/>
          <w:color w:val="auto"/>
        </w:rPr>
        <w:t>(78,979)</w:t>
      </w:r>
      <w:r>
        <w:rPr>
          <w:sz w:val="20"/>
          <w:szCs w:val="20"/>
          <w:color w:val="auto"/>
        </w:rPr>
        <w:tab/>
      </w:r>
      <w:r>
        <w:rPr>
          <w:rFonts w:ascii="Courier New" w:cs="Courier New" w:eastAsia="Courier New" w:hAnsi="Courier New"/>
          <w:sz w:val="15"/>
          <w:szCs w:val="15"/>
          <w:color w:val="auto"/>
        </w:rPr>
        <w:t>(127,823)</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67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25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Repayment of capital leases</w:t>
            </w:r>
          </w:p>
        </w:tc>
        <w:tc>
          <w:tcPr>
            <w:tcW w:w="25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(24,358)</w:t>
            </w:r>
          </w:p>
        </w:tc>
        <w:tc>
          <w:tcPr>
            <w:tcW w:w="1100" w:type="dxa"/>
            <w:vAlign w:val="bottom"/>
          </w:tcPr>
          <w:p>
            <w:pPr>
              <w:ind w:left="460"/>
              <w:spacing w:after="0"/>
              <w:rPr>
                <w:sz w:val="20"/>
                <w:szCs w:val="20"/>
                <w:color w:val="auto"/>
              </w:rPr>
            </w:pPr>
            <w:r>
              <w:rPr>
                <w:rFonts w:ascii="Courier New" w:cs="Courier New" w:eastAsia="Courier New" w:hAnsi="Courier New"/>
                <w:sz w:val="15"/>
                <w:szCs w:val="15"/>
                <w:color w:val="auto"/>
                <w:w w:val="98"/>
              </w:rPr>
              <w:t>(3,022)</w:t>
            </w:r>
          </w:p>
        </w:tc>
      </w:tr>
      <w:tr>
        <w:trPr>
          <w:trHeight w:val="176"/>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Issuance of convertible debentures due to related party</w:t>
            </w:r>
          </w:p>
        </w:tc>
        <w:tc>
          <w:tcPr>
            <w:tcW w:w="2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60"/>
              <w:spacing w:after="0"/>
              <w:rPr>
                <w:sz w:val="20"/>
                <w:szCs w:val="20"/>
                <w:color w:val="auto"/>
              </w:rPr>
            </w:pPr>
            <w:r>
              <w:rPr>
                <w:rFonts w:ascii="Courier New" w:cs="Courier New" w:eastAsia="Courier New" w:hAnsi="Courier New"/>
                <w:sz w:val="15"/>
                <w:szCs w:val="15"/>
                <w:color w:val="auto"/>
              </w:rPr>
              <w:t>33,859</w:t>
            </w:r>
          </w:p>
        </w:tc>
      </w:tr>
      <w:tr>
        <w:trPr>
          <w:trHeight w:val="176"/>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Issuance of Common shares</w:t>
            </w:r>
          </w:p>
        </w:tc>
        <w:tc>
          <w:tcPr>
            <w:tcW w:w="25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60"/>
              <w:spacing w:after="0"/>
              <w:rPr>
                <w:sz w:val="20"/>
                <w:szCs w:val="20"/>
                <w:color w:val="auto"/>
              </w:rPr>
            </w:pPr>
            <w:r>
              <w:rPr>
                <w:rFonts w:ascii="Courier New" w:cs="Courier New" w:eastAsia="Courier New" w:hAnsi="Courier New"/>
                <w:sz w:val="15"/>
                <w:szCs w:val="15"/>
                <w:color w:val="auto"/>
              </w:rPr>
              <w:t>47,241</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146"/>
        <w:spacing w:after="0"/>
        <w:tabs>
          <w:tab w:leader="none" w:pos="9786" w:val="left"/>
        </w:tabs>
        <w:rPr>
          <w:sz w:val="20"/>
          <w:szCs w:val="20"/>
          <w:color w:val="auto"/>
        </w:rPr>
      </w:pPr>
      <w:r>
        <w:rPr>
          <w:rFonts w:ascii="Courier New" w:cs="Courier New" w:eastAsia="Courier New" w:hAnsi="Courier New"/>
          <w:sz w:val="15"/>
          <w:szCs w:val="15"/>
          <w:color w:val="auto"/>
        </w:rPr>
        <w:t>(24,358)</w:t>
      </w:r>
      <w:r>
        <w:rPr>
          <w:sz w:val="20"/>
          <w:szCs w:val="20"/>
          <w:color w:val="auto"/>
        </w:rPr>
        <w:tab/>
      </w:r>
      <w:r>
        <w:rPr>
          <w:rFonts w:ascii="Courier New" w:cs="Courier New" w:eastAsia="Courier New" w:hAnsi="Courier New"/>
          <w:sz w:val="15"/>
          <w:szCs w:val="15"/>
          <w:color w:val="auto"/>
        </w:rPr>
        <w:t>78,078</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420" w:type="dxa"/>
            <w:vAlign w:val="bottom"/>
          </w:tcPr>
          <w:p>
            <w:pPr>
              <w:spacing w:after="0"/>
              <w:rPr>
                <w:sz w:val="20"/>
                <w:szCs w:val="20"/>
                <w:color w:val="auto"/>
              </w:rPr>
            </w:pPr>
            <w:r>
              <w:rPr>
                <w:rFonts w:ascii="Courier New" w:cs="Courier New" w:eastAsia="Courier New" w:hAnsi="Courier New"/>
                <w:sz w:val="15"/>
                <w:szCs w:val="15"/>
                <w:color w:val="auto"/>
              </w:rPr>
              <w:t>Net increase (decrease) in</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cash and cash equivalents</w:t>
            </w:r>
          </w:p>
        </w:tc>
        <w:tc>
          <w:tcPr>
            <w:tcW w:w="2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768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(15,159)</w:t>
            </w:r>
          </w:p>
        </w:tc>
      </w:tr>
      <w:tr>
        <w:trPr>
          <w:trHeight w:val="17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4080" w:type="dxa"/>
            <w:vAlign w:val="bottom"/>
          </w:tcPr>
          <w:p>
            <w:pPr>
              <w:ind w:left="40"/>
              <w:spacing w:after="0"/>
              <w:rPr>
                <w:sz w:val="20"/>
                <w:szCs w:val="20"/>
                <w:color w:val="auto"/>
              </w:rPr>
            </w:pPr>
            <w:r>
              <w:rPr>
                <w:rFonts w:ascii="Courier New" w:cs="Courier New" w:eastAsia="Courier New" w:hAnsi="Courier New"/>
                <w:sz w:val="15"/>
                <w:szCs w:val="15"/>
                <w:color w:val="auto"/>
              </w:rPr>
              <w:t>beginning of period</w:t>
            </w:r>
          </w:p>
        </w:tc>
        <w:tc>
          <w:tcPr>
            <w:tcW w:w="27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33,590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33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34,358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42,534</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626"/>
          </w:cols>
          <w:pgMar w:left="234" w:top="647" w:right="1039" w:bottom="1440" w:gutter="0" w:footer="0" w:header="0"/>
        </w:sectPr>
      </w:pPr>
    </w:p>
    <w:bookmarkStart w:id="37" w:name="page38"/>
    <w:bookmarkEnd w:id="37"/>
    <w:p>
      <w:pPr>
        <w:jc w:val="center"/>
        <w:ind w:right="3120"/>
        <w:spacing w:after="0"/>
        <w:rPr>
          <w:sz w:val="20"/>
          <w:szCs w:val="20"/>
          <w:color w:val="auto"/>
        </w:rPr>
      </w:pPr>
      <w:r>
        <w:rPr>
          <w:rFonts w:ascii="Courier New" w:cs="Courier New" w:eastAsia="Courier New" w:hAnsi="Courier New"/>
          <w:sz w:val="15"/>
          <w:szCs w:val="15"/>
          <w:color w:val="auto"/>
        </w:rPr>
        <w:t>CERTEN INC.</w:t>
      </w:r>
    </w:p>
    <w:p>
      <w:pPr>
        <w:spacing w:after="0" w:line="6"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NOTES TO THE FINANCIAL STATEMENTS</w:t>
      </w:r>
    </w:p>
    <w:p>
      <w:pPr>
        <w:spacing w:after="0" w:line="6"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5"/>
          <w:szCs w:val="15"/>
          <w:color w:val="auto"/>
        </w:rPr>
        <w:t>SIX-MONTH PERIOD ENDED JUNE 30, 2003</w:t>
      </w:r>
    </w:p>
    <w:p>
      <w:pPr>
        <w:spacing w:after="0" w:line="6"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 tabular amounts are in thousands of dollars except where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52"/>
        </w:trPr>
        <w:tc>
          <w:tcPr>
            <w:tcW w:w="4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RECONCILIATION OF RESULTS REPORTED IN ACCORDANCE WITH CANADIAN GENERALLY</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60" w:type="dxa"/>
            <w:vAlign w:val="bottom"/>
          </w:tcPr>
          <w:p>
            <w:pPr>
              <w:spacing w:after="0"/>
              <w:rPr>
                <w:sz w:val="15"/>
                <w:szCs w:val="15"/>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ACCEPTED ACCOUNTING PRINCIPLES (GAAP) TO UNITED STATES GAAP</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2"/>
        </w:trPr>
        <w:tc>
          <w:tcPr>
            <w:tcW w:w="46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The significant differences between Canadian and United States GAAP</w:t>
            </w: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6"/>
        </w:trPr>
        <w:tc>
          <w:tcPr>
            <w:tcW w:w="460" w:type="dxa"/>
            <w:vAlign w:val="bottom"/>
          </w:tcPr>
          <w:p>
            <w:pPr>
              <w:spacing w:after="0"/>
              <w:rPr>
                <w:sz w:val="15"/>
                <w:szCs w:val="15"/>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affecting Certen's net earnings and shareholders' equity are detailed as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follows: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705"/>
        </w:trPr>
        <w:tc>
          <w:tcPr>
            <w:tcW w:w="46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RECONCILIATION OF NET EARNINGS:</w:t>
            </w:r>
          </w:p>
        </w:tc>
        <w:tc>
          <w:tcPr>
            <w:tcW w:w="150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2003</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460" w:type="dxa"/>
            <w:vAlign w:val="bottom"/>
          </w:tcPr>
          <w:p>
            <w:pPr>
              <w:spacing w:after="0"/>
              <w:rPr>
                <w:sz w:val="15"/>
                <w:szCs w:val="15"/>
                <w:color w:val="auto"/>
              </w:rPr>
            </w:pPr>
          </w:p>
        </w:tc>
        <w:tc>
          <w:tcPr>
            <w:tcW w:w="100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r>
      <w:tr>
        <w:trPr>
          <w:trHeight w:val="176"/>
        </w:trPr>
        <w:tc>
          <w:tcPr>
            <w:tcW w:w="46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150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r>
      <w:tr>
        <w:trPr>
          <w:trHeight w:val="529"/>
        </w:trPr>
        <w:tc>
          <w:tcPr>
            <w:tcW w:w="460" w:type="dxa"/>
            <w:vAlign w:val="bottom"/>
          </w:tcPr>
          <w:p>
            <w:pPr>
              <w:spacing w:after="0"/>
              <w:rPr>
                <w:sz w:val="24"/>
                <w:szCs w:val="24"/>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CANADIAN GAAP - NET (LOSS) INCOME</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(6,208)</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9,192</w:t>
            </w:r>
          </w:p>
        </w:tc>
      </w:tr>
      <w:tr>
        <w:trPr>
          <w:trHeight w:val="176"/>
        </w:trPr>
        <w:tc>
          <w:tcPr>
            <w:tcW w:w="460" w:type="dxa"/>
            <w:vAlign w:val="bottom"/>
          </w:tcPr>
          <w:p>
            <w:pPr>
              <w:spacing w:after="0"/>
              <w:rPr>
                <w:sz w:val="15"/>
                <w:szCs w:val="15"/>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Adjustments:</w:t>
            </w:r>
          </w:p>
        </w:tc>
        <w:tc>
          <w:tcPr>
            <w:tcW w:w="15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6"/>
        </w:trPr>
        <w:tc>
          <w:tcPr>
            <w:tcW w:w="460" w:type="dxa"/>
            <w:vAlign w:val="bottom"/>
          </w:tcPr>
          <w:p>
            <w:pPr>
              <w:spacing w:after="0"/>
              <w:rPr>
                <w:sz w:val="15"/>
                <w:szCs w:val="15"/>
                <w:color w:val="auto"/>
              </w:rPr>
            </w:pPr>
          </w:p>
        </w:tc>
        <w:tc>
          <w:tcPr>
            <w:tcW w:w="7140" w:type="dxa"/>
            <w:vAlign w:val="bottom"/>
          </w:tcPr>
          <w:p>
            <w:pPr>
              <w:ind w:left="540"/>
              <w:spacing w:after="0"/>
              <w:rPr>
                <w:sz w:val="20"/>
                <w:szCs w:val="20"/>
                <w:color w:val="auto"/>
              </w:rPr>
            </w:pPr>
            <w:r>
              <w:rPr>
                <w:rFonts w:ascii="Courier New" w:cs="Courier New" w:eastAsia="Courier New" w:hAnsi="Courier New"/>
                <w:sz w:val="15"/>
                <w:szCs w:val="15"/>
                <w:color w:val="auto"/>
              </w:rPr>
              <w:t>Accretion on convertible debentures due to related party (a)</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3,054</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2,286</w:t>
            </w:r>
          </w:p>
        </w:tc>
      </w:tr>
      <w:tr>
        <w:trPr>
          <w:trHeight w:val="176"/>
        </w:trPr>
        <w:tc>
          <w:tcPr>
            <w:tcW w:w="460" w:type="dxa"/>
            <w:vAlign w:val="bottom"/>
          </w:tcPr>
          <w:p>
            <w:pPr>
              <w:spacing w:after="0"/>
              <w:rPr>
                <w:sz w:val="15"/>
                <w:szCs w:val="15"/>
                <w:color w:val="auto"/>
              </w:rPr>
            </w:pPr>
          </w:p>
        </w:tc>
        <w:tc>
          <w:tcPr>
            <w:tcW w:w="7140" w:type="dxa"/>
            <w:vAlign w:val="bottom"/>
          </w:tcPr>
          <w:p>
            <w:pPr>
              <w:ind w:left="540"/>
              <w:spacing w:after="0"/>
              <w:rPr>
                <w:sz w:val="20"/>
                <w:szCs w:val="20"/>
                <w:color w:val="auto"/>
              </w:rPr>
            </w:pPr>
            <w:r>
              <w:rPr>
                <w:rFonts w:ascii="Courier New" w:cs="Courier New" w:eastAsia="Courier New" w:hAnsi="Courier New"/>
                <w:sz w:val="15"/>
                <w:szCs w:val="15"/>
                <w:color w:val="auto"/>
              </w:rPr>
              <w:t>Capitalization of training costs (b)</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(1,013)</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60" w:type="dxa"/>
            <w:vAlign w:val="bottom"/>
          </w:tcPr>
          <w:p>
            <w:pPr>
              <w:spacing w:after="0"/>
              <w:rPr>
                <w:sz w:val="15"/>
                <w:szCs w:val="15"/>
                <w:color w:val="auto"/>
              </w:rPr>
            </w:pPr>
          </w:p>
        </w:tc>
        <w:tc>
          <w:tcPr>
            <w:tcW w:w="7140" w:type="dxa"/>
            <w:vAlign w:val="bottom"/>
          </w:tcPr>
          <w:p>
            <w:pPr>
              <w:ind w:left="540"/>
              <w:spacing w:after="0"/>
              <w:rPr>
                <w:sz w:val="20"/>
                <w:szCs w:val="20"/>
                <w:color w:val="auto"/>
              </w:rPr>
            </w:pPr>
            <w:r>
              <w:rPr>
                <w:rFonts w:ascii="Courier New" w:cs="Courier New" w:eastAsia="Courier New" w:hAnsi="Courier New"/>
                <w:sz w:val="15"/>
                <w:szCs w:val="15"/>
                <w:color w:val="auto"/>
              </w:rPr>
              <w:t>Capitalization of interest (c)</w:t>
            </w:r>
          </w:p>
        </w:tc>
        <w:tc>
          <w:tcPr>
            <w:tcW w:w="15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2,939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1,287</w:t>
            </w:r>
          </w:p>
        </w:tc>
      </w:tr>
      <w:tr>
        <w:trPr>
          <w:trHeight w:val="176"/>
        </w:trPr>
        <w:tc>
          <w:tcPr>
            <w:tcW w:w="460" w:type="dxa"/>
            <w:vAlign w:val="bottom"/>
          </w:tcPr>
          <w:p>
            <w:pPr>
              <w:spacing w:after="0"/>
              <w:rPr>
                <w:sz w:val="15"/>
                <w:szCs w:val="15"/>
                <w:color w:val="auto"/>
              </w:rPr>
            </w:pPr>
          </w:p>
        </w:tc>
        <w:tc>
          <w:tcPr>
            <w:tcW w:w="7140" w:type="dxa"/>
            <w:vAlign w:val="bottom"/>
          </w:tcPr>
          <w:p>
            <w:pPr>
              <w:ind w:left="540"/>
              <w:spacing w:after="0"/>
              <w:rPr>
                <w:sz w:val="20"/>
                <w:szCs w:val="20"/>
                <w:color w:val="auto"/>
              </w:rPr>
            </w:pPr>
            <w:r>
              <w:rPr>
                <w:rFonts w:ascii="Courier New" w:cs="Courier New" w:eastAsia="Courier New" w:hAnsi="Courier New"/>
                <w:sz w:val="15"/>
                <w:szCs w:val="15"/>
                <w:color w:val="auto"/>
              </w:rPr>
              <w:t>Income taxes (d)</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(661)</w:t>
            </w:r>
          </w:p>
        </w:tc>
        <w:tc>
          <w:tcPr>
            <w:tcW w:w="14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(424)</w:t>
            </w:r>
          </w:p>
        </w:tc>
      </w:tr>
      <w:tr>
        <w:trPr>
          <w:trHeight w:val="176"/>
        </w:trPr>
        <w:tc>
          <w:tcPr>
            <w:tcW w:w="460" w:type="dxa"/>
            <w:vAlign w:val="bottom"/>
          </w:tcPr>
          <w:p>
            <w:pPr>
              <w:spacing w:after="0"/>
              <w:rPr>
                <w:sz w:val="15"/>
                <w:szCs w:val="15"/>
                <w:color w:val="auto"/>
              </w:rPr>
            </w:pPr>
          </w:p>
        </w:tc>
        <w:tc>
          <w:tcPr>
            <w:tcW w:w="100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r>
      <w:tr>
        <w:trPr>
          <w:trHeight w:val="176"/>
        </w:trPr>
        <w:tc>
          <w:tcPr>
            <w:tcW w:w="460" w:type="dxa"/>
            <w:vAlign w:val="bottom"/>
          </w:tcPr>
          <w:p>
            <w:pPr>
              <w:spacing w:after="0"/>
              <w:rPr>
                <w:sz w:val="15"/>
                <w:szCs w:val="15"/>
                <w:color w:val="auto"/>
              </w:rPr>
            </w:pPr>
          </w:p>
        </w:tc>
        <w:tc>
          <w:tcPr>
            <w:tcW w:w="7140" w:type="dxa"/>
            <w:vAlign w:val="bottom"/>
          </w:tcPr>
          <w:p>
            <w:pPr>
              <w:ind w:left="260"/>
              <w:spacing w:after="0"/>
              <w:rPr>
                <w:sz w:val="20"/>
                <w:szCs w:val="20"/>
                <w:color w:val="auto"/>
              </w:rPr>
            </w:pPr>
            <w:r>
              <w:rPr>
                <w:rFonts w:ascii="Courier New" w:cs="Courier New" w:eastAsia="Courier New" w:hAnsi="Courier New"/>
                <w:sz w:val="15"/>
                <w:szCs w:val="15"/>
                <w:color w:val="auto"/>
              </w:rPr>
              <w:t>UNITED STATES GAAP - NET (LOSS) INCOME</w:t>
            </w:r>
          </w:p>
        </w:tc>
        <w:tc>
          <w:tcPr>
            <w:tcW w:w="15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(1,889)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12,341</w:t>
            </w:r>
          </w:p>
        </w:tc>
      </w:tr>
    </w:tbl>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RECONCILIATION OF SHAREHOLDERS' EQUITY:</w:t>
            </w:r>
          </w:p>
        </w:tc>
        <w:tc>
          <w:tcPr>
            <w:tcW w:w="28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bl>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98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352"/>
        </w:trPr>
        <w:tc>
          <w:tcPr>
            <w:tcW w:w="1420" w:type="dxa"/>
            <w:vAlign w:val="bottom"/>
          </w:tcPr>
          <w:p>
            <w:pPr>
              <w:spacing w:after="0"/>
              <w:rPr>
                <w:sz w:val="20"/>
                <w:szCs w:val="20"/>
                <w:color w:val="auto"/>
              </w:rPr>
            </w:pPr>
            <w:r>
              <w:rPr>
                <w:rFonts w:ascii="Courier New" w:cs="Courier New" w:eastAsia="Courier New" w:hAnsi="Courier New"/>
                <w:sz w:val="15"/>
                <w:szCs w:val="15"/>
                <w:color w:val="auto"/>
              </w:rPr>
              <w:t>CANADIAN GAAP -</w:t>
            </w:r>
          </w:p>
        </w:tc>
        <w:tc>
          <w:tcPr>
            <w:tcW w:w="5040" w:type="dxa"/>
            <w:vAlign w:val="bottom"/>
          </w:tcPr>
          <w:p>
            <w:pPr>
              <w:ind w:left="60"/>
              <w:spacing w:after="0"/>
              <w:rPr>
                <w:sz w:val="20"/>
                <w:szCs w:val="20"/>
                <w:color w:val="auto"/>
              </w:rPr>
            </w:pPr>
            <w:r>
              <w:rPr>
                <w:rFonts w:ascii="Courier New" w:cs="Courier New" w:eastAsia="Courier New" w:hAnsi="Courier New"/>
                <w:sz w:val="15"/>
                <w:szCs w:val="15"/>
                <w:color w:val="auto"/>
              </w:rPr>
              <w:t>SHAREHOLDERS' EQUITY</w:t>
            </w:r>
          </w:p>
        </w:tc>
        <w:tc>
          <w:tcPr>
            <w:tcW w:w="19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184,989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185,096</w:t>
            </w:r>
          </w:p>
        </w:tc>
      </w:tr>
      <w:tr>
        <w:trPr>
          <w:trHeight w:val="176"/>
        </w:trPr>
        <w:tc>
          <w:tcPr>
            <w:tcW w:w="142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50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Accretion on</w:t>
            </w:r>
          </w:p>
        </w:tc>
        <w:tc>
          <w:tcPr>
            <w:tcW w:w="5040" w:type="dxa"/>
            <w:vAlign w:val="bottom"/>
          </w:tcPr>
          <w:p>
            <w:pPr>
              <w:ind w:left="60"/>
              <w:spacing w:after="0"/>
              <w:rPr>
                <w:sz w:val="20"/>
                <w:szCs w:val="20"/>
                <w:color w:val="auto"/>
              </w:rPr>
            </w:pPr>
            <w:r>
              <w:rPr>
                <w:rFonts w:ascii="Courier New" w:cs="Courier New" w:eastAsia="Courier New" w:hAnsi="Courier New"/>
                <w:sz w:val="15"/>
                <w:szCs w:val="15"/>
                <w:color w:val="auto"/>
              </w:rPr>
              <w:t>convertible debentures due to related party (a)</w:t>
            </w:r>
          </w:p>
        </w:tc>
        <w:tc>
          <w:tcPr>
            <w:tcW w:w="19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9,419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3,194</w:t>
            </w:r>
          </w:p>
        </w:tc>
      </w:tr>
      <w:tr>
        <w:trPr>
          <w:trHeight w:val="176"/>
        </w:trPr>
        <w:tc>
          <w:tcPr>
            <w:tcW w:w="6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Option on convertible debentures due to related party (a)</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(37,960)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(37,960)</w:t>
            </w:r>
          </w:p>
        </w:tc>
      </w:tr>
      <w:tr>
        <w:trPr>
          <w:trHeight w:val="176"/>
        </w:trPr>
        <w:tc>
          <w:tcPr>
            <w:tcW w:w="6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Capitalization of training costs (b)</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(5,859)</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4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Capitalization of interest (c)</w:t>
            </w:r>
          </w:p>
        </w:tc>
        <w:tc>
          <w:tcPr>
            <w:tcW w:w="19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6,915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1,366</w:t>
            </w:r>
          </w:p>
        </w:tc>
      </w:tr>
      <w:tr>
        <w:trPr>
          <w:trHeight w:val="176"/>
        </w:trPr>
        <w:tc>
          <w:tcPr>
            <w:tcW w:w="1420" w:type="dxa"/>
            <w:vAlign w:val="bottom"/>
          </w:tcPr>
          <w:p>
            <w:pPr>
              <w:ind w:left="280"/>
              <w:spacing w:after="0"/>
              <w:rPr>
                <w:sz w:val="20"/>
                <w:szCs w:val="20"/>
                <w:color w:val="auto"/>
              </w:rPr>
            </w:pPr>
            <w:r>
              <w:rPr>
                <w:rFonts w:ascii="Courier New" w:cs="Courier New" w:eastAsia="Courier New" w:hAnsi="Courier New"/>
                <w:sz w:val="15"/>
                <w:szCs w:val="15"/>
                <w:color w:val="auto"/>
              </w:rPr>
              <w:t>Income taxes</w:t>
            </w:r>
          </w:p>
        </w:tc>
        <w:tc>
          <w:tcPr>
            <w:tcW w:w="5040" w:type="dxa"/>
            <w:vAlign w:val="bottom"/>
          </w:tcPr>
          <w:p>
            <w:pPr>
              <w:ind w:left="60"/>
              <w:spacing w:after="0"/>
              <w:rPr>
                <w:sz w:val="20"/>
                <w:szCs w:val="20"/>
                <w:color w:val="auto"/>
              </w:rPr>
            </w:pPr>
            <w:r>
              <w:rPr>
                <w:rFonts w:ascii="Courier New" w:cs="Courier New" w:eastAsia="Courier New" w:hAnsi="Courier New"/>
                <w:sz w:val="15"/>
                <w:szCs w:val="15"/>
                <w:color w:val="auto"/>
              </w:rPr>
              <w:t>(d)</w:t>
            </w:r>
          </w:p>
        </w:tc>
        <w:tc>
          <w:tcPr>
            <w:tcW w:w="19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(346)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r>
    </w:tbl>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5460" w:type="dxa"/>
            <w:vAlign w:val="bottom"/>
          </w:tcPr>
          <w:p>
            <w:pPr>
              <w:spacing w:after="0"/>
              <w:rPr>
                <w:sz w:val="20"/>
                <w:szCs w:val="20"/>
                <w:color w:val="auto"/>
              </w:rPr>
            </w:pPr>
            <w:r>
              <w:rPr>
                <w:rFonts w:ascii="Courier New" w:cs="Courier New" w:eastAsia="Courier New" w:hAnsi="Courier New"/>
                <w:sz w:val="15"/>
                <w:szCs w:val="15"/>
                <w:color w:val="auto"/>
              </w:rPr>
              <w:t>UNITED STATES GAAP - SHAREHOLDERS' EQUITY</w:t>
            </w:r>
          </w:p>
        </w:tc>
        <w:tc>
          <w:tcPr>
            <w:tcW w:w="29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157,158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151,245</w:t>
            </w:r>
          </w:p>
        </w:tc>
      </w:tr>
    </w:tbl>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1180" w:hanging="453"/>
        <w:spacing w:after="0"/>
        <w:tabs>
          <w:tab w:leader="none" w:pos="1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Accretion on convertible debentures due to related party</w:t>
      </w:r>
    </w:p>
    <w:p>
      <w:pPr>
        <w:spacing w:after="0" w:line="182" w:lineRule="exact"/>
        <w:rPr>
          <w:rFonts w:ascii="Courier New" w:cs="Courier New" w:eastAsia="Courier New" w:hAnsi="Courier New"/>
          <w:sz w:val="15"/>
          <w:szCs w:val="15"/>
          <w:color w:val="auto"/>
        </w:rPr>
      </w:pPr>
    </w:p>
    <w:p>
      <w:pPr>
        <w:ind w:left="1180" w:right="32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the issuer of financial instruments that contain both a liability and an equity component must separate and classify the instruments according to their nature. Under United States GAAP, the issuer is not required to separate such financial instruments. Consequently, the accretion on convertible debentures due to related party is added back to United States GAAP net earnings.</w:t>
      </w:r>
    </w:p>
    <w:p>
      <w:pPr>
        <w:spacing w:after="0" w:line="175" w:lineRule="exact"/>
        <w:rPr>
          <w:rFonts w:ascii="Courier New" w:cs="Courier New" w:eastAsia="Courier New" w:hAnsi="Courier New"/>
          <w:sz w:val="15"/>
          <w:szCs w:val="15"/>
          <w:color w:val="auto"/>
        </w:rPr>
      </w:pPr>
    </w:p>
    <w:p>
      <w:pPr>
        <w:ind w:left="1180" w:hanging="453"/>
        <w:spacing w:after="0"/>
        <w:tabs>
          <w:tab w:leader="none" w:pos="1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training costs</w:t>
      </w:r>
    </w:p>
    <w:p>
      <w:pPr>
        <w:spacing w:after="0" w:line="182" w:lineRule="exact"/>
        <w:rPr>
          <w:rFonts w:ascii="Courier New" w:cs="Courier New" w:eastAsia="Courier New" w:hAnsi="Courier New"/>
          <w:sz w:val="15"/>
          <w:szCs w:val="15"/>
          <w:color w:val="auto"/>
        </w:rPr>
      </w:pPr>
    </w:p>
    <w:p>
      <w:pPr>
        <w:ind w:left="1180" w:right="32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Canadian GAAP, training costs incurred in the development of internal-use software is capitalized. Under United States GAAP, these costs are expensed as incurred.</w:t>
      </w:r>
    </w:p>
    <w:p>
      <w:pPr>
        <w:spacing w:after="0" w:line="175" w:lineRule="exact"/>
        <w:rPr>
          <w:rFonts w:ascii="Courier New" w:cs="Courier New" w:eastAsia="Courier New" w:hAnsi="Courier New"/>
          <w:sz w:val="15"/>
          <w:szCs w:val="15"/>
          <w:color w:val="auto"/>
        </w:rPr>
      </w:pPr>
    </w:p>
    <w:p>
      <w:pPr>
        <w:ind w:left="1180" w:hanging="453"/>
        <w:spacing w:after="0"/>
        <w:tabs>
          <w:tab w:leader="none" w:pos="1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of interest expense</w:t>
      </w:r>
    </w:p>
    <w:p>
      <w:pPr>
        <w:spacing w:after="0" w:line="182" w:lineRule="exact"/>
        <w:rPr>
          <w:rFonts w:ascii="Courier New" w:cs="Courier New" w:eastAsia="Courier New" w:hAnsi="Courier New"/>
          <w:sz w:val="15"/>
          <w:szCs w:val="15"/>
          <w:color w:val="auto"/>
        </w:rPr>
      </w:pPr>
    </w:p>
    <w:p>
      <w:pPr>
        <w:ind w:left="1180" w:right="33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United States GAAP, interest expense related to internally developed capital assets must be capitalized. Canadian GAAP makes no such requirements and therefore, Certen has expensed all interest costs.</w:t>
      </w:r>
    </w:p>
    <w:p>
      <w:pPr>
        <w:spacing w:after="0" w:line="175" w:lineRule="exact"/>
        <w:rPr>
          <w:rFonts w:ascii="Courier New" w:cs="Courier New" w:eastAsia="Courier New" w:hAnsi="Courier New"/>
          <w:sz w:val="15"/>
          <w:szCs w:val="15"/>
          <w:color w:val="auto"/>
        </w:rPr>
      </w:pPr>
    </w:p>
    <w:p>
      <w:pPr>
        <w:ind w:left="1180" w:hanging="362"/>
        <w:spacing w:after="0"/>
        <w:tabs>
          <w:tab w:leader="none" w:pos="11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rFonts w:ascii="Courier New" w:cs="Courier New" w:eastAsia="Courier New" w:hAnsi="Courier New"/>
          <w:sz w:val="15"/>
          <w:szCs w:val="15"/>
          <w:color w:val="auto"/>
        </w:rPr>
      </w:pPr>
    </w:p>
    <w:p>
      <w:pPr>
        <w:ind w:left="1180" w:right="3480"/>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adjustment reflects the impact on income taxes of the United States GAAP adjustments described above.</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520"/>
          </w:cols>
          <w:pgMar w:left="240" w:top="823" w:right="1139" w:bottom="1440" w:gutter="0" w:footer="0" w:header="0"/>
        </w:sectPr>
      </w:pPr>
    </w:p>
    <w:bookmarkStart w:id="38" w:name="page39"/>
    <w:bookmarkEnd w:id="38"/>
    <w:p>
      <w:pPr>
        <w:jc w:val="center"/>
        <w:ind w:right="2819"/>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INDEMNIFICATION OF DIRECTORS AND OFFICERS.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175"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EXHIBITS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EXHIBIT</w:t>
            </w:r>
          </w:p>
        </w:tc>
        <w:tc>
          <w:tcPr>
            <w:tcW w:w="6100" w:type="dxa"/>
            <w:vAlign w:val="bottom"/>
          </w:tcPr>
          <w:p>
            <w:pPr>
              <w:spacing w:after="0"/>
              <w:rPr>
                <w:sz w:val="14"/>
                <w:szCs w:val="14"/>
                <w:color w:val="auto"/>
              </w:rPr>
            </w:pPr>
          </w:p>
        </w:tc>
      </w:tr>
      <w:tr>
        <w:trPr>
          <w:trHeight w:val="176"/>
        </w:trPr>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NUMBER</w:t>
            </w:r>
          </w:p>
        </w:tc>
        <w:tc>
          <w:tcPr>
            <w:tcW w:w="6100" w:type="dxa"/>
            <w:vAlign w:val="bottom"/>
          </w:tcPr>
          <w:p>
            <w:pPr>
              <w:ind w:left="206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w:t>
            </w:r>
          </w:p>
        </w:tc>
        <w:tc>
          <w:tcPr>
            <w:tcW w:w="6100" w:type="dxa"/>
            <w:vAlign w:val="bottom"/>
          </w:tcPr>
          <w:p>
            <w:pPr>
              <w:ind w:left="2240"/>
              <w:spacing w:after="0"/>
              <w:rPr>
                <w:sz w:val="20"/>
                <w:szCs w:val="20"/>
                <w:color w:val="auto"/>
              </w:rPr>
            </w:pPr>
            <w:r>
              <w:rPr>
                <w:rFonts w:ascii="Courier New" w:cs="Courier New" w:eastAsia="Courier New" w:hAnsi="Courier New"/>
                <w:sz w:val="15"/>
                <w:szCs w:val="15"/>
                <w:color w:val="auto"/>
              </w:rPr>
              <w:t>-----------</w:t>
            </w:r>
          </w:p>
        </w:tc>
      </w:tr>
      <w:tr>
        <w:trPr>
          <w:trHeight w:val="529"/>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Memorandum and Articles of Association of Amdocs Limited</w:t>
            </w:r>
          </w:p>
        </w:tc>
      </w:tr>
      <w:tr>
        <w:trPr>
          <w:trHeight w:val="176"/>
        </w:trPr>
        <w:tc>
          <w:tcPr>
            <w:tcW w:w="1140" w:type="dxa"/>
            <w:vAlign w:val="bottom"/>
          </w:tcPr>
          <w:p>
            <w:pPr>
              <w:spacing w:after="0"/>
              <w:rPr>
                <w:sz w:val="15"/>
                <w:szCs w:val="15"/>
                <w:color w:val="auto"/>
              </w:rPr>
            </w:pP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(incorporated by reference to Exhibits 3.1 and 3.2 to</w:t>
            </w:r>
          </w:p>
        </w:tc>
      </w:tr>
      <w:tr>
        <w:trPr>
          <w:trHeight w:val="176"/>
        </w:trPr>
        <w:tc>
          <w:tcPr>
            <w:tcW w:w="1140" w:type="dxa"/>
            <w:vAlign w:val="bottom"/>
          </w:tcPr>
          <w:p>
            <w:pPr>
              <w:spacing w:after="0"/>
              <w:rPr>
                <w:sz w:val="15"/>
                <w:szCs w:val="15"/>
                <w:color w:val="auto"/>
              </w:rPr>
            </w:pP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6"/>
        </w:trPr>
        <w:tc>
          <w:tcPr>
            <w:tcW w:w="1140" w:type="dxa"/>
            <w:vAlign w:val="bottom"/>
          </w:tcPr>
          <w:p>
            <w:pPr>
              <w:spacing w:after="0"/>
              <w:rPr>
                <w:sz w:val="15"/>
                <w:szCs w:val="15"/>
                <w:color w:val="auto"/>
              </w:rPr>
            </w:pP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w:t>
            </w: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Specimen Certificate for the ordinary shares of Amdocs Limited</w:t>
            </w:r>
          </w:p>
        </w:tc>
      </w:tr>
      <w:tr>
        <w:trPr>
          <w:trHeight w:val="176"/>
        </w:trPr>
        <w:tc>
          <w:tcPr>
            <w:tcW w:w="1140" w:type="dxa"/>
            <w:vAlign w:val="bottom"/>
          </w:tcPr>
          <w:p>
            <w:pPr>
              <w:spacing w:after="0"/>
              <w:rPr>
                <w:sz w:val="15"/>
                <w:szCs w:val="15"/>
                <w:color w:val="auto"/>
              </w:rPr>
            </w:pP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(incorporated by reference to Exhibit 4.1 to Amdocs' Registration</w:t>
            </w:r>
          </w:p>
        </w:tc>
      </w:tr>
      <w:tr>
        <w:trPr>
          <w:trHeight w:val="176"/>
        </w:trPr>
        <w:tc>
          <w:tcPr>
            <w:tcW w:w="1140" w:type="dxa"/>
            <w:vAlign w:val="bottom"/>
          </w:tcPr>
          <w:p>
            <w:pPr>
              <w:spacing w:after="0"/>
              <w:rPr>
                <w:sz w:val="15"/>
                <w:szCs w:val="15"/>
                <w:color w:val="auto"/>
              </w:rPr>
            </w:pP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6"/>
        </w:trPr>
        <w:tc>
          <w:tcPr>
            <w:tcW w:w="1140" w:type="dxa"/>
            <w:vAlign w:val="bottom"/>
          </w:tcPr>
          <w:p>
            <w:pPr>
              <w:spacing w:after="0"/>
              <w:rPr>
                <w:sz w:val="15"/>
                <w:szCs w:val="15"/>
                <w:color w:val="auto"/>
              </w:rPr>
            </w:pP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333-8826).</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5.1</w:t>
            </w: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Opinion of Carey Olsen.</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23.1</w:t>
            </w: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23.2</w:t>
            </w: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23.3</w:t>
            </w: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24.1</w:t>
            </w:r>
          </w:p>
        </w:tc>
        <w:tc>
          <w:tcPr>
            <w:tcW w:w="6100" w:type="dxa"/>
            <w:vAlign w:val="bottom"/>
          </w:tcPr>
          <w:p>
            <w:pPr>
              <w:ind w:left="140"/>
              <w:spacing w:after="0"/>
              <w:rPr>
                <w:sz w:val="20"/>
                <w:szCs w:val="20"/>
                <w:color w:val="auto"/>
              </w:rPr>
            </w:pPr>
            <w:r>
              <w:rPr>
                <w:rFonts w:ascii="Courier New" w:cs="Courier New" w:eastAsia="Courier New" w:hAnsi="Courier New"/>
                <w:sz w:val="15"/>
                <w:szCs w:val="15"/>
                <w:color w:val="auto"/>
              </w:rPr>
              <w:t>Power of Attorney (see page II-4 of this Registration Statement).</w:t>
            </w:r>
          </w:p>
        </w:tc>
      </w:tr>
      <w:tr>
        <w:trPr>
          <w:trHeight w:val="881"/>
        </w:trPr>
        <w:tc>
          <w:tcPr>
            <w:tcW w:w="1140" w:type="dxa"/>
            <w:vAlign w:val="bottom"/>
          </w:tcPr>
          <w:p>
            <w:pPr>
              <w:spacing w:after="0"/>
              <w:rPr>
                <w:sz w:val="24"/>
                <w:szCs w:val="24"/>
                <w:color w:val="auto"/>
              </w:rPr>
            </w:pPr>
          </w:p>
        </w:tc>
        <w:tc>
          <w:tcPr>
            <w:tcW w:w="6100" w:type="dxa"/>
            <w:vAlign w:val="bottom"/>
          </w:tcPr>
          <w:p>
            <w:pPr>
              <w:ind w:left="2420"/>
              <w:spacing w:after="0"/>
              <w:rPr>
                <w:sz w:val="20"/>
                <w:szCs w:val="20"/>
                <w:color w:val="auto"/>
              </w:rPr>
            </w:pPr>
            <w:r>
              <w:rPr>
                <w:rFonts w:ascii="Courier New" w:cs="Courier New" w:eastAsia="Courier New" w:hAnsi="Courier New"/>
                <w:sz w:val="15"/>
                <w:szCs w:val="15"/>
                <w:color w:val="auto"/>
              </w:rPr>
              <w:t>34</w:t>
            </w:r>
          </w:p>
        </w:tc>
      </w:tr>
    </w:tbl>
    <w:p>
      <w:pPr>
        <w:sectPr>
          <w:pgSz w:w="11900" w:h="16838" w:orient="portrait"/>
          <w:cols w:equalWidth="0" w:num="1">
            <w:col w:w="10219"/>
          </w:cols>
          <w:pgMar w:left="240" w:top="647" w:right="1440" w:bottom="1440" w:gutter="0" w:footer="0" w:header="0"/>
        </w:sectPr>
      </w:pPr>
    </w:p>
    <w:bookmarkStart w:id="39" w:name="page40"/>
    <w:bookmarkEnd w:id="39"/>
    <w:p>
      <w:pPr>
        <w:spacing w:after="0"/>
        <w:tabs>
          <w:tab w:leader="none" w:pos="900" w:val="left"/>
        </w:tabs>
        <w:rPr>
          <w:sz w:val="20"/>
          <w:szCs w:val="20"/>
          <w:color w:val="auto"/>
        </w:rPr>
      </w:pPr>
      <w:r>
        <w:rPr>
          <w:rFonts w:ascii="Courier New" w:cs="Courier New" w:eastAsia="Courier New" w:hAnsi="Courier New"/>
          <w:sz w:val="15"/>
          <w:szCs w:val="15"/>
          <w:color w:val="auto"/>
        </w:rPr>
        <w:t>ITEM 10.</w:t>
        <w:tab/>
        <w:t>UNDERTAKINGS.</w:t>
      </w:r>
    </w:p>
    <w:p>
      <w:pPr>
        <w:spacing w:after="0" w:line="359" w:lineRule="exact"/>
        <w:rPr>
          <w:sz w:val="20"/>
          <w:szCs w:val="20"/>
          <w:color w:val="auto"/>
        </w:rPr>
      </w:pPr>
    </w:p>
    <w:p>
      <w:pPr>
        <w:ind w:right="3539" w:firstLine="824"/>
        <w:spacing w:after="0" w:line="250" w:lineRule="auto"/>
        <w:rPr>
          <w:sz w:val="20"/>
          <w:szCs w:val="20"/>
          <w:color w:val="auto"/>
        </w:rPr>
      </w:pPr>
      <w:r>
        <w:rPr>
          <w:rFonts w:ascii="Courier New" w:cs="Courier New" w:eastAsia="Courier New" w:hAnsi="Courier New"/>
          <w:sz w:val="15"/>
          <w:szCs w:val="15"/>
          <w:color w:val="auto"/>
        </w:rPr>
        <w:t>Item 512(a) of Regulation S-K. The undersigned Registrant hereby undertakes:</w:t>
      </w:r>
    </w:p>
    <w:p>
      <w:pPr>
        <w:spacing w:after="0" w:line="175" w:lineRule="exact"/>
        <w:rPr>
          <w:sz w:val="20"/>
          <w:szCs w:val="20"/>
          <w:color w:val="auto"/>
        </w:rPr>
      </w:pPr>
    </w:p>
    <w:p>
      <w:pPr>
        <w:ind w:left="1280" w:right="3079" w:hanging="462"/>
        <w:spacing w:after="0" w:line="250" w:lineRule="auto"/>
        <w:tabs>
          <w:tab w:leader="none" w:pos="12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740" w:right="2899" w:hanging="463"/>
        <w:spacing w:after="0" w:line="250" w:lineRule="auto"/>
        <w:tabs>
          <w:tab w:leader="none" w:pos="17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 as amended (the "Securities Act");</w:t>
      </w:r>
    </w:p>
    <w:p>
      <w:pPr>
        <w:spacing w:after="0" w:line="174" w:lineRule="exact"/>
        <w:rPr>
          <w:rFonts w:ascii="Courier New" w:cs="Courier New" w:eastAsia="Courier New" w:hAnsi="Courier New"/>
          <w:sz w:val="15"/>
          <w:szCs w:val="15"/>
          <w:color w:val="auto"/>
        </w:rPr>
      </w:pPr>
    </w:p>
    <w:p>
      <w:pPr>
        <w:ind w:left="1740" w:right="2979" w:hanging="463"/>
        <w:spacing w:after="0" w:line="248" w:lineRule="auto"/>
        <w:tabs>
          <w:tab w:leader="none" w:pos="174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5"/>
          <w:szCs w:val="15"/>
          <w:color w:val="auto"/>
        </w:rPr>
      </w:pPr>
    </w:p>
    <w:p>
      <w:pPr>
        <w:jc w:val="both"/>
        <w:ind w:left="1740" w:right="2899" w:hanging="463"/>
        <w:spacing w:after="0" w:line="249" w:lineRule="auto"/>
        <w:tabs>
          <w:tab w:leader="none" w:pos="1832"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this Registration Statement or any material change to such information in this Registration Statement;</w:t>
      </w:r>
    </w:p>
    <w:p>
      <w:pPr>
        <w:spacing w:after="0" w:line="176" w:lineRule="exact"/>
        <w:rPr>
          <w:sz w:val="20"/>
          <w:szCs w:val="20"/>
          <w:color w:val="auto"/>
        </w:rPr>
      </w:pPr>
    </w:p>
    <w:p>
      <w:pPr>
        <w:jc w:val="both"/>
        <w:ind w:right="3359"/>
        <w:spacing w:after="0" w:line="249" w:lineRule="auto"/>
        <w:rPr>
          <w:sz w:val="20"/>
          <w:szCs w:val="20"/>
          <w:color w:val="auto"/>
        </w:rPr>
      </w:pPr>
      <w:r>
        <w:rPr>
          <w:rFonts w:ascii="Courier New" w:cs="Courier New" w:eastAsia="Courier New" w:hAnsi="Courier New"/>
          <w:sz w:val="15"/>
          <w:szCs w:val="15"/>
          <w:color w:val="auto"/>
        </w:rPr>
        <w:t>provided, however, that paragraphs (1)(i) and (1)(ii) do not apply if the information required to be included in a post-effective amendment by those paragraphs is contained in periodic reports filed with or furnished to the Commission by the Registrant pursuant to Section 13 or Section 15(d) of the Securities Exchange Act of 1934, as amended (the "Exchange Act"), that are incorporated by reference in this Registration Statement.</w:t>
      </w:r>
    </w:p>
    <w:p>
      <w:pPr>
        <w:spacing w:after="0" w:line="176" w:lineRule="exact"/>
        <w:rPr>
          <w:sz w:val="20"/>
          <w:szCs w:val="20"/>
          <w:color w:val="auto"/>
        </w:rPr>
      </w:pPr>
    </w:p>
    <w:p>
      <w:pPr>
        <w:ind w:left="1280" w:right="2899" w:hanging="462"/>
        <w:spacing w:after="0" w:line="249" w:lineRule="auto"/>
        <w:tabs>
          <w:tab w:leader="none" w:pos="1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bona fide offering thereof.</w:t>
      </w:r>
    </w:p>
    <w:p>
      <w:pPr>
        <w:spacing w:after="0" w:line="175" w:lineRule="exact"/>
        <w:rPr>
          <w:rFonts w:ascii="Courier New" w:cs="Courier New" w:eastAsia="Courier New" w:hAnsi="Courier New"/>
          <w:sz w:val="15"/>
          <w:szCs w:val="15"/>
          <w:color w:val="auto"/>
        </w:rPr>
      </w:pPr>
    </w:p>
    <w:p>
      <w:pPr>
        <w:ind w:left="1280" w:right="2899" w:hanging="462"/>
        <w:spacing w:after="0" w:line="249" w:lineRule="auto"/>
        <w:tabs>
          <w:tab w:leader="none" w:pos="1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Item 512(b) of Regulation S-K.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2979" w:firstLine="824"/>
        <w:spacing w:after="0" w:line="249" w:lineRule="auto"/>
        <w:rPr>
          <w:sz w:val="20"/>
          <w:szCs w:val="20"/>
          <w:color w:val="auto"/>
        </w:rPr>
      </w:pPr>
      <w:r>
        <w:rPr>
          <w:rFonts w:ascii="Courier New" w:cs="Courier New" w:eastAsia="Courier New" w:hAnsi="Courier New"/>
          <w:sz w:val="15"/>
          <w:szCs w:val="15"/>
          <w:color w:val="auto"/>
        </w:rPr>
        <w:t>Item 512(h) of Regulation S-K. 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7" w:right="1440" w:bottom="1440" w:gutter="0" w:footer="0" w:header="0"/>
        </w:sectPr>
      </w:pPr>
    </w:p>
    <w:bookmarkStart w:id="40" w:name="page41"/>
    <w:bookmarkEnd w:id="40"/>
    <w:p>
      <w:pPr>
        <w:ind w:right="2899"/>
        <w:spacing w:after="0" w:line="249" w:lineRule="auto"/>
        <w:rPr>
          <w:sz w:val="20"/>
          <w:szCs w:val="20"/>
          <w:color w:val="auto"/>
        </w:rPr>
      </w:pPr>
      <w:r>
        <w:rPr>
          <w:rFonts w:ascii="Courier New" w:cs="Courier New" w:eastAsia="Courier New" w:hAnsi="Courier New"/>
          <w:sz w:val="15"/>
          <w:szCs w:val="15"/>
          <w:color w:val="auto"/>
        </w:rPr>
        <w:t>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47" w:right="1440" w:bottom="1440" w:gutter="0" w:footer="0" w:header="0"/>
        </w:sectPr>
      </w:pPr>
    </w:p>
    <w:bookmarkStart w:id="41" w:name="page42"/>
    <w:bookmarkEnd w:id="41"/>
    <w:p>
      <w:pPr>
        <w:jc w:val="center"/>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F-3 and has duly caused this Registration Statement to be signed on its behalf by the undersigned, thereunto duly authorized, in the city of New York, State of New York, on this 31st day of March, 2004.</w:t>
      </w:r>
    </w:p>
    <w:p>
      <w:pPr>
        <w:spacing w:after="0" w:line="176"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5"/>
          <w:szCs w:val="15"/>
          <w:color w:val="auto"/>
        </w:rPr>
        <w:t>AMDOCS LIMITED</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Bruce K. Anderson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Bruce K. Anderson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President and Chairman of the Board</w:t>
      </w:r>
    </w:p>
    <w:p>
      <w:pPr>
        <w:spacing w:after="0" w:line="35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POWER OF ATTORNEY AND SIGNATURES</w:t>
      </w:r>
    </w:p>
    <w:p>
      <w:pPr>
        <w:spacing w:after="0" w:line="182" w:lineRule="exact"/>
        <w:rPr>
          <w:sz w:val="20"/>
          <w:szCs w:val="20"/>
          <w:color w:val="auto"/>
        </w:rPr>
      </w:pPr>
    </w:p>
    <w:p>
      <w:pPr>
        <w:ind w:firstLine="733"/>
        <w:spacing w:after="0" w:line="249" w:lineRule="auto"/>
        <w:rPr>
          <w:sz w:val="20"/>
          <w:szCs w:val="20"/>
          <w:color w:val="auto"/>
        </w:rPr>
      </w:pPr>
      <w:r>
        <w:rPr>
          <w:rFonts w:ascii="Courier New" w:cs="Courier New" w:eastAsia="Courier New" w:hAnsi="Courier New"/>
          <w:sz w:val="15"/>
          <w:szCs w:val="15"/>
          <w:color w:val="auto"/>
        </w:rPr>
        <w:t>We, the undersigned officers and directors of Amdocs Limited, hereby severally constitute Bruce K. Anderson, Robert A. Minicucci and Thomas G. O'Brien, and each of them singly, our true and lawful attorneys with full power to them, and each of them singly, to sign for us and in our names in the capacities indicated below, the Registration Statement on Form F-3 filed herewith and any and all subsequent amendments to said Registration Statement, and generally to do all such things in our names and behalf in our capacities as officers and directors to enable Amdocs Limited to comply with all requirements of the Securities and Exchange Commission, hereby ratifying and confirming our signatures as they may be signed by said attorneys, or any of them, to said Registration Statement and any and all amendments thereto.</w:t>
      </w:r>
    </w:p>
    <w:p>
      <w:pPr>
        <w:spacing w:after="0" w:line="175" w:lineRule="exact"/>
        <w:rPr>
          <w:sz w:val="20"/>
          <w:szCs w:val="20"/>
          <w:color w:val="auto"/>
        </w:rPr>
      </w:pPr>
    </w:p>
    <w:p>
      <w:pPr>
        <w:jc w:val="both"/>
        <w:ind w:right="180" w:firstLine="824"/>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60"/>
        <w:spacing w:after="0"/>
        <w:tabs>
          <w:tab w:leader="none" w:pos="592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6" w:lineRule="exact"/>
        <w:rPr>
          <w:sz w:val="20"/>
          <w:szCs w:val="20"/>
          <w:color w:val="auto"/>
        </w:rPr>
      </w:pPr>
    </w:p>
    <w:p>
      <w:pPr>
        <w:ind w:left="1460"/>
        <w:spacing w:after="0"/>
        <w:tabs>
          <w:tab w:leader="none" w:pos="5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59"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5"/>
          <w:szCs w:val="15"/>
          <w:color w:val="auto"/>
        </w:rPr>
        <w:t>/s/ Bruce K. Anderson</w:t>
      </w:r>
      <w:r>
        <w:rPr>
          <w:sz w:val="20"/>
          <w:szCs w:val="20"/>
          <w:color w:val="auto"/>
        </w:rPr>
        <w:tab/>
      </w:r>
      <w:r>
        <w:rPr>
          <w:rFonts w:ascii="Courier New" w:cs="Courier New" w:eastAsia="Courier New" w:hAnsi="Courier New"/>
          <w:sz w:val="15"/>
          <w:szCs w:val="15"/>
          <w:color w:val="auto"/>
        </w:rPr>
        <w:t>President and Chairman of the Board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5"/>
          <w:szCs w:val="15"/>
          <w:color w:val="auto"/>
        </w:rPr>
        <w:t>Bruce K. Anderson</w:t>
      </w:r>
      <w:r>
        <w:rPr>
          <w:sz w:val="20"/>
          <w:szCs w:val="20"/>
          <w:color w:val="auto"/>
        </w:rPr>
        <w:tab/>
      </w:r>
      <w:r>
        <w:rPr>
          <w:rFonts w:ascii="Courier New" w:cs="Courier New" w:eastAsia="Courier New" w:hAnsi="Courier New"/>
          <w:sz w:val="15"/>
          <w:szCs w:val="15"/>
          <w:color w:val="auto"/>
        </w:rPr>
        <w:t>(Principal Executive Officer)</w:t>
      </w:r>
    </w:p>
    <w:p>
      <w:pPr>
        <w:spacing w:after="0" w:line="182"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5"/>
          <w:szCs w:val="15"/>
          <w:color w:val="auto"/>
        </w:rPr>
        <w:t>/s/ Robert A. Minicucci</w:t>
      </w:r>
      <w:r>
        <w:rPr>
          <w:sz w:val="20"/>
          <w:szCs w:val="20"/>
          <w:color w:val="auto"/>
        </w:rPr>
        <w:tab/>
      </w:r>
      <w:r>
        <w:rPr>
          <w:rFonts w:ascii="Courier New" w:cs="Courier New" w:eastAsia="Courier New" w:hAnsi="Courier New"/>
          <w:sz w:val="15"/>
          <w:szCs w:val="15"/>
          <w:color w:val="auto"/>
        </w:rPr>
        <w:t>Vice President and 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5"/>
          <w:szCs w:val="15"/>
          <w:color w:val="auto"/>
        </w:rPr>
        <w:t>Robert A. Minicucci</w:t>
      </w:r>
      <w:r>
        <w:rPr>
          <w:sz w:val="20"/>
          <w:szCs w:val="20"/>
          <w:color w:val="auto"/>
        </w:rPr>
        <w:tab/>
      </w:r>
      <w:r>
        <w:rPr>
          <w:rFonts w:ascii="Courier New" w:cs="Courier New" w:eastAsia="Courier New" w:hAnsi="Courier New"/>
          <w:sz w:val="15"/>
          <w:szCs w:val="15"/>
          <w:color w:val="auto"/>
        </w:rPr>
        <w:t>(Principal Financial Officer)</w:t>
      </w:r>
    </w:p>
    <w:p>
      <w:pPr>
        <w:spacing w:after="0" w:line="182"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5"/>
          <w:szCs w:val="15"/>
          <w:color w:val="auto"/>
        </w:rPr>
        <w:t>/s/ Avinoam Naor</w:t>
      </w:r>
      <w:r>
        <w:rPr>
          <w:sz w:val="20"/>
          <w:szCs w:val="20"/>
          <w:color w:val="auto"/>
        </w:rPr>
        <w:tab/>
      </w:r>
      <w:r>
        <w:rPr>
          <w:rFonts w:ascii="Courier New" w:cs="Courier New" w:eastAsia="Courier New" w:hAnsi="Courier New"/>
          <w:sz w:val="15"/>
          <w:szCs w:val="15"/>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Avinoam Naor</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39"/>
        <w:spacing w:after="0"/>
        <w:rPr>
          <w:sz w:val="20"/>
          <w:szCs w:val="20"/>
          <w:color w:val="auto"/>
        </w:rPr>
      </w:pPr>
      <w:r>
        <w:rPr>
          <w:rFonts w:ascii="Courier New" w:cs="Courier New" w:eastAsia="Courier New" w:hAnsi="Courier New"/>
          <w:sz w:val="15"/>
          <w:szCs w:val="15"/>
          <w:color w:val="auto"/>
        </w:rPr>
        <w:t>Date</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2004</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2004</w:t>
      </w:r>
    </w:p>
    <w:p>
      <w:pPr>
        <w:sectPr>
          <w:pgSz w:w="11900" w:h="16838" w:orient="portrait"/>
          <w:cols w:equalWidth="0" w:num="2">
            <w:col w:w="7320" w:space="640"/>
            <w:col w:w="2259"/>
          </w:cols>
          <w:pgMar w:left="240" w:top="647"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Adrian Gardner</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Adrian Gardner</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Dov Baharav</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Charles E. Foster</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Charles E. Foster</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Eli Gelman</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Eli Gelman</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James S. Kahan</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James S. Kahan</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Nehmeia Lemelbaum</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Nehmeia Lemelbaum</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John T. McLennan</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John T. McLennan</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Mario Segal</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Director</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/s/ Thomas G. O'Brien</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Amdocs Limited's Authorized</w:t>
            </w:r>
          </w:p>
        </w:tc>
        <w:tc>
          <w:tcPr>
            <w:tcW w:w="2060" w:type="dxa"/>
            <w:vAlign w:val="bottom"/>
          </w:tcPr>
          <w:p>
            <w:pPr>
              <w:ind w:left="780"/>
              <w:spacing w:after="0"/>
              <w:rPr>
                <w:sz w:val="20"/>
                <w:szCs w:val="20"/>
                <w:color w:val="auto"/>
              </w:rPr>
            </w:pPr>
            <w:r>
              <w:rPr>
                <w:rFonts w:ascii="Courier New" w:cs="Courier New" w:eastAsia="Courier New" w:hAnsi="Courier New"/>
                <w:sz w:val="15"/>
                <w:szCs w:val="15"/>
                <w:color w:val="auto"/>
                <w:w w:val="99"/>
              </w:rPr>
              <w:t>March 31, 2004</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Representative in the United States</w:t>
            </w:r>
          </w:p>
        </w:tc>
        <w:tc>
          <w:tcPr>
            <w:tcW w:w="2060" w:type="dxa"/>
            <w:vAlign w:val="bottom"/>
          </w:tcPr>
          <w:p>
            <w:pPr>
              <w:spacing w:after="0"/>
              <w:rPr>
                <w:sz w:val="15"/>
                <w:szCs w:val="15"/>
                <w:color w:val="auto"/>
              </w:rPr>
            </w:pPr>
          </w:p>
        </w:tc>
      </w:tr>
    </w:tbl>
    <w:p>
      <w:pPr>
        <w:sectPr>
          <w:pgSz w:w="11900" w:h="16838" w:orient="portrait"/>
          <w:cols w:equalWidth="0" w:num="1">
            <w:col w:w="10219"/>
          </w:cols>
          <w:pgMar w:left="240" w:top="999"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360" w:type="dxa"/>
            <w:vAlign w:val="bottom"/>
          </w:tcPr>
          <w:p>
            <w:pPr>
              <w:ind w:left="1960"/>
              <w:spacing w:after="0"/>
              <w:rPr>
                <w:sz w:val="20"/>
                <w:szCs w:val="20"/>
                <w:color w:val="auto"/>
              </w:rPr>
            </w:pPr>
            <w:r>
              <w:rPr>
                <w:rFonts w:ascii="Courier New" w:cs="Courier New" w:eastAsia="Courier New" w:hAnsi="Courier New"/>
                <w:sz w:val="15"/>
                <w:szCs w:val="15"/>
                <w:color w:val="auto"/>
              </w:rPr>
              <w:t>Exhibit Index</w:t>
            </w:r>
          </w:p>
        </w:tc>
      </w:tr>
      <w:tr>
        <w:trPr>
          <w:trHeight w:val="352"/>
        </w:trPr>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EXHIBIT</w:t>
            </w:r>
          </w:p>
        </w:tc>
        <w:tc>
          <w:tcPr>
            <w:tcW w:w="5360" w:type="dxa"/>
            <w:vAlign w:val="bottom"/>
          </w:tcPr>
          <w:p>
            <w:pPr>
              <w:spacing w:after="0"/>
              <w:rPr>
                <w:sz w:val="24"/>
                <w:szCs w:val="24"/>
                <w:color w:val="auto"/>
              </w:rPr>
            </w:pPr>
          </w:p>
        </w:tc>
      </w:tr>
      <w:tr>
        <w:trPr>
          <w:trHeight w:val="176"/>
        </w:trPr>
        <w:tc>
          <w:tcPr>
            <w:tcW w:w="11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NUMBER</w:t>
            </w:r>
          </w:p>
        </w:tc>
        <w:tc>
          <w:tcPr>
            <w:tcW w:w="5360" w:type="dxa"/>
            <w:vAlign w:val="bottom"/>
          </w:tcPr>
          <w:p>
            <w:pPr>
              <w:ind w:left="234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w:t>
            </w:r>
          </w:p>
        </w:tc>
        <w:tc>
          <w:tcPr>
            <w:tcW w:w="5360" w:type="dxa"/>
            <w:vAlign w:val="bottom"/>
          </w:tcPr>
          <w:p>
            <w:pPr>
              <w:ind w:left="2520"/>
              <w:spacing w:after="0"/>
              <w:rPr>
                <w:sz w:val="20"/>
                <w:szCs w:val="20"/>
                <w:color w:val="auto"/>
              </w:rPr>
            </w:pPr>
            <w:r>
              <w:rPr>
                <w:rFonts w:ascii="Courier New" w:cs="Courier New" w:eastAsia="Courier New" w:hAnsi="Courier New"/>
                <w:sz w:val="15"/>
                <w:szCs w:val="15"/>
                <w:color w:val="auto"/>
              </w:rPr>
              <w:t>-----------</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4.1</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Memorandum and Articles of Association of Amdocs Limited</w:t>
            </w:r>
          </w:p>
        </w:tc>
      </w:tr>
      <w:tr>
        <w:trPr>
          <w:trHeight w:val="176"/>
        </w:trPr>
        <w:tc>
          <w:tcPr>
            <w:tcW w:w="1140" w:type="dxa"/>
            <w:vAlign w:val="bottom"/>
          </w:tcPr>
          <w:p>
            <w:pPr>
              <w:spacing w:after="0"/>
              <w:rPr>
                <w:sz w:val="15"/>
                <w:szCs w:val="15"/>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(incorporated by reference to Exhibits 3.1 and 3.2 to</w:t>
            </w:r>
          </w:p>
        </w:tc>
      </w:tr>
      <w:tr>
        <w:trPr>
          <w:trHeight w:val="176"/>
        </w:trPr>
        <w:tc>
          <w:tcPr>
            <w:tcW w:w="1140" w:type="dxa"/>
            <w:vAlign w:val="bottom"/>
          </w:tcPr>
          <w:p>
            <w:pPr>
              <w:spacing w:after="0"/>
              <w:rPr>
                <w:sz w:val="15"/>
                <w:szCs w:val="15"/>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6"/>
        </w:trPr>
        <w:tc>
          <w:tcPr>
            <w:tcW w:w="1140" w:type="dxa"/>
            <w:vAlign w:val="bottom"/>
          </w:tcPr>
          <w:p>
            <w:pPr>
              <w:spacing w:after="0"/>
              <w:rPr>
                <w:sz w:val="15"/>
                <w:szCs w:val="15"/>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4.2</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Specimen Certificate for the ordinary shares of Amdocs</w:t>
            </w:r>
          </w:p>
        </w:tc>
      </w:tr>
      <w:tr>
        <w:trPr>
          <w:trHeight w:val="176"/>
        </w:trPr>
        <w:tc>
          <w:tcPr>
            <w:tcW w:w="1140" w:type="dxa"/>
            <w:vAlign w:val="bottom"/>
          </w:tcPr>
          <w:p>
            <w:pPr>
              <w:spacing w:after="0"/>
              <w:rPr>
                <w:sz w:val="15"/>
                <w:szCs w:val="15"/>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Limited (incorporated by reference to Exhibit 4.1 to</w:t>
            </w:r>
          </w:p>
        </w:tc>
      </w:tr>
      <w:tr>
        <w:trPr>
          <w:trHeight w:val="176"/>
        </w:trPr>
        <w:tc>
          <w:tcPr>
            <w:tcW w:w="1140" w:type="dxa"/>
            <w:vAlign w:val="bottom"/>
          </w:tcPr>
          <w:p>
            <w:pPr>
              <w:spacing w:after="0"/>
              <w:rPr>
                <w:sz w:val="15"/>
                <w:szCs w:val="15"/>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6"/>
        </w:trPr>
        <w:tc>
          <w:tcPr>
            <w:tcW w:w="1140" w:type="dxa"/>
            <w:vAlign w:val="bottom"/>
          </w:tcPr>
          <w:p>
            <w:pPr>
              <w:spacing w:after="0"/>
              <w:rPr>
                <w:sz w:val="15"/>
                <w:szCs w:val="15"/>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1998; Registration No. 333-8826).</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5.1</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Opinion of Carey Olsen.</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23.1</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Consent of Ernst &amp; Young LLP.</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23.2</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Consent of Deloitte &amp; Touche, LLP.</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23.3</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Consent of Carey Olsen (included in Exhibit 5.1).</w:t>
            </w:r>
          </w:p>
        </w:tc>
      </w:tr>
      <w:tr>
        <w:trPr>
          <w:trHeight w:val="352"/>
        </w:trPr>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24.1</w:t>
            </w: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Power of Attorney (see page II-4 of this Registration</w:t>
            </w:r>
          </w:p>
        </w:tc>
      </w:tr>
      <w:tr>
        <w:trPr>
          <w:trHeight w:val="176"/>
        </w:trPr>
        <w:tc>
          <w:tcPr>
            <w:tcW w:w="1140" w:type="dxa"/>
            <w:vAlign w:val="bottom"/>
          </w:tcPr>
          <w:p>
            <w:pPr>
              <w:spacing w:after="0"/>
              <w:rPr>
                <w:sz w:val="15"/>
                <w:szCs w:val="15"/>
                <w:color w:val="auto"/>
              </w:rPr>
            </w:pPr>
          </w:p>
        </w:tc>
        <w:tc>
          <w:tcPr>
            <w:tcW w:w="5360" w:type="dxa"/>
            <w:vAlign w:val="bottom"/>
          </w:tcPr>
          <w:p>
            <w:pPr>
              <w:ind w:left="140"/>
              <w:spacing w:after="0"/>
              <w:rPr>
                <w:sz w:val="20"/>
                <w:szCs w:val="20"/>
                <w:color w:val="auto"/>
              </w:rPr>
            </w:pPr>
            <w:r>
              <w:rPr>
                <w:rFonts w:ascii="Courier New" w:cs="Courier New" w:eastAsia="Courier New" w:hAnsi="Courier New"/>
                <w:sz w:val="15"/>
                <w:szCs w:val="15"/>
                <w:color w:val="auto"/>
              </w:rPr>
              <w:t>Statement).</w:t>
            </w:r>
          </w:p>
        </w:tc>
      </w:tr>
    </w:tbl>
    <w:p>
      <w:pPr>
        <w:sectPr>
          <w:pgSz w:w="11900" w:h="16838" w:orient="portrait"/>
          <w:cols w:equalWidth="0" w:num="1">
            <w:col w:w="10219"/>
          </w:cols>
          <w:pgMar w:left="240" w:top="647" w:right="1440" w:bottom="1440" w:gutter="0" w:footer="0" w:header="0"/>
        </w:sectPr>
      </w:pPr>
    </w:p>
    <w:bookmarkStart w:id="44" w:name="page45"/>
    <w:bookmarkEnd w:id="44"/>
    <w:p>
      <w:pPr>
        <w:jc w:val="right"/>
        <w:ind w:right="2899"/>
        <w:spacing w:after="0"/>
        <w:rPr>
          <w:sz w:val="20"/>
          <w:szCs w:val="20"/>
          <w:color w:val="auto"/>
        </w:rPr>
      </w:pPr>
      <w:r>
        <w:rPr>
          <w:rFonts w:ascii="Courier New" w:cs="Courier New" w:eastAsia="Courier New" w:hAnsi="Courier New"/>
          <w:sz w:val="15"/>
          <w:szCs w:val="15"/>
          <w:color w:val="auto"/>
        </w:rPr>
        <w:t>EXHIBIT 5.1</w:t>
      </w:r>
    </w:p>
    <w:p>
      <w:pPr>
        <w:spacing w:after="0" w:line="359"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(Letterhead of Carey Olsen)</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Amdocs Limited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Tower Hill House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Bordage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 Peter Port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Guernsey</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March 31, 2004</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Dear Sirs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 REGISTRATION STATEMENT ON FORM F-3</w:t>
      </w:r>
    </w:p>
    <w:p>
      <w:pPr>
        <w:spacing w:after="0" w:line="18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The following opinion is furnished to you in connection with the filing by Amdocs Limited, a corporation organised under the laws of Guernsey, Channel Islands (the "Company"), of its registration statement on Form F-3 (the "Registration Statement") under the Securities Act of 1933, as amended, relating to the registration for resale of 560,777 of its ordinary shares, (pound)0.01 par value (the "Shares"), issued to the former stockholders of XACCT Technologies Ltd.</w:t>
      </w:r>
    </w:p>
    <w:p>
      <w:pPr>
        <w:spacing w:after="0" w:line="352"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Articles of Association and Memorandum of Association of the Company.</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Based upon such examination, we are of opinion that:</w:t>
      </w:r>
    </w:p>
    <w:p>
      <w:pPr>
        <w:spacing w:after="0" w:line="182" w:lineRule="exact"/>
        <w:rPr>
          <w:sz w:val="20"/>
          <w:szCs w:val="20"/>
          <w:color w:val="auto"/>
        </w:rPr>
      </w:pPr>
    </w:p>
    <w:p>
      <w:pPr>
        <w:ind w:left="826" w:right="2899" w:hanging="368"/>
        <w:spacing w:after="0" w:line="250" w:lineRule="auto"/>
        <w:tabs>
          <w:tab w:leader="none" w:pos="82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organized and validly exists as a corporation under the laws of Guernsey, Channel Islands.</w:t>
      </w:r>
    </w:p>
    <w:p>
      <w:pPr>
        <w:spacing w:after="0" w:line="174" w:lineRule="exact"/>
        <w:rPr>
          <w:rFonts w:ascii="Courier New" w:cs="Courier New" w:eastAsia="Courier New" w:hAnsi="Courier New"/>
          <w:sz w:val="15"/>
          <w:szCs w:val="15"/>
          <w:color w:val="auto"/>
        </w:rPr>
      </w:pPr>
    </w:p>
    <w:p>
      <w:pPr>
        <w:ind w:left="826" w:right="3539" w:hanging="368"/>
        <w:spacing w:after="0" w:line="250" w:lineRule="auto"/>
        <w:tabs>
          <w:tab w:leader="none" w:pos="82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Shares has been validly issued, is fully paid and is non-assessable.</w:t>
      </w:r>
    </w:p>
    <w:p>
      <w:pPr>
        <w:spacing w:after="0" w:line="175"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We express no opinion on any law other than the law of Guernsey as at the date hereof.</w:t>
      </w:r>
    </w:p>
    <w:p>
      <w:pPr>
        <w:spacing w:after="0" w:line="175"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Yours sincerely</w:t>
      </w:r>
    </w:p>
    <w:p>
      <w:pPr>
        <w:spacing w:after="0" w:line="359" w:lineRule="exact"/>
        <w:rPr>
          <w:sz w:val="20"/>
          <w:szCs w:val="20"/>
          <w:color w:val="auto"/>
        </w:rPr>
      </w:pPr>
    </w:p>
    <w:p>
      <w:pPr>
        <w:ind w:left="6"/>
        <w:spacing w:after="0"/>
        <w:tabs>
          <w:tab w:leader="none" w:pos="446" w:val="left"/>
        </w:tabs>
        <w:rPr>
          <w:sz w:val="20"/>
          <w:szCs w:val="20"/>
          <w:color w:val="auto"/>
        </w:rPr>
      </w:pPr>
      <w:r>
        <w:rPr>
          <w:rFonts w:ascii="Courier New" w:cs="Courier New" w:eastAsia="Courier New" w:hAnsi="Courier New"/>
          <w:sz w:val="15"/>
          <w:szCs w:val="15"/>
          <w:color w:val="auto"/>
        </w:rPr>
        <w:t>/s/</w:t>
        <w:tab/>
        <w:t>Carey Olsen</w:t>
      </w:r>
    </w:p>
    <w:p>
      <w:pPr>
        <w:spacing w:after="0" w:line="6" w:lineRule="exact"/>
        <w:rPr>
          <w:sz w:val="20"/>
          <w:szCs w:val="20"/>
          <w:color w:val="auto"/>
        </w:rPr>
      </w:pPr>
    </w:p>
    <w:p>
      <w:pPr>
        <w:ind w:left="186" w:hanging="186"/>
        <w:spacing w:after="0"/>
        <w:tabs>
          <w:tab w:leader="none" w:pos="186"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Carey Olsen</w:t>
      </w:r>
    </w:p>
    <w:p>
      <w:pPr>
        <w:sectPr>
          <w:pgSz w:w="11900" w:h="16838" w:orient="portrait"/>
          <w:cols w:equalWidth="0" w:num="1">
            <w:col w:w="10225"/>
          </w:cols>
          <w:pgMar w:left="234" w:top="494" w:right="1440" w:bottom="1440" w:gutter="0" w:footer="0" w:header="0"/>
        </w:sectPr>
      </w:pPr>
    </w:p>
    <w:bookmarkStart w:id="45" w:name="page46"/>
    <w:bookmarkEnd w:id="45"/>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35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82" w:lineRule="exact"/>
        <w:rPr>
          <w:sz w:val="20"/>
          <w:szCs w:val="20"/>
          <w:color w:val="auto"/>
        </w:rPr>
      </w:pPr>
    </w:p>
    <w:p>
      <w:pPr>
        <w:ind w:right="2899" w:firstLine="824"/>
        <w:spacing w:after="0" w:line="249" w:lineRule="auto"/>
        <w:rPr>
          <w:sz w:val="20"/>
          <w:szCs w:val="20"/>
          <w:color w:val="auto"/>
        </w:rPr>
      </w:pPr>
      <w:r>
        <w:rPr>
          <w:rFonts w:ascii="Courier New" w:cs="Courier New" w:eastAsia="Courier New" w:hAnsi="Courier New"/>
          <w:sz w:val="15"/>
          <w:szCs w:val="15"/>
          <w:color w:val="auto"/>
        </w:rPr>
        <w:t>We consent to the reference to our firm under the caption "Experts" in this Registration Statement on Form F-3 of Amdocs Limited for the registration of 560,777 of its ordinary shares and to the incorporation by reference therein of our report dated October 30, 2003, with respect to the consolidated financial statements and schedule of Amdocs Limited, included in its Annual Report (Form 20-F) for the year ended September 30, 2003, filed with the Securities and Exchange Commission on December 24, 2003.</w:t>
      </w:r>
    </w:p>
    <w:p>
      <w:pPr>
        <w:spacing w:after="0" w:line="352"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5"/>
          <w:szCs w:val="15"/>
          <w:color w:val="auto"/>
        </w:rPr>
        <w:t>/s/ 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2004</w:t>
      </w:r>
    </w:p>
    <w:p>
      <w:pPr>
        <w:sectPr>
          <w:pgSz w:w="11900" w:h="16838" w:orient="portrait"/>
          <w:cols w:equalWidth="0" w:num="1">
            <w:col w:w="10219"/>
          </w:cols>
          <w:pgMar w:left="240" w:top="494" w:right="1440" w:bottom="1440" w:gutter="0" w:footer="0" w:header="0"/>
        </w:sectPr>
      </w:pPr>
    </w:p>
    <w:bookmarkStart w:id="46" w:name="page47"/>
    <w:bookmarkEnd w:id="46"/>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359"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Deloitte &amp; Touche LLP</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1 Place Ville Marie</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Suite 3000</w:t>
      </w:r>
    </w:p>
    <w:p>
      <w:pPr>
        <w:spacing w:after="0" w:line="6" w:lineRule="exact"/>
        <w:rPr>
          <w:sz w:val="20"/>
          <w:szCs w:val="20"/>
          <w:color w:val="auto"/>
        </w:rPr>
      </w:pPr>
    </w:p>
    <w:p>
      <w:pPr>
        <w:ind w:left="4840"/>
        <w:spacing w:after="0"/>
        <w:tabs>
          <w:tab w:leader="none" w:pos="6020" w:val="left"/>
        </w:tabs>
        <w:rPr>
          <w:sz w:val="20"/>
          <w:szCs w:val="20"/>
          <w:color w:val="auto"/>
        </w:rPr>
      </w:pPr>
      <w:r>
        <w:rPr>
          <w:rFonts w:ascii="Courier New" w:cs="Courier New" w:eastAsia="Courier New" w:hAnsi="Courier New"/>
          <w:sz w:val="15"/>
          <w:szCs w:val="15"/>
          <w:color w:val="auto"/>
        </w:rPr>
        <w:t>Montreal QC</w:t>
        <w:tab/>
        <w:t>H3B 4T9</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Canada</w:t>
      </w:r>
    </w:p>
    <w:p>
      <w:pPr>
        <w:spacing w:after="0" w:line="182"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Tel: (514) 393-7115</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Fax: (514) 390-4113</w:t>
      </w:r>
    </w:p>
    <w:p>
      <w:pPr>
        <w:spacing w:after="0" w:line="6"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www.deloitte.ca</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consent to the incorporation by reference in the Registration Statement on Form F-3 of Amdocs Limited of our report dated March 19, 2003 (except for Note 17, which is as of July 2, 2003), related to the consolidated financial statements of Certen Inc., as of and for the years ended December 31, 2001 and 2002, appearing in the Annual Report of Amdocs Limited on Form 20-F, for the year ended September 30, 2003, filed with the Securities and Exchange Commission on December 24, 2003. We also consent to the reference to us under the heading "Experts" in the prospectus, which is part of this Registration Statement.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Montreal, Quebec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2004</w:t>
      </w:r>
    </w:p>
    <w:sectPr>
      <w:pgSz w:w="11900" w:h="16838" w:orient="portrait"/>
      <w:cols w:equalWidth="0" w:num="1">
        <w:col w:w="10219"/>
      </w:cols>
      <w:pgMar w:left="240" w:top="6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o"/>
      <w:numFmt w:val="bullet"/>
      <w:start w:val="1"/>
    </w:lvl>
  </w:abstractNum>
  <w:abstractNum w:abstractNumId="2">
    <w:nsid w:val="431BD7B7"/>
    <w:multiLevelType w:val="hybridMultilevel"/>
    <w:lvl w:ilvl="0">
      <w:lvlJc w:val="left"/>
      <w:lvlText w:val="(%1)"/>
      <w:numFmt w:val="decimal"/>
      <w:start w:val="2"/>
    </w:lvl>
  </w:abstractNum>
  <w:abstractNum w:abstractNumId="3">
    <w:nsid w:val="3F2DBA31"/>
    <w:multiLevelType w:val="hybridMultilevel"/>
    <w:lvl w:ilvl="0">
      <w:lvlJc w:val="left"/>
      <w:lvlText w:val="o"/>
      <w:numFmt w:val="bullet"/>
      <w:start w:val="1"/>
    </w:lvl>
  </w:abstractNum>
  <w:abstractNum w:abstractNumId="4">
    <w:nsid w:val="7C83E458"/>
    <w:multiLevelType w:val="hybridMultilevel"/>
    <w:lvl w:ilvl="0">
      <w:lvlJc w:val="left"/>
      <w:lvlText w:val="o"/>
      <w:numFmt w:val="bullet"/>
      <w:start w:val="1"/>
    </w:lvl>
  </w:abstractNum>
  <w:abstractNum w:abstractNumId="5">
    <w:nsid w:val="257130A3"/>
    <w:multiLevelType w:val="hybridMultilevel"/>
    <w:lvl w:ilvl="0">
      <w:lvlJc w:val="left"/>
      <w:lvlText w:val="o"/>
      <w:numFmt w:val="bullet"/>
      <w:start w:val="1"/>
    </w:lvl>
  </w:abstractNum>
  <w:abstractNum w:abstractNumId="6">
    <w:nsid w:val="62BBD95A"/>
    <w:multiLevelType w:val="hybridMultilevel"/>
    <w:lvl w:ilvl="0">
      <w:lvlJc w:val="left"/>
      <w:lvlText w:val="o"/>
      <w:numFmt w:val="bullet"/>
      <w:start w:val="1"/>
    </w:lvl>
  </w:abstractNum>
  <w:abstractNum w:abstractNumId="7">
    <w:nsid w:val="436C6125"/>
    <w:multiLevelType w:val="hybridMultilevel"/>
    <w:lvl w:ilvl="0">
      <w:lvlJc w:val="left"/>
      <w:lvlText w:val="o"/>
      <w:numFmt w:val="bullet"/>
      <w:start w:val="1"/>
    </w:lvl>
  </w:abstractNum>
  <w:abstractNum w:abstractNumId="8">
    <w:nsid w:val="628C895D"/>
    <w:multiLevelType w:val="hybridMultilevel"/>
    <w:lvl w:ilvl="0">
      <w:lvlJc w:val="left"/>
      <w:lvlText w:val="o"/>
      <w:numFmt w:val="bullet"/>
      <w:start w:val="1"/>
    </w:lvl>
  </w:abstractNum>
  <w:abstractNum w:abstractNumId="9">
    <w:nsid w:val="333AB105"/>
    <w:multiLevelType w:val="hybridMultilevel"/>
    <w:lvl w:ilvl="0">
      <w:lvlJc w:val="left"/>
      <w:lvlText w:val="o"/>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o"/>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o"/>
      <w:numFmt w:val="bullet"/>
      <w:start w:val="1"/>
    </w:lvl>
  </w:abstractNum>
  <w:abstractNum w:abstractNumId="15">
    <w:nsid w:val="8EDBDAB"/>
    <w:multiLevelType w:val="hybridMultilevel"/>
    <w:lvl w:ilvl="0">
      <w:lvlJc w:val="left"/>
      <w:lvlText w:val="o"/>
      <w:numFmt w:val="bullet"/>
      <w:start w:val="1"/>
    </w:lvl>
  </w:abstractNum>
  <w:abstractNum w:abstractNumId="16">
    <w:nsid w:val="79838CB2"/>
    <w:multiLevelType w:val="hybridMultilevel"/>
    <w:lvl w:ilvl="0">
      <w:lvlJc w:val="left"/>
      <w:lvlText w:val="o"/>
      <w:numFmt w:val="bullet"/>
      <w:start w:val="1"/>
    </w:lvl>
  </w:abstractNum>
  <w:abstractNum w:abstractNumId="17">
    <w:nsid w:val="4353D0CD"/>
    <w:multiLevelType w:val="hybridMultilevel"/>
    <w:lvl w:ilvl="0">
      <w:lvlJc w:val="left"/>
      <w:lvlText w:val="o"/>
      <w:numFmt w:val="bullet"/>
      <w:start w:val="1"/>
    </w:lvl>
  </w:abstractNum>
  <w:abstractNum w:abstractNumId="18">
    <w:nsid w:val="B03E0C6"/>
    <w:multiLevelType w:val="hybridMultilevel"/>
    <w:lvl w:ilvl="0">
      <w:lvlJc w:val="left"/>
      <w:lvlText w:val="o"/>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
      <w:numFmt w:val="bullet"/>
      <w:start w:val="1"/>
    </w:lvl>
    <w:lvl w:ilvl="1">
      <w:lvlJc w:val="left"/>
      <w:lvlText w:val="(%2)"/>
      <w:numFmt w:val="decimal"/>
      <w:start w:val="69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lowerLetter"/>
      <w:start w:val="1"/>
    </w:lvl>
    <w:lvl w:ilvl="1">
      <w:lvlJc w:val="left"/>
      <w:lvlText w:val="(%2)"/>
      <w:numFmt w:val="lowerLetter"/>
      <w:start w:val="4"/>
    </w:lvl>
  </w:abstractNum>
  <w:abstractNum w:abstractNumId="29">
    <w:nsid w:val="737B8DDC"/>
    <w:multiLevelType w:val="hybridMultilevel"/>
    <w:lvl w:ilvl="0">
      <w:lvlJc w:val="left"/>
      <w:lvlText w:val="(%1)"/>
      <w:numFmt w:val="decimal"/>
      <w:start w:val="1"/>
    </w:lvl>
    <w:lvl w:ilvl="1">
      <w:lvlJc w:val="left"/>
      <w:lvlText w:val="(%2)"/>
      <w:numFmt w:val="lowerRoman"/>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2019-12-12T01:27:54Z</dcterms:created>
  <dcterms:modified xsi:type="dcterms:W3CDTF">2019-12-12T01:27:54Z</dcterms:modified>
</cp:coreProperties>
</file>