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July, 2014</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29, 2014, Amdocs Limited (“Amdocs”) issued a press release announcing financial results for the quarter ended June 30, 2014. A copy of the press release is furnished as Exhibit 99.1 to this Report of Foreign Private Issuer on Form 6-K.</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60"/>
          </w:cols>
          <w:pgMar w:left="240" w:top="274"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0" w:type="dxa"/>
            <w:vAlign w:val="bottom"/>
          </w:tcPr>
          <w:p>
            <w:pPr>
              <w:ind w:left="2280"/>
              <w:spacing w:after="0"/>
              <w:rPr>
                <w:sz w:val="20"/>
                <w:szCs w:val="20"/>
                <w:color w:val="auto"/>
              </w:rPr>
            </w:pPr>
            <w:r>
              <w:rPr>
                <w:rFonts w:ascii="Arial" w:cs="Arial" w:eastAsia="Arial" w:hAnsi="Arial"/>
                <w:sz w:val="18"/>
                <w:szCs w:val="18"/>
                <w:color w:val="auto"/>
                <w:w w:val="99"/>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Amdocs Limited Press Release dated July 29, 2014.</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1297940</wp:posOffset>
            </wp:positionH>
            <wp:positionV relativeFrom="page">
              <wp:posOffset>354965</wp:posOffset>
            </wp:positionV>
            <wp:extent cx="14147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14780" cy="128905"/>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183515</wp:posOffset>
            </wp:positionV>
            <wp:extent cx="132905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00355"/>
                    </a:xfrm>
                    <a:prstGeom prst="rect">
                      <a:avLst/>
                    </a:prstGeom>
                    <a:noFill/>
                  </pic:spPr>
                </pic:pic>
              </a:graphicData>
            </a:graphic>
          </wp:anchor>
        </w:drawing>
        <w:t>Amdocs Limited Reports Record Quarterly Revenue of $902M, Up 7.3% YoY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Reiterates FY14 Non-GAAP Diluted EPS Growth Outlook of 6-9% YoY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3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revenue of $902 million, within the $885-$915 million guidance range. Foreign currency movements positively affected revenue by approximately $3 million relative to the second quarter of fiscal 2014</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non-GAAP operating income of $151 million; non-GAAP operating margin of 16.7%; GAAP operating income of $125 million</w:t>
      </w:r>
    </w:p>
    <w:p>
      <w:pPr>
        <w:spacing w:after="0" w:line="75" w:lineRule="exact"/>
        <w:rPr>
          <w:rFonts w:ascii="Arial" w:cs="Arial" w:eastAsia="Arial" w:hAnsi="Arial"/>
          <w:sz w:val="18"/>
          <w:szCs w:val="18"/>
          <w:color w:val="auto"/>
        </w:rPr>
      </w:pPr>
    </w:p>
    <w:p>
      <w:pPr>
        <w:ind w:left="900" w:right="26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Third fiscal quarter diluted non-GAAP EPS of $0.81, within the $0.75-$0.81 guidance range, excluding amortization of purchased intangible assets and other acquisition related costs and equity-based compensation expense, net of related tax effects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$0.68 for the third fiscal quarter, within the $0.61-$0.69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$173 million for the third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$2.97 billion at the end of the third fiscal quarter, up $30 million from the end of the second quarter of fiscal 2014</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$93 million of ordinary shares during the third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$0.155 per share quarterly cash dividend to be paid on October 17, 2014</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quarter fiscal 2014 guidance: Expected revenue of approximately $890-$920 million. Expected diluted non-GAAP EPS of approximately $0.75-$0.81, excluding amortization of purchased intangible assets and other acquisition-related costs and approximately $0.05-$0.06 per share of equity-based compensation expense, net of related tax effects. Expected diluted GAAP EPS of approximately $0.61-$0.69</w:t>
      </w:r>
    </w:p>
    <w:p>
      <w:pPr>
        <w:sectPr>
          <w:pgSz w:w="11900" w:h="16838" w:orient="portrait"/>
          <w:cols w:equalWidth="0" w:num="1">
            <w:col w:w="11320"/>
          </w:cols>
          <w:pgMar w:left="240" w:top="1233" w:right="3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July 29, 2014 </w:t>
      </w:r>
      <w:r>
        <w:rPr>
          <w:rFonts w:ascii="Arial" w:cs="Arial" w:eastAsia="Arial" w:hAnsi="Arial"/>
          <w:sz w:val="18"/>
          <w:szCs w:val="18"/>
          <w:color w:val="auto"/>
        </w:rPr>
        <w:t>– Amdocs Limited (NASDAQ: DOX) today reported that for its fiscal quarter ended June 30, 2014, revenue was $902.5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up 0.6% sequentially from the second fiscal quarter of 2014 and up 7.3% as compared to last year’s third fiscal quarter. Net income on a non-GAAP basis was $130.9 million, or $0.81 per diluted share, compared to non-GAAP net income of $134.4 million, or $0.83 per diluted share, in the third quarter of fiscal 2013. Non-GAAP net income excludes amortization of purchased intangible assets and other acquisition related costs and equity-based compensation expenses of $21.1 million, net of related tax effects, in the third quarter of fiscal 2014 and excludes such amortization and other acquisition related costs and equity-based compensation expenses of $14.9 million, net of related tax effects, in the third quarter of fiscal 2013. The Company’s GAAP net income for the third quarter of fiscal 2014 was $109.8 million, or $0.68 per diluted share, compared to GAAP net income of $119.6 million, or $0.73 per diluted share, in the prior fiscal year’s third quarter.</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pleased with our third fiscal quarter performance, which reflects healthy customer activity in North America, and sequentially stable revenue in Europe. Additionally, we delivered record revenue in the emerging markets, reflecting the progression of highly complex transformation projects towards production. We are continuously improving our strategic position with some of the leading carriers in Latin America and South East Asia, as demonstrated by Telefónica’s recent selection of Amdocs for new quad-play transformation projects in Peru and Chile. Finally, we continue to see encouraging levels of customer engagement in the area of network software, and the post-merger integration of Actix and Celcite within Amdocs is progressing in line with our original expectations”, said Eli Gelman, chief executive officer of Amdocs Management Limited.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Gelman continued, “During the quarter, we continued to support our North American customers in their strategic initiatives. Along these lines, we are today pleased to announce that Bell Canada has selected Amdocs Convergent Charging, powered by our Turbo Charging technology, as its next generation charging solution. This arrangement is enabling support for Bell’s converging lines of business and reinforces a long-standing strategic partnership with one of our largest customers.”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Gelman said, “In Europe, we made further progress at Vodafone Group where we added another two affiliates to be supported under the global managed services agreement we</w:t>
      </w:r>
    </w:p>
    <w:p>
      <w:pPr>
        <w:sectPr>
          <w:pgSz w:w="11900" w:h="16838" w:orient="portrait"/>
          <w:cols w:equalWidth="0" w:num="1">
            <w:col w:w="11420"/>
          </w:cols>
          <w:pgMar w:left="240" w:top="270" w:right="239" w:bottom="1440" w:gutter="0" w:footer="0" w:header="0"/>
        </w:sectPr>
      </w:pPr>
    </w:p>
    <w:bookmarkStart w:id="6" w:name="page7"/>
    <w:bookmarkEnd w:id="6"/>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signed in fiscal 2013. These include Vodafone’s fixed line operations in the UK and the Vodafone Group Enterprise M2M line of operations. We are now supporting seven Vodafone affiliates under this agreement, which we see as evidence of the value that Amdocs’ managed services can deliver in Europe as operators seek greater simplicity and improved quality in their IT operations.”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Gelman concluded, “As we embark on our fourth fiscal quarter, we remain highly focused on our execution, which includes securing new business, improving our operating efficiency and continuously expanding our product suite with innovative new offerings. We are on-track to deliver full year revenue growth towards the mid-point of our previously guided range of 5% to 8%. This outlook naturally reflects many moving parts, including with respect to consolidation activity amongst North American wireless and Pay TV operators. Our free cash flow generation continues to be robust, and we remain committed towards the balanced allocation of our capital over the long term. Taking all these factors into consideration, we continue to expect diluted non-GAAP earnings per share growth of 6% to 9% for the full fiscal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Third Fiscal Quarter Financial Results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Free cash flow was $173 million for the quarter, comprised of cash flow from operations of $199 million, less $26 million in net capital expenditures and other.</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$2.97 billion at the end of the third quarter of fiscal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expects that revenue for the fourth quarter of fiscal 2014 will be approximately $890-$920 million. Diluted earnings per share on a non-GAAP basis for the fourth fiscal quarter are expected to be $0.75-$0.81, excluding amortization of purchased intangible assets and other acquisition-related costs and approximately $0.05-$0.06 per share of equity-based compensation expense, net of related tax effects. Amdocs estimates GAAP diluted earnings per share for the fourth fiscal quarter will be $0.61-$0.69.</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Cash Dividend Program</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July 29, 2014, the Board approved the Company’s next quarterly cash dividend payment of $0.155 per share and set September 30, 2014 as the record date for determining the shareholders entitled to receive the dividend, which is payable on October 17,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Amdocs will host a conference call on July 29, 2014 at 5:00 p.m. Eastern Time to discuss the Company’s third fiscal quarter results. The call will be carried live on the Internet via the Amdocs website, www.amdocs.com.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non-GAAP net income and non-GAAP diluted earnings per share growth. These non-GAAP measures exclude the following items:</w:t>
      </w:r>
    </w:p>
    <w:p>
      <w:pPr>
        <w:spacing w:after="0" w:line="5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non-GAAP net income and non-GAAP diluted earnings per share growth when shown in conjunction with the</w:t>
      </w:r>
    </w:p>
    <w:p>
      <w:pPr>
        <w:sectPr>
          <w:pgSz w:w="11900" w:h="16838" w:orient="portrait"/>
          <w:cols w:equalWidth="0" w:num="1">
            <w:col w:w="11220"/>
          </w:cols>
          <w:pgMar w:left="240" w:top="270" w:right="439" w:bottom="1440" w:gutter="0" w:footer="0" w:header="0"/>
        </w:sectPr>
      </w:pPr>
    </w:p>
    <w:bookmarkStart w:id="8" w:name="page9"/>
    <w:bookmarkEnd w:id="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$3.3 billion in fiscal 2013, Amdocs and its 22,000 employees serve customers in more than 80 countries.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2013 filed on December 9, 2013, our Form 6-K furnished for the first quarter of fiscal 2014 on February 11, 2014 and our Form 6-K furnished for the second quarter of fiscal 2014 on May 15,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ectPr>
          <w:pgSz w:w="11900" w:h="16838" w:orient="portrait"/>
          <w:cols w:equalWidth="0" w:num="1">
            <w:col w:w="11380"/>
          </w:cols>
          <w:pgMar w:left="240" w:top="274"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11,861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65,247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59,433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890,616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822,716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2,598,129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902,477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841,332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2,663,376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2,500,629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583,965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546,108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1,723,056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64,863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190,292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112,681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103,396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777,474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718,168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2,293,835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2,141,953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125,003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123,164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369,541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124,255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120,438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365,481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109,827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119,558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159,257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160,914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161,725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162,667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902,477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841,332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2,663,376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2,500,629</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150,849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141,551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446,735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418,935</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130,919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134,430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373,154</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161,725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162,667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163,048</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Three months ended</w:t>
      </w:r>
    </w:p>
    <w:p>
      <w:pPr>
        <w:jc w:val="center"/>
        <w:ind w:left="5780"/>
        <w:spacing w:after="0" w:line="236"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6"/>
          </w:tcPr>
          <w:p>
            <w:pPr>
              <w:jc w:val="center"/>
              <w:ind w:left="555"/>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4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GAAP</w:t>
            </w:r>
          </w:p>
        </w:tc>
        <w:tc>
          <w:tcPr>
            <w:tcW w:w="3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583,965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579,668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64,863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112,681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(15,326)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777,474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125,003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19,182</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(4,754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$ 130,919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6"/>
          </w:tcPr>
          <w:p>
            <w:pPr>
              <w:jc w:val="center"/>
              <w:ind w:left="595"/>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June 30, 2013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center"/>
              <w:ind w:left="555"/>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40" w:type="dxa"/>
            <w:vAlign w:val="bottom"/>
          </w:tcPr>
          <w:p>
            <w:pPr>
              <w:spacing w:after="0"/>
              <w:rPr>
                <w:sz w:val="10"/>
                <w:szCs w:val="10"/>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GAAP</w:t>
            </w:r>
          </w:p>
        </w:tc>
        <w:tc>
          <w:tcPr>
            <w:tcW w:w="3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546,108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59,583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103,396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(8,520)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718,168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699,781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123,164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119,558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(3,515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$ 134,430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Nine months ended</w:t>
      </w:r>
    </w:p>
    <w:p>
      <w:pPr>
        <w:jc w:val="center"/>
        <w:ind w:left="5220"/>
        <w:spacing w:after="0" w:line="236"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400" w:type="dxa"/>
            <w:vAlign w:val="bottom"/>
          </w:tcPr>
          <w:p>
            <w:pPr>
              <w:spacing w:after="0"/>
              <w:rPr>
                <w:sz w:val="10"/>
                <w:szCs w:val="10"/>
                <w:color w:val="auto"/>
              </w:rPr>
            </w:pPr>
          </w:p>
        </w:tc>
        <w:tc>
          <w:tcPr>
            <w:tcW w:w="11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Equity based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4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intangible assets</w:t>
            </w:r>
          </w:p>
        </w:tc>
        <w:tc>
          <w:tcPr>
            <w:tcW w:w="40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Tax effect</w:t>
            </w:r>
          </w:p>
        </w:tc>
        <w:tc>
          <w:tcPr>
            <w:tcW w:w="2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2,235</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1,723,056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190,292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43,174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(43,174)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2,293,835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2,216,641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369,541</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43,174</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43,862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57,342</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321,619</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(13,480</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Nine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June 30, 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400" w:type="dxa"/>
            <w:vAlign w:val="bottom"/>
          </w:tcPr>
          <w:p>
            <w:pPr>
              <w:spacing w:after="0"/>
              <w:rPr>
                <w:sz w:val="10"/>
                <w:szCs w:val="10"/>
                <w:color w:val="auto"/>
              </w:rPr>
            </w:pPr>
          </w:p>
        </w:tc>
        <w:tc>
          <w:tcPr>
            <w:tcW w:w="11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Equity based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4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intangible assets</w:t>
            </w:r>
          </w:p>
        </w:tc>
        <w:tc>
          <w:tcPr>
            <w:tcW w:w="40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Tax effect</w:t>
            </w:r>
          </w:p>
        </w:tc>
        <w:tc>
          <w:tcPr>
            <w:tcW w:w="2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1,839</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1,619,215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1,604,775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179,002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28,358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(28,358)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2,141,953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358,676</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28,358</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41,190</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323,485</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(10,590</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1,174,610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receivable, net, including unbilled of $137,504 and $110,626, respectively</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755,622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146,917</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2,233,958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276,101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2,127,360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393,417</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5,030,836</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720,300</w:t>
            </w:r>
          </w:p>
        </w:tc>
        <w:tc>
          <w:tcPr>
            <w:tcW w:w="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212,691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70,224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1,003,215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1,074,256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598,160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3,429,461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3,274,783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5,030,836</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321,619</w:t>
            </w: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$ 323,485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116,911</w:t>
            </w: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34,020</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(5,336)</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(40,570)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2,828</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(17,639)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25,955</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55,625</w:t>
            </w:r>
          </w:p>
        </w:tc>
        <w:tc>
          <w:tcPr>
            <w:tcW w:w="2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5,802</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516,358</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438,842</w:t>
            </w: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(77,881)</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284,926</w:t>
            </w: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258,121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(180,540)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(294,091)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(324,982)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3,348</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(264,238)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(200,000)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(261,916)</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116,041</w:t>
            </w: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(66,363)</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Payments under capital lease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(136)</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(412,374)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(380,050)</w:t>
            </w: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(160,254)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853,938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$ 786,777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4"/>
              </w:rPr>
              <w:t>Three months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3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8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$ 647.2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$ 619.2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114.6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101.9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902.5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841.3</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Emerging Markets Revenue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Managed Services Revenue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Customer Experience Systems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12-Month Backlog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840" w:type="dxa"/>
        <w:tblCellMar>
          <w:top w:w="0" w:type="dxa"/>
          <w:left w:w="0" w:type="dxa"/>
          <w:bottom w:w="0" w:type="dxa"/>
          <w:right w:w="0" w:type="dxa"/>
        </w:tblCellMar>
      </w:tblPr>
      <w:tr>
        <w:trPr>
          <w:trHeight w:val="119"/>
        </w:trPr>
        <w:tc>
          <w:tcPr>
            <w:tcW w:w="90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June 30,</w:t>
            </w:r>
          </w:p>
        </w:tc>
        <w:tc>
          <w:tcPr>
            <w:tcW w:w="8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20" w:type="dxa"/>
            <w:vAlign w:val="bottom"/>
          </w:tcPr>
          <w:p>
            <w:pPr>
              <w:spacing w:after="0"/>
              <w:rPr>
                <w:sz w:val="10"/>
                <w:szCs w:val="10"/>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70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r>
      <w:tr>
        <w:trPr>
          <w:trHeight w:val="210"/>
        </w:trPr>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$ 116.9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101.3</w:t>
            </w:r>
          </w:p>
        </w:tc>
        <w:tc>
          <w:tcPr>
            <w:tcW w:w="20" w:type="dxa"/>
            <w:vAlign w:val="bottom"/>
          </w:tcPr>
          <w:p>
            <w:pPr>
              <w:spacing w:after="0"/>
              <w:rPr>
                <w:sz w:val="18"/>
                <w:szCs w:val="18"/>
                <w:color w:val="auto"/>
              </w:rPr>
            </w:pPr>
          </w:p>
        </w:tc>
      </w:tr>
      <w:tr>
        <w:trPr>
          <w:trHeight w:val="399"/>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9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June 30,</w:t>
            </w: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20" w:type="dxa"/>
            <w:vAlign w:val="bottom"/>
          </w:tcPr>
          <w:p>
            <w:pPr>
              <w:spacing w:after="0"/>
              <w:rPr>
                <w:sz w:val="10"/>
                <w:szCs w:val="10"/>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70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r>
      <w:tr>
        <w:trPr>
          <w:trHeight w:val="210"/>
        </w:trPr>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438.0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417.1</w:t>
            </w:r>
          </w:p>
        </w:tc>
        <w:tc>
          <w:tcPr>
            <w:tcW w:w="20" w:type="dxa"/>
            <w:vAlign w:val="bottom"/>
          </w:tcPr>
          <w:p>
            <w:pPr>
              <w:spacing w:after="0"/>
              <w:rPr>
                <w:sz w:val="18"/>
                <w:szCs w:val="18"/>
                <w:color w:val="auto"/>
              </w:rPr>
            </w:pPr>
          </w:p>
        </w:tc>
      </w:tr>
      <w:tr>
        <w:trPr>
          <w:trHeight w:val="399"/>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9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June 30,</w:t>
            </w: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20" w:type="dxa"/>
            <w:vAlign w:val="bottom"/>
          </w:tcPr>
          <w:p>
            <w:pPr>
              <w:spacing w:after="0"/>
              <w:rPr>
                <w:sz w:val="10"/>
                <w:szCs w:val="10"/>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70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r>
      <w:tr>
        <w:trPr>
          <w:trHeight w:val="195"/>
        </w:trPr>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$ 870.8</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863.6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829.6</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809.3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$ 803.2</w:t>
            </w:r>
          </w:p>
        </w:tc>
        <w:tc>
          <w:tcPr>
            <w:tcW w:w="20" w:type="dxa"/>
            <w:vAlign w:val="bottom"/>
          </w:tcPr>
          <w:p>
            <w:pPr>
              <w:spacing w:after="0"/>
              <w:rPr>
                <w:sz w:val="16"/>
                <w:szCs w:val="16"/>
                <w:color w:val="auto"/>
              </w:rPr>
            </w:pPr>
          </w:p>
        </w:tc>
      </w:tr>
      <w:tr>
        <w:trPr>
          <w:trHeight w:val="230"/>
        </w:trPr>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38.1</w:t>
            </w:r>
          </w:p>
        </w:tc>
      </w:tr>
      <w:tr>
        <w:trPr>
          <w:trHeight w:val="223"/>
        </w:trPr>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902.5</w:t>
            </w:r>
          </w:p>
        </w:tc>
        <w:tc>
          <w:tcPr>
            <w:tcW w:w="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841.3</w:t>
            </w:r>
          </w:p>
        </w:tc>
        <w:tc>
          <w:tcPr>
            <w:tcW w:w="20" w:type="dxa"/>
            <w:vAlign w:val="bottom"/>
          </w:tcPr>
          <w:p>
            <w:pPr>
              <w:spacing w:after="0"/>
              <w:rPr>
                <w:sz w:val="19"/>
                <w:szCs w:val="19"/>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9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June 30,</w:t>
            </w: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20" w:type="dxa"/>
            <w:vAlign w:val="bottom"/>
          </w:tcPr>
          <w:p>
            <w:pPr>
              <w:spacing w:after="0"/>
              <w:rPr>
                <w:sz w:val="10"/>
                <w:szCs w:val="10"/>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70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r>
      <w:tr>
        <w:trPr>
          <w:trHeight w:val="210"/>
        </w:trPr>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2,970</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2,830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-2289175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-1680210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-1071245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-770890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-153670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2">
        <w:col w:w="4820" w:space="720"/>
        <w:col w:w="588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2019-12-06T20:11:35Z</dcterms:created>
  <dcterms:modified xsi:type="dcterms:W3CDTF">2019-12-06T20:11:35Z</dcterms:modified>
</cp:coreProperties>
</file>