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19"/>
          </w:cols>
          <w:pgMar w:left="240" w:top="233" w:right="1440" w:bottom="1440" w:gutter="0" w:footer="0" w:header="0"/>
        </w:sectPr>
      </w:pP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PROSPECTUS</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pursuant to Rule 424(b)(3)</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Registration No. 333-44994</w:t>
      </w:r>
    </w:p>
    <w:p>
      <w:pPr>
        <w:spacing w:after="0" w:line="174" w:lineRule="exact"/>
        <w:rPr>
          <w:sz w:val="24"/>
          <w:szCs w:val="24"/>
          <w:color w:val="auto"/>
        </w:rPr>
      </w:pPr>
    </w:p>
    <w:p>
      <w:pPr>
        <w:sectPr>
          <w:pgSz w:w="11900" w:h="16838" w:orient="portrait"/>
          <w:cols w:equalWidth="0" w:num="2">
            <w:col w:w="3560" w:space="720"/>
            <w:col w:w="5939"/>
          </w:cols>
          <w:pgMar w:left="240" w:top="233" w:right="1440" w:bottom="1440" w:gutter="0" w:footer="0" w:header="0"/>
          <w:type w:val="continuous"/>
        </w:sectPr>
      </w:pPr>
    </w:p>
    <w:p>
      <w:pPr>
        <w:jc w:val="center"/>
        <w:ind w:right="3079"/>
        <w:spacing w:after="0"/>
        <w:rPr>
          <w:sz w:val="20"/>
          <w:szCs w:val="20"/>
          <w:color w:val="auto"/>
        </w:rPr>
      </w:pPr>
      <w:r>
        <w:rPr>
          <w:rFonts w:ascii="Courier New" w:cs="Courier New" w:eastAsia="Courier New" w:hAnsi="Courier New"/>
          <w:sz w:val="15"/>
          <w:szCs w:val="15"/>
          <w:color w:val="auto"/>
        </w:rPr>
        <w:t>4,333,487 Shares</w:t>
      </w:r>
    </w:p>
    <w:p>
      <w:pPr>
        <w:spacing w:after="0" w:line="174"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Ordinary Shares</w:t>
      </w:r>
    </w:p>
    <w:p>
      <w:pPr>
        <w:spacing w:after="0" w:line="176"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33" w:right="1440" w:bottom="1440" w:gutter="0" w:footer="0" w:header="0"/>
          <w:type w:val="continuous"/>
        </w:sectPr>
      </w:pPr>
    </w:p>
    <w:p>
      <w:pPr>
        <w:spacing w:after="0" w:line="185" w:lineRule="exact"/>
        <w:rPr>
          <w:sz w:val="24"/>
          <w:szCs w:val="24"/>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prospectus relates to the offer and sale of up to 4,333,487 ordinary shares of Amdocs Limited by some of our current and future shareholders. These ordinary shares have been issued or may be issued in the future upon exchange of the Exchangeable Shares of Solect Technology Group Inc. by the holders of the Exchangeable Shares, all of whom were formerly common shareholders of Solect. Solect issued the Exchangeable Shares to its shareholders when we acquired the outstanding common shares of Solect on April 5, 2000. We will not receive any proceeds from the sale of these ordinary shares.</w:t>
      </w:r>
    </w:p>
    <w:p>
      <w:pPr>
        <w:spacing w:after="0" w:line="177" w:lineRule="exact"/>
        <w:rPr>
          <w:sz w:val="24"/>
          <w:szCs w:val="24"/>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Our ordinary shares are listed on the New York Stock Exchange under the symbol "DOX." The last reported sale price of the ordinary shares on the New York Stock Exchange on November 7, 2000 was $72.5 per share.</w:t>
      </w:r>
    </w:p>
    <w:p>
      <w:pPr>
        <w:spacing w:after="0" w:line="176" w:lineRule="exact"/>
        <w:rPr>
          <w:sz w:val="24"/>
          <w:szCs w:val="24"/>
          <w:color w:val="auto"/>
        </w:rPr>
      </w:pPr>
    </w:p>
    <w:p>
      <w:pPr>
        <w:ind w:right="3519" w:firstLine="447"/>
        <w:spacing w:after="0"/>
        <w:rPr>
          <w:sz w:val="20"/>
          <w:szCs w:val="20"/>
          <w:color w:val="auto"/>
        </w:rPr>
      </w:pPr>
      <w:r>
        <w:rPr>
          <w:rFonts w:ascii="Courier New" w:cs="Courier New" w:eastAsia="Courier New" w:hAnsi="Courier New"/>
          <w:sz w:val="15"/>
          <w:szCs w:val="15"/>
          <w:color w:val="auto"/>
        </w:rPr>
        <w:t>See "Risk Factors" on page 8 to read about factors you should consider before buying the ordinary shares.</w:t>
      </w:r>
    </w:p>
    <w:p>
      <w:pPr>
        <w:spacing w:after="0" w:line="174"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PROSPECTUS DATED NOVEMBER 7, 2000.</w:t>
      </w:r>
    </w:p>
    <w:p>
      <w:pPr>
        <w:sectPr>
          <w:pgSz w:w="11900" w:h="16838" w:orient="portrait"/>
          <w:cols w:equalWidth="0" w:num="1">
            <w:col w:w="10219"/>
          </w:cols>
          <w:pgMar w:left="240" w:top="233"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incorporated under the laws of the Island of Guernsey. Several of our directors and officers named in this prospectus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180" w:lineRule="exact"/>
        <w:rPr>
          <w:sz w:val="20"/>
          <w:szCs w:val="20"/>
          <w:color w:val="auto"/>
        </w:rPr>
      </w:pPr>
    </w:p>
    <w:p>
      <w:pPr>
        <w:ind w:left="620" w:right="3079" w:hanging="181"/>
        <w:spacing w:after="0"/>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176"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176" w:lineRule="exact"/>
        <w:rPr>
          <w:rFonts w:ascii="Courier New" w:cs="Courier New" w:eastAsia="Courier New" w:hAnsi="Courier New"/>
          <w:sz w:val="15"/>
          <w:szCs w:val="15"/>
          <w:color w:val="auto"/>
        </w:rPr>
      </w:pPr>
    </w:p>
    <w:p>
      <w:pPr>
        <w:jc w:val="both"/>
        <w:ind w:left="620" w:right="3259" w:hanging="181"/>
        <w:spacing w:after="0" w:line="241"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1390 Timberlake Manor Parkway</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Chesterfield, Missouri 63017</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Telephone: (314) 212-8328</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This prospectus is part of a registration statement on Form F-3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16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 SEC. This permits us to disclose important information to you by referring to these filed documents. Any information incorporated by reference is considered part of this prospectus, and any information filed by us with the SEC after the date of this prospectus will automatically update and supersede this information. We incorporate by reference the following documents filed with the SEC:</w:t>
      </w:r>
    </w:p>
    <w:p>
      <w:pPr>
        <w:spacing w:after="0" w:line="177" w:lineRule="exact"/>
        <w:rPr>
          <w:sz w:val="20"/>
          <w:szCs w:val="20"/>
          <w:color w:val="auto"/>
        </w:rPr>
      </w:pPr>
    </w:p>
    <w:p>
      <w:pPr>
        <w:ind w:left="620" w:right="3439" w:hanging="181"/>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year ended September 30, 1999, filed on December 7, 1999.</w:t>
      </w:r>
    </w:p>
    <w:p>
      <w:pPr>
        <w:spacing w:after="0" w:line="176"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6-K for the quarterly periods ended December 31, 1999, March 31, 2000 and June 30, 2000 filed on February 10, 2000, May 11, 2000 and July 31, 2000.</w:t>
      </w:r>
    </w:p>
    <w:p>
      <w:pPr>
        <w:spacing w:after="0" w:line="176" w:lineRule="exact"/>
        <w:rPr>
          <w:rFonts w:ascii="Courier New" w:cs="Courier New" w:eastAsia="Courier New" w:hAnsi="Courier New"/>
          <w:sz w:val="15"/>
          <w:szCs w:val="15"/>
          <w:color w:val="auto"/>
        </w:rPr>
      </w:pPr>
    </w:p>
    <w:p>
      <w:pPr>
        <w:ind w:left="620" w:right="3259" w:hanging="181"/>
        <w:spacing w:after="0" w:line="267" w:lineRule="auto"/>
        <w:tabs>
          <w:tab w:leader="none" w:pos="6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reports on Form 6-K dated December 13, 1999 (as amended by Form 6-K/A filed on January 5, 2000), December 17, 1999, March 3, 2000, and April 11, 2000 (as amended by Form 6-K/A filed on June 8, 2000).</w:t>
      </w:r>
    </w:p>
    <w:p>
      <w:pPr>
        <w:spacing w:after="0" w:line="159"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We also incorporate by reference documents filed with or furnished to the SEC pursuant to Sections 13(a), 13(c), 14 and 15(d) of the Securities Exchange Act of 1934, as amended, subsequent to the date of this prospectus and prior to the termination of the offering. These include:</w:t>
      </w:r>
    </w:p>
    <w:p>
      <w:pPr>
        <w:spacing w:after="0" w:line="175" w:lineRule="exact"/>
        <w:rPr>
          <w:sz w:val="20"/>
          <w:szCs w:val="20"/>
          <w:color w:val="auto"/>
        </w:rPr>
      </w:pPr>
    </w:p>
    <w:p>
      <w:pPr>
        <w:ind w:left="620" w:right="3079" w:hanging="181"/>
        <w:spacing w:after="0" w:line="241"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annual reports filed on Form 20-F, Form 40-F or Form 10-K, and all subsequent reports on Forms 10-Q and 8-K filed by us pursuant to the Exchange Act.</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reports on Form 6-K furnished by us pursuant to the Exchange Act that contain financial statements, and all other subsequent reports on Form 6-K unless we state in the report that it is not being incorporated by reference into this prospectus.</w:t>
      </w:r>
    </w:p>
    <w:p>
      <w:pPr>
        <w:spacing w:after="0" w:line="175"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This prospectus is part of two Registration Statements we filed with the SEC (File Nos. 333-39278 and 333-44994). We will provide without charge to each person to whom a prospectus is delivered, on written or oral request, a copy of any of the documents above other than exhibits to those documents. Requests should be addressed to: Mr. Thomas G. O'Brien, Amdocs Inc., 1390 Timberlake Manor Parkway, Chesterfield, Missouri 63017 (telephone: (314) 212-8328).</w:t>
      </w:r>
    </w:p>
    <w:p>
      <w:pPr>
        <w:spacing w:after="0" w:line="16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this document, references to "Amdocs," "we," "our," "us" and the "Company" refer to Amdocs Limited and its consolidated subsidiaries and their respective predecessors. References to "dollars" or $ are to United States dollars. Unless otherwise stated, all references in this prospectus to ordinary shares are to both voting and nonvoting ordinary shares, all references to percentage ownership of our ordinary shares assume the exchange of all outstanding Exchangeable Shares for our ordinary shares and all references to ordinary voting and nonvoting share ownership, as expressed in percentages, are as of July 31, 2000.</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AMDOCS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are a leading provider of product-driven information system solutions to the communications industry. Our Business Support Systems, or BSS, consist of families of customized software products and services designed to meet the mission-critical needs of specific communications market sectors. We provide primarily Customer Care, Billing and Order Management Systems, or CC&amp;B Systems, for network operators and service providers. Our systems support a wide range of communications services including wireline, wireless, cable television, broadband, electronic commerce and Internet services. We also support companies that offer multiple service packages, commonly referred to as convergent services. In addition, we provide a full range of Directory Sales and Publishing Systems, or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6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and foreign communications companies, including major wireline companies (such as all the Regional Bell Operating Companies, Sprint and Deutsche Telekom (Germany)), wireless companies (such as Pacific Wireless, Vodafone Group (UK), Mannesmann (Germany) and Telstra (Australia)) and internet companies (such as BT (UK), E-Plus (Germany), GTE and PointOne).</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communications companies, such as customer care, order management, call rating, invoice calculation, bill formatting, collections, fraud management and directory publishing services. We tailor our BSS products to address the unique needs of each communications provider.</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As of July 31, 2000, we had approximately 8,200 full-time equivalent employees, of which approximately 7,200 were software and information technology specialists engaged in research, development, customization, maintenance and support activities. Our Israeli subsidiary employs over 4,000 software and information technology specialists and operates our largest development facility. In the United States, our main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April 5, 2000, we acquired Solect Technology Group Inc., or Solect, in a stock-for-stock transaction. Solect is a leading provider of billing and customer care software to Internet service providers. In connection with the consummation of the transaction, Solect issued 13.8 million</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Exchangeable Shares, each exchangeable for one of our ordinary shares, and we granted options to acquire 1.7 million of our ordinary shares. The total purchase price of approximately $1.1 billion, based on a per share price of $69.875 for our ordinary shares at the time of the transaction, included both the issuance of and grant of options for ordinary shares, as well as transaction costs.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on page 5 for more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76" w:lineRule="exact"/>
        <w:rPr>
          <w:sz w:val="20"/>
          <w:szCs w:val="20"/>
          <w:color w:val="auto"/>
        </w:rPr>
      </w:pPr>
    </w:p>
    <w:p>
      <w:pPr>
        <w:ind w:left="440" w:right="3339"/>
        <w:spacing w:after="0"/>
        <w:rPr>
          <w:sz w:val="20"/>
          <w:szCs w:val="20"/>
          <w:color w:val="auto"/>
        </w:rPr>
      </w:pPr>
      <w:r>
        <w:rPr>
          <w:rFonts w:ascii="Courier New" w:cs="Courier New" w:eastAsia="Courier New" w:hAnsi="Courier New"/>
          <w:sz w:val="15"/>
          <w:szCs w:val="15"/>
          <w:color w:val="auto"/>
        </w:rPr>
        <w:t>FUNDAMENTAL CHANGES IN THE COMMUNICATIONS MARKET COULD REDUCE DEMAND FOR OUR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Future developments in the communications industry, such as continued industry consolidation, the formation of alliances among network operators and service providers and changes in the regulatory environment, could materially affect our existing or potential customers. This could reduce the demand for our products and services. As a result, we may be unable to effectively market and sell our information systems to potential customers in the communications industry.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derive a significant portion of our revenue from products and services provided to directory publishers. We believe that the demand for those products and services will be affected by the extent of increased competition between directory publishers and other media channels, as well as a broader introduction of electronic directories. Our new products for these markets may not be successful or we may be unable to maintain our current level of revenue from directory systems.</w:t>
      </w:r>
    </w:p>
    <w:p>
      <w:pPr>
        <w:spacing w:after="0" w:line="177" w:lineRule="exact"/>
        <w:rPr>
          <w:sz w:val="20"/>
          <w:szCs w:val="20"/>
          <w:color w:val="auto"/>
        </w:rPr>
      </w:pPr>
    </w:p>
    <w:p>
      <w:pPr>
        <w:ind w:left="440" w:right="3519"/>
        <w:spacing w:after="0"/>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communications information systems is highly competitive and fragmented, and we expect competition to increase. We compete with independent providers of information systems and services and with in-house software departments of communications companies. Our competitors include firms that provide comprehensive information systems, software vendors that sell products for particular aspects of a total information system, software vendors that specialize in systems for particular communications services such as Internet services, systems integrators, service bureaus and companies that offer software systems in combination with the sale of network equipment. We anticipate continued growth and competition in the communications industry and, consequently, the emergence of new software providers in the industry that will compete with us.</w:t>
      </w:r>
    </w:p>
    <w:p>
      <w:pPr>
        <w:spacing w:after="0" w:line="180"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We also believe that our ability to compete depends in part on a number of competitive factors, including:</w:t>
      </w:r>
    </w:p>
    <w:p>
      <w:pPr>
        <w:spacing w:after="0" w:line="176" w:lineRule="exact"/>
        <w:rPr>
          <w:sz w:val="20"/>
          <w:szCs w:val="20"/>
          <w:color w:val="auto"/>
        </w:rPr>
      </w:pPr>
    </w:p>
    <w:p>
      <w:pPr>
        <w:ind w:left="620" w:right="3699"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75" w:lineRule="exact"/>
        <w:rPr>
          <w:rFonts w:ascii="Courier New" w:cs="Courier New" w:eastAsia="Courier New" w:hAnsi="Courier New"/>
          <w:sz w:val="15"/>
          <w:szCs w:val="15"/>
          <w:color w:val="auto"/>
        </w:rPr>
      </w:pPr>
    </w:p>
    <w:p>
      <w:pPr>
        <w:ind w:left="620" w:right="3959"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do we.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BSS products that operate on state-of-the-art operating systems. Our present or future products may not satisfy the evolving needs of the communications market. If we are unable to anticipate or respond adequately to such demands, due to resource, technological or other constraints, our business and results of operations could be materially adversely affected.</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November 30, 1999, we completed our acquisition of International Telecommunication Data Systems Inc., or ITDS, in a stock-for-stock transaction. ITDS is a leading provider of billing and customer care service bureau solutions to wireless communications service providers. On April 5, 2000, we completed our acquisition of Solect in a stock-for-stock transaction. Solect is a leading provider of Internet Protocol, or IP, billing and customer care software to Internet service providers. We also may acquire other companies where we believe we can acquire new products or services or otherwise enhance our market position or strategic strengths. There can be no assurance that suitable acquisition candidates can be found, that acquisitions can be consummated on favorable terms or that the ITDS or Solect acquisitions will enhance our products or strengthen our competitive position.</w:t>
      </w:r>
    </w:p>
    <w:p>
      <w:pPr>
        <w:spacing w:after="0" w:line="180"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OUR BUSINESS IS HIGHLY DEPENDENT ON A LIMITED NUMBER OF SIGNIFICANT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Revenue derived from our five largest customer groups, excluding SBC Communications Inc. and its operating subsidiaries, accounted for approximately 39.3% of revenue in the nine months ended June 30, 2000 and 27.3%, 27.1% and 33.2% of revenue in fiscal 1999, 1998 and 1997, respectively. After giving effect to the acquisition of Mannesmann AG by Vodafone Airtouch Public Limited Company in 2000, the combined company would have been one of our largest groups of customers and would have accounted for more than 10% of our revenue in the nine months ended June 30, 2000 and in fiscal 1999.</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176" w:lineRule="exact"/>
        <w:rPr>
          <w:sz w:val="20"/>
          <w:szCs w:val="20"/>
          <w:color w:val="auto"/>
        </w:rPr>
      </w:pPr>
    </w:p>
    <w:p>
      <w:pPr>
        <w:ind w:left="440" w:right="3599"/>
        <w:spacing w:after="0"/>
        <w:rPr>
          <w:sz w:val="20"/>
          <w:szCs w:val="20"/>
          <w:color w:val="auto"/>
        </w:rPr>
      </w:pPr>
      <w:r>
        <w:rPr>
          <w:rFonts w:ascii="Courier New" w:cs="Courier New" w:eastAsia="Courier New" w:hAnsi="Courier New"/>
          <w:sz w:val="15"/>
          <w:szCs w:val="15"/>
          <w:color w:val="auto"/>
        </w:rPr>
        <w:t>WE DEPEND ON SBC COMMUNICATIONS INC. FOR A SIGNIFICANT PORTION OF OUR REVENUES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One of our largest groups of customers is SBC Communications Inc., or SBC, and its operating subsidiaries. SBC International Inc., or SBCI, a wholly owned subsidiary of SBC, is also one of our significant shareholders. As of July 31, 2000, it held approximately 20.1% of our outstanding ordinary shares. A significant decrease in the sale of products and services to SBC</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3879" w:firstLine="447"/>
        <w:spacing w:after="0"/>
        <w:rPr>
          <w:sz w:val="20"/>
          <w:szCs w:val="20"/>
          <w:color w:val="auto"/>
        </w:rPr>
      </w:pPr>
      <w:r>
        <w:rPr>
          <w:rFonts w:ascii="Courier New" w:cs="Courier New" w:eastAsia="Courier New" w:hAnsi="Courier New"/>
          <w:sz w:val="15"/>
          <w:szCs w:val="15"/>
          <w:color w:val="auto"/>
        </w:rPr>
        <w:t>or its subsidiaries may materially adversely affect our results of operations and financial condition.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Substantially all of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12.8% of our total revenue in the nine months ended June 30, 2000 and 15.9%, 20.8% and 34.5% of our total revenue in fiscal 1999, 1998 and 1997, respectively. The amount of revenue attributable to SBC and such subsidiaries amounted to $102.6 million for the nine months ended June 30, 2000, $99.5 million, $84.4 million and $99.9 million in fiscal 1999, 1998 and 1997, respectively.</w:t>
      </w:r>
    </w:p>
    <w:p>
      <w:pPr>
        <w:spacing w:after="0" w:line="179" w:lineRule="exact"/>
        <w:rPr>
          <w:sz w:val="20"/>
          <w:szCs w:val="20"/>
          <w:color w:val="auto"/>
        </w:rPr>
      </w:pPr>
    </w:p>
    <w:p>
      <w:pPr>
        <w:ind w:left="440" w:right="4239"/>
        <w:spacing w:after="0"/>
        <w:rPr>
          <w:sz w:val="20"/>
          <w:szCs w:val="20"/>
          <w:color w:val="auto"/>
        </w:rPr>
      </w:pPr>
      <w:r>
        <w:rPr>
          <w:rFonts w:ascii="Courier New" w:cs="Courier New" w:eastAsia="Courier New" w:hAnsi="Courier New"/>
          <w:sz w:val="15"/>
          <w:szCs w:val="15"/>
          <w:color w:val="auto"/>
        </w:rPr>
        <w:t>OUR FUTURE SUCCESS DEPENDS ON OUR ABILITY TO DEVELOP LONG-TERM RELATIONSHIPS WITH OUR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long-term relationships with successful network operators and service providers. Many new entrants into the communications market lack significant financial and other resources.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success depends in large part on our ability to attract, train, motivate and retain highly skilled information technology professionals, software programmers and communications engineers. These types of qualified personnel are in great demand and are likely to remain a limited resource for the foreseeable future. We currently employ approximately 7,200 software and information technology specialists, of which over 4,000 are located in Israel. We intensively recruit technical personnel for our principal development centers in Israel, the United States, Cyprus, Ireland and Canada.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18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73" w:lineRule="exact"/>
        <w:rPr>
          <w:sz w:val="20"/>
          <w:szCs w:val="20"/>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177" w:lineRule="exact"/>
        <w:rPr>
          <w:sz w:val="20"/>
          <w:szCs w:val="20"/>
          <w:color w:val="auto"/>
        </w:rPr>
      </w:pPr>
    </w:p>
    <w:p>
      <w:pPr>
        <w:ind w:left="440" w:right="3519"/>
        <w:spacing w:after="0"/>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sales cycle associated with the purchase of our information systems is lengthy, with the time between the making of an initial proposal to a prospective customer and the signing of a sales contract typically being between three and twelve months. Information systems for 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174" w:lineRule="exact"/>
        <w:rPr>
          <w:sz w:val="20"/>
          <w:szCs w:val="20"/>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maintain development facilities in Israel, the United States, Cyprus, Ireland and Canada, operate a support center in Brazil and have operations in North America, Europe, Latin America and the Asia-Pacific region. Although a majority of our revenue in fiscal 1999 was derived from customers in Europe, we obtain significant revenue from customers in North America, the Asia-</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Pacific region and Latin America. Our strategy is to continue to broaden our European and North American customer base and to expand into new international markets, the most significant of which are located in Latin America and the Asia-Pacific region.</w:t>
      </w:r>
    </w:p>
    <w:p>
      <w:pPr>
        <w:spacing w:after="0" w:line="175" w:lineRule="exact"/>
        <w:rPr>
          <w:sz w:val="20"/>
          <w:szCs w:val="20"/>
          <w:color w:val="auto"/>
        </w:rPr>
      </w:pPr>
    </w:p>
    <w:p>
      <w:pPr>
        <w:ind w:left="440" w:right="3159"/>
        <w:spacing w:after="0"/>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7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164"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7"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Cyprus and Ireland.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7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174" w:lineRule="exact"/>
        <w:rPr>
          <w:sz w:val="20"/>
          <w:szCs w:val="20"/>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6" w:lineRule="exact"/>
        <w:rPr>
          <w:rFonts w:ascii="Courier New" w:cs="Courier New" w:eastAsia="Courier New" w:hAnsi="Courier New"/>
          <w:sz w:val="15"/>
          <w:szCs w:val="15"/>
          <w:color w:val="auto"/>
        </w:rPr>
      </w:pPr>
    </w:p>
    <w:p>
      <w:pPr>
        <w:ind w:left="620" w:right="3599"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Since our products are generally used by our customers to perform mission-critical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2000 ISSUES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late 1999, we completed our remediation and testing of systems to become Year 2000 ready. As a result of our planning and implementation efforts, we experienced no significant disruptions in mission-critical technology and non-information technology systems and believe those systems successfully responded to the Year 2000 date change. We are not aware of any material problems resulting from Year 2000 issues, either with our products and internal systems or the products and services of third parties. We will continue to monitor our mission-critical</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computer and software applications and those of our suppliers and vendors throughout the year 2000 to ensure that any latent Year 2000 matters that may arise are addressed promptly.</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largest development center is located in the State of Israel. Although a substantial majority of our sales are made to customers outside Israel and we maintain significant service teams on site with our customers, we are nonetheless directly influenced by the political, economic and military conditions affecting Israel. Any major hostilities involving Israel or the interruption or curtailment of trade between Israel and its current trading partners could have a material adverse effect on our business. We have developed contingency plans to move some development operations to various sites both within and outside of Israel in the event political or military conditions disrupt our normal operations.</w:t>
      </w:r>
    </w:p>
    <w:p>
      <w:pPr>
        <w:spacing w:after="0" w:line="179"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 however, has not entered into any peace arrangement with Syria or Lebanon. In addition, in recent months there has been a deterioration in Israel's relationship with the Palestinian Community.</w:t>
      </w:r>
    </w:p>
    <w:p>
      <w:pPr>
        <w:spacing w:after="0" w:line="161"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Consequently, we cannot predict how the peace process will develop or what effect it may have on us or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 the problem have not yet resulted in an agreeable solution. During the last year, tensions between the parties involved increased significantly over certain military defense issues. Recently, however, the parties have agreed to enter into negotiations to be facilitated by the United Nations and the United States. Any major hostilities between Cyprus and Turkey or any failure of the parties to reach a peaceful resolution may have a material adverse effect on our development facility in Cyprus.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For example, since our initial public offering in June 1998 through October 3, 2000 the closing price of our ordinary shares ranged from a high of $96.00 per share to a low of $8.38 per share. Many factors could cause the market price of our ordinary shares to rise and fall. Some of these factors are:</w:t>
      </w:r>
    </w:p>
    <w:p>
      <w:pPr>
        <w:spacing w:after="0" w:line="174" w:lineRule="exact"/>
        <w:rPr>
          <w:sz w:val="20"/>
          <w:szCs w:val="20"/>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75" w:lineRule="exact"/>
        <w:rPr>
          <w:rFonts w:ascii="Courier New" w:cs="Courier New" w:eastAsia="Courier New" w:hAnsi="Courier New"/>
          <w:sz w:val="15"/>
          <w:szCs w:val="15"/>
          <w:color w:val="auto"/>
        </w:rPr>
      </w:pPr>
    </w:p>
    <w:p>
      <w:pPr>
        <w:ind w:left="620" w:right="3779"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communications industry;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shareholders brought a securities class action lawsuit against us, we could incur substantial costs defending the lawsuit. The lawsuit could also divert the time and attention of our management. Any of these events could seriously harm our business.</w:t>
      </w:r>
    </w:p>
    <w:p>
      <w:pPr>
        <w:spacing w:after="0" w:line="179" w:lineRule="exact"/>
        <w:rPr>
          <w:sz w:val="20"/>
          <w:szCs w:val="20"/>
          <w:color w:val="auto"/>
        </w:rPr>
      </w:pPr>
    </w:p>
    <w:p>
      <w:pPr>
        <w:ind w:left="440" w:right="3079"/>
        <w:spacing w:after="0"/>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176" w:lineRule="exact"/>
        <w:rPr>
          <w:sz w:val="20"/>
          <w:szCs w:val="20"/>
          <w:color w:val="auto"/>
        </w:rPr>
      </w:pPr>
    </w:p>
    <w:p>
      <w:pPr>
        <w:ind w:right="3259" w:firstLine="447"/>
        <w:spacing w:after="0" w:line="260" w:lineRule="auto"/>
        <w:rPr>
          <w:sz w:val="20"/>
          <w:szCs w:val="20"/>
          <w:color w:val="auto"/>
        </w:rPr>
      </w:pPr>
      <w:r>
        <w:rPr>
          <w:rFonts w:ascii="Courier New" w:cs="Courier New" w:eastAsia="Courier New" w:hAnsi="Courier New"/>
          <w:sz w:val="14"/>
          <w:szCs w:val="14"/>
          <w:color w:val="auto"/>
        </w:rPr>
        <w:t>Sales of substantial amounts of ordinary shares in the public market, or the perception that such sales could occur, could adversely affect prevailing market prices for the ordinary shares. As of July 31, 2000, we had 221,112,777 ordinary shares issued and outstanding (after giving effect to the exchange of all of the Exchangeable Shares for ordinary shares), a substantial portion of which are either freely tradeable on the NYSE or currently eligible for sale pursuant to Rule 144, under the Securities Act of 1933, or the Securities Act (subject to compliance with the volume and manner of sale limitation of Rule</w:t>
      </w:r>
    </w:p>
    <w:p>
      <w:pPr>
        <w:spacing w:after="0" w:line="2"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144), or pursuant to another exemption from the registration requirements of the Securities Act.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principal shareholders and the holders of the Exchangeable Shares have the right, in certain circumstances, to require us to register their shares under the Securities Act for resale to the public. In addition, we have registered under the Securities Act a total of 16,062,121 ordinary shares reserved for issuance upon the exercise of options that have been or may be granted under our stock option plans and stock option plans assumed by us in connection with our acquisition of ITDS and Solect. The right to exercise options outstanding under these plans is subject to certain vesting requirements.</w:t>
      </w:r>
    </w:p>
    <w:p>
      <w:pPr>
        <w:spacing w:after="0" w:line="178"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176" w:lineRule="exact"/>
        <w:rPr>
          <w:sz w:val="20"/>
          <w:szCs w:val="20"/>
          <w:color w:val="auto"/>
        </w:rPr>
      </w:pPr>
    </w:p>
    <w:p>
      <w:pPr>
        <w:jc w:val="both"/>
        <w:ind w:right="3779" w:firstLine="447"/>
        <w:spacing w:after="0" w:line="241"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 In addition, the terms of bank debt incurred by our subsidiaries effectively prevent us from paying cash dividends.</w:t>
      </w:r>
    </w:p>
    <w:p>
      <w:pPr>
        <w:spacing w:after="0" w:line="176" w:lineRule="exact"/>
        <w:rPr>
          <w:sz w:val="20"/>
          <w:szCs w:val="20"/>
          <w:color w:val="auto"/>
        </w:rPr>
      </w:pPr>
    </w:p>
    <w:p>
      <w:pPr>
        <w:ind w:left="440" w:right="3079"/>
        <w:spacing w:after="0"/>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 SHAREHOLDERS OF UNITED STATES CORPORATIONS</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unaudited pro forma condensed combined statements of operations of Amdocs, ITDS and Solect presented below are derived from the historical consolidated financial statements of each of Amdocs, ITDS and Solect. On November 30, 1999 Amdocs acquired ITDS and on April 5, 2000 Amdocs acquired Solect. The unaudited pro forma condensed combined statements of operations were prepared using the purchase method of accounting, as if the transactions had been completed as of October 1, 1998.</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unaudited pro forma condensed combined statements of operations are based upon the historical financial statements of Amdocs, ITDS and Solect adjusted to give effect to the business combination. The pro forma assumptions and adjustments for each transaction are described in the accompanying notes presented on the following pages. The assumptions and related pro forma adjustments have been developed from:</w:t>
      </w:r>
    </w:p>
    <w:p>
      <w:pPr>
        <w:spacing w:after="0" w:line="176" w:lineRule="exact"/>
        <w:rPr>
          <w:sz w:val="20"/>
          <w:szCs w:val="20"/>
          <w:color w:val="auto"/>
        </w:rPr>
      </w:pPr>
    </w:p>
    <w:p>
      <w:pPr>
        <w:ind w:left="620" w:right="3079" w:hanging="181"/>
        <w:spacing w:after="0" w:line="242"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financial statements of Amdocs as of and for the fiscal year ended September 30, 1999 and from the unaudited financial statements of Amdocs as of and for the nine month period ended June 30, 2000;</w:t>
      </w:r>
    </w:p>
    <w:p>
      <w:pPr>
        <w:spacing w:after="0" w:line="174"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financial statements of ITDS as of and for the fiscal year ended December 31, 1998, from the unaudited financial statements of ITDS as of and for the nine month period ended September 30, 1999 and from the unaudited financial statements of ITDS as of and for the two month period ended November 30, 1999; and</w:t>
      </w:r>
    </w:p>
    <w:p>
      <w:pPr>
        <w:spacing w:after="0" w:line="175" w:lineRule="exact"/>
        <w:rPr>
          <w:rFonts w:ascii="Courier New" w:cs="Courier New" w:eastAsia="Courier New" w:hAnsi="Courier New"/>
          <w:sz w:val="15"/>
          <w:szCs w:val="15"/>
          <w:color w:val="auto"/>
        </w:rPr>
      </w:pPr>
    </w:p>
    <w:p>
      <w:pPr>
        <w:ind w:left="620" w:right="3079" w:hanging="181"/>
        <w:spacing w:after="0" w:line="26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audited consolidated financial statements of Solect as of and for the fiscal year ended July 31, 1999 (together with the unaudited reconciliation to U.S. GAAP), and from the unaudited financial statements of Solect as of and for the six month period ended January 31, 2000.</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acquisition of ITDS, we have converted approximately 17.3 million common shares of ITDS and approximately 3.0 million options to purchase common shares of ITDS into the right to receive approximately 6.5 million ordinary shares and approximately 1.1 million options to purchase ordinary shares of Amdocs. The estimated total purchase price for ITDS, based on an Amdocs share price of $28.25, including estimated transaction costs, equals approximately $189 million. We accounted for the acquisition of ITDS under the purchase method of accounting. The estimated total purchase price was allocated to ITDS' tangible assets and liabilities based on their respective estimated fair values on the date the transaction was consummated, November 30, 1999. We allocated the excess of the purchase price over the fair value of the net tangible assets acquired to identifiable intangible assets, including core technology, workforce-in-place, customer base, and in process research and development costs, and the remainder to goodwill. In addition, deferred taxes were recognized for the differences between the book and tax basis of certain intangible assets.</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acquisition of Solect, we have converted approximately 24.2 million common shares of Solect and approximately 2.9 million options to purchase common shares of Solect into the right to receive approximately 13.8 million ordinary shares and approximately 1.7 million options to purchase ordinary shares of Amdocs. The estimated total purchase price for Solect, based on an Amdocs share price of $69.875 including estimated transaction costs, equals approximately $1.1 billion. We accounted for the acquisition under the purchase method of accounting. The estimated total purchase price was allocated to Solect's tangible assets and liabilities based on their respective estimated fair values on the date the transaction was consummated, April 5, 2000. We allocated the excess of the purchase price over the fair value of the net tangible assets acquired to identifiable intangible assets, including core technology, workforce-in-place, customer base, and in process research and development costs, and the</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3599"/>
        <w:spacing w:after="0" w:line="274" w:lineRule="auto"/>
        <w:rPr>
          <w:sz w:val="20"/>
          <w:szCs w:val="20"/>
          <w:color w:val="auto"/>
        </w:rPr>
      </w:pPr>
      <w:r>
        <w:rPr>
          <w:rFonts w:ascii="Courier New" w:cs="Courier New" w:eastAsia="Courier New" w:hAnsi="Courier New"/>
          <w:sz w:val="14"/>
          <w:szCs w:val="14"/>
          <w:color w:val="auto"/>
        </w:rPr>
        <w:t>remainder to goodwill. In addition, deferred taxes were recognized for the differences between the book and tax basis of certain intangible assets.</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unaudited pro forma condensed combined statements of operations are provided for illustrative purposes only and do not purport to represent what the actual consolidated results of operations or the consolidated financial position Amdocs would have been had the acquisitions occurred on the dates assumed, nor is it necessarily indicative of future consolidated results of operations or financial position.</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unaudited pro forma condensed combined statements of operations do not include the realization of cost savings from operating efficiencies, synergies or other restructurings resulting from the acquisitions.</w:t>
      </w:r>
    </w:p>
    <w:p>
      <w:pPr>
        <w:spacing w:after="0" w:line="176"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The following unaudited pro forma condensed combined statements of operations and notes thereto contain forward-looking statements that involve risks and uncertainties.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gridSpan w:val="6"/>
          </w:tcPr>
          <w:p>
            <w:pPr>
              <w:ind w:left="1520"/>
              <w:spacing w:after="0"/>
              <w:rPr>
                <w:sz w:val="20"/>
                <w:szCs w:val="20"/>
                <w:color w:val="auto"/>
              </w:rPr>
            </w:pPr>
            <w:r>
              <w:rPr>
                <w:rFonts w:ascii="Courier New" w:cs="Courier New" w:eastAsia="Courier New" w:hAnsi="Courier New"/>
                <w:sz w:val="15"/>
                <w:szCs w:val="15"/>
                <w:color w:val="auto"/>
              </w:rPr>
              <w:t>FOR THE TWELVE MONTHS ENDED SEPTEMBER 30, 1999</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8"/>
        </w:trPr>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88"/>
              </w:rPr>
              <w:t>ITDS</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PRE-SOLECT</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6"/>
              </w:rPr>
              <w:t>SOLECT</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AMDOCS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ITDS</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PRO FORMA</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SOLECT</w:t>
            </w: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HISTORICAL</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HISTORICAL</w:t>
            </w:r>
          </w:p>
        </w:tc>
        <w:tc>
          <w:tcPr>
            <w:tcW w:w="16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ADJUSTMENTS</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COMBINED</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HISTORICAL</w:t>
            </w:r>
          </w:p>
        </w:tc>
        <w:tc>
          <w:tcPr>
            <w:tcW w:w="15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ADJUSTMENTS</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0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(IN THOUSANDS, EXCEPT PER SHARE DATA)</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120" w:type="dxa"/>
            <w:vAlign w:val="bottom"/>
            <w:gridSpan w:val="4"/>
          </w:tcPr>
          <w:p>
            <w:pPr>
              <w:ind w:left="320"/>
              <w:spacing w:after="0"/>
              <w:rPr>
                <w:sz w:val="20"/>
                <w:szCs w:val="20"/>
                <w:color w:val="auto"/>
              </w:rPr>
            </w:pPr>
            <w:r>
              <w:rPr>
                <w:rFonts w:ascii="Courier New" w:cs="Courier New" w:eastAsia="Courier New" w:hAnsi="Courier New"/>
                <w:sz w:val="15"/>
                <w:szCs w:val="15"/>
                <w:color w:val="auto"/>
                <w:w w:val="99"/>
              </w:rPr>
              <w:t>(IN U.S. DOLLARS, UNLESS OTHERWISE STATED)</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$626,855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$139,151</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$766,006</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9,647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$775,653</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363,324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62,594</w:t>
            </w:r>
          </w:p>
        </w:tc>
        <w:tc>
          <w:tcPr>
            <w:tcW w:w="42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(3,681)(A2)</w:t>
            </w:r>
          </w:p>
        </w:tc>
        <w:tc>
          <w:tcPr>
            <w:tcW w:w="1260" w:type="dxa"/>
            <w:vAlign w:val="bottom"/>
          </w:tcPr>
          <w:p>
            <w:pPr>
              <w:spacing w:after="0"/>
              <w:rPr>
                <w:sz w:val="14"/>
                <w:szCs w:val="14"/>
                <w:color w:val="auto"/>
              </w:rPr>
            </w:pP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6,262</w:t>
            </w:r>
          </w:p>
        </w:tc>
        <w:tc>
          <w:tcPr>
            <w:tcW w:w="22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9,130(B2)</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1,081(A3)</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423,318</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1,086(B3)</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439,796</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Research and</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development.............</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40,874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17,015</w:t>
            </w:r>
          </w:p>
        </w:tc>
        <w:tc>
          <w:tcPr>
            <w:tcW w:w="420" w:type="dxa"/>
            <w:vAlign w:val="bottom"/>
          </w:tcPr>
          <w:p>
            <w:pPr>
              <w:spacing w:after="0"/>
              <w:rPr>
                <w:sz w:val="14"/>
                <w:szCs w:val="14"/>
                <w:color w:val="auto"/>
              </w:rPr>
            </w:pP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57,889</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4,891</w:t>
            </w:r>
          </w:p>
        </w:tc>
        <w:tc>
          <w:tcPr>
            <w:tcW w:w="22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62,780</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75,659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33,470</w:t>
            </w:r>
          </w:p>
        </w:tc>
        <w:tc>
          <w:tcPr>
            <w:tcW w:w="42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1,420(A1)</w:t>
            </w:r>
          </w:p>
        </w:tc>
        <w:tc>
          <w:tcPr>
            <w:tcW w:w="1260" w:type="dxa"/>
            <w:vAlign w:val="bottom"/>
          </w:tcPr>
          <w:p>
            <w:pPr>
              <w:spacing w:after="0"/>
              <w:rPr>
                <w:sz w:val="14"/>
                <w:szCs w:val="14"/>
                <w:color w:val="auto"/>
              </w:rPr>
            </w:pP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8,278</w:t>
            </w:r>
          </w:p>
        </w:tc>
        <w:tc>
          <w:tcPr>
            <w:tcW w:w="22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197,262(B1)</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129(A3)</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404(B3)</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(1,163)(A5)</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109,515</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315,459</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479,857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113,079</w:t>
            </w:r>
          </w:p>
        </w:tc>
        <w:tc>
          <w:tcPr>
            <w:tcW w:w="420" w:type="dxa"/>
            <w:vAlign w:val="bottom"/>
          </w:tcPr>
          <w:p>
            <w:pPr>
              <w:spacing w:after="0"/>
              <w:rPr>
                <w:sz w:val="14"/>
                <w:szCs w:val="14"/>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5"/>
              </w:rPr>
              <w:t>(2,214)</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590,722</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19,431</w:t>
            </w:r>
          </w:p>
        </w:tc>
        <w:tc>
          <w:tcPr>
            <w:tcW w:w="22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207,882</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818,035</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146,998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26,072</w:t>
            </w:r>
          </w:p>
        </w:tc>
        <w:tc>
          <w:tcPr>
            <w:tcW w:w="420" w:type="dxa"/>
            <w:vAlign w:val="bottom"/>
          </w:tcPr>
          <w:p>
            <w:pPr>
              <w:spacing w:after="0"/>
              <w:rPr>
                <w:sz w:val="14"/>
                <w:szCs w:val="14"/>
                <w:color w:val="auto"/>
              </w:rPr>
            </w:pP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2,214</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175,284</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(9,784)</w:t>
            </w:r>
          </w:p>
        </w:tc>
        <w:tc>
          <w:tcPr>
            <w:tcW w:w="220" w:type="dxa"/>
            <w:vAlign w:val="bottom"/>
          </w:tcPr>
          <w:p>
            <w:pPr>
              <w:spacing w:after="0"/>
              <w:rPr>
                <w:sz w:val="14"/>
                <w:szCs w:val="14"/>
                <w:color w:val="auto"/>
              </w:rPr>
            </w:pPr>
          </w:p>
        </w:tc>
        <w:tc>
          <w:tcPr>
            <w:tcW w:w="13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8"/>
              </w:rPr>
              <w:t>(207,882)</w:t>
            </w:r>
          </w:p>
        </w:tc>
        <w:tc>
          <w:tcPr>
            <w:tcW w:w="28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(42,382)</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2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(6,223)</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1,679</w:t>
            </w:r>
          </w:p>
        </w:tc>
        <w:tc>
          <w:tcPr>
            <w:tcW w:w="420" w:type="dxa"/>
            <w:vAlign w:val="bottom"/>
          </w:tcPr>
          <w:p>
            <w:pPr>
              <w:spacing w:after="0"/>
              <w:rPr>
                <w:sz w:val="14"/>
                <w:szCs w:val="14"/>
                <w:color w:val="auto"/>
              </w:rPr>
            </w:pP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(4,544)</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(750)</w:t>
            </w:r>
          </w:p>
        </w:tc>
        <w:tc>
          <w:tcPr>
            <w:tcW w:w="22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942(B6)</w:t>
            </w:r>
          </w:p>
        </w:tc>
        <w:tc>
          <w:tcPr>
            <w:tcW w:w="28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(4,352)</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140,775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27,751</w:t>
            </w:r>
          </w:p>
        </w:tc>
        <w:tc>
          <w:tcPr>
            <w:tcW w:w="420" w:type="dxa"/>
            <w:vAlign w:val="bottom"/>
          </w:tcPr>
          <w:p>
            <w:pPr>
              <w:spacing w:after="0"/>
              <w:rPr>
                <w:sz w:val="14"/>
                <w:szCs w:val="14"/>
                <w:color w:val="auto"/>
              </w:rPr>
            </w:pP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2,214</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170,740</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(10,534)</w:t>
            </w:r>
          </w:p>
        </w:tc>
        <w:tc>
          <w:tcPr>
            <w:tcW w:w="220" w:type="dxa"/>
            <w:vAlign w:val="bottom"/>
          </w:tcPr>
          <w:p>
            <w:pPr>
              <w:spacing w:after="0"/>
              <w:rPr>
                <w:sz w:val="14"/>
                <w:szCs w:val="14"/>
                <w:color w:val="auto"/>
              </w:rPr>
            </w:pPr>
          </w:p>
        </w:tc>
        <w:tc>
          <w:tcPr>
            <w:tcW w:w="13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8"/>
              </w:rPr>
              <w:t>(206,940)</w:t>
            </w:r>
          </w:p>
        </w:tc>
        <w:tc>
          <w:tcPr>
            <w:tcW w:w="28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(46,734)</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42,232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10,950</w:t>
            </w:r>
          </w:p>
        </w:tc>
        <w:tc>
          <w:tcPr>
            <w:tcW w:w="42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505(A4)</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53,687</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w:t>
            </w:r>
          </w:p>
        </w:tc>
        <w:tc>
          <w:tcPr>
            <w:tcW w:w="22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(4,248)(B4)</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49,490</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$ 98,543</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$ 16,801</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$ 1,709</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$117,053</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$(10,585)</w:t>
            </w:r>
          </w:p>
        </w:tc>
        <w:tc>
          <w:tcPr>
            <w:tcW w:w="15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$(202,692)</w:t>
            </w:r>
          </w:p>
        </w:tc>
        <w:tc>
          <w:tcPr>
            <w:tcW w:w="11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$(96,224)</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Basic earnings (loss) per</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0.50</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(0.44)</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Diluted earnings (loss)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0.49</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(0.44)</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Basic weighted average</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number of shares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197,436</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217,733</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Diluted weighted average</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number of shares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200,262</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217,733(C)</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See notes to Unaudited Pro Forma Condensed Combined Statements of Operations</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for discussion of adjustments.</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1520"/>
          </w:cols>
          <w:pgMar w:left="240" w:top="289" w:right="139"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2"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FOR THE NINE MONTHS ENDED JUNE 30, 2000</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ITDS</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6"/>
              </w:rPr>
              <w:t>SOLECT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AMDOCS</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ITDS</w:t>
            </w:r>
          </w:p>
        </w:tc>
        <w:tc>
          <w:tcPr>
            <w:tcW w:w="17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 FORMA</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SOLECT</w:t>
            </w:r>
          </w:p>
        </w:tc>
        <w:tc>
          <w:tcPr>
            <w:tcW w:w="1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center"/>
              <w:ind w:right="125"/>
              <w:spacing w:after="0"/>
              <w:rPr>
                <w:sz w:val="20"/>
                <w:szCs w:val="20"/>
                <w:color w:val="auto"/>
              </w:rPr>
            </w:pPr>
            <w:r>
              <w:rPr>
                <w:rFonts w:ascii="Courier New" w:cs="Courier New" w:eastAsia="Courier New" w:hAnsi="Courier New"/>
                <w:sz w:val="15"/>
                <w:szCs w:val="15"/>
                <w:color w:val="auto"/>
                <w:w w:val="99"/>
              </w:rPr>
              <w:t>HISTORICAL</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HISTORICAL</w:t>
            </w:r>
          </w:p>
        </w:tc>
        <w:tc>
          <w:tcPr>
            <w:tcW w:w="17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ADJUSTMENTS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HISTORICAL</w:t>
            </w:r>
          </w:p>
        </w:tc>
        <w:tc>
          <w:tcPr>
            <w:tcW w:w="16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ADJUSTMENTS</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520" w:type="dxa"/>
            <w:vAlign w:val="bottom"/>
            <w:gridSpan w:val="5"/>
          </w:tcPr>
          <w:p>
            <w:pPr>
              <w:jc w:val="right"/>
              <w:ind w:right="1145"/>
              <w:spacing w:after="0"/>
              <w:rPr>
                <w:sz w:val="20"/>
                <w:szCs w:val="20"/>
                <w:color w:val="auto"/>
              </w:rPr>
            </w:pPr>
            <w:r>
              <w:rPr>
                <w:rFonts w:ascii="Courier New" w:cs="Courier New" w:eastAsia="Courier New" w:hAnsi="Courier New"/>
                <w:sz w:val="15"/>
                <w:szCs w:val="15"/>
                <w:color w:val="auto"/>
                <w:w w:val="98"/>
              </w:rPr>
              <w:t>(IN THOUSANDS, EXCEPT PER SHARE DATA)</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500" w:type="dxa"/>
            <w:vAlign w:val="bottom"/>
            <w:gridSpan w:val="6"/>
          </w:tcPr>
          <w:p>
            <w:pPr>
              <w:jc w:val="right"/>
              <w:ind w:right="965"/>
              <w:spacing w:after="0"/>
              <w:rPr>
                <w:sz w:val="20"/>
                <w:szCs w:val="20"/>
                <w:color w:val="auto"/>
              </w:rPr>
            </w:pPr>
            <w:r>
              <w:rPr>
                <w:rFonts w:ascii="Courier New" w:cs="Courier New" w:eastAsia="Courier New" w:hAnsi="Courier New"/>
                <w:sz w:val="15"/>
                <w:szCs w:val="15"/>
                <w:color w:val="auto"/>
              </w:rPr>
              <w:t>(IN U.S. DOLLARS, UNLESS OTHERWISE STATED)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16"/>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$803,253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$23,289</w:t>
            </w:r>
          </w:p>
        </w:tc>
        <w:tc>
          <w:tcPr>
            <w:tcW w:w="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$11,174</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$837,716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466,771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11,841</w:t>
            </w:r>
          </w:p>
        </w:tc>
        <w:tc>
          <w:tcPr>
            <w:tcW w:w="480" w:type="dxa"/>
            <w:vAlign w:val="bottom"/>
          </w:tcPr>
          <w:p>
            <w:pPr>
              <w:spacing w:after="0"/>
              <w:rPr>
                <w:sz w:val="14"/>
                <w:szCs w:val="14"/>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(1,120)(A2)</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6,607</w:t>
            </w:r>
          </w:p>
        </w:tc>
        <w:tc>
          <w:tcPr>
            <w:tcW w:w="320" w:type="dxa"/>
            <w:vAlign w:val="bottom"/>
          </w:tcPr>
          <w:p>
            <w:pPr>
              <w:spacing w:after="0"/>
              <w:rPr>
                <w:sz w:val="14"/>
                <w:szCs w:val="14"/>
                <w:color w:val="auto"/>
              </w:rPr>
            </w:pP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484,099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52,958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5,384</w:t>
            </w:r>
          </w:p>
        </w:tc>
        <w:tc>
          <w:tcPr>
            <w:tcW w:w="48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3,416</w:t>
            </w:r>
          </w:p>
        </w:tc>
        <w:tc>
          <w:tcPr>
            <w:tcW w:w="320" w:type="dxa"/>
            <w:vAlign w:val="bottom"/>
          </w:tcPr>
          <w:p>
            <w:pPr>
              <w:spacing w:after="0"/>
              <w:rPr>
                <w:sz w:val="14"/>
                <w:szCs w:val="14"/>
                <w:color w:val="auto"/>
              </w:rPr>
            </w:pP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61,758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97,868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11,311</w:t>
            </w:r>
          </w:p>
        </w:tc>
        <w:tc>
          <w:tcPr>
            <w:tcW w:w="480" w:type="dxa"/>
            <w:vAlign w:val="bottom"/>
          </w:tcPr>
          <w:p>
            <w:pPr>
              <w:spacing w:after="0"/>
              <w:rPr>
                <w:sz w:val="14"/>
                <w:szCs w:val="14"/>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(575)(A1)</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6,308</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(5,825)(A5)</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109,087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purchased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intangible assets...................</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56,870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787(A1)</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4,565(B2)</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411(A2)</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543(B3)</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180(A3)</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98,631(B1)</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22(A3)</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202(B3)</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162,211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 process research and development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and other indirect acquisition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related costs.......................</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75,617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(19,876)(A6)</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(55,741)(B5)</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750,084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28,536</w:t>
            </w:r>
          </w:p>
        </w:tc>
        <w:tc>
          <w:tcPr>
            <w:tcW w:w="48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(25,996)</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16,331</w:t>
            </w:r>
          </w:p>
        </w:tc>
        <w:tc>
          <w:tcPr>
            <w:tcW w:w="320" w:type="dxa"/>
            <w:vAlign w:val="bottom"/>
          </w:tcPr>
          <w:p>
            <w:pPr>
              <w:spacing w:after="0"/>
              <w:rPr>
                <w:sz w:val="14"/>
                <w:szCs w:val="14"/>
                <w:color w:val="auto"/>
              </w:rPr>
            </w:pP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48,200</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817,155</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53,169</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(5,247)</w:t>
            </w:r>
          </w:p>
        </w:tc>
        <w:tc>
          <w:tcPr>
            <w:tcW w:w="48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(5,157)</w:t>
            </w:r>
          </w:p>
        </w:tc>
        <w:tc>
          <w:tcPr>
            <w:tcW w:w="32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(48,200)</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20,561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Other income (expenses), net..........</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6,018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w:t>
            </w:r>
          </w:p>
        </w:tc>
        <w:tc>
          <w:tcPr>
            <w:tcW w:w="48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(797)</w:t>
            </w:r>
          </w:p>
        </w:tc>
        <w:tc>
          <w:tcPr>
            <w:tcW w:w="320" w:type="dxa"/>
            <w:vAlign w:val="bottom"/>
          </w:tcPr>
          <w:p>
            <w:pPr>
              <w:spacing w:after="0"/>
              <w:rPr>
                <w:sz w:val="14"/>
                <w:szCs w:val="14"/>
                <w:color w:val="auto"/>
              </w:rPr>
            </w:pP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704(B6)</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6,311</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59,187</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(4,861)</w:t>
            </w:r>
          </w:p>
        </w:tc>
        <w:tc>
          <w:tcPr>
            <w:tcW w:w="48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(5,954)</w:t>
            </w:r>
          </w:p>
        </w:tc>
        <w:tc>
          <w:tcPr>
            <w:tcW w:w="320" w:type="dxa"/>
            <w:vAlign w:val="bottom"/>
          </w:tcPr>
          <w:p>
            <w:pPr>
              <w:spacing w:after="0"/>
              <w:rPr>
                <w:sz w:val="14"/>
                <w:szCs w:val="14"/>
                <w:color w:val="auto"/>
              </w:rPr>
            </w:pP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7"/>
              </w:rPr>
              <w:t>(47,496)</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26,872</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66,202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1,156</w:t>
            </w:r>
          </w:p>
        </w:tc>
        <w:tc>
          <w:tcPr>
            <w:tcW w:w="48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110(A4)</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37</w:t>
            </w:r>
          </w:p>
        </w:tc>
        <w:tc>
          <w:tcPr>
            <w:tcW w:w="32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(2,124)(B4)</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65,381</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(7,015)</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$(6,017)</w:t>
            </w:r>
          </w:p>
        </w:tc>
        <w:tc>
          <w:tcPr>
            <w:tcW w:w="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25,886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$(5,991)</w:t>
            </w:r>
          </w:p>
        </w:tc>
        <w:tc>
          <w:tcPr>
            <w:tcW w:w="16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 (45,372)</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$(38,509)</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(0.18)</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(0.18)</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208,706</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219,371</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26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208,706(C)</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219,371(C)</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See notes to Unaudited Pro Forma Condensed Combined Statements of Operations</w:t>
      </w:r>
    </w:p>
    <w:p>
      <w:pPr>
        <w:spacing w:after="0" w:line="2"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for discussion of adjustments.</w:t>
      </w:r>
    </w:p>
    <w:p>
      <w:pPr>
        <w:spacing w:after="0" w:line="2"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360"/>
          </w:cols>
          <w:pgMar w:left="240" w:top="289" w:right="299"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NOTES TO UNAUDITED PRO FORMA CONDENSED</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COMBINED STATEMENTS OF OPERATIONS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ITDS TRANSACTION: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acquired ITDS on November 30, 1999. Accordingly, ITDS' operations are included in the historical results of Amdocs from that date. The amounts presented under the columns headed Nine Months Ended June 30, 2000 represent the historical results of ITDS for the two months ended November 30, 1999.</w:t>
      </w:r>
    </w:p>
    <w:p>
      <w:pPr>
        <w:spacing w:after="0" w:line="175" w:lineRule="exact"/>
        <w:rPr>
          <w:sz w:val="20"/>
          <w:szCs w:val="20"/>
          <w:color w:val="auto"/>
        </w:rPr>
      </w:pPr>
    </w:p>
    <w:p>
      <w:pPr>
        <w:ind w:right="3159" w:firstLine="439"/>
        <w:spacing w:after="0"/>
        <w:tabs>
          <w:tab w:leader="none" w:pos="8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goodwill amortization and the amortization of goodwill resulting from the acquisition of ITDS: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TWELVE MONTHS</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ENDED SEPTEMBER 30,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ENDED JUNE 30,</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Amortization expense relating to goodwill</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$70,797 over 15 years...............</w:t>
            </w:r>
          </w:p>
        </w:tc>
        <w:tc>
          <w:tcPr>
            <w:tcW w:w="1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$ 4,720</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$ 787</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Less historical amortization expense.....</w:t>
            </w:r>
          </w:p>
        </w:tc>
        <w:tc>
          <w:tcPr>
            <w:tcW w:w="19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(3,300)</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(575)</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Additional goodwill amortization, net....</w:t>
            </w:r>
          </w:p>
        </w:tc>
        <w:tc>
          <w:tcPr>
            <w:tcW w:w="1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$ 1,420</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$ 212</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99" w:firstLine="439"/>
        <w:spacing w:after="0" w:line="267" w:lineRule="auto"/>
        <w:tabs>
          <w:tab w:leader="none" w:pos="80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elimination of ITDS' historical amortization of intellectual property and core technology and the amortization of the core technology resulting from the valuation at the time of the acquisition:</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TWELVE MONTHS</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ENDED SEPTEMBER 30,</w:t>
            </w:r>
          </w:p>
        </w:tc>
        <w:tc>
          <w:tcPr>
            <w:tcW w:w="142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w w:val="98"/>
              </w:rPr>
              <w:t>ENDED JUNE 30,</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14"/>
                <w:szCs w:val="14"/>
                <w:color w:val="auto"/>
              </w:rPr>
            </w:pPr>
          </w:p>
        </w:tc>
        <w:tc>
          <w:tcPr>
            <w:tcW w:w="8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2000</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74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Amortization expense relating to core</w:t>
            </w:r>
          </w:p>
        </w:tc>
        <w:tc>
          <w:tcPr>
            <w:tcW w:w="1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technology of $12,342 over 5 years.....</w:t>
            </w:r>
          </w:p>
        </w:tc>
        <w:tc>
          <w:tcPr>
            <w:tcW w:w="1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$ 2,468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411</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Less historical amortization expense.....</w:t>
            </w:r>
          </w:p>
        </w:tc>
        <w:tc>
          <w:tcPr>
            <w:tcW w:w="19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(6,149)</w:t>
            </w:r>
          </w:p>
        </w:tc>
        <w:tc>
          <w:tcPr>
            <w:tcW w:w="5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(1,120)</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Reduction of amortization expense related</w:t>
            </w:r>
          </w:p>
        </w:tc>
        <w:tc>
          <w:tcPr>
            <w:tcW w:w="1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 core technology, net................</w:t>
            </w:r>
          </w:p>
        </w:tc>
        <w:tc>
          <w:tcPr>
            <w:tcW w:w="19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$(3,681)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(709)</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39"/>
        <w:spacing w:after="0"/>
        <w:tabs>
          <w:tab w:leader="none" w:pos="8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the workforce-in-place and customer list,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TWELVE MONTHS</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ENDED SEPTEMBER 30,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ENDED JUNE 30,</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740" w:type="dxa"/>
            <w:vAlign w:val="bottom"/>
          </w:tcPr>
          <w:p>
            <w:pPr>
              <w:jc w:val="right"/>
              <w:ind w:right="805"/>
              <w:spacing w:after="0"/>
              <w:rPr>
                <w:sz w:val="20"/>
                <w:szCs w:val="20"/>
                <w:color w:val="auto"/>
              </w:rPr>
            </w:pPr>
            <w:r>
              <w:rPr>
                <w:rFonts w:ascii="Courier New" w:cs="Courier New" w:eastAsia="Courier New" w:hAnsi="Courier New"/>
                <w:sz w:val="15"/>
                <w:szCs w:val="15"/>
                <w:color w:val="auto"/>
                <w:w w:val="98"/>
              </w:rPr>
              <w:t>Amortization expense relating to</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2"/>
        </w:trPr>
        <w:tc>
          <w:tcPr>
            <w:tcW w:w="3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workforce-in-place of $5,407 over 5</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years..................................</w:t>
            </w:r>
          </w:p>
        </w:tc>
        <w:tc>
          <w:tcPr>
            <w:tcW w:w="19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$1,081</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$180</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Amortization expense relating to customer</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base of $647 over 5 years..............</w:t>
            </w:r>
          </w:p>
        </w:tc>
        <w:tc>
          <w:tcPr>
            <w:tcW w:w="19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129</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w:t>
            </w:r>
          </w:p>
        </w:tc>
      </w:tr>
    </w:tbl>
    <w:p>
      <w:pPr>
        <w:spacing w:after="0" w:line="348" w:lineRule="exact"/>
        <w:rPr>
          <w:sz w:val="20"/>
          <w:szCs w:val="20"/>
          <w:color w:val="auto"/>
        </w:rPr>
      </w:pPr>
    </w:p>
    <w:p>
      <w:pPr>
        <w:ind w:right="3159" w:firstLine="439"/>
        <w:spacing w:after="0" w:line="241" w:lineRule="auto"/>
        <w:tabs>
          <w:tab w:leader="none" w:pos="80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core technology, workforce-in-place and customer list and the respective tax basis of such assets.</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ITDS transaction costs.</w:t>
      </w:r>
    </w:p>
    <w:p>
      <w:pPr>
        <w:spacing w:after="0" w:line="175" w:lineRule="exact"/>
        <w:rPr>
          <w:rFonts w:ascii="Courier New" w:cs="Courier New" w:eastAsia="Courier New" w:hAnsi="Courier New"/>
          <w:sz w:val="15"/>
          <w:szCs w:val="15"/>
          <w:color w:val="auto"/>
        </w:rPr>
      </w:pPr>
    </w:p>
    <w:p>
      <w:pPr>
        <w:ind w:right="3339" w:firstLine="439"/>
        <w:spacing w:after="0" w:line="241" w:lineRule="auto"/>
        <w:tabs>
          <w:tab w:leader="none" w:pos="80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in process research and development expenses included in Amdocs' historical financial statements as a result of the ITDS acquisition.</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type w:val="continuous"/>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20</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PRO FORMA CONDENSED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COMBINED STATEMENTS OF OPERATIONS -- (CONTINUED)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 SOLECT TRANSACTION:</w:t>
      </w:r>
    </w:p>
    <w:p>
      <w:pPr>
        <w:spacing w:after="0" w:line="176" w:lineRule="exact"/>
        <w:rPr>
          <w:sz w:val="20"/>
          <w:szCs w:val="20"/>
          <w:color w:val="auto"/>
        </w:rPr>
      </w:pPr>
    </w:p>
    <w:p>
      <w:pPr>
        <w:ind w:left="8" w:right="3259" w:firstLine="447"/>
        <w:spacing w:after="0" w:line="262" w:lineRule="auto"/>
        <w:rPr>
          <w:sz w:val="20"/>
          <w:szCs w:val="20"/>
          <w:color w:val="auto"/>
        </w:rPr>
      </w:pPr>
      <w:r>
        <w:rPr>
          <w:rFonts w:ascii="Courier New" w:cs="Courier New" w:eastAsia="Courier New" w:hAnsi="Courier New"/>
          <w:sz w:val="14"/>
          <w:szCs w:val="14"/>
          <w:color w:val="auto"/>
        </w:rPr>
        <w:t>Amdocs acquired Solect on April 5, 2000. Accordingly, Solect's operations are included in the historical results of Amdocs from that date. The amounts presented under the columns headed Twelve Months Ended September 30, 1999 and Nine Months Ended June 30, 2000 represent the historical results of Solect for the 12 months ended July 31, 1999 and six months ended January 31, 2000, respectively. There were no substantial changes in Solect's financial position or results of operations during the two month period ended March 31, 2000.</w:t>
      </w:r>
    </w:p>
    <w:p>
      <w:pPr>
        <w:spacing w:after="0" w:line="164"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(1) Reflects the amortization of goodwill resulting from the acquisition:</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TWELVE MONTHS</w:t>
      </w:r>
    </w:p>
    <w:p>
      <w:pPr>
        <w:spacing w:after="0" w:line="4" w:lineRule="exact"/>
        <w:rPr>
          <w:sz w:val="20"/>
          <w:szCs w:val="20"/>
          <w:color w:val="auto"/>
        </w:rPr>
      </w:pPr>
    </w:p>
    <w:p>
      <w:pPr>
        <w:ind w:left="3748"/>
        <w:spacing w:after="0"/>
        <w:rPr>
          <w:sz w:val="20"/>
          <w:szCs w:val="20"/>
          <w:color w:val="auto"/>
        </w:rPr>
      </w:pPr>
      <w:r>
        <w:rPr>
          <w:rFonts w:ascii="Courier New" w:cs="Courier New" w:eastAsia="Courier New" w:hAnsi="Courier New"/>
          <w:sz w:val="14"/>
          <w:szCs w:val="14"/>
          <w:color w:val="auto"/>
        </w:rPr>
        <w:t>ENDED SEPTEMBER 30,</w:t>
      </w:r>
    </w:p>
    <w:p>
      <w:pPr>
        <w:spacing w:after="0" w:line="12" w:lineRule="exact"/>
        <w:rPr>
          <w:sz w:val="20"/>
          <w:szCs w:val="20"/>
          <w:color w:val="auto"/>
        </w:rPr>
      </w:pPr>
    </w:p>
    <w:p>
      <w:pPr>
        <w:ind w:left="4388"/>
        <w:spacing w:after="0"/>
        <w:rPr>
          <w:sz w:val="20"/>
          <w:szCs w:val="20"/>
          <w:color w:val="auto"/>
        </w:rPr>
      </w:pPr>
      <w:r>
        <w:rPr>
          <w:rFonts w:ascii="Courier New" w:cs="Courier New" w:eastAsia="Courier New" w:hAnsi="Courier New"/>
          <w:sz w:val="15"/>
          <w:szCs w:val="15"/>
          <w:color w:val="auto"/>
        </w:rPr>
        <w:t>1999</w:t>
      </w:r>
    </w:p>
    <w:p>
      <w:pPr>
        <w:spacing w:after="0" w:line="4" w:lineRule="exact"/>
        <w:rPr>
          <w:sz w:val="20"/>
          <w:szCs w:val="20"/>
          <w:color w:val="auto"/>
        </w:rPr>
      </w:pPr>
    </w:p>
    <w:p>
      <w:pPr>
        <w:ind w:left="374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NINE MONTHS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JUNE 30,</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5448" w:space="360"/>
            <w:col w:w="441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Amortization expense relating to</w:t>
      </w:r>
    </w:p>
    <w:p>
      <w:pPr>
        <w:sectPr>
          <w:pgSz w:w="11900" w:h="16838" w:orient="portrait"/>
          <w:cols w:equalWidth="0" w:num="1">
            <w:col w:w="10227"/>
          </w:cols>
          <w:pgMar w:left="232" w:top="289" w:right="1440" w:bottom="1440" w:gutter="0" w:footer="0" w:header="0"/>
          <w:type w:val="continuous"/>
        </w:sectPr>
      </w:pP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goodwill of $986,312 over 5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$197,262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$98,631</w:t>
      </w:r>
    </w:p>
    <w:p>
      <w:pPr>
        <w:spacing w:after="0" w:line="209" w:lineRule="exact"/>
        <w:rPr>
          <w:sz w:val="20"/>
          <w:szCs w:val="20"/>
          <w:color w:val="auto"/>
        </w:rPr>
      </w:pPr>
    </w:p>
    <w:p>
      <w:pPr>
        <w:sectPr>
          <w:pgSz w:w="11900" w:h="16838" w:orient="portrait"/>
          <w:cols w:equalWidth="0" w:num="3">
            <w:col w:w="3568" w:space="640"/>
            <w:col w:w="1240" w:space="720"/>
            <w:col w:w="4059"/>
          </w:cols>
          <w:pgMar w:left="232" w:top="289" w:right="1440" w:bottom="1440" w:gutter="0" w:footer="0" w:header="0"/>
          <w:type w:val="continuous"/>
        </w:sectPr>
      </w:pPr>
    </w:p>
    <w:p>
      <w:pPr>
        <w:spacing w:after="0" w:line="148" w:lineRule="exact"/>
        <w:rPr>
          <w:sz w:val="20"/>
          <w:szCs w:val="20"/>
          <w:color w:val="auto"/>
        </w:rPr>
      </w:pPr>
    </w:p>
    <w:p>
      <w:pPr>
        <w:ind w:left="8" w:right="3779" w:firstLine="439"/>
        <w:spacing w:after="0"/>
        <w:tabs>
          <w:tab w:leader="none" w:pos="81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amortization of the core technology resulting from the valuation at the time of the acquisition:</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9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TWELVE MONTHS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3660" w:type="dxa"/>
            <w:vAlign w:val="bottom"/>
          </w:tcPr>
          <w:p>
            <w:pPr>
              <w:spacing w:after="0"/>
              <w:rPr>
                <w:sz w:val="14"/>
                <w:szCs w:val="14"/>
                <w:color w:val="auto"/>
              </w:rPr>
            </w:pPr>
          </w:p>
        </w:tc>
        <w:tc>
          <w:tcPr>
            <w:tcW w:w="19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ENDED SEPTEMBER 30,</w:t>
            </w: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w w:val="98"/>
              </w:rPr>
              <w:t>ENDED JUNE 30,</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1999</w:t>
            </w:r>
          </w:p>
        </w:tc>
        <w:tc>
          <w:tcPr>
            <w:tcW w:w="144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2000</w:t>
            </w:r>
          </w:p>
        </w:tc>
      </w:tr>
      <w:tr>
        <w:trPr>
          <w:trHeight w:val="172"/>
        </w:trPr>
        <w:tc>
          <w:tcPr>
            <w:tcW w:w="3660" w:type="dxa"/>
            <w:vAlign w:val="bottom"/>
          </w:tcPr>
          <w:p>
            <w:pPr>
              <w:spacing w:after="0"/>
              <w:rPr>
                <w:sz w:val="14"/>
                <w:szCs w:val="14"/>
                <w:color w:val="auto"/>
              </w:rPr>
            </w:pPr>
          </w:p>
        </w:tc>
        <w:tc>
          <w:tcPr>
            <w:tcW w:w="19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 core</w:t>
            </w:r>
          </w:p>
        </w:tc>
        <w:tc>
          <w:tcPr>
            <w:tcW w:w="19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technology of $18,259 over 2 years....</w:t>
            </w:r>
          </w:p>
        </w:tc>
        <w:tc>
          <w:tcPr>
            <w:tcW w:w="19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$9,130</w:t>
            </w: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$4,565</w:t>
            </w:r>
          </w:p>
        </w:tc>
      </w:tr>
    </w:tbl>
    <w:p>
      <w:pPr>
        <w:spacing w:after="0" w:line="348" w:lineRule="exact"/>
        <w:rPr>
          <w:sz w:val="20"/>
          <w:szCs w:val="20"/>
          <w:color w:val="auto"/>
        </w:rPr>
      </w:pPr>
    </w:p>
    <w:p>
      <w:pPr>
        <w:ind w:left="8" w:right="3079" w:firstLine="439"/>
        <w:spacing w:after="0"/>
        <w:tabs>
          <w:tab w:leader="none" w:pos="81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the workforce-in-place and customers base,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9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TWELVE MONTHS</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ENDED SEPTEMBER 30,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ENDED JUNE 30,</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1999</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w:t>
            </w:r>
          </w:p>
        </w:tc>
        <w:tc>
          <w:tcPr>
            <w:tcW w:w="19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workforce-in-place of $3,259 over 3</w:t>
            </w:r>
          </w:p>
        </w:tc>
        <w:tc>
          <w:tcPr>
            <w:tcW w:w="19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years.................................</w:t>
            </w:r>
          </w:p>
        </w:tc>
        <w:tc>
          <w:tcPr>
            <w:tcW w:w="19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$1,086</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$543</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w:t>
            </w:r>
          </w:p>
        </w:tc>
        <w:tc>
          <w:tcPr>
            <w:tcW w:w="19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customer base of $1,211 over 3</w:t>
            </w:r>
          </w:p>
        </w:tc>
        <w:tc>
          <w:tcPr>
            <w:tcW w:w="19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years.................................</w:t>
            </w:r>
          </w:p>
        </w:tc>
        <w:tc>
          <w:tcPr>
            <w:tcW w:w="19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404</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202</w:t>
            </w:r>
          </w:p>
        </w:tc>
      </w:tr>
    </w:tbl>
    <w:p>
      <w:pPr>
        <w:spacing w:after="0" w:line="348" w:lineRule="exact"/>
        <w:rPr>
          <w:sz w:val="20"/>
          <w:szCs w:val="20"/>
          <w:color w:val="auto"/>
        </w:rPr>
      </w:pPr>
    </w:p>
    <w:p>
      <w:pPr>
        <w:ind w:left="8" w:right="3259" w:firstLine="439"/>
        <w:spacing w:after="0" w:line="241" w:lineRule="auto"/>
        <w:tabs>
          <w:tab w:leader="none" w:pos="813"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core technology, workforce-in-place and customer base and their respective tax basis.</w:t>
      </w:r>
    </w:p>
    <w:p>
      <w:pPr>
        <w:spacing w:after="0" w:line="176" w:lineRule="exact"/>
        <w:rPr>
          <w:rFonts w:ascii="Courier New" w:cs="Courier New" w:eastAsia="Courier New" w:hAnsi="Courier New"/>
          <w:sz w:val="15"/>
          <w:szCs w:val="15"/>
          <w:color w:val="auto"/>
        </w:rPr>
      </w:pPr>
    </w:p>
    <w:p>
      <w:pPr>
        <w:ind w:left="8" w:right="3259" w:firstLine="439"/>
        <w:spacing w:after="0" w:line="241" w:lineRule="auto"/>
        <w:tabs>
          <w:tab w:leader="none" w:pos="813"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in process research and development and other indirect acquisition related costs included in Amdocs' historical financial statements as a result of the Solect acquisition.</w:t>
      </w:r>
    </w:p>
    <w:p>
      <w:pPr>
        <w:spacing w:after="0" w:line="176" w:lineRule="exact"/>
        <w:rPr>
          <w:rFonts w:ascii="Courier New" w:cs="Courier New" w:eastAsia="Courier New" w:hAnsi="Courier New"/>
          <w:sz w:val="15"/>
          <w:szCs w:val="15"/>
          <w:color w:val="auto"/>
        </w:rPr>
      </w:pPr>
    </w:p>
    <w:p>
      <w:pPr>
        <w:ind w:left="8" w:right="3259" w:firstLine="439"/>
        <w:spacing w:after="0"/>
        <w:tabs>
          <w:tab w:leader="none" w:pos="813"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decrease in interest expenses related to Solect's debentures that converted to common stock prior to the closing.</w:t>
      </w:r>
    </w:p>
    <w:p>
      <w:pPr>
        <w:spacing w:after="0" w:line="176" w:lineRule="exact"/>
        <w:rPr>
          <w:rFonts w:ascii="Courier New" w:cs="Courier New" w:eastAsia="Courier New" w:hAnsi="Courier New"/>
          <w:sz w:val="15"/>
          <w:szCs w:val="15"/>
          <w:color w:val="auto"/>
        </w:rPr>
      </w:pPr>
    </w:p>
    <w:p>
      <w:pPr>
        <w:ind w:left="348" w:right="3079" w:hanging="348"/>
        <w:spacing w:after="0"/>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shares used in the diluted loss per share calculation does not include any stock options due to their anti-dilutive effect.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289" w:right="1440" w:bottom="1440" w:gutter="0" w:footer="0" w:header="0"/>
          <w:type w:val="continuous"/>
        </w:sectPr>
      </w:pPr>
    </w:p>
    <w:bookmarkStart w:id="20" w:name="page21"/>
    <w:bookmarkEnd w:id="20"/>
    <w:p>
      <w:pPr>
        <w:ind w:left="268"/>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SELLING SHAREHOLDERS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April 5, 2000, we acquired Solect in a stock-for-stock transaction. In connection with the business combination between us and Solect under a Combination Agreement dated February 28, 2000, the former common shareholders of Solect received 13,846,295 exchangeable shares of Solect, which are exchangeable or have been exchanged for 13,846,295 of our ordinary shares (these shares being referred to in this prospectus as the "Exchangeable Shares"). Before any sale of shares by this prospectus, those former common shareholders of Solect who are selling shareholders will exchange Exchangeable Shares into the ordinary shares that will be sold pursuant to this prospectus. Under the terms of a registration rights agreement dated April 5, 2000 entered into in connection with the business combination between us, Solect and some of Solect's former common shareholders, we agreed to file three registration statements under the Securities Act of 1933, each to register the sale of a third of the original registrable securities held by or issuable to the former Solect common shareholders who are parties to the registration rights agreement or subsequently agreed to be bound by it. The first of such registration statements was declared effective on July 5, 2000 and this prospectus is part of the second of such registration statements. The third of such registration statements is expected to be effective within 12 months of the closing of the Solect acquisition. The registration rights agreement requires us to use our commercially reasonable efforts to keep such registration statements effective until the earlier of (1) April 5, 2002, (2) the date on which all of the shares covered by such registration statements have been sold, and (3) the date on which all of the shares covered by such registration statements can be sold without registration without regard to Rule 144's volume restrictions.</w:t>
      </w:r>
    </w:p>
    <w:p>
      <w:pPr>
        <w:spacing w:after="0" w:line="189"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The following table sets forth certain information concerning the selling shareholders: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22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SHARES BENEFICIALLY</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MAXIMUM</w:t>
            </w:r>
          </w:p>
        </w:tc>
        <w:tc>
          <w:tcPr>
            <w:tcW w:w="196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SHARES BENEFICIALLY</w:t>
            </w:r>
          </w:p>
        </w:tc>
      </w:tr>
      <w:tr>
        <w:trPr>
          <w:trHeight w:val="172"/>
        </w:trPr>
        <w:tc>
          <w:tcPr>
            <w:tcW w:w="3040" w:type="dxa"/>
            <w:vAlign w:val="bottom"/>
          </w:tcPr>
          <w:p>
            <w:pPr>
              <w:spacing w:after="0"/>
              <w:rPr>
                <w:sz w:val="14"/>
                <w:szCs w:val="14"/>
                <w:color w:val="auto"/>
              </w:rPr>
            </w:pP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OWNED</w:t>
            </w:r>
          </w:p>
        </w:tc>
        <w:tc>
          <w:tcPr>
            <w:tcW w:w="8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NUMBER OF</w:t>
            </w:r>
          </w:p>
        </w:tc>
        <w:tc>
          <w:tcPr>
            <w:tcW w:w="196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rPr>
              <w:t>OWNED AFTER THE</w:t>
            </w:r>
          </w:p>
        </w:tc>
      </w:tr>
      <w:tr>
        <w:trPr>
          <w:trHeight w:val="172"/>
        </w:trPr>
        <w:tc>
          <w:tcPr>
            <w:tcW w:w="3040" w:type="dxa"/>
            <w:vAlign w:val="bottom"/>
          </w:tcPr>
          <w:p>
            <w:pPr>
              <w:spacing w:after="0"/>
              <w:rPr>
                <w:sz w:val="14"/>
                <w:szCs w:val="14"/>
                <w:color w:val="auto"/>
              </w:rPr>
            </w:pPr>
          </w:p>
        </w:tc>
        <w:tc>
          <w:tcPr>
            <w:tcW w:w="22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PRIOR TO THE OFFERING</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196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rPr>
              <w:t>OFFERING(1)</w:t>
            </w:r>
          </w:p>
        </w:tc>
      </w:tr>
      <w:tr>
        <w:trPr>
          <w:trHeight w:val="172"/>
        </w:trPr>
        <w:tc>
          <w:tcPr>
            <w:tcW w:w="3040" w:type="dxa"/>
            <w:vAlign w:val="bottom"/>
          </w:tcPr>
          <w:p>
            <w:pPr>
              <w:spacing w:after="0"/>
              <w:rPr>
                <w:sz w:val="14"/>
                <w:szCs w:val="14"/>
                <w:color w:val="auto"/>
              </w:rPr>
            </w:pPr>
          </w:p>
        </w:tc>
        <w:tc>
          <w:tcPr>
            <w:tcW w:w="22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BEING</w:t>
            </w: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PERCENT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OFFERED</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PERCENT</w:t>
            </w:r>
          </w:p>
        </w:tc>
      </w:tr>
      <w:tr>
        <w:trPr>
          <w:trHeight w:val="172"/>
        </w:trPr>
        <w:tc>
          <w:tcPr>
            <w:tcW w:w="304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44"/>
        </w:trPr>
        <w:tc>
          <w:tcPr>
            <w:tcW w:w="304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97"/>
              </w:rPr>
              <w:t>Telcordia Venture Capital</w:t>
            </w: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Corporation....................</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4,611,164</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2.09%</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3,074,110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1,537,054</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TCV Solect (A) SRL...............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338,529</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169,265</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169,264</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TCV Solect (B) SRL...............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347,170</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173,586</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173,584</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TCV Solect (C) SRL...............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426,222</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213,112</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213,110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BCS Investment SRL...............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415,083</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207,544</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207,539</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WPG Networking-Software SRL......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481,188</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274,230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206,958</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Cactusback &amp; Co..................</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373,548</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199,032</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174,516</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Morgan Stanley Dean Witter Equity</w:t>
            </w: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Funding, Inc...................</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33,206</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16,603</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16,603</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G&amp;H Partners.....................</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3,321</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1,661</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1,660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Tom Campbell.....................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3,307</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1,654</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1,653</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Stephen Carson...................</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2,291</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1,528</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763</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Raj Mehra........................</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1,743</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1,162</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581</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Total............................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7,036,772</w:t>
            </w:r>
          </w:p>
        </w:tc>
        <w:tc>
          <w:tcPr>
            <w:tcW w:w="8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4,333,487</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2,703,285</w:t>
            </w:r>
          </w:p>
        </w:tc>
        <w:tc>
          <w:tcPr>
            <w:tcW w:w="620" w:type="dxa"/>
            <w:vAlign w:val="bottom"/>
          </w:tcPr>
          <w:p>
            <w:pPr>
              <w:spacing w:after="0"/>
              <w:rPr>
                <w:sz w:val="14"/>
                <w:szCs w:val="14"/>
                <w:color w:val="auto"/>
              </w:rPr>
            </w:pPr>
          </w:p>
        </w:tc>
      </w:tr>
    </w:tbl>
    <w:p>
      <w:pPr>
        <w:spacing w:after="0" w:line="346" w:lineRule="exact"/>
        <w:rPr>
          <w:sz w:val="20"/>
          <w:szCs w:val="20"/>
          <w:color w:val="auto"/>
        </w:rPr>
      </w:pPr>
    </w:p>
    <w:p>
      <w:pPr>
        <w:ind w:left="188" w:hanging="188"/>
        <w:spacing w:after="0"/>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6" w:lineRule="exact"/>
        <w:rPr>
          <w:sz w:val="20"/>
          <w:szCs w:val="20"/>
          <w:color w:val="auto"/>
        </w:rPr>
      </w:pPr>
    </w:p>
    <w:p>
      <w:pPr>
        <w:ind w:left="348" w:right="3159" w:hanging="348"/>
        <w:spacing w:after="0" w:line="241" w:lineRule="auto"/>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shareholders may sell from time to time all or a portion of the shares being offered. The amounts shown assume the sale of all the shares being offered by each selling shareholder.</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7"/>
          </w:cols>
          <w:pgMar w:left="232"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PLAN OF DISTRIBUTION</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Our ordinary shares being offered by this prospectus are being registered to allow public secondary trading by the holders of such ordinary shares from time to time after the date of this prospectus. We will not receive any of the proceeds from the offering of these ordinary shares by the selling shareholders.</w:t>
      </w:r>
    </w:p>
    <w:p>
      <w:pPr>
        <w:spacing w:after="0" w:line="160"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have been advised by the selling shareholders that the shares offered by this prospectus may be sold from time to time by or for the account of the selling shareholders pursuant to this prospectus or pursuant to Rule 144 under the Securities Act of 1933. Sales of shares pursuant to this prospectus may be made in the over-the-counter market, on the New York Stock Exchange or otherwise at prices and on terms then prevailing or at prices related to the then current market price (in each case as determined by the selling shareholders). Sales may be made directly or through agents designated from time to time, or through dealers or underwriters to be designated or in negotiated transactions.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shares may be sold in one or more of the following ways:</w:t>
      </w:r>
    </w:p>
    <w:p>
      <w:pPr>
        <w:spacing w:after="0" w:line="176" w:lineRule="exact"/>
        <w:rPr>
          <w:sz w:val="20"/>
          <w:szCs w:val="20"/>
          <w:color w:val="auto"/>
        </w:rPr>
      </w:pPr>
    </w:p>
    <w:p>
      <w:pPr>
        <w:jc w:val="both"/>
        <w:ind w:left="620" w:right="3079" w:hanging="181"/>
        <w:spacing w:after="0" w:line="241"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block trade in which the seller's broker or dealer will attempt to sell the shares as agent but may position and resell a portion of the block as principal to facilitate the transaction;</w:t>
      </w:r>
    </w:p>
    <w:p>
      <w:pPr>
        <w:spacing w:after="0" w:line="176"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 or dealer as principal and resale by the broker or dealer for their account pursuant to this prospectus;</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exchange distribution in accordance with the rules of the New York Stock Exchange;</w:t>
      </w:r>
    </w:p>
    <w:p>
      <w:pPr>
        <w:spacing w:after="0" w:line="176" w:lineRule="exact"/>
        <w:rPr>
          <w:rFonts w:ascii="Courier New" w:cs="Courier New" w:eastAsia="Courier New" w:hAnsi="Courier New"/>
          <w:sz w:val="15"/>
          <w:szCs w:val="15"/>
          <w:color w:val="auto"/>
        </w:rPr>
      </w:pPr>
    </w:p>
    <w:p>
      <w:pPr>
        <w:ind w:left="620" w:right="3519"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privately negotiated transactions;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put or call option transactions;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short sales; 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underwritten public offering.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selling shareholders may sell shares directly to other purchasers, through agents or through broker-dealers. Any selling agents or broker-dealers may receive compensation in the form of underwriting discounts, concessions or commissions from the selling shareholders, from purchasers of shares for whom they act as agents, or from both sources. That compensation may be in excess of customary commissions.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selling shareholders and any broker-dealers that participate in the distribution of the shares may be deemed to be "underwriters" within the meaning of the Securities Act of 1933 in connection with the sales. Any commissions, and any profit on the resale of shares, received by the selling shareholders and any such broker-dealers may be deemed to be underwriting discounts and commissions. We have been advised by each of the selling shareholders that they have not, as of the date of this prospectus, entered into any arrangement with any agent, broker or dealer for the sale of the shares.</w:t>
      </w:r>
    </w:p>
    <w:p>
      <w:pPr>
        <w:spacing w:after="0" w:line="163"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We may suspend the use of this prospectus and any supplements hereto in certain circumstances due to pending corporate developments, public filings with the SEC or similar events.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will pay all costs and expenses incurred by us in connection with the registration of the sale of shares pursuant to this prospectus. We will not be responsible for any commissions, underwriting discounts or similar charges on sales of the shares.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validity of the ordinary shares offered hereby will be passed upon for us by Carey Langlois, Guernsey. Certain legal matters in connection with the offering will be passed upon for us by Reboul, MacMurray, Hewitt, Maynard &amp; Kristol, New York, New York.</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Consolidated Financial Statements of Amdocs incorporated in this prospectus by reference from our Annual Report on Form 20-F for the year ended September 30, 1999, have been audited by Ernst &amp; Young LLP, independent auditors, as indicated in their report which is incorporated herein by reference and have been so incorporated in reliance upon the authority of said firm as experts in giving said reports.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Financial Statements and Schedules of ITDS included in our Registration Statement on Form F-3 (No. 333-86609) and the related prospectus are incorporated herein by reference from our Current Report on Form 6-K dated December 13, 1999 and have been audited by Ernst &amp; Young LLP, independent auditors, as indicated in their report which is incorporated herein by reference and have been so incorporated in reliance upon the authority of said firm as experts in giving said reports.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Consolidated Financial Statements of Solect incorporated in this prospectus by reference from our Report of Foreign Private Issuer on Form 6-K/A filed on June 8, 2000 have been audited by Ernst &amp; Young LLP, independent auditors, as indicated in their report which is incorporated herein by reference and have been so incorporated in reliance upon the authority of said firm as experts in giving said reports.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sectPr>
      <w:pgSz w:w="11900" w:h="16838" w:orient="portrait"/>
      <w:cols w:equalWidth="0" w:num="1">
        <w:col w:w="10219"/>
      </w:cols>
      <w:pgMar w:left="240" w:top="2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1)"/>
      <w:numFmt w:val="decimal"/>
      <w:start w:val="3"/>
    </w:lvl>
  </w:abstractNum>
  <w:abstractNum w:abstractNumId="13">
    <w:nsid w:val="519B500D"/>
    <w:multiLevelType w:val="hybridMultilevel"/>
    <w:lvl w:ilvl="0">
      <w:lvlJc w:val="left"/>
      <w:lvlText w:val="(%1)"/>
      <w:numFmt w:val="decimal"/>
      <w:start w:val="4"/>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1)"/>
      <w:numFmt w:val="decimal"/>
      <w:start w:val="3"/>
    </w:lvl>
  </w:abstractNum>
  <w:abstractNum w:abstractNumId="16">
    <w:nsid w:val="7C83E458"/>
    <w:multiLevelType w:val="hybridMultilevel"/>
    <w:lvl w:ilvl="0">
      <w:lvlJc w:val="left"/>
      <w:lvlText w:val="%1"/>
      <w:numFmt w:val="upperLetter"/>
      <w:start w:val="1"/>
    </w:lvl>
    <w:lvl w:ilvl="1">
      <w:lvlJc w:val="left"/>
      <w:lvlText w:val="(%2)"/>
      <w:numFmt w:val="decimal"/>
      <w:start w:val="4"/>
    </w:lvl>
  </w:abstractNum>
  <w:abstractNum w:abstractNumId="17">
    <w:nsid w:val="257130A3"/>
    <w:multiLevelType w:val="hybridMultilevel"/>
    <w:lvl w:ilvl="0">
      <w:lvlJc w:val="left"/>
      <w:lvlText w:val="(%1)"/>
      <w:numFmt w:val="upperLetter"/>
      <w:start w:val="3"/>
    </w:lvl>
    <w:lvl w:ilvl="1">
      <w:lvlJc w:val="left"/>
      <w:lvlText w:val="%2"/>
      <w:numFmt w:val="decimal"/>
      <w:start w:val="1"/>
    </w:lvl>
  </w:abstractNum>
  <w:abstractNum w:abstractNumId="18">
    <w:nsid w:val="62BBD95A"/>
    <w:multiLevelType w:val="hybridMultilevel"/>
    <w:lvl w:ilvl="0">
      <w:lvlJc w:val="left"/>
      <w:lvlText w:val="-"/>
      <w:numFmt w:val="bullet"/>
      <w:start w:val="1"/>
    </w:lvl>
    <w:lvl w:ilvl="1">
      <w:lvlJc w:val="left"/>
      <w:lvlText w:val="*"/>
      <w:numFmt w:val="bullet"/>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2019-12-14T21:14:12Z</dcterms:created>
  <dcterms:modified xsi:type="dcterms:W3CDTF">2019-12-14T21:14:12Z</dcterms:modified>
</cp:coreProperties>
</file>