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5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Quarter Ended December 31, 2020</w:t>
      </w:r>
    </w:p>
    <w:p>
      <w:pPr>
        <w:spacing w:after="0" w:line="225"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6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00"/>
        <w:spacing w:after="0" w:line="207" w:lineRule="exact"/>
        <w:tabs>
          <w:tab w:leader="none" w:pos="592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rFonts w:ascii="MS PGothic" w:cs="MS PGothic" w:eastAsia="MS PGothic" w:hAnsi="MS PGothic"/>
          <w:sz w:val="18"/>
          <w:szCs w:val="18"/>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5392420</wp:posOffset>
            </wp:positionH>
            <wp:positionV relativeFrom="paragraph">
              <wp:posOffset>-10160</wp:posOffset>
            </wp:positionV>
            <wp:extent cx="457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680"/>
          </w:cols>
          <w:pgMar w:left="320" w:top="230"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1820" w:type="dxa"/>
            <w:vAlign w:val="bottom"/>
          </w:tcPr>
          <w:p>
            <w:pPr>
              <w:spacing w:after="0"/>
              <w:rPr>
                <w:sz w:val="20"/>
                <w:szCs w:val="20"/>
                <w:color w:val="auto"/>
              </w:rPr>
            </w:pPr>
          </w:p>
        </w:tc>
      </w:tr>
      <w:tr>
        <w:trPr>
          <w:trHeight w:val="513"/>
        </w:trPr>
        <w:tc>
          <w:tcPr>
            <w:tcW w:w="9260" w:type="dxa"/>
            <w:vAlign w:val="bottom"/>
          </w:tcPr>
          <w:p>
            <w:pPr>
              <w:jc w:val="center"/>
              <w:ind w:left="1890"/>
              <w:spacing w:after="0"/>
              <w:rPr>
                <w:sz w:val="20"/>
                <w:szCs w:val="20"/>
                <w:color w:val="auto"/>
              </w:rPr>
            </w:pPr>
            <w:r>
              <w:rPr>
                <w:rFonts w:ascii="Arial" w:cs="Arial" w:eastAsia="Arial" w:hAnsi="Arial"/>
                <w:sz w:val="18"/>
                <w:szCs w:val="18"/>
                <w:color w:val="auto"/>
              </w:rPr>
              <w:t>AMDOCS LIMITED</w:t>
            </w:r>
          </w:p>
        </w:tc>
        <w:tc>
          <w:tcPr>
            <w:tcW w:w="1820" w:type="dxa"/>
            <w:vAlign w:val="bottom"/>
          </w:tcPr>
          <w:p>
            <w:pPr>
              <w:spacing w:after="0"/>
              <w:rPr>
                <w:sz w:val="24"/>
                <w:szCs w:val="24"/>
                <w:color w:val="auto"/>
              </w:rPr>
            </w:pPr>
          </w:p>
        </w:tc>
      </w:tr>
      <w:tr>
        <w:trPr>
          <w:trHeight w:val="432"/>
        </w:trPr>
        <w:tc>
          <w:tcPr>
            <w:tcW w:w="9260" w:type="dxa"/>
            <w:vAlign w:val="bottom"/>
          </w:tcPr>
          <w:p>
            <w:pPr>
              <w:jc w:val="center"/>
              <w:ind w:left="1890"/>
              <w:spacing w:after="0"/>
              <w:rPr>
                <w:sz w:val="20"/>
                <w:szCs w:val="20"/>
                <w:color w:val="auto"/>
              </w:rPr>
            </w:pPr>
            <w:r>
              <w:rPr>
                <w:rFonts w:ascii="Arial" w:cs="Arial" w:eastAsia="Arial" w:hAnsi="Arial"/>
                <w:sz w:val="18"/>
                <w:szCs w:val="18"/>
                <w:color w:val="auto"/>
                <w:w w:val="97"/>
              </w:rPr>
              <w:t>FORM 6-K</w:t>
            </w:r>
          </w:p>
        </w:tc>
        <w:tc>
          <w:tcPr>
            <w:tcW w:w="1820" w:type="dxa"/>
            <w:vAlign w:val="bottom"/>
          </w:tcPr>
          <w:p>
            <w:pPr>
              <w:spacing w:after="0"/>
              <w:rPr>
                <w:sz w:val="24"/>
                <w:szCs w:val="24"/>
                <w:color w:val="auto"/>
              </w:rPr>
            </w:pPr>
          </w:p>
        </w:tc>
      </w:tr>
      <w:tr>
        <w:trPr>
          <w:trHeight w:val="432"/>
        </w:trPr>
        <w:tc>
          <w:tcPr>
            <w:tcW w:w="9260" w:type="dxa"/>
            <w:vAlign w:val="bottom"/>
          </w:tcPr>
          <w:p>
            <w:pPr>
              <w:jc w:val="center"/>
              <w:ind w:left="1890"/>
              <w:spacing w:after="0"/>
              <w:rPr>
                <w:sz w:val="20"/>
                <w:szCs w:val="20"/>
                <w:color w:val="auto"/>
              </w:rPr>
            </w:pPr>
            <w:r>
              <w:rPr>
                <w:rFonts w:ascii="Arial" w:cs="Arial" w:eastAsia="Arial" w:hAnsi="Arial"/>
                <w:sz w:val="18"/>
                <w:szCs w:val="18"/>
                <w:color w:val="auto"/>
                <w:w w:val="92"/>
              </w:rPr>
              <w:t>REPORT OF FOREIGN PRIVATE ISSUER</w:t>
            </w:r>
          </w:p>
        </w:tc>
        <w:tc>
          <w:tcPr>
            <w:tcW w:w="1820" w:type="dxa"/>
            <w:vAlign w:val="bottom"/>
          </w:tcPr>
          <w:p>
            <w:pPr>
              <w:spacing w:after="0"/>
              <w:rPr>
                <w:sz w:val="24"/>
                <w:szCs w:val="24"/>
                <w:color w:val="auto"/>
              </w:rPr>
            </w:pPr>
          </w:p>
        </w:tc>
      </w:tr>
      <w:tr>
        <w:trPr>
          <w:trHeight w:val="418"/>
        </w:trPr>
        <w:tc>
          <w:tcPr>
            <w:tcW w:w="9260" w:type="dxa"/>
            <w:vAlign w:val="bottom"/>
          </w:tcPr>
          <w:p>
            <w:pPr>
              <w:jc w:val="center"/>
              <w:ind w:left="1910"/>
              <w:spacing w:after="0"/>
              <w:rPr>
                <w:sz w:val="20"/>
                <w:szCs w:val="20"/>
                <w:color w:val="auto"/>
              </w:rPr>
            </w:pPr>
            <w:r>
              <w:rPr>
                <w:rFonts w:ascii="Arial" w:cs="Arial" w:eastAsia="Arial" w:hAnsi="Arial"/>
                <w:sz w:val="18"/>
                <w:szCs w:val="18"/>
                <w:color w:val="auto"/>
                <w:w w:val="94"/>
              </w:rPr>
              <w:t>FOR THE QUARTER ENDED DECEMBER 31, 2020</w:t>
            </w:r>
          </w:p>
        </w:tc>
        <w:tc>
          <w:tcPr>
            <w:tcW w:w="1820" w:type="dxa"/>
            <w:vAlign w:val="bottom"/>
          </w:tcPr>
          <w:p>
            <w:pPr>
              <w:spacing w:after="0"/>
              <w:rPr>
                <w:sz w:val="24"/>
                <w:szCs w:val="24"/>
                <w:color w:val="auto"/>
              </w:rPr>
            </w:pPr>
          </w:p>
        </w:tc>
      </w:tr>
      <w:tr>
        <w:trPr>
          <w:trHeight w:val="230"/>
        </w:trPr>
        <w:tc>
          <w:tcPr>
            <w:tcW w:w="9260" w:type="dxa"/>
            <w:vAlign w:val="bottom"/>
          </w:tcPr>
          <w:p>
            <w:pPr>
              <w:jc w:val="center"/>
              <w:ind w:left="1890"/>
              <w:spacing w:after="0"/>
              <w:rPr>
                <w:sz w:val="20"/>
                <w:szCs w:val="20"/>
                <w:color w:val="auto"/>
              </w:rPr>
            </w:pPr>
            <w:r>
              <w:rPr>
                <w:rFonts w:ascii="Arial" w:cs="Arial" w:eastAsia="Arial" w:hAnsi="Arial"/>
                <w:sz w:val="18"/>
                <w:szCs w:val="18"/>
                <w:color w:val="auto"/>
              </w:rPr>
              <w:t>INDEX</w:t>
            </w:r>
          </w:p>
        </w:tc>
        <w:tc>
          <w:tcPr>
            <w:tcW w:w="1820" w:type="dxa"/>
            <w:vAlign w:val="bottom"/>
          </w:tcPr>
          <w:p>
            <w:pPr>
              <w:spacing w:after="0"/>
              <w:rPr>
                <w:sz w:val="20"/>
                <w:szCs w:val="20"/>
                <w:color w:val="auto"/>
              </w:rPr>
            </w:pPr>
          </w:p>
        </w:tc>
      </w:tr>
      <w:tr>
        <w:trPr>
          <w:trHeight w:val="445"/>
        </w:trPr>
        <w:tc>
          <w:tcPr>
            <w:tcW w:w="9260" w:type="dxa"/>
            <w:vAlign w:val="bottom"/>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260" w:type="dxa"/>
            <w:vAlign w:val="bottom"/>
          </w:tcPr>
          <w:p>
            <w:pPr>
              <w:ind w:left="4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260" w:type="dxa"/>
            <w:vAlign w:val="bottom"/>
          </w:tcPr>
          <w:p>
            <w:pPr>
              <w:ind w:left="840"/>
              <w:spacing w:after="0"/>
              <w:rPr>
                <w:sz w:val="20"/>
                <w:szCs w:val="20"/>
                <w:color w:val="auto"/>
              </w:rPr>
            </w:pPr>
            <w:r>
              <w:rPr>
                <w:rFonts w:ascii="Arial" w:cs="Arial" w:eastAsia="Arial" w:hAnsi="Arial"/>
                <w:sz w:val="18"/>
                <w:szCs w:val="18"/>
                <w:color w:val="auto"/>
              </w:rPr>
              <w:t>Unaudited Consolidated Financial Statements</w:t>
            </w:r>
          </w:p>
        </w:tc>
        <w:tc>
          <w:tcPr>
            <w:tcW w:w="1820" w:type="dxa"/>
            <w:vAlign w:val="bottom"/>
          </w:tcPr>
          <w:p>
            <w:pPr>
              <w:spacing w:after="0"/>
              <w:rPr>
                <w:sz w:val="18"/>
                <w:szCs w:val="18"/>
                <w:color w:val="auto"/>
              </w:rPr>
            </w:pPr>
          </w:p>
        </w:tc>
      </w:tr>
      <w:tr>
        <w:trPr>
          <w:trHeight w:val="216"/>
        </w:trPr>
        <w:tc>
          <w:tcPr>
            <w:tcW w:w="9260" w:type="dxa"/>
            <w:vAlign w:val="bottom"/>
          </w:tcPr>
          <w:p>
            <w:pPr>
              <w:ind w:left="1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260" w:type="dxa"/>
            <w:vAlign w:val="bottom"/>
          </w:tcPr>
          <w:p>
            <w:pPr>
              <w:ind w:left="1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Income</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260" w:type="dxa"/>
            <w:vAlign w:val="bottom"/>
          </w:tcPr>
          <w:p>
            <w:pPr>
              <w:ind w:left="1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Comprehensive Income</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260" w:type="dxa"/>
            <w:vAlign w:val="bottom"/>
          </w:tcPr>
          <w:p>
            <w:pPr>
              <w:ind w:left="12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Changes in Equity</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260" w:type="dxa"/>
            <w:vAlign w:val="bottom"/>
          </w:tcPr>
          <w:p>
            <w:pPr>
              <w:ind w:left="12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260" w:type="dxa"/>
            <w:vAlign w:val="bottom"/>
          </w:tcPr>
          <w:p>
            <w:pPr>
              <w:ind w:left="12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Consolidated Financial Statements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260" w:type="dxa"/>
            <w:vAlign w:val="bottom"/>
          </w:tcPr>
          <w:p>
            <w:pPr>
              <w:ind w:left="4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2. Operating and Financial Review and Prospects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260" w:type="dxa"/>
            <w:vAlign w:val="bottom"/>
          </w:tcPr>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PART II OTHER INFORMATION</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260" w:type="dxa"/>
            <w:vAlign w:val="bottom"/>
          </w:tcPr>
          <w:p>
            <w:pPr>
              <w:ind w:left="4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1. Changes in Securities, Use of Proceeds and Issuer Purchases of Equity Securities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260" w:type="dxa"/>
            <w:vAlign w:val="bottom"/>
          </w:tcPr>
          <w:p>
            <w:pPr>
              <w:ind w:left="4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2. Reports on Form 6-K</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9260" w:type="dxa"/>
            <w:vAlign w:val="bottom"/>
          </w:tcPr>
          <w:p>
            <w:pPr>
              <w:ind w:left="1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SIGNATURES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120" w:right="500"/>
        <w:spacing w:after="0" w:line="342" w:lineRule="auto"/>
        <w:rPr>
          <w:sz w:val="20"/>
          <w:szCs w:val="20"/>
          <w:color w:val="auto"/>
        </w:rPr>
      </w:pPr>
      <w:r>
        <w:rPr>
          <w:rFonts w:ascii="Arial" w:cs="Arial" w:eastAsia="Arial" w:hAnsi="Arial"/>
          <w:sz w:val="16"/>
          <w:szCs w:val="16"/>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20" w:type="dxa"/>
            <w:vAlign w:val="bottom"/>
          </w:tcPr>
          <w:p>
            <w:pPr>
              <w:spacing w:after="0"/>
              <w:rPr>
                <w:sz w:val="10"/>
                <w:szCs w:val="10"/>
                <w:color w:val="auto"/>
              </w:rPr>
            </w:pPr>
          </w:p>
        </w:tc>
        <w:tc>
          <w:tcPr>
            <w:tcW w:w="12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8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1,336,569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983,188</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176,338</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929,113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861,033</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216,303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229,604</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2,658,323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2,074,577</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620,347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607,951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272,710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295,494</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w w:val="94"/>
              </w:rPr>
              <w:t>2,515,467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2,578,645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282,826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296,334</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517,271</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488,620</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6,866,944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6,341,621</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128,625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110,142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641,387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593,608</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Accrued personnel costs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244,473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226,509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financing arrangements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61,847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59,100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191,611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126,841</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1,367,943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1,216,200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269,942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258,487</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215,917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230,076</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net of unamortized debt issuance costs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644,141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644,023</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500,496</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327,680</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2,998,439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2,676,466</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tcPr>
          <w:p>
            <w:pPr>
              <w:spacing w:after="0"/>
              <w:rPr>
                <w:sz w:val="18"/>
                <w:szCs w:val="18"/>
                <w:color w:val="auto"/>
              </w:rPr>
            </w:pPr>
          </w:p>
        </w:tc>
        <w:tc>
          <w:tcPr>
            <w:tcW w:w="110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Ordinary Shares — Authorized 700,000 shares; £0.01 par value; 280,304 and 279,578 issued and 130,825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131,535 outstanding, respectively</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4,493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w w:val="94"/>
              </w:rPr>
              <w:t>3,833,193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3,807,915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at cost 149,479 and 148,043 ordinary shares, respectively</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89"/>
              </w:rPr>
              <w:t>(5,633,343)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(5,543,321)</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22,964</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11,662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5,598,689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5,341,907</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Amdocs Limited shareholders’ 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3,825,996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3,622,646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42,509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42,509</w:t>
            </w:r>
          </w:p>
        </w:tc>
        <w:tc>
          <w:tcPr>
            <w:tcW w:w="0" w:type="dxa"/>
            <w:vAlign w:val="bottom"/>
          </w:tcPr>
          <w:p>
            <w:pPr>
              <w:spacing w:after="0"/>
              <w:rPr>
                <w:sz w:val="1"/>
                <w:szCs w:val="1"/>
                <w:color w:val="auto"/>
              </w:rPr>
            </w:pPr>
          </w:p>
        </w:tc>
      </w:tr>
      <w:tr>
        <w:trPr>
          <w:trHeight w:val="230"/>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3,868,505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3,665,155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6,866,944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6,341,621</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Three months ended</w:t>
      </w:r>
    </w:p>
    <w:p>
      <w:pPr>
        <w:jc w:val="center"/>
        <w:ind w:left="89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1,086,343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1,041,957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728,716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686,312</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75,669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67,311</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121,888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123,467</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19,870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21,290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898,380</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360,120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143,225</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27,293</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115,932</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color w:val="auto"/>
              </w:rPr>
              <w:t>Cash dividends declared per ordinary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0.3275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1220" w:type="dxa"/>
            <w:vAlign w:val="bottom"/>
            <w:tcBorders>
              <w:bottom w:val="single" w:sz="8" w:color="CCEEFF"/>
            </w:tcBorders>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$299,632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$115,932</w:t>
            </w:r>
          </w:p>
        </w:tc>
        <w:tc>
          <w:tcPr>
            <w:tcW w:w="120" w:type="dxa"/>
            <w:vAlign w:val="bottom"/>
            <w:shd w:val="clear" w:color="auto" w:fill="CCEEFF"/>
          </w:tcPr>
          <w:p>
            <w:pPr>
              <w:spacing w:after="0"/>
              <w:rPr>
                <w:sz w:val="18"/>
                <w:szCs w:val="18"/>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fair value of cash flow hedges(1)</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11,028</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w:t>
            </w:r>
          </w:p>
        </w:tc>
      </w:tr>
      <w:tr>
        <w:trPr>
          <w:trHeight w:val="223"/>
        </w:trPr>
        <w:tc>
          <w:tcPr>
            <w:tcW w:w="9280" w:type="dxa"/>
            <w:vAlign w:val="bottom"/>
            <w:gridSpan w:val="2"/>
          </w:tcPr>
          <w:p>
            <w:pPr>
              <w:ind w:left="36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60" w:type="dxa"/>
            <w:vAlign w:val="bottom"/>
            <w:gridSpan w:val="2"/>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11,302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310,934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115,553</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8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148" w:lineRule="exact"/>
        <w:rPr>
          <w:sz w:val="20"/>
          <w:szCs w:val="20"/>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$(1,221) and $211 for the three months ended December 31, 2020 and 2019, respectively.</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tax (expense) benefit for the three months ended December 31, 2020 and 2019.</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Amdocs</w:t>
            </w:r>
          </w:p>
        </w:tc>
        <w:tc>
          <w:tcPr>
            <w:tcW w:w="160" w:type="dxa"/>
            <w:vAlign w:val="bottom"/>
          </w:tcPr>
          <w:p>
            <w:pPr>
              <w:spacing w:after="0"/>
              <w:rPr>
                <w:sz w:val="12"/>
                <w:szCs w:val="12"/>
                <w:color w:val="auto"/>
              </w:rPr>
            </w:pPr>
          </w:p>
        </w:tc>
        <w:tc>
          <w:tcPr>
            <w:tcW w:w="6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rPr>
              <w:t>Ordinary Shares</w:t>
            </w:r>
          </w:p>
        </w:tc>
        <w:tc>
          <w:tcPr>
            <w:tcW w:w="98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Retained</w:t>
            </w:r>
          </w:p>
        </w:tc>
        <w:tc>
          <w:tcPr>
            <w:tcW w:w="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Limited</w:t>
            </w: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60" w:type="dxa"/>
            <w:vAlign w:val="bottom"/>
            <w:gridSpan w:val="5"/>
            <w:vMerge w:val="continue"/>
          </w:tcPr>
          <w:p>
            <w:pPr>
              <w:spacing w:after="0"/>
              <w:rPr>
                <w:sz w:val="13"/>
                <w:szCs w:val="13"/>
                <w:color w:val="auto"/>
              </w:rPr>
            </w:pPr>
          </w:p>
        </w:tc>
        <w:tc>
          <w:tcPr>
            <w:tcW w:w="9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Paid-in</w:t>
            </w:r>
          </w:p>
        </w:tc>
        <w:tc>
          <w:tcPr>
            <w:tcW w:w="9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5"/>
              </w:rPr>
              <w:t>Comprehensive</w:t>
            </w: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Shareholders’</w:t>
            </w:r>
          </w:p>
        </w:tc>
        <w:tc>
          <w:tcPr>
            <w:tcW w:w="82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controlling</w:t>
            </w: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2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9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Capital</w:t>
            </w:r>
          </w:p>
        </w:tc>
        <w:tc>
          <w:tcPr>
            <w:tcW w:w="9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4"/>
              </w:rPr>
              <w:t>Income (1)</w:t>
            </w:r>
          </w:p>
        </w:tc>
        <w:tc>
          <w:tcPr>
            <w:tcW w:w="80" w:type="dxa"/>
            <w:vAlign w:val="bottom"/>
          </w:tcPr>
          <w:p>
            <w:pPr>
              <w:spacing w:after="0"/>
              <w:rPr>
                <w:sz w:val="12"/>
                <w:szCs w:val="12"/>
                <w:color w:val="auto"/>
              </w:rPr>
            </w:pPr>
          </w:p>
        </w:tc>
        <w:tc>
          <w:tcPr>
            <w:tcW w:w="9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2"/>
                <w:szCs w:val="12"/>
                <w:color w:val="auto"/>
              </w:rPr>
            </w:pPr>
          </w:p>
        </w:tc>
        <w:tc>
          <w:tcPr>
            <w:tcW w:w="10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Equity</w:t>
            </w:r>
          </w:p>
        </w:tc>
        <w:tc>
          <w:tcPr>
            <w:tcW w:w="8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Interests (2)</w:t>
            </w:r>
          </w:p>
        </w:tc>
        <w:tc>
          <w:tcPr>
            <w:tcW w:w="80" w:type="dxa"/>
            <w:vAlign w:val="bottom"/>
          </w:tcPr>
          <w:p>
            <w:pPr>
              <w:spacing w:after="0"/>
              <w:rPr>
                <w:sz w:val="12"/>
                <w:szCs w:val="12"/>
                <w:color w:val="auto"/>
              </w:rPr>
            </w:pPr>
          </w:p>
        </w:tc>
        <w:tc>
          <w:tcPr>
            <w:tcW w:w="9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58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w w:val="92"/>
              </w:rPr>
              <w:t>Balance as of September 30,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131,535</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$4,483</w:t>
            </w:r>
          </w:p>
        </w:tc>
        <w:tc>
          <w:tcPr>
            <w:tcW w:w="2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$3,807,915</w:t>
            </w:r>
          </w:p>
        </w:tc>
        <w:tc>
          <w:tcPr>
            <w:tcW w:w="2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$(5,543,321)</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11,662</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$5,341,907</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$ 3,622,646</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42,509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$3,665,155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299,632</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299,632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299,632</w:t>
            </w:r>
          </w:p>
        </w:tc>
        <w:tc>
          <w:tcPr>
            <w:tcW w:w="0" w:type="dxa"/>
            <w:vAlign w:val="bottom"/>
          </w:tcPr>
          <w:p>
            <w:pPr>
              <w:spacing w:after="0"/>
              <w:rPr>
                <w:sz w:val="1"/>
                <w:szCs w:val="1"/>
                <w:color w:val="auto"/>
              </w:rPr>
            </w:pPr>
          </w:p>
        </w:tc>
      </w:tr>
      <w:tr>
        <w:trPr>
          <w:trHeight w:val="216"/>
        </w:trPr>
        <w:tc>
          <w:tcPr>
            <w:tcW w:w="2580" w:type="dxa"/>
            <w:vAlign w:val="bottom"/>
            <w:gridSpan w:val="2"/>
          </w:tcPr>
          <w:p>
            <w:pPr>
              <w:ind w:left="360"/>
              <w:spacing w:after="0"/>
              <w:rPr>
                <w:sz w:val="20"/>
                <w:szCs w:val="20"/>
                <w:color w:val="auto"/>
              </w:rPr>
            </w:pPr>
            <w:r>
              <w:rPr>
                <w:rFonts w:ascii="Arial" w:cs="Arial" w:eastAsia="Arial" w:hAnsi="Arial"/>
                <w:sz w:val="18"/>
                <w:szCs w:val="18"/>
                <w:color w:val="auto"/>
                <w:w w:val="92"/>
              </w:rPr>
              <w:t>Other comprehensive income</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11,302</w:t>
            </w: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11,302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5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310,934</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310,934</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w w:val="93"/>
              </w:rPr>
              <w:t>Employee stock options exercised</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238</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12,701</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12,704</w:t>
            </w:r>
          </w:p>
        </w:tc>
        <w:tc>
          <w:tcPr>
            <w:tcW w:w="16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12,704</w:t>
            </w:r>
          </w:p>
        </w:tc>
        <w:tc>
          <w:tcPr>
            <w:tcW w:w="0" w:type="dxa"/>
            <w:vAlign w:val="bottom"/>
          </w:tcPr>
          <w:p>
            <w:pPr>
              <w:spacing w:after="0"/>
              <w:rPr>
                <w:sz w:val="1"/>
                <w:szCs w:val="1"/>
                <w:color w:val="auto"/>
              </w:rPr>
            </w:pPr>
          </w:p>
        </w:tc>
      </w:tr>
      <w:tr>
        <w:trPr>
          <w:trHeight w:val="216"/>
        </w:trPr>
        <w:tc>
          <w:tcPr>
            <w:tcW w:w="2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(1,436)</w:t>
            </w: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(90,022)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(90,022)</w:t>
            </w:r>
          </w:p>
        </w:tc>
        <w:tc>
          <w:tcPr>
            <w:tcW w:w="0" w:type="dxa"/>
            <w:vAlign w:val="bottom"/>
          </w:tcPr>
          <w:p>
            <w:pPr>
              <w:spacing w:after="0"/>
              <w:rPr>
                <w:sz w:val="1"/>
                <w:szCs w:val="1"/>
                <w:color w:val="auto"/>
              </w:rPr>
            </w:pPr>
          </w:p>
        </w:tc>
      </w:tr>
      <w:tr>
        <w:trPr>
          <w:trHeight w:val="202"/>
        </w:trPr>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w w:val="92"/>
              </w:rPr>
              <w:t>Cash dividends declared ($0.3275</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ind w:left="180"/>
              <w:spacing w:after="0"/>
              <w:rPr>
                <w:sz w:val="20"/>
                <w:szCs w:val="20"/>
                <w:color w:val="auto"/>
              </w:rPr>
            </w:pPr>
            <w:r>
              <w:rPr>
                <w:rFonts w:ascii="Arial" w:cs="Arial" w:eastAsia="Arial" w:hAnsi="Arial"/>
                <w:sz w:val="18"/>
                <w:szCs w:val="18"/>
                <w:color w:val="auto"/>
              </w:rPr>
              <w:t>per ordinary share)</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(42,850)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(42,850)</w:t>
            </w:r>
          </w:p>
        </w:tc>
        <w:tc>
          <w:tcPr>
            <w:tcW w:w="160" w:type="dxa"/>
            <w:vAlign w:val="bottom"/>
          </w:tcPr>
          <w:p>
            <w:pPr>
              <w:spacing w:after="0"/>
              <w:rPr>
                <w:sz w:val="20"/>
                <w:szCs w:val="20"/>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(42,850)</w:t>
            </w:r>
          </w:p>
        </w:tc>
        <w:tc>
          <w:tcPr>
            <w:tcW w:w="0" w:type="dxa"/>
            <w:vAlign w:val="bottom"/>
          </w:tcPr>
          <w:p>
            <w:pPr>
              <w:spacing w:after="0"/>
              <w:rPr>
                <w:sz w:val="1"/>
                <w:szCs w:val="1"/>
                <w:color w:val="auto"/>
              </w:rPr>
            </w:pPr>
          </w:p>
        </w:tc>
      </w:tr>
      <w:tr>
        <w:trPr>
          <w:trHeight w:val="202"/>
        </w:trPr>
        <w:tc>
          <w:tcPr>
            <w:tcW w:w="258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Issuance of restricted stock, net of</w:t>
            </w:r>
          </w:p>
        </w:tc>
        <w:tc>
          <w:tcPr>
            <w:tcW w:w="5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488</w:t>
            </w:r>
          </w:p>
        </w:tc>
        <w:tc>
          <w:tcPr>
            <w:tcW w:w="7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rPr>
              <w:t>Equity-based compensation</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ind w:left="180"/>
              <w:spacing w:after="0"/>
              <w:rPr>
                <w:sz w:val="20"/>
                <w:szCs w:val="20"/>
                <w:color w:val="auto"/>
              </w:rPr>
            </w:pPr>
            <w:r>
              <w:rPr>
                <w:rFonts w:ascii="Arial" w:cs="Arial" w:eastAsia="Arial" w:hAnsi="Arial"/>
                <w:sz w:val="18"/>
                <w:szCs w:val="18"/>
                <w:color w:val="auto"/>
                <w:w w:val="98"/>
              </w:rPr>
              <w:t>expense related to employees</w:t>
            </w:r>
          </w:p>
        </w:tc>
        <w:tc>
          <w:tcPr>
            <w:tcW w:w="58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12,577</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12,577</w:t>
            </w:r>
          </w:p>
        </w:tc>
        <w:tc>
          <w:tcPr>
            <w:tcW w:w="160" w:type="dxa"/>
            <w:vAlign w:val="bottom"/>
          </w:tcPr>
          <w:p>
            <w:pPr>
              <w:spacing w:after="0"/>
              <w:rPr>
                <w:sz w:val="20"/>
                <w:szCs w:val="20"/>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12,577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w w:val="94"/>
              </w:rPr>
              <w:t>Balance as of December 31, 2020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130,825</w:t>
            </w:r>
          </w:p>
        </w:tc>
        <w:tc>
          <w:tcPr>
            <w:tcW w:w="7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4,493</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3,833,193</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(5,633,343)</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22,964</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5,598,689</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$ 3,825,996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42,509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3,868,505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Additional</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Amdocs</w:t>
            </w:r>
          </w:p>
        </w:tc>
        <w:tc>
          <w:tcPr>
            <w:tcW w:w="160" w:type="dxa"/>
            <w:vAlign w:val="bottom"/>
          </w:tcPr>
          <w:p>
            <w:pPr>
              <w:spacing w:after="0"/>
              <w:rPr>
                <w:sz w:val="12"/>
                <w:szCs w:val="12"/>
                <w:color w:val="auto"/>
              </w:rPr>
            </w:pPr>
          </w:p>
        </w:tc>
        <w:tc>
          <w:tcPr>
            <w:tcW w:w="6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Ordinary Shares</w:t>
            </w:r>
          </w:p>
        </w:tc>
        <w:tc>
          <w:tcPr>
            <w:tcW w:w="98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Limited</w:t>
            </w: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60" w:type="dxa"/>
            <w:vAlign w:val="bottom"/>
            <w:gridSpan w:val="5"/>
            <w:vMerge w:val="continue"/>
          </w:tcPr>
          <w:p>
            <w:pPr>
              <w:spacing w:after="0"/>
              <w:rPr>
                <w:sz w:val="13"/>
                <w:szCs w:val="13"/>
                <w:color w:val="auto"/>
              </w:rPr>
            </w:pPr>
          </w:p>
        </w:tc>
        <w:tc>
          <w:tcPr>
            <w:tcW w:w="98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Paid-in</w:t>
            </w:r>
          </w:p>
        </w:tc>
        <w:tc>
          <w:tcPr>
            <w:tcW w:w="9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9"/>
              </w:rPr>
              <w:t>Shareholders’</w:t>
            </w:r>
          </w:p>
        </w:tc>
        <w:tc>
          <w:tcPr>
            <w:tcW w:w="82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controlling</w:t>
            </w: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2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Amount</w:t>
            </w:r>
          </w:p>
        </w:tc>
        <w:tc>
          <w:tcPr>
            <w:tcW w:w="200" w:type="dxa"/>
            <w:vAlign w:val="bottom"/>
          </w:tcPr>
          <w:p>
            <w:pPr>
              <w:spacing w:after="0"/>
              <w:rPr>
                <w:sz w:val="12"/>
                <w:szCs w:val="12"/>
                <w:color w:val="auto"/>
              </w:rPr>
            </w:pPr>
          </w:p>
        </w:tc>
        <w:tc>
          <w:tcPr>
            <w:tcW w:w="9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Capital</w:t>
            </w:r>
          </w:p>
        </w:tc>
        <w:tc>
          <w:tcPr>
            <w:tcW w:w="9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Loss (1)</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10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Equity</w:t>
            </w:r>
          </w:p>
        </w:tc>
        <w:tc>
          <w:tcPr>
            <w:tcW w:w="8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Interests (2)</w:t>
            </w:r>
          </w:p>
        </w:tc>
        <w:tc>
          <w:tcPr>
            <w:tcW w:w="80" w:type="dxa"/>
            <w:vAlign w:val="bottom"/>
          </w:tcPr>
          <w:p>
            <w:pPr>
              <w:spacing w:after="0"/>
              <w:rPr>
                <w:sz w:val="12"/>
                <w:szCs w:val="12"/>
                <w:color w:val="auto"/>
              </w:rPr>
            </w:pPr>
          </w:p>
        </w:tc>
        <w:tc>
          <w:tcPr>
            <w:tcW w:w="9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58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w w:val="92"/>
              </w:rPr>
              <w:t>Balance as of September 30, 2019</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2"/>
              </w:rPr>
              <w:t>134,773</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$4,452</w:t>
            </w:r>
          </w:p>
        </w:tc>
        <w:tc>
          <w:tcPr>
            <w:tcW w:w="2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$3,667,662</w:t>
            </w:r>
          </w:p>
        </w:tc>
        <w:tc>
          <w:tcPr>
            <w:tcW w:w="2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8"/>
              </w:rPr>
              <w:t>$(5,182,409)</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$5,012,799</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$ 3,499,957</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42,509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$3,542,466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115,932</w:t>
            </w:r>
          </w:p>
        </w:tc>
        <w:tc>
          <w:tcPr>
            <w:tcW w:w="14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115,932</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115,932</w:t>
            </w:r>
          </w:p>
        </w:tc>
        <w:tc>
          <w:tcPr>
            <w:tcW w:w="0" w:type="dxa"/>
            <w:vAlign w:val="bottom"/>
          </w:tcPr>
          <w:p>
            <w:pPr>
              <w:spacing w:after="0"/>
              <w:rPr>
                <w:sz w:val="1"/>
                <w:szCs w:val="1"/>
                <w:color w:val="auto"/>
              </w:rPr>
            </w:pPr>
          </w:p>
        </w:tc>
      </w:tr>
      <w:tr>
        <w:trPr>
          <w:trHeight w:val="216"/>
        </w:trPr>
        <w:tc>
          <w:tcPr>
            <w:tcW w:w="258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5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115,553</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115,553</w:t>
            </w:r>
          </w:p>
        </w:tc>
        <w:tc>
          <w:tcPr>
            <w:tcW w:w="0" w:type="dxa"/>
            <w:vAlign w:val="bottom"/>
          </w:tcPr>
          <w:p>
            <w:pPr>
              <w:spacing w:after="0"/>
              <w:rPr>
                <w:sz w:val="1"/>
                <w:szCs w:val="1"/>
                <w:color w:val="auto"/>
              </w:rPr>
            </w:pPr>
          </w:p>
        </w:tc>
      </w:tr>
      <w:tr>
        <w:trPr>
          <w:trHeight w:val="202"/>
        </w:trPr>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rPr>
              <w:t>Employee stock options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ind w:left="180"/>
              <w:spacing w:after="0"/>
              <w:rPr>
                <w:sz w:val="20"/>
                <w:szCs w:val="20"/>
                <w:color w:val="auto"/>
              </w:rPr>
            </w:pPr>
            <w:r>
              <w:rPr>
                <w:rFonts w:ascii="Arial" w:cs="Arial" w:eastAsia="Arial" w:hAnsi="Arial"/>
                <w:sz w:val="18"/>
                <w:szCs w:val="18"/>
                <w:color w:val="auto"/>
              </w:rPr>
              <w:t>exercised</w:t>
            </w:r>
          </w:p>
        </w:tc>
        <w:tc>
          <w:tcPr>
            <w:tcW w:w="580" w:type="dxa"/>
            <w:vAlign w:val="bottom"/>
          </w:tcPr>
          <w:p>
            <w:pPr>
              <w:ind w:left="320"/>
              <w:spacing w:after="0"/>
              <w:rPr>
                <w:sz w:val="20"/>
                <w:szCs w:val="20"/>
                <w:color w:val="auto"/>
              </w:rPr>
            </w:pPr>
            <w:r>
              <w:rPr>
                <w:rFonts w:ascii="Arial" w:cs="Arial" w:eastAsia="Arial" w:hAnsi="Arial"/>
                <w:sz w:val="18"/>
                <w:szCs w:val="18"/>
                <w:color w:val="auto"/>
                <w:w w:val="73"/>
              </w:rPr>
              <w:t>803</w:t>
            </w:r>
          </w:p>
        </w:tc>
        <w:tc>
          <w:tcPr>
            <w:tcW w:w="1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41,387</w:t>
            </w:r>
          </w:p>
        </w:tc>
        <w:tc>
          <w:tcPr>
            <w:tcW w:w="2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41,397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41,397</w:t>
            </w:r>
          </w:p>
        </w:tc>
        <w:tc>
          <w:tcPr>
            <w:tcW w:w="0" w:type="dxa"/>
            <w:vAlign w:val="bottom"/>
          </w:tcPr>
          <w:p>
            <w:pPr>
              <w:spacing w:after="0"/>
              <w:rPr>
                <w:sz w:val="1"/>
                <w:szCs w:val="1"/>
                <w:color w:val="auto"/>
              </w:rPr>
            </w:pPr>
          </w:p>
        </w:tc>
      </w:tr>
      <w:tr>
        <w:trPr>
          <w:trHeight w:val="216"/>
        </w:trPr>
        <w:tc>
          <w:tcPr>
            <w:tcW w:w="2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(1,309)</w:t>
            </w: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(90,020)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(90,020)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(90,020)</w:t>
            </w:r>
          </w:p>
        </w:tc>
        <w:tc>
          <w:tcPr>
            <w:tcW w:w="0" w:type="dxa"/>
            <w:vAlign w:val="bottom"/>
          </w:tcPr>
          <w:p>
            <w:pPr>
              <w:spacing w:after="0"/>
              <w:rPr>
                <w:sz w:val="1"/>
                <w:szCs w:val="1"/>
                <w:color w:val="auto"/>
              </w:rPr>
            </w:pPr>
          </w:p>
        </w:tc>
      </w:tr>
      <w:tr>
        <w:trPr>
          <w:trHeight w:val="202"/>
        </w:trPr>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w w:val="96"/>
              </w:rPr>
              <w:t>Cash dividends declared ($0.285</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ind w:left="180"/>
              <w:spacing w:after="0"/>
              <w:rPr>
                <w:sz w:val="20"/>
                <w:szCs w:val="20"/>
                <w:color w:val="auto"/>
              </w:rPr>
            </w:pPr>
            <w:r>
              <w:rPr>
                <w:rFonts w:ascii="Arial" w:cs="Arial" w:eastAsia="Arial" w:hAnsi="Arial"/>
                <w:sz w:val="18"/>
                <w:szCs w:val="18"/>
                <w:color w:val="auto"/>
              </w:rPr>
              <w:t>per ordinary share)</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(38,357)</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(38,357)</w:t>
            </w:r>
          </w:p>
        </w:tc>
        <w:tc>
          <w:tcPr>
            <w:tcW w:w="160" w:type="dxa"/>
            <w:vAlign w:val="bottom"/>
          </w:tcPr>
          <w:p>
            <w:pPr>
              <w:spacing w:after="0"/>
              <w:rPr>
                <w:sz w:val="20"/>
                <w:szCs w:val="20"/>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(38,357)</w:t>
            </w:r>
          </w:p>
        </w:tc>
        <w:tc>
          <w:tcPr>
            <w:tcW w:w="0" w:type="dxa"/>
            <w:vAlign w:val="bottom"/>
          </w:tcPr>
          <w:p>
            <w:pPr>
              <w:spacing w:after="0"/>
              <w:rPr>
                <w:sz w:val="1"/>
                <w:szCs w:val="1"/>
                <w:color w:val="auto"/>
              </w:rPr>
            </w:pPr>
          </w:p>
        </w:tc>
      </w:tr>
      <w:tr>
        <w:trPr>
          <w:trHeight w:val="202"/>
        </w:trPr>
        <w:tc>
          <w:tcPr>
            <w:tcW w:w="258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restricted stock, net</w:t>
            </w:r>
          </w:p>
        </w:tc>
        <w:tc>
          <w:tcPr>
            <w:tcW w:w="5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of forfeitures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3"/>
              </w:rPr>
              <w:t>313</w:t>
            </w:r>
          </w:p>
        </w:tc>
        <w:tc>
          <w:tcPr>
            <w:tcW w:w="140" w:type="dxa"/>
            <w:vAlign w:val="bottom"/>
            <w:tcBorders>
              <w:left w:val="single" w:sz="8" w:color="CCEEFF"/>
            </w:tcBorders>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rPr>
              <w:t>Equity-based compensation</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ind w:left="180"/>
              <w:spacing w:after="0"/>
              <w:rPr>
                <w:sz w:val="20"/>
                <w:szCs w:val="20"/>
                <w:color w:val="auto"/>
              </w:rPr>
            </w:pPr>
            <w:r>
              <w:rPr>
                <w:rFonts w:ascii="Arial" w:cs="Arial" w:eastAsia="Arial" w:hAnsi="Arial"/>
                <w:sz w:val="18"/>
                <w:szCs w:val="18"/>
                <w:color w:val="auto"/>
                <w:w w:val="98"/>
              </w:rPr>
              <w:t>expense related to employees</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10,761</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10,761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10,761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w w:val="94"/>
              </w:rPr>
              <w:t>Balance as of December 31, 2019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134,580</w:t>
            </w:r>
          </w:p>
        </w:tc>
        <w:tc>
          <w:tcPr>
            <w:tcW w:w="14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4,466</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3,719,810</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(5,272,429)</w:t>
            </w:r>
          </w:p>
        </w:tc>
        <w:tc>
          <w:tcPr>
            <w:tcW w:w="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5,090,374</w:t>
            </w:r>
          </w:p>
        </w:tc>
        <w:tc>
          <w:tcPr>
            <w:tcW w:w="14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$ 3,539,295</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42,509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3,581,804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540" w:right="80" w:hanging="424"/>
        <w:spacing w:after="0" w:line="255"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December 31, 2020 and 2019, accumulated other comprehensive income (loss) is comprised of unrealized gain on derivatives, net of tax, of $29,864 and $3,566, unrealized gain on short-term interest-bearing investments, net of tax, of $272 and $0, and unrealized loss on defined benefit plan, net of tax, of $(7,172) and $(6,492).</w:t>
      </w:r>
    </w:p>
    <w:p>
      <w:pPr>
        <w:spacing w:after="0" w:line="2" w:lineRule="exact"/>
        <w:rPr>
          <w:rFonts w:ascii="Arial" w:cs="Arial" w:eastAsia="Arial" w:hAnsi="Arial"/>
          <w:sz w:val="18"/>
          <w:szCs w:val="18"/>
          <w:color w:val="auto"/>
        </w:rPr>
      </w:pPr>
    </w:p>
    <w:p>
      <w:pPr>
        <w:ind w:left="540" w:right="520" w:hanging="424"/>
        <w:spacing w:after="0" w:line="26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three months ended December 31, 2020, and 2019, all of the Company’s net income is attributable to Amdocs Limited as the net income attributable to the Non-controlling interests is negligible.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Net income</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299,632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115,932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51,706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48,999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12,577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10,761</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sale of a business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(226,410)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(25,892)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short-term interest-bearing investments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(140,817)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(34,693)</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(10,114)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Lease assets and liabilities, net</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11,225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accrued personnel</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155,891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9,737</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219,057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12,855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net</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163,908</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net (1)</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(58,535)</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(176,234)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Net cash paid for business and intangible assets acquisitions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(9,897)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sale of a business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290,789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(60,993)</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(90,020)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Proceeds from employee stock option exercises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12,711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41,178</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(38,413)</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9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(120,395)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(88,672)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353,381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14,243</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983,188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471,632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1,336,569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485,875</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Income taxes, net of refunds</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20,484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15,002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(2)</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360" w:hanging="424"/>
        <w:spacing w:after="0" w:line="25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$53 and $373 for the three months ended December 31, 2020 and 2019, respectively.</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“Interest” include payments of interest to financial institution, tax authorities and other.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its open and modular cloud offering.</w:t>
      </w:r>
    </w:p>
    <w:p>
      <w:pPr>
        <w:spacing w:after="0" w:line="18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187" w:lineRule="exact"/>
        <w:rPr>
          <w:sz w:val="20"/>
          <w:szCs w:val="20"/>
          <w:color w:val="auto"/>
        </w:rPr>
      </w:pPr>
    </w:p>
    <w:p>
      <w:pPr>
        <w:ind w:left="120" w:right="1320" w:firstLine="440"/>
        <w:spacing w:after="0" w:line="277"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and are denominated in U.S. dollars.</w:t>
      </w:r>
    </w:p>
    <w:p>
      <w:pPr>
        <w:spacing w:after="0" w:line="170"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2020, set forth in the Company’s Annual Report on Form 20-F filed on December 14, 2020 with the U.S. Securities and Exchange Commission, or the SEC. There have been no material changes to the company’s significant accounting policies from its Annual Report on Form 20-F for the fiscal year ended September 30, 2020, except for the policies noted below which changed as a result of the adoption of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Update of Summary of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Company has short-term interest-bearing investments comprised of marketable securities and bank deposits. The Company classifies all of its marketable securities as available-for-sale securities and considers all of its marketable debt securities as available for use to meet the Company’s operational needs, including those with maturity dates beyond one year, and therefore classifies these securities within current assets on the consolidated balance sheets. Such marketable securities consist primarily of money market funds, corporate bonds and U.S government securities, which are stated at market value. The available-for-sale investments are carried at estimated fair value with any unrealized gains and losses, net of taxes, included in accumulated other comprehensive income in shareholders’ equity. The Company recognizes an impairment when there is a decline in the fair value of its investments below the amortized cost basis. For securities with an unrealized loss that the Company intends to sell, or it is more likely than not that the Company will be required to sell before recovery of their amortized cost basis, the entire difference between amortized cost and fair value is recognized in earnings and the available-for-sale debt security’s amortized cost basis is written down to its fair value at the reporting date. For securities that do not meet these criteria, the Company needs to assess whether the decline is as result of a credit loss, if the impairment is due to a credit loss, the decline is recognized in earning, while other declines in fair value related to other factors are recognized in other comprehensive income (loss). The Company uses a discounted cash flow analysis to estimate credit losses. Realized gains and losses on short-term interest-bearing investments are included in earnings and are determined based on specific identification method.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Company evaluates accounts receivable and unbilled receivables to determine if they ultimately will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reasonable and supportable forecasts of future economic conditions, and other factors that may affect its ability to collect from customers. The allowance for doubtful accounts, net of credit losses is for expected credit losses resulting from accounts receivable and unbilled receivables for which their collection is not reasonably probable. The allowance for doubtful accounts as of December 31, 2020 and September 30, 2020, was $25,122 and $23,419, respectively.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March 2020, the Financial Accounting Standards Board, or FASB, issued Accounting Standard Update, or ASU No. 2020-04: “</w:t>
      </w:r>
      <w:r>
        <w:rPr>
          <w:rFonts w:ascii="Arial" w:cs="Arial" w:eastAsia="Arial" w:hAnsi="Arial"/>
          <w:sz w:val="17"/>
          <w:szCs w:val="17"/>
          <w:i w:val="1"/>
          <w:iCs w:val="1"/>
          <w:color w:val="auto"/>
        </w:rPr>
        <w:t>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Reform: Facilitation of the Effects of Reference Rate Reform on Financial Reporting”. </w:t>
      </w:r>
      <w:r>
        <w:rPr>
          <w:rFonts w:ascii="Arial" w:cs="Arial" w:eastAsia="Arial" w:hAnsi="Arial"/>
          <w:sz w:val="17"/>
          <w:szCs w:val="17"/>
          <w:color w:val="auto"/>
        </w:rPr>
        <w:t>The ASU provides temporary optional expedients and exceptions</w:t>
      </w:r>
      <w:r>
        <w:rPr>
          <w:rFonts w:ascii="Arial" w:cs="Arial" w:eastAsia="Arial" w:hAnsi="Arial"/>
          <w:sz w:val="17"/>
          <w:szCs w:val="17"/>
          <w:i w:val="1"/>
          <w:iCs w:val="1"/>
          <w:color w:val="auto"/>
        </w:rPr>
        <w:t xml:space="preserve"> </w:t>
      </w:r>
      <w:r>
        <w:rPr>
          <w:rFonts w:ascii="Arial" w:cs="Arial" w:eastAsia="Arial" w:hAnsi="Arial"/>
          <w:sz w:val="17"/>
          <w:szCs w:val="17"/>
          <w:color w:val="auto"/>
        </w:rPr>
        <w:t>on certain contract modifications, hedge relationships and other transactions that reference London Inter-Bank Offered Rate (“LIBOR”) or other reference rates expected to be discontinued due to the reference rate reform. This ASU is effective as of March 12, 2020 through December 31, 2022. The Company is currently evaluating the impact of adoption of this ASU on its consolidated financial statements.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The ASU simplifies the accounting for income taxes by eliminating certain exceptions to the guidance in ASC 740 related to the approach for intra period tax allocation, the methodology for calculating income taxes in an interim period and the recognition of deferred tax liabilities for outside basis differences. The Company prospectively adopted this ASU effective October 1, 2020. As of the date of the adoption there was no material impact on the Company’s consolidated financial statements.</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November 2018, the FASB, issued ASU No. 2018-18</w:t>
      </w:r>
      <w:r>
        <w:rPr>
          <w:rFonts w:ascii="Arial" w:cs="Arial" w:eastAsia="Arial" w:hAnsi="Arial"/>
          <w:sz w:val="18"/>
          <w:szCs w:val="18"/>
          <w:i w:val="1"/>
          <w:iCs w:val="1"/>
          <w:color w:val="auto"/>
        </w:rPr>
        <w:t>, “Collaborative Arrangements</w:t>
      </w:r>
      <w:r>
        <w:rPr>
          <w:rFonts w:ascii="Arial" w:cs="Arial" w:eastAsia="Arial" w:hAnsi="Arial"/>
          <w:sz w:val="18"/>
          <w:szCs w:val="18"/>
          <w:color w:val="auto"/>
        </w:rPr>
        <w:t>”. The ASU clarifies the interaction between collaborative arrangements and the new revenue standards. The Company prospectively adopted this ASU effective October 1, 2020. As of the date of the adoption there was no material impact on the Company’s consolidated financial statements.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August 2018, the FASB issued ASU No. 2018-15</w:t>
      </w:r>
      <w:r>
        <w:rPr>
          <w:rFonts w:ascii="Arial" w:cs="Arial" w:eastAsia="Arial" w:hAnsi="Arial"/>
          <w:sz w:val="18"/>
          <w:szCs w:val="18"/>
          <w:i w:val="1"/>
          <w:iCs w:val="1"/>
          <w:color w:val="auto"/>
        </w:rPr>
        <w:t>, “Customer’s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The ASU amends the definition of hosting arrangement and requires a customer in a hosting arrangement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a service contract to capitalize certain implementation costs as if the arrangement was an internal-use software project. The Company prospectively adopted this ASU effective October 1, 2020. As of the date of the adoption there was no material impact on the Company’s consolidated financial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August 2018, the FASB issued ASU No. 2018-13</w:t>
      </w:r>
      <w:r>
        <w:rPr>
          <w:rFonts w:ascii="Arial" w:cs="Arial" w:eastAsia="Arial" w:hAnsi="Arial"/>
          <w:sz w:val="18"/>
          <w:szCs w:val="18"/>
          <w:i w:val="1"/>
          <w:iCs w:val="1"/>
          <w:color w:val="auto"/>
        </w:rPr>
        <w:t>, “Fair Value Measurement”.</w:t>
      </w:r>
      <w:r>
        <w:rPr>
          <w:rFonts w:ascii="Arial" w:cs="Arial" w:eastAsia="Arial" w:hAnsi="Arial"/>
          <w:sz w:val="18"/>
          <w:szCs w:val="18"/>
          <w:color w:val="auto"/>
        </w:rPr>
        <w:t xml:space="preserve"> The ASU eliminates, adds and modifies certain disclosure requirements for fair value measurements. The Company prospectively adopted this ASU effective October 1, 2020. As of the date of the adoption there was no material impact on the Company’s consolidated financial statements.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August 2018, the FASB issued ASU No. 2018-14, “</w:t>
      </w:r>
      <w:r>
        <w:rPr>
          <w:rFonts w:ascii="Arial" w:cs="Arial" w:eastAsia="Arial" w:hAnsi="Arial"/>
          <w:sz w:val="18"/>
          <w:szCs w:val="18"/>
          <w:i w:val="1"/>
          <w:iCs w:val="1"/>
          <w:color w:val="auto"/>
        </w:rPr>
        <w:t>Changes to the Disclosure Requirements for Defined Benefit Plans”</w:t>
      </w:r>
      <w:r>
        <w:rPr>
          <w:rFonts w:ascii="Arial" w:cs="Arial" w:eastAsia="Arial" w:hAnsi="Arial"/>
          <w:sz w:val="18"/>
          <w:szCs w:val="18"/>
          <w:color w:val="auto"/>
        </w:rPr>
        <w:t>. The ASU makes minor changes to the disclosure requirement for employers that sponsor defined pension and/or other post-retirement benefit plans. The Company prospectively adopted this ASU effective October 1, 2020. As of the date of the adoption there was no impact on the Company’s consolidated financial statements.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August 2017, the FASB issued ASU No.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The ASU amends existing guidance to simplify the application of hedge accounting in certain situations and allows companies to better align their hedge accounting with their risk management activities. The Company prospectively adopted this ASU effective October 1, 2020. As of the date of the adoption there was no material impact on the Company’s consolidated financial statements.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The ASU simplifies the accounting for goodwill impairment by removing Step 2 of the goodwill impairment test. The Company prospectively adopted this ASU effective October 1, 2020. As of the date of the adoption there was no impact on the Company’s consolidated financial statements.</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June 2016, the FASB issued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The Company adopted this ASU effective October 1, 2020, using the modified retrospective transition method. The Company updated the impairment model to utilize a forward-looking current expected credit losses model in place of the incurred loss methodology for financial instruments measured at amortized cost, including our accounts receivable and also modified its impairment model to the current expected credit losses model for available-for-sale debt securities and discontinued using the concept of “other than temporary” impairment on available-for-sale debt securities, see also Note 7. As of the date of the adoption, there is no material impact on the Company’s consolidated financial statements.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Divestiture of a Subsidiary</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November 10, 2020, the Company signed an agreement for the divestiture of OpenMarket for approximately $300,000 cash with Infobip Limited, a company in which One Equity Partners is the primary institutional investor. With this transaction, the Company divested a non-strategic asset in the mobile messaging domain, remaining laser-focused on its core strategic growth initiatives.</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On December 31, 2020, the Company completed the divestiture. Based on the total consideration, the Company recorded pre-tax gain of $226,410, (net of immaterial transaction costs) in the Consolidated Statements of Income during the three months ended December 31, 2020. In connection with this divestiture, $9,194 of net assets and $61,396 of goodwill, were disposed. The divestiture does not represent a strategic shift that will have a major effect on operations and financial results and, therefore, did not qualify for presentation as a discontinued operation, see also Note 10.</w:t>
      </w:r>
    </w:p>
    <w:p>
      <w:pPr>
        <w:spacing w:after="0" w:line="261" w:lineRule="exact"/>
        <w:rPr>
          <w:sz w:val="20"/>
          <w:szCs w:val="20"/>
          <w:color w:val="auto"/>
        </w:rPr>
      </w:pPr>
    </w:p>
    <w:p>
      <w:pPr>
        <w:ind w:left="340" w:right="9200" w:hanging="224"/>
        <w:spacing w:after="0" w:line="453" w:lineRule="auto"/>
        <w:tabs>
          <w:tab w:leader="none" w:pos="30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 Contract Balances</w:t>
      </w:r>
    </w:p>
    <w:p>
      <w:pPr>
        <w:ind w:left="560"/>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provides information about accounts receivable, both billed and unbilled and deferred revenue: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12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6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182"/>
        </w:trPr>
        <w:tc>
          <w:tcPr>
            <w:tcW w:w="6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Accounts receivable - billed (net of allowances for credit losses of $25,122</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$23,419 as of December 31, 2020 and September 30, 2020,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741,151</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685,485</w:t>
            </w:r>
          </w:p>
        </w:tc>
      </w:tr>
      <w:tr>
        <w:trPr>
          <w:trHeight w:val="324"/>
        </w:trPr>
        <w:tc>
          <w:tcPr>
            <w:tcW w:w="6120" w:type="dxa"/>
            <w:vAlign w:val="bottom"/>
          </w:tcPr>
          <w:p>
            <w:pPr>
              <w:spacing w:after="0"/>
              <w:rPr>
                <w:sz w:val="20"/>
                <w:szCs w:val="20"/>
                <w:color w:val="auto"/>
              </w:rPr>
            </w:pPr>
            <w:r>
              <w:rPr>
                <w:rFonts w:ascii="Arial" w:cs="Arial" w:eastAsia="Arial" w:hAnsi="Arial"/>
                <w:sz w:val="18"/>
                <w:szCs w:val="18"/>
                <w:color w:val="auto"/>
              </w:rPr>
              <w:t>Accounts receivable – unbilled (current)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187,962</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175,548</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unbilled (non-current)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39,401</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42,089</w:t>
            </w:r>
          </w:p>
        </w:tc>
      </w:tr>
      <w:tr>
        <w:trPr>
          <w:trHeight w:val="224"/>
        </w:trPr>
        <w:tc>
          <w:tcPr>
            <w:tcW w:w="6120" w:type="dxa"/>
            <w:vAlign w:val="bottom"/>
          </w:tcPr>
          <w:p>
            <w:pPr>
              <w:spacing w:after="0"/>
              <w:rPr>
                <w:sz w:val="20"/>
                <w:szCs w:val="20"/>
                <w:color w:val="auto"/>
              </w:rPr>
            </w:pPr>
            <w:r>
              <w:rPr>
                <w:rFonts w:ascii="Arial" w:cs="Arial" w:eastAsia="Arial" w:hAnsi="Arial"/>
                <w:sz w:val="18"/>
                <w:szCs w:val="18"/>
                <w:color w:val="auto"/>
              </w:rPr>
              <w:t>Total Accounts receivable - unbilled</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227,363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217,637</w:t>
            </w:r>
          </w:p>
        </w:tc>
        <w:tc>
          <w:tcPr>
            <w:tcW w:w="100" w:type="dxa"/>
            <w:vAlign w:val="bottom"/>
          </w:tcPr>
          <w:p>
            <w:pPr>
              <w:spacing w:after="0"/>
              <w:rPr>
                <w:sz w:val="19"/>
                <w:szCs w:val="19"/>
                <w:color w:val="auto"/>
              </w:rPr>
            </w:pPr>
          </w:p>
        </w:tc>
      </w:tr>
      <w:tr>
        <w:trPr>
          <w:trHeight w:val="107"/>
        </w:trPr>
        <w:tc>
          <w:tcPr>
            <w:tcW w:w="6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(191,611)</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(126,841)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(175,604)</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(16,529)</w:t>
            </w:r>
          </w:p>
        </w:tc>
      </w:tr>
      <w:tr>
        <w:trPr>
          <w:trHeight w:val="27"/>
        </w:trPr>
        <w:tc>
          <w:tcPr>
            <w:tcW w:w="6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(367,215)</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(143,370)</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 recognized during the three months ended December 31, 2020, which was included in deferred revenue (current) as of September 30,</w:t>
      </w:r>
    </w:p>
    <w:p>
      <w:pPr>
        <w:spacing w:after="0" w:line="46" w:lineRule="exact"/>
        <w:rPr>
          <w:sz w:val="20"/>
          <w:szCs w:val="20"/>
          <w:color w:val="auto"/>
        </w:rPr>
      </w:pPr>
    </w:p>
    <w:p>
      <w:pPr>
        <w:ind w:left="120" w:right="620"/>
        <w:spacing w:after="0" w:line="260" w:lineRule="auto"/>
        <w:rPr>
          <w:sz w:val="20"/>
          <w:szCs w:val="20"/>
          <w:color w:val="auto"/>
        </w:rPr>
      </w:pPr>
      <w:r>
        <w:rPr>
          <w:rFonts w:ascii="Arial" w:cs="Arial" w:eastAsia="Arial" w:hAnsi="Arial"/>
          <w:sz w:val="18"/>
          <w:szCs w:val="18"/>
          <w:color w:val="auto"/>
        </w:rPr>
        <w:t>2020 was $89,192. Revenue recognized during the three months ended December 31, 2019, which was included in deferred revenue (current) as of September 30, 2019 was $55,693.</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Remaining Performance Obligations from Contracts with Customer</w:t>
      </w:r>
    </w:p>
    <w:p>
      <w:pPr>
        <w:spacing w:after="0" w:line="121" w:lineRule="exact"/>
        <w:rPr>
          <w:sz w:val="20"/>
          <w:szCs w:val="20"/>
          <w:color w:val="auto"/>
        </w:rPr>
      </w:pPr>
    </w:p>
    <w:p>
      <w:pPr>
        <w:jc w:val="both"/>
        <w:ind w:left="120" w:right="300" w:firstLine="440"/>
        <w:spacing w:after="0" w:line="301" w:lineRule="auto"/>
        <w:rPr>
          <w:sz w:val="20"/>
          <w:szCs w:val="20"/>
          <w:color w:val="auto"/>
        </w:rPr>
      </w:pPr>
      <w:r>
        <w:rPr>
          <w:rFonts w:ascii="Arial" w:cs="Arial" w:eastAsia="Arial" w:hAnsi="Arial"/>
          <w:sz w:val="16"/>
          <w:szCs w:val="16"/>
          <w:color w:val="auto"/>
        </w:rPr>
        <w:t>As of December 31, 2020, the aggregate amount of the transaction price allocated to remaining performance obligations that are unsatisfied or partially unsatisfied was approximately $7.0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 considers information that is regularly reviewed by its chief operating decision makers in evaluating financial performance to disaggregate revenue.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provide details of revenue by nature of activities and by geography:</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by nature of activities</w:t>
      </w:r>
    </w:p>
    <w:p>
      <w:pPr>
        <w:spacing w:after="0" w:line="244"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Three months ended</w:t>
      </w:r>
    </w:p>
    <w:p>
      <w:pPr>
        <w:jc w:val="center"/>
        <w:ind w:left="62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340" w:type="dxa"/>
        <w:tblCellMar>
          <w:top w:w="0" w:type="dxa"/>
          <w:left w:w="0" w:type="dxa"/>
          <w:bottom w:w="0" w:type="dxa"/>
          <w:right w:w="0" w:type="dxa"/>
        </w:tblCellMar>
      </w:tblPr>
      <w:tr>
        <w:trPr>
          <w:trHeight w:val="142"/>
        </w:trPr>
        <w:tc>
          <w:tcPr>
            <w:tcW w:w="110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arrangement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623,655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462,688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1,086,343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1,041,957</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Geographic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3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1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(mainly 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703,434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171,559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154,662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211,350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225,188</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1,086,343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1,041,957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Fair Value Measurement</w:t>
      </w:r>
    </w:p>
    <w:p>
      <w:pPr>
        <w:spacing w:after="0" w:line="121"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880" w:right="8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jc w:val="center"/>
        <w:ind w:left="1080" w:right="120"/>
        <w:spacing w:after="0" w:line="449" w:lineRule="auto"/>
        <w:rPr>
          <w:sz w:val="20"/>
          <w:szCs w:val="20"/>
          <w:color w:val="auto"/>
        </w:rPr>
      </w:pPr>
      <w:r>
        <w:rPr>
          <w:rFonts w:ascii="Arial" w:cs="Arial" w:eastAsia="Arial" w:hAnsi="Arial"/>
          <w:sz w:val="18"/>
          <w:szCs w:val="18"/>
          <w:color w:val="auto"/>
        </w:rPr>
        <w:t>Level 3: Unobservable inputs that are supported by little or no market activity that is significant to the fair value of the assets or liabilities. 12</w:t>
      </w:r>
    </w:p>
    <w:p>
      <w:pPr>
        <w:sectPr>
          <w:pgSz w:w="11900" w:h="16838" w:orient="portrait"/>
          <w:cols w:equalWidth="0" w:num="1">
            <w:col w:w="10960"/>
          </w:cols>
          <w:pgMar w:left="32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present the Company’s assets and liabilities measured at fair value on a recurring basis as of December 31, 2020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2020:</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As of December 31, 2020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94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96"/>
              </w:rPr>
              <w:t>Level 2</w:t>
            </w: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3</w:t>
            </w: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w w:val="90"/>
              </w:rPr>
              <w:t>$607,086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$607,086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159,559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20,391</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20,391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607,086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179,950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787,036</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23,445</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33,008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33,008</w:t>
            </w: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(36,343)</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607,086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212,958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(12,898)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807,146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0"/>
              </w:rPr>
              <w:t>As of September 30, 2020</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940" w:type="dxa"/>
            <w:vAlign w:val="bottom"/>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3</w:t>
            </w: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800" w:type="dxa"/>
            <w:vAlign w:val="bottom"/>
            <w:gridSpan w:val="5"/>
          </w:tcPr>
          <w:p>
            <w:pPr>
              <w:jc w:val="right"/>
              <w:ind w:right="20"/>
              <w:spacing w:after="0"/>
              <w:rPr>
                <w:sz w:val="20"/>
                <w:szCs w:val="20"/>
                <w:color w:val="auto"/>
              </w:rPr>
            </w:pPr>
            <w:r>
              <w:rPr>
                <w:rFonts w:ascii="Arial" w:cs="Arial" w:eastAsia="Arial" w:hAnsi="Arial"/>
                <w:sz w:val="18"/>
                <w:szCs w:val="18"/>
                <w:color w:val="auto"/>
              </w:rPr>
              <w:t>$558,633</w:t>
            </w:r>
          </w:p>
        </w:tc>
        <w:tc>
          <w:tcPr>
            <w:tcW w:w="2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$558,633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558,633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24,211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20,636</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(19,641)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(19,641)</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558,633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21,388</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4,570</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584,591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months ended December 31, 2020. Level 3 liabilities relate to certain acquisition-related liabilities, which were generally valued using a Monte-Carlo simulation model and based on estimates of potential pay-out scenarios, periodically valued every quarter. These liabilities were included in both accrued expenses and other current liabilities and other noncurrent liabilities as of December 31, 2020 and September 30, 2020. The increase in Level 3 liabilities is mainly a result of changes in the fair value recorded in the consolidated statement of income during the three months ended December 31, 2020. Level 3 assets relate to equity investments, which were valued based on price changes in orderly transactions for similar private investments of the same issuer. The slight decrease in Level 3 assets is as a result of changes in the fair value was recorded in the consolidated statement of income.</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other current liabilities, accrued personnel costs and short-term financing arrangements approximate their fair value because of the relatively short maturity of these items, for the fair value of the Senior Notes, see Note 13.</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Available-For-Sale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December 31, 2020</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0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10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0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$607,086</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$607,086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159,290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159,559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securities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20,388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20,391</w:t>
            </w:r>
          </w:p>
        </w:tc>
        <w:tc>
          <w:tcPr>
            <w:tcW w:w="0" w:type="dxa"/>
            <w:vAlign w:val="bottom"/>
          </w:tcPr>
          <w:p>
            <w:pPr>
              <w:spacing w:after="0"/>
              <w:rPr>
                <w:sz w:val="1"/>
                <w:szCs w:val="1"/>
                <w:color w:val="auto"/>
              </w:rPr>
            </w:pPr>
          </w:p>
        </w:tc>
      </w:tr>
      <w:tr>
        <w:trPr>
          <w:trHeight w:val="223"/>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Total(1)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786,764</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79"/>
              </w:rPr>
              <w:t>372</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100</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787,036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480" w:hanging="424"/>
        <w:spacing w:after="0" w:line="279"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December 31, 2020, $176,338 of securities were classified as short-term interest-bearing investments and $610,698 of securities were classified as cash and cash equivalents.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September 30, 2020</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54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Gross</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Unrealized</w:t>
            </w:r>
          </w:p>
        </w:tc>
        <w:tc>
          <w:tcPr>
            <w:tcW w:w="50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$558,633</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$558,633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700" w:type="dxa"/>
            <w:vAlign w:val="bottom"/>
          </w:tcPr>
          <w:p>
            <w:pPr>
              <w:jc w:val="right"/>
              <w:spacing w:after="0"/>
              <w:rPr>
                <w:sz w:val="20"/>
                <w:szCs w:val="20"/>
                <w:color w:val="auto"/>
              </w:rPr>
            </w:pPr>
            <w:r>
              <w:rPr>
                <w:rFonts w:ascii="Arial" w:cs="Arial" w:eastAsia="Arial" w:hAnsi="Arial"/>
                <w:sz w:val="18"/>
                <w:szCs w:val="18"/>
                <w:color w:val="auto"/>
              </w:rPr>
              <w:t>754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559,387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558,385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640" w:hanging="424"/>
        <w:spacing w:after="0" w:line="279"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2020, $752 of securities were classified as short-term interest-bearing investments and $558,633 of securities were classified as cash and cash equivalents.</w:t>
      </w:r>
    </w:p>
    <w:p>
      <w:pPr>
        <w:spacing w:after="0" w:line="171"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As of December 31, 2020, the immaterial unrealized losses attributable to the Company’s available-for-sale securities were primarily due to credit spreads and interest rate movements. The Company assessed whether such unrealized losses for the investments in its portfolio were caused by expected credit loss. Based on this assessment, the Company did not recognize any credit losses in the three months ended December 31, 2020 and 2019. Realized gains and losses on short-term interest-bearing investments are included in earnings and are determined based on specific identification method.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the Company’s available-for-sale securities had the following maturity dates: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Market Value</w:t>
            </w:r>
          </w:p>
        </w:tc>
        <w:tc>
          <w:tcPr>
            <w:tcW w:w="0" w:type="dxa"/>
            <w:vAlign w:val="bottom"/>
          </w:tcPr>
          <w:p>
            <w:pPr>
              <w:spacing w:after="0"/>
              <w:rPr>
                <w:sz w:val="1"/>
                <w:szCs w:val="1"/>
                <w:color w:val="auto"/>
              </w:rPr>
            </w:pPr>
          </w:p>
        </w:tc>
      </w:tr>
      <w:tr>
        <w:trPr>
          <w:trHeight w:val="209"/>
        </w:trPr>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4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626,006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1 to 2 years</w:t>
            </w: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18,635</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20,679</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3 to 4 years</w:t>
            </w: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47,986</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73,730</w:t>
            </w: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787,036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020" w:type="dxa"/>
            <w:vAlign w:val="bottom"/>
            <w:vMerge w:val="restart"/>
          </w:tcPr>
          <w:p>
            <w:pPr>
              <w:jc w:val="right"/>
              <w:ind w:right="265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Derivative Financial Instruments</w:t>
      </w:r>
    </w:p>
    <w:p>
      <w:pPr>
        <w:spacing w:after="0" w:line="121"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$36,157 as of December 31, 2020. The Company has limited its credit risk by entering into derivative transactions exclusively with investment-grade rated financial institutions and monitors the creditworthiness of these financial institutions on an ongoing basis.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flow.</w:t>
      </w:r>
    </w:p>
    <w:p>
      <w:pPr>
        <w:spacing w:after="0" w:line="21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December 31, 2020. Notional values are in U.S. dollars and are translated and calculated based on forward rates as of December 31, 2020 for forward contracts, and based on spot rates as of December 31, 2020 for options.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1,262,346</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340" w:right="160" w:hanging="224"/>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6 to the consolidated financial statements. The fair value of the open foreign exchange contracts recorded as an asset or a liability by the Company on its consolidated balance sheets as of December 31, 2020 and September 30, 2020, is as follows: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27,315</w:t>
            </w:r>
          </w:p>
        </w:tc>
        <w:tc>
          <w:tcPr>
            <w:tcW w:w="80" w:type="dxa"/>
            <w:vAlign w:val="bottom"/>
          </w:tcPr>
          <w:p>
            <w:pPr>
              <w:spacing w:after="0"/>
              <w:rPr>
                <w:sz w:val="18"/>
                <w:szCs w:val="18"/>
                <w:color w:val="auto"/>
              </w:rPr>
            </w:pP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21,153</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(953)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(2,089)</w:t>
            </w:r>
          </w:p>
        </w:tc>
      </w:tr>
      <w:tr>
        <w:trPr>
          <w:trHeight w:val="27"/>
        </w:trPr>
        <w:tc>
          <w:tcPr>
            <w:tcW w:w="5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20,381</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3,068</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(7,158)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(2,813)</w:t>
            </w:r>
          </w:p>
        </w:tc>
      </w:tr>
      <w:tr>
        <w:trPr>
          <w:trHeight w:val="27"/>
        </w:trPr>
        <w:tc>
          <w:tcPr>
            <w:tcW w:w="5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Net fair value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20,636</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120" w:right="20" w:firstLine="440"/>
        <w:spacing w:after="0" w:line="320" w:lineRule="auto"/>
        <w:rPr>
          <w:sz w:val="20"/>
          <w:szCs w:val="20"/>
          <w:color w:val="auto"/>
        </w:rPr>
      </w:pPr>
      <w:r>
        <w:rPr>
          <w:rFonts w:ascii="Arial" w:cs="Arial" w:eastAsia="Arial" w:hAnsi="Arial"/>
          <w:sz w:val="15"/>
          <w:szCs w:val="15"/>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December 31, 2020 is scheduled to mature within the next 12 months.</w:t>
      </w:r>
    </w:p>
    <w:p>
      <w:pPr>
        <w:spacing w:after="0" w:line="146" w:lineRule="exact"/>
        <w:rPr>
          <w:sz w:val="20"/>
          <w:szCs w:val="20"/>
          <w:color w:val="auto"/>
        </w:rPr>
      </w:pPr>
    </w:p>
    <w:p>
      <w:pPr>
        <w:jc w:val="both"/>
        <w:ind w:left="120" w:right="40" w:firstLine="440"/>
        <w:spacing w:after="0" w:line="287"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(loss),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w:t>
      </w:r>
    </w:p>
    <w:p>
      <w:pPr>
        <w:spacing w:after="0" w:line="2"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three months ended December 31, 2020 and 2019, respectively, which partially offsets the foreign currency impact from the underlying exposures, is summarized as follows:</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0"/>
              </w:rPr>
              <w:t>Gains (Losses) Reclassified from</w:t>
            </w:r>
          </w:p>
        </w:tc>
      </w:tr>
      <w:tr>
        <w:trPr>
          <w:trHeight w:val="148"/>
        </w:trPr>
        <w:tc>
          <w:tcPr>
            <w:tcW w:w="6040" w:type="dxa"/>
            <w:vAlign w:val="bottom"/>
          </w:tcPr>
          <w:p>
            <w:pPr>
              <w:spacing w:after="0"/>
              <w:rPr>
                <w:sz w:val="12"/>
                <w:szCs w:val="12"/>
                <w:color w:val="auto"/>
              </w:rPr>
            </w:pPr>
          </w:p>
        </w:tc>
        <w:tc>
          <w:tcPr>
            <w:tcW w:w="2320" w:type="dxa"/>
            <w:vAlign w:val="bottom"/>
            <w:gridSpan w:val="8"/>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Other Comprehensive Income (Loss)</w:t>
            </w:r>
          </w:p>
        </w:tc>
      </w:tr>
      <w:tr>
        <w:trPr>
          <w:trHeight w:val="162"/>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4"/>
              </w:rPr>
              <w:t>(Effective Portion)</w:t>
            </w:r>
          </w:p>
        </w:tc>
      </w:tr>
      <w:tr>
        <w:trPr>
          <w:trHeight w:val="149"/>
        </w:trPr>
        <w:tc>
          <w:tcPr>
            <w:tcW w:w="6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7"/>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6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ind w:left="479"/>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2"/>
                <w:szCs w:val="12"/>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(113)</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w:t>
            </w: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4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activity related to the changes in net unrealized gains on cash flow hedges recorded in accumulated other comprehensive income, net of tax, is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4"/>
              </w:rPr>
              <w:t>Three months ended</w:t>
            </w:r>
          </w:p>
        </w:tc>
      </w:tr>
      <w:tr>
        <w:trPr>
          <w:trHeight w:val="17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gains on cash flow hedges, net of tax,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$18,836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18,597</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614</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gains into earnings, net of tax</w:t>
            </w: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(7,569)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(993)</w:t>
            </w: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Net unrealized gains on cash flow hedges, net of tax, end of period</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29,864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3,566</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Net gains from cash flow hedges recognized in other comprehensive income (loss) were $21,439 and $625, or $18,597 and $614 net of taxes, during the three months ended December 31, 2020 and 2019, respectively.</w:t>
      </w:r>
    </w:p>
    <w:p>
      <w:pPr>
        <w:spacing w:after="0" w:line="170"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Of the net unrealized gains related to derivatives designated as cash flow hedges and recorded in accumulated other comprehensive income as of December 31, 2020, a net gain of $22,317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4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months ended December 31, 2020 and 2019, was not material.</w:t>
      </w:r>
    </w:p>
    <w:p>
      <w:pPr>
        <w:spacing w:after="0" w:line="170"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months ended December 31, 2020 and 2019, respectively, which partially offsets the foreign currency impact from the underlying exposure, is summarized as follows:</w:t>
      </w:r>
    </w:p>
    <w:p>
      <w:pPr>
        <w:spacing w:after="0" w:line="202"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Gains (Losses)</w:t>
      </w:r>
    </w:p>
    <w:p>
      <w:pPr>
        <w:spacing w:after="0" w:line="4"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Recognized in Income</w:t>
      </w:r>
    </w:p>
    <w:p>
      <w:pPr>
        <w:jc w:val="center"/>
        <w:ind w:left="6640"/>
        <w:spacing w:after="0" w:line="222" w:lineRule="auto"/>
        <w:rPr>
          <w:sz w:val="20"/>
          <w:szCs w:val="20"/>
          <w:color w:val="auto"/>
        </w:rPr>
      </w:pPr>
      <w:r>
        <w:rPr>
          <w:rFonts w:ascii="Arial" w:cs="Arial" w:eastAsia="Arial" w:hAnsi="Arial"/>
          <w:sz w:val="14"/>
          <w:szCs w:val="14"/>
          <w:b w:val="1"/>
          <w:bCs w:val="1"/>
          <w:color w:val="auto"/>
        </w:rPr>
        <w:t>Three months ended</w:t>
      </w:r>
    </w:p>
    <w:p>
      <w:pPr>
        <w:jc w:val="center"/>
        <w:ind w:left="6640"/>
        <w:spacing w:after="0" w:line="232"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13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$ 5,341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$ 1,124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1,263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1,577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expense, net</w:t>
            </w: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(4,114)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(3,063)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$ 1,004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 (5,517)</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4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0" w:type="dxa"/>
            <w:vAlign w:val="bottom"/>
            <w:gridSpan w:val="2"/>
          </w:tcPr>
          <w:p>
            <w:pPr>
              <w:ind w:left="440"/>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132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229,905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217,133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Project-related provisions</w:t>
            </w:r>
          </w:p>
        </w:tc>
        <w:tc>
          <w:tcPr>
            <w:tcW w:w="160" w:type="dxa"/>
            <w:vAlign w:val="bottom"/>
          </w:tcPr>
          <w:p>
            <w:pPr>
              <w:spacing w:after="0"/>
              <w:rPr>
                <w:sz w:val="18"/>
                <w:szCs w:val="18"/>
                <w:color w:val="auto"/>
              </w:rPr>
            </w:pPr>
          </w:p>
        </w:tc>
        <w:tc>
          <w:tcPr>
            <w:tcW w:w="1080" w:type="dxa"/>
            <w:vAlign w:val="bottom"/>
            <w:gridSpan w:val="3"/>
          </w:tcPr>
          <w:p>
            <w:pPr>
              <w:jc w:val="right"/>
              <w:ind w:right="328"/>
              <w:spacing w:after="0"/>
              <w:rPr>
                <w:sz w:val="20"/>
                <w:szCs w:val="20"/>
                <w:color w:val="auto"/>
              </w:rPr>
            </w:pPr>
            <w:r>
              <w:rPr>
                <w:rFonts w:ascii="Arial" w:cs="Arial" w:eastAsia="Arial" w:hAnsi="Arial"/>
                <w:sz w:val="18"/>
                <w:szCs w:val="18"/>
                <w:color w:val="auto"/>
              </w:rPr>
              <w:t>127,466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121,658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58,196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25,739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18"/>
                <w:szCs w:val="18"/>
                <w:color w:val="auto"/>
              </w:rPr>
            </w:pPr>
          </w:p>
        </w:tc>
        <w:tc>
          <w:tcPr>
            <w:tcW w:w="1080" w:type="dxa"/>
            <w:vAlign w:val="bottom"/>
            <w:gridSpan w:val="3"/>
          </w:tcPr>
          <w:p>
            <w:pPr>
              <w:jc w:val="right"/>
              <w:ind w:right="328"/>
              <w:spacing w:after="0"/>
              <w:rPr>
                <w:sz w:val="20"/>
                <w:szCs w:val="20"/>
                <w:color w:val="auto"/>
              </w:rPr>
            </w:pPr>
            <w:r>
              <w:rPr>
                <w:rFonts w:ascii="Arial" w:cs="Arial" w:eastAsia="Arial" w:hAnsi="Arial"/>
                <w:sz w:val="18"/>
                <w:szCs w:val="18"/>
                <w:color w:val="auto"/>
              </w:rPr>
              <w:t>42,850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43,084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8,111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174,859</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181,092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641,387</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593,608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244"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Three months ended</w:t>
      </w:r>
    </w:p>
    <w:p>
      <w:pPr>
        <w:jc w:val="center"/>
        <w:ind w:left="66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2520" w:type="dxa"/>
            <w:vAlign w:val="bottom"/>
            <w:tcBorders>
              <w:bottom w:val="single" w:sz="8" w:color="CCEEFF"/>
            </w:tcBorders>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$ 86,380</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$20,934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Deferred</w:t>
            </w:r>
          </w:p>
        </w:tc>
        <w:tc>
          <w:tcPr>
            <w:tcW w:w="4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(25,892)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$ 60,488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27,293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4180" w:type="dxa"/>
            <w:vAlign w:val="bottom"/>
            <w:vMerge w:val="restart"/>
          </w:tcPr>
          <w:p>
            <w:pPr>
              <w:jc w:val="right"/>
              <w:ind w:right="2330"/>
              <w:spacing w:after="0"/>
              <w:rPr>
                <w:sz w:val="20"/>
                <w:szCs w:val="20"/>
                <w:color w:val="auto"/>
              </w:rPr>
            </w:pPr>
            <w:r>
              <w:rPr>
                <w:rFonts w:ascii="Arial" w:cs="Arial" w:eastAsia="Arial" w:hAnsi="Arial"/>
                <w:sz w:val="18"/>
                <w:szCs w:val="18"/>
                <w:color w:val="auto"/>
              </w:rPr>
              <w:t>18</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2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9" w:right="6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44"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Three months ended</w:t>
      </w:r>
    </w:p>
    <w:p>
      <w:pPr>
        <w:jc w:val="center"/>
        <w:ind w:left="63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5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Foreign taxes (1)</w:t>
            </w:r>
          </w:p>
        </w:tc>
        <w:tc>
          <w:tcPr>
            <w:tcW w:w="480" w:type="dxa"/>
            <w:vAlign w:val="bottom"/>
          </w:tcPr>
          <w:p>
            <w:pPr>
              <w:jc w:val="right"/>
              <w:spacing w:after="0"/>
              <w:rPr>
                <w:sz w:val="20"/>
                <w:szCs w:val="20"/>
                <w:color w:val="auto"/>
              </w:rPr>
            </w:pPr>
            <w:r>
              <w:rPr>
                <w:rFonts w:ascii="Arial" w:cs="Arial" w:eastAsia="Arial" w:hAnsi="Arial"/>
                <w:sz w:val="18"/>
                <w:szCs w:val="18"/>
                <w:color w:val="auto"/>
              </w:rPr>
              <w:t>16.8</w:t>
            </w:r>
          </w:p>
        </w:tc>
        <w:tc>
          <w:tcPr>
            <w:tcW w:w="6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r>
      <w:tr>
        <w:trPr>
          <w:trHeight w:val="27"/>
        </w:trPr>
        <w:tc>
          <w:tcPr>
            <w:tcW w:w="6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r>
      <w:tr>
        <w:trPr>
          <w:trHeight w:val="20"/>
        </w:trPr>
        <w:tc>
          <w:tcPr>
            <w:tcW w:w="6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 in rate is primarily driven by discrete items in the respective period presented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820" w:hanging="264"/>
        <w:spacing w:after="0"/>
        <w:tabs>
          <w:tab w:leader="none" w:pos="8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Foreign taxes for the three months ended December 31, 2020:</w:t>
      </w:r>
    </w:p>
    <w:p>
      <w:pPr>
        <w:spacing w:after="0" w:line="117" w:lineRule="exact"/>
        <w:rPr>
          <w:sz w:val="20"/>
          <w:szCs w:val="20"/>
          <w:color w:val="auto"/>
        </w:rPr>
      </w:pPr>
    </w:p>
    <w:p>
      <w:pPr>
        <w:ind w:left="560" w:right="320" w:firstLine="423"/>
        <w:spacing w:after="0" w:line="277" w:lineRule="auto"/>
        <w:rPr>
          <w:sz w:val="20"/>
          <w:szCs w:val="20"/>
          <w:color w:val="auto"/>
        </w:rPr>
      </w:pPr>
      <w:r>
        <w:rPr>
          <w:rFonts w:ascii="Arial" w:cs="Arial" w:eastAsia="Arial" w:hAnsi="Arial"/>
          <w:sz w:val="18"/>
          <w:szCs w:val="18"/>
          <w:color w:val="auto"/>
        </w:rPr>
        <w:t>Foreign taxes in the three months ended December 31, 2020 included an expense of $39,596 for the estimated additional tax charge as a result of the gain from sale of a business, see also Note 4.</w:t>
      </w:r>
    </w:p>
    <w:p>
      <w:pPr>
        <w:spacing w:after="0" w:line="62"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Foreign taxes in the three months ended December 31, 2020 also included a benefit of $4,772 relating to release of gross unrecognized tax benefits due to expiration of the periods set forth in statutes of limitations in certain jurisdictions, and changes in facts and circumstances resulting in a change in measurement of certain positions.</w:t>
      </w:r>
    </w:p>
    <w:p>
      <w:pPr>
        <w:spacing w:after="0" w:line="292" w:lineRule="exact"/>
        <w:rPr>
          <w:sz w:val="20"/>
          <w:szCs w:val="20"/>
          <w:color w:val="auto"/>
        </w:rPr>
      </w:pPr>
    </w:p>
    <w:p>
      <w:pPr>
        <w:ind w:left="820" w:hanging="264"/>
        <w:spacing w:after="0"/>
        <w:tabs>
          <w:tab w:leader="none" w:pos="82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Foreign taxes for the three months ended December 31, 2019:</w:t>
      </w:r>
    </w:p>
    <w:p>
      <w:pPr>
        <w:spacing w:after="0" w:line="117" w:lineRule="exact"/>
        <w:rPr>
          <w:sz w:val="20"/>
          <w:szCs w:val="20"/>
          <w:color w:val="auto"/>
        </w:rPr>
      </w:pPr>
    </w:p>
    <w:p>
      <w:pPr>
        <w:jc w:val="both"/>
        <w:ind w:left="560" w:firstLine="423"/>
        <w:spacing w:after="0" w:line="259" w:lineRule="auto"/>
        <w:rPr>
          <w:sz w:val="20"/>
          <w:szCs w:val="20"/>
          <w:color w:val="auto"/>
        </w:rPr>
      </w:pPr>
      <w:r>
        <w:rPr>
          <w:rFonts w:ascii="Arial" w:cs="Arial" w:eastAsia="Arial" w:hAnsi="Arial"/>
          <w:sz w:val="18"/>
          <w:szCs w:val="18"/>
          <w:color w:val="auto"/>
        </w:rPr>
        <w:t>Foreign taxes in the three months ended December 31, 2019 also included a benefit of $10,689 relating to release of gross unrecognized tax benefits due to settlements with tax authorities and expiration of the periods set forth in statutes of limitations in certain jurisdictions (the majority of which was offset by decrease in tax assets). As a result, a net benefit of $1,417 was included within income tax expense for three months ended December 31, 2019.</w:t>
      </w:r>
    </w:p>
    <w:p>
      <w:pPr>
        <w:spacing w:after="0" w:line="18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As of December 31, 2020, deferred tax assets of $65,112, derived primarily from tax credits, net capital and operating loss carry forwards related to some of the Company’s subsidiaries, were offset by valuation allowances due to the uncertainty of realizing tax benefit for such credits and losses.</w:t>
      </w:r>
    </w:p>
    <w:p>
      <w:pPr>
        <w:spacing w:after="0" w:line="12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$177,944 as of December 31, 2020, all of which would affect the effective tax rate if realized.</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As of December 31, 2020, the Company had accrued $18,364 in income taxes payable for interest and penalties relating to unrecognized tax benefits.</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Three months ended</w:t>
      </w:r>
    </w:p>
    <w:p>
      <w:pPr>
        <w:jc w:val="center"/>
        <w:ind w:left="64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299,632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115,932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Less-net income and dividends attributable to participating restricted shares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297,051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115,168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Less-undistributed income reallocated to participating restricted shares</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(2,204)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297,058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115,172</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131,125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134,596</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Less-weighted average number of participating restricted shares</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129,995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133,709</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130,453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134,730</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360"/>
              <w:spacing w:after="0"/>
              <w:rPr>
                <w:sz w:val="20"/>
                <w:szCs w:val="20"/>
                <w:color w:val="auto"/>
              </w:rPr>
            </w:pPr>
            <w:r>
              <w:rPr>
                <w:rFonts w:ascii="Arial" w:cs="Arial" w:eastAsia="Arial" w:hAnsi="Arial"/>
                <w:sz w:val="18"/>
                <w:szCs w:val="18"/>
                <w:color w:val="auto"/>
              </w:rPr>
              <w:t>Basic 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For the three months ended December 31, 2020 and 2019, 2,954 and 1,933 shares, respectively, on a weighted average basis, were attributable to antidilutive outstanding stock options. Shares attributable to antidilutive outstanding stock options were not included in the calculation of diluted earnings per share.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Repurchase of Shares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From time to time, the Company’s Board of Directors can adopt share repurchase plans authorizing the repurchase of the Company’s outstanding ordinary shares. On November 12, 2019, the Company’s Board of Directors adopted another share repurchase plan authorizing the repurchase of up to an additional $800,000 of the Company’s outstanding ordinary shares with no expiration date. In the three months ended December 31, 2020, the Company repurchased 1,436 ordinary shares at an average price of $62.66 per share (excluding broker and transaction fees). The November 2019 plan permits the Company to purchase its ordinary shares in the open market or through privately negotiated transactions at times and prices that it considers appropriate. As of December 31, 2020, the Company had remaining authority to repurchase up to $588,344 of its outstanding ordinary shares under the November 2019 plan.</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320" w:top="459" w:right="5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Financing Arrangements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December 2011, the Company entered into an unsecured $500,000 five-year revolving credit facility with a syndicate of banks (the “Revolving Credit Facility”). In December 2014, the Revolving Credit Facility was amended and restated to, among other things, extend the maturity date of the facility to December 2019. In December 2017, the Revolving Credit Facility was amended and restated again to, among other things, extend the maturity date of the facility to December 2022. As of December 31, 2020, the Company was in compliance with the financial covenants and had no outstanding borrowings under the Revolving Credit Facility.</w:t>
      </w:r>
    </w:p>
    <w:p>
      <w:pPr>
        <w:spacing w:after="0" w:line="18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In addition, unassociated with the Revolving Credit Facility discussed above, in May 2020 the Company entered into an additional $100,000 short-term loan which remained outstanding as of December 31, 2020.</w:t>
      </w:r>
    </w:p>
    <w:p>
      <w:pPr>
        <w:spacing w:after="0" w:line="170" w:lineRule="exact"/>
        <w:rPr>
          <w:sz w:val="20"/>
          <w:szCs w:val="20"/>
          <w:color w:val="auto"/>
        </w:rPr>
      </w:pPr>
    </w:p>
    <w:p>
      <w:pPr>
        <w:ind w:left="340" w:firstLine="216"/>
        <w:spacing w:after="0" w:line="273" w:lineRule="auto"/>
        <w:rPr>
          <w:sz w:val="20"/>
          <w:szCs w:val="20"/>
          <w:color w:val="auto"/>
        </w:rPr>
      </w:pPr>
      <w:r>
        <w:rPr>
          <w:rFonts w:ascii="Arial" w:cs="Arial" w:eastAsia="Arial" w:hAnsi="Arial"/>
          <w:sz w:val="17"/>
          <w:szCs w:val="17"/>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78" w:lineRule="exact"/>
        <w:rPr>
          <w:sz w:val="20"/>
          <w:szCs w:val="20"/>
          <w:color w:val="auto"/>
        </w:rPr>
      </w:pPr>
    </w:p>
    <w:p>
      <w:pPr>
        <w:ind w:left="340" w:right="20" w:firstLine="216"/>
        <w:spacing w:after="0" w:line="263" w:lineRule="auto"/>
        <w:rPr>
          <w:sz w:val="20"/>
          <w:szCs w:val="20"/>
          <w:color w:val="auto"/>
        </w:rPr>
      </w:pPr>
      <w:r>
        <w:rPr>
          <w:rFonts w:ascii="Arial" w:cs="Arial" w:eastAsia="Arial" w:hAnsi="Arial"/>
          <w:sz w:val="18"/>
          <w:szCs w:val="18"/>
          <w:color w:val="auto"/>
        </w:rPr>
        <w:t>The total interest expenses recognized in connection of the Senior Notes for the three months ended December 31, 2020 were $4,296. The accrued interest on the Senior Notes is included in accrued expenses and other current liabilities and was immaterial as of December 31, 2020. As of December 31, 2020, the noncurrent outstanding principal portion was $650,000.</w:t>
      </w:r>
    </w:p>
    <w:p>
      <w:pPr>
        <w:spacing w:after="0" w:line="184"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The total estimated fair value of the Senior Notes as of December 31, 2020 was $684,619. The fair value was determined based on the closing trading price of Senior Notes as of December 31, 2020 and is deemed a Level 2 liability within the fair value measurement framework.</w:t>
      </w:r>
    </w:p>
    <w:p>
      <w:pPr>
        <w:spacing w:after="0" w:line="14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December 31, 2020, the Company had additional uncommitted lines of credit available for general corporate and other specific purposes and had outstanding letters of credit and bank guarantees from various banks totaling $96,087. These were supported by a combination of the uncommitted lines of credit that the Company maintains with various banks.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Stock Option and Incentive Plan</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2020, the maximum number of ordinary shares authorized to be granted under the Equity Incentive Plan was increased from 67,550 to 70,550. Awards granted under the Equity Incentive Plan generally vest over a period of three to four years subject to service based conditions or a combination of service and performance-based conditions and stock options have a term of ten years. Also, in accordance with the Equity Incentive Plan, options are issued at or above the market price at the time of grant.</w:t>
      </w:r>
    </w:p>
    <w:p>
      <w:pPr>
        <w:spacing w:after="0" w:line="17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During the three months ended December 31, 2020, the Company granted 549 restricted shares and options to purchase 59 ordinary shares. The weighted average fair values associated with these grants were $62.89 per restricted share and $7.83 per option.</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Equity-based payments to employees, including grants of employee stock options, are recognized in the statements of income based on their fair values.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Employee equity-based compensation pre-tax expense for the three months ended December 31, 2020 and 2019 was as follows:</w:t>
      </w:r>
    </w:p>
    <w:p>
      <w:pPr>
        <w:spacing w:after="0" w:line="24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Three months ended</w:t>
      </w:r>
    </w:p>
    <w:p>
      <w:pPr>
        <w:jc w:val="center"/>
        <w:ind w:left="66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832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803</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4,612</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12,577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10,761</w:t>
            </w:r>
          </w:p>
        </w:tc>
        <w:tc>
          <w:tcPr>
            <w:tcW w:w="4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Company recognizes compensation costs for its equity incentive grants using the graded vesting attribution method. As of December 31, 2020, there was $57,704 of unrecognized compensation expense related to unvested stock options and unvested restricted shares which is expected to be recognized over a weighted average period of approximately one year, based on the vesting periods of the grants.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Dividends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Board of Directors declared the following dividends during the three months ended December 31, 2020 and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4"/>
              </w:rPr>
              <w:t>Declaration Date</w:t>
            </w:r>
          </w:p>
        </w:tc>
        <w:tc>
          <w:tcPr>
            <w:tcW w:w="2160" w:type="dxa"/>
            <w:vAlign w:val="bottom"/>
            <w:vMerge w:val="restart"/>
          </w:tcPr>
          <w:p>
            <w:pPr>
              <w:spacing w:after="0"/>
              <w:rPr>
                <w:sz w:val="14"/>
                <w:szCs w:val="14"/>
                <w:color w:val="auto"/>
              </w:rPr>
            </w:pPr>
          </w:p>
        </w:tc>
        <w:tc>
          <w:tcPr>
            <w:tcW w:w="178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22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Record Date</w:t>
            </w:r>
          </w:p>
        </w:tc>
        <w:tc>
          <w:tcPr>
            <w:tcW w:w="1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17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Ordinary Share</w:t>
            </w:r>
          </w:p>
        </w:tc>
        <w:tc>
          <w:tcPr>
            <w:tcW w:w="2260" w:type="dxa"/>
            <w:vAlign w:val="bottom"/>
            <w:gridSpan w:val="2"/>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November 10, 2020</w:t>
            </w: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0.3275</w:t>
            </w:r>
          </w:p>
        </w:tc>
        <w:tc>
          <w:tcPr>
            <w:tcW w:w="7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December 31, 2020</w:t>
            </w:r>
          </w:p>
        </w:tc>
        <w:tc>
          <w:tcPr>
            <w:tcW w:w="8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42,850</w:t>
            </w:r>
          </w:p>
        </w:tc>
        <w:tc>
          <w:tcPr>
            <w:tcW w:w="7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January 22, 2021</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November 12, 2019</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0.285</w:t>
            </w:r>
          </w:p>
        </w:tc>
        <w:tc>
          <w:tcPr>
            <w:tcW w:w="2260" w:type="dxa"/>
            <w:vAlign w:val="bottom"/>
            <w:gridSpan w:val="2"/>
          </w:tcPr>
          <w:p>
            <w:pPr>
              <w:ind w:left="60"/>
              <w:spacing w:after="0"/>
              <w:rPr>
                <w:sz w:val="20"/>
                <w:szCs w:val="20"/>
                <w:color w:val="auto"/>
              </w:rPr>
            </w:pPr>
            <w:r>
              <w:rPr>
                <w:rFonts w:ascii="Arial" w:cs="Arial" w:eastAsia="Arial" w:hAnsi="Arial"/>
                <w:sz w:val="18"/>
                <w:szCs w:val="18"/>
                <w:color w:val="auto"/>
              </w:rPr>
              <w:t>December 31, 2019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38,357</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amounts payable as a result of the November 10, 2020 and November 12, 2019 declarations were included in accrued expenses and other current liabilities as of December 31, 2020 and 2019, respectively.</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 February 2, 2021 the Company’s Board of Directors approved the next quarterly dividend payment and set March 31, 2021 as the record date for determining the shareholders entitled to receive the dividend, which is payable on April 23, 2021. On January 29, 2021, at the annual general meeting of shareholders, the Company’s shareholders approved an increase in the rate of the quarterly cash dividend from $0.3275 per share to $0.36 per share. As a result, the April 23, 2021 cash dividend will be paid at the increased rate of $0.36 per share.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560" w:right="9200" w:hanging="444"/>
        <w:spacing w:after="0" w:line="425" w:lineRule="auto"/>
        <w:tabs>
          <w:tab w:leader="none" w:pos="389"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i w:val="1"/>
          <w:iCs w:val="1"/>
          <w:color w:val="auto"/>
        </w:rPr>
        <w:t>Legal Proceedings</w:t>
      </w:r>
    </w:p>
    <w:p>
      <w:pPr>
        <w:ind w:left="120" w:firstLine="440"/>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To date, however, the Ecuadorian Courts have responded to such defense efforts, including motions alleging constitutional defects, in an inconsistent manner. While we have achieved some successes, the majority of the procedures are still ongoing. The Company is unable to reasonably estimate the ultimate outcome of the above dispute.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jc w:val="both"/>
        <w:ind w:left="120" w:right="200" w:firstLine="440"/>
        <w:spacing w:after="0" w:line="287"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w:t>
      </w:r>
    </w:p>
    <w:p>
      <w:pPr>
        <w:spacing w:after="0" w:line="2"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Important factors that may affect these projections or expectations include, but are not limited to: changes in the overall economy; the duration and severity of the COVID-19 (coronavirus) pandemic, and its impact on the global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including the COVID-19 risk, please read the information set forth under the caption “Risk Factors” in our Annual Report on Form 20-F for fiscal year 2020, filed on December 14, 2020 with the U.S. Securities and Exchange Commission.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Amdocs is a leading provider of software and services for more than 350 communications, Pay TV, entertainment and media industry and other service providers in developed countries and emerging markets. Amdocs also has technology and distribution ties to more than 850 content owners to bring premium content to over 500 video service providers. Our software and services, which we develop, implement and manage, are designed to meet the business imperatives of our customers and help them modernize, automate and digitize their business in the cloud. These imperatives address service provider needs around consumer experience and monetization; media and digital services; enterprise and connected society; open cloud and 5G networks; new domains and disruptions, and services and hybrid operations.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the demand for our solutions is driven by our clients’ continued migration to the cloud, deployment of 5G networks and transformation into digital service providers to provide wireless access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offerings are designed to meet the challenges facing our customers as they transform into digital service providers within the framework of a hybrid IT environment, which requires them to rapidly introduce new cloud-native applications while still operating legacy systems. They enable modular expansion as a service provider evolves, ensuring low-cost and reduced-risk implementations, while their microservices-based architecture enables the rapid deployment of complex applications as suites of independently deployable services that can be frequently upgraded via DevOps. Our comprehensive line of services is designed to address every stage of a service provider’s lifecycle. They include end-to-end systems integration services, managed services, quality engineering services, cloud services, digital business operations, and consulting services.</w:t>
      </w:r>
    </w:p>
    <w:p>
      <w:pPr>
        <w:spacing w:after="0" w:line="16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and media industry. In the three months ended December 31, 2020, customers in North America accounted for 64.8% of our revenue, while customers in Europe and the rest of the world accounted for 15.8% and 19.4%, respectively. We maintain and support development facilities in Brazil, Canada, Cyprus, India, Ireland, Israel, Mexico, the Philippines, the UK and the United States.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1080" w:right="1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Our results of operations are affected by general economic conditions and the level of economic activity in the industries and markets that we serve. The current COVID-19 pandemic has increased that level of volatility and uncertainty globally and has created economic disruption. While the extent of the impact of the COVID-19 pandemic on our business remains uncertain, we are currently performing on our obligations to our customers while implementing some modifications, including, among others, travel restrictions, moving almost all of our employees to work from home or hybrid home-office arrangements and establishing clear guidelines for working on-premise. Despite operating under the pandemic global restrictions, we are able to continue to seamlessly operate our customers’ mission-critical systems without interruption.</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as a result of the business disruption caused by the COVID-19 pandemic, we cannot predict all possible scenarios and our outlook maybe impacted materially as our customers continue to evaluate their strategic business priorities and future pace of investments. We are actively monitoring the pandemic and managing our business to respond to the impact of the COVID-19. In addition, foreign exchange rates fluctuation may continue to present challenges in future periods should significant increases in volatility in foreign exchange markets occur. Although we try to mitigate the foreign currency exchange rates impact on our results through our hedging policy, we cannot assure that we will be able to effectively limit all of our exposure.</w:t>
      </w:r>
    </w:p>
    <w:p>
      <w:pPr>
        <w:spacing w:after="0" w:line="19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recognize revenue under the five-step methodology required under ASC 606, which requires us to identify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4" w:lineRule="exact"/>
        <w:rPr>
          <w:sz w:val="20"/>
          <w:szCs w:val="20"/>
          <w:color w:val="auto"/>
        </w:rPr>
      </w:pPr>
    </w:p>
    <w:p>
      <w:pPr>
        <w:jc w:val="both"/>
        <w:ind w:left="120" w:right="40" w:firstLine="440"/>
        <w:spacing w:after="0" w:line="277" w:lineRule="auto"/>
        <w:rPr>
          <w:sz w:val="20"/>
          <w:szCs w:val="20"/>
          <w:color w:val="auto"/>
        </w:rPr>
      </w:pPr>
      <w:r>
        <w:rPr>
          <w:rFonts w:ascii="Arial" w:cs="Arial" w:eastAsia="Arial" w:hAnsi="Arial"/>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For our primary revenue categories, related performance obligations, and associated recognition patterns please see Note 5 to our consolidated financial statements.</w:t>
      </w:r>
    </w:p>
    <w:p>
      <w:pPr>
        <w:spacing w:after="0" w:line="170"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Revenue generated in connection with managed services arrangements is a significant part of our business, generating substantial, long-term recurring revenue streams and cash flow. Managed services arrangements include management of data center operations and IT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$623.7 million and $579.7 million in the three months ended December 31, 2020 and 2019, respectively.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sets forth for the three months ended December 31, 2020 and 2019, certain items in our consolidated statements of income reflected as a percentage of revenue (figures may not sum because of rounding):</w:t>
      </w:r>
    </w:p>
    <w:p>
      <w:pPr>
        <w:spacing w:after="0" w:line="189"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Three months</w:t>
      </w:r>
    </w:p>
    <w:p>
      <w:pPr>
        <w:jc w:val="center"/>
        <w:ind w:left="6760"/>
        <w:spacing w:after="0" w:line="226" w:lineRule="auto"/>
        <w:rPr>
          <w:sz w:val="20"/>
          <w:szCs w:val="20"/>
          <w:color w:val="auto"/>
        </w:rPr>
      </w:pPr>
      <w:r>
        <w:rPr>
          <w:rFonts w:ascii="Arial" w:cs="Arial" w:eastAsia="Arial" w:hAnsi="Arial"/>
          <w:sz w:val="14"/>
          <w:szCs w:val="14"/>
          <w:b w:val="1"/>
          <w:bCs w:val="1"/>
          <w:color w:val="auto"/>
        </w:rPr>
        <w:t>ended</w:t>
      </w:r>
    </w:p>
    <w:p>
      <w:pPr>
        <w:jc w:val="center"/>
        <w:ind w:left="6760"/>
        <w:spacing w:after="0" w:line="232"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67.1</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7.0</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Operating income</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4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33.1</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Income taxes</w:t>
            </w: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100"/>
              <w:spacing w:after="0"/>
              <w:rPr>
                <w:sz w:val="20"/>
                <w:szCs w:val="20"/>
                <w:color w:val="auto"/>
              </w:rPr>
            </w:pPr>
            <w:r>
              <w:rPr>
                <w:rFonts w:ascii="Arial" w:cs="Arial" w:eastAsia="Arial" w:hAnsi="Arial"/>
                <w:sz w:val="18"/>
                <w:szCs w:val="18"/>
                <w:color w:val="auto"/>
              </w:rPr>
              <w:t>26</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59" w:right="7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December 31, 2020 and 2019</w:t>
      </w:r>
    </w:p>
    <w:p>
      <w:pPr>
        <w:spacing w:after="0" w:line="121"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three months ended December 31, 2020 compared to the three months ended December 31, 2019. Following the table is a discussion and analysis of our business and results of operations for such periods.</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70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0"/>
              </w:rPr>
              <w:t>Amount</w:t>
            </w:r>
          </w:p>
        </w:tc>
        <w:tc>
          <w:tcPr>
            <w:tcW w:w="6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1,086,343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1,041,957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728,716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686,312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42,404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75,669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67,311</w:t>
            </w: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8,358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121,888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123,467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19,870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21,290</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(1,420)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946,143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898,380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47,763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140,200</w:t>
            </w:r>
          </w:p>
        </w:tc>
        <w:tc>
          <w:tcPr>
            <w:tcW w:w="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143,577</w:t>
            </w:r>
          </w:p>
        </w:tc>
        <w:tc>
          <w:tcPr>
            <w:tcW w:w="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(3,377)</w:t>
            </w:r>
          </w:p>
        </w:tc>
        <w:tc>
          <w:tcPr>
            <w:tcW w:w="300" w:type="dxa"/>
            <w:vAlign w:val="bottom"/>
            <w:vMerge w:val="continue"/>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(6,138)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1,743.8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226,410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226,410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360,120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143,225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216,895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60,488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27,293</w:t>
            </w: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33,195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299,632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115,932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183,700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$44.4 million, or 4.3%, to $1,086.3 million in the three months ended December 31, 2020, from $1,042.0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December 31, 2019. The increase in revenue was attributable to increased managed services including managed transformation activities. Revenue for the three months ended December 31, 2020 increased by 4.3% compared to the three months ended December 31, 2019, including approximately 0.6% positive foreign exchange fluctuations impact, and was also positively affected by activities related to acquisitions completed in fiscal year 2020.</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the three months ended December 31, 2020, revenue from customers in North America, Europe and the rest of the world accounted for 64.8%, 15.8% and 19.4%, respectively, of total revenue, compared to 63.5%, 14.9% and 21.6%, respectively, the three months ended December 31, 2019. Revenue from customers in North America increased during the three months ended December 31, 2020, the increase was primarily attributable to higher revenue from managed services activities from key customers in North America.</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Revenue from customers in Europe increased during the three months ended December 31, 2020. The increase in revenue from customers in Europe was primarily attributable to higher revenue from development and modernization activities while we expand our presence in this region, as well as positive foreign exchange fluctuation impact.</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Revenue from customers in the rest of the world decreased during the three months ended December 31, 2020. The decrease is mainly attributable to CALA region.</w:t>
      </w:r>
    </w:p>
    <w:p>
      <w:pPr>
        <w:spacing w:after="0" w:line="170"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b w:val="1"/>
          <w:bCs w:val="1"/>
          <w:i w:val="1"/>
          <w:iCs w:val="1"/>
          <w:color w:val="auto"/>
        </w:rPr>
        <w:t>Cost of Revenue</w:t>
      </w:r>
      <w:r>
        <w:rPr>
          <w:rFonts w:ascii="Arial" w:cs="Arial" w:eastAsia="Arial" w:hAnsi="Arial"/>
          <w:sz w:val="17"/>
          <w:szCs w:val="17"/>
          <w:color w:val="auto"/>
        </w:rPr>
        <w:t>. Cost of revenue consists primarily of costs associated with providing services to customers, including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costs of third-party products, as well as fee and royalty payments to software suppliers. Cost of revenue increased by $42.4 million, or 6.2%, to $728.7 million in the three months ended December 31, 2020, from $686.3 million in the three months ended December 31, 2019. The Cost of revenue as a percentage of revenue, remained stable, excluding the $15.3 million impact of changes of certain acquisition-related liabilities measured at fair value recognized in the three months ended December 31, 2020 and December 31, 2019.</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$8.4 million, or 12.4%, to $75.7 million in the three months ended December 31, 2020, from $67.3 million in the three months ended December 31, 2019. Research and development expense increased as a percentage of revenue from 6.5% in the three months ended December 31, 2019, to 7.0% in the three months ended December 31, 2020. We continue to invest in our cloud offering, 5G and network related innovation and developing our digital offerings as well as our media offerings. Our research and development efforts are a key element of our strategy and are essential to our success, and we intend to maintain our commitment to research and development. An increase or decrease in our revenue would not necessarily result in a proportional increase or decrease in the levels of our research and development expenditures, which could affect our operating margin.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color w:val="auto"/>
        </w:rPr>
        <w:t>. Selling, general and administrative expense, which is primarily comprised of compensation expense,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decreased by $1.6 million, or 1.3%, to $121.9 million in the three months ended December 31, 2020, from $123.5 million in the three months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December 31, 2019. Selling, general and administrative expense decreased as a percentage of revenue from 11.8% in the three months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2019, to 11.2% in the three months ended December 31, 2020. The slight decrease is mainly due to lower selling and marketing and travel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costs in the three months ended December 31, 2020 compared to the three months ended December 31, 2019 as a result of the COVID-19 restrictions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was also attributable to decrease in the account receivable allowances. The decrease was partially offset by selling, general and administrative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expense, attributable to acquisitions completed in fiscal year 2020. Selling, general and administrative expense may fluctuate from time to time,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depending upon such factors as changes in our workforce and sales efforts and the results of any operational efficiency programs that we may undertake.</w:t>
      </w:r>
    </w:p>
    <w:p>
      <w:pPr>
        <w:spacing w:after="0" w:line="234"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b w:val="1"/>
          <w:bCs w:val="1"/>
          <w:i w:val="1"/>
          <w:iCs w:val="1"/>
          <w:color w:val="auto"/>
        </w:rPr>
        <w:t>Amortization of Purchased Intangible Assets and Other</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Amortization of purchased intangible assets and other in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2020, decreased by $1.4 million, or 6.7% to $19.9 million from $21.3 million in the three months ended December 31, 2019. The decrease in amortization of purchased intangible assets and other was primarily attributable to a completion of amortization of previously purchased intangible assets, partially offset by an increase in amortization of intangible assets due to acquisitions completed in fiscal year 2020.</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decreased by $3.4 million, or 2.4%, in the three months ended December 31, 2020, to $140.2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12.9% of revenue, from $143.6 million, or 13.8% of revenue, in the three months ended December 31, 2019. The decrease in operating income was attributable primarily to the increase in research and development expense during the three months ended December 31, 2020. Positive foreign exchange impacts on our revenue, resulting in a positive impact on our operating income.</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Interest and Other Expense,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other expense, net, changed from a net expense of $0.4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to a net expense of $6.5 million in the three months ended December 31, 2020. The increase in interest and other expense, net, was primarily attributable to an increase in interest expenses related to financing activities recorded in the three months ended December 31, 2020 compared to the three months ended December 31, 2019.</w:t>
      </w:r>
    </w:p>
    <w:p>
      <w:pPr>
        <w:spacing w:after="0" w:line="187"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b w:val="1"/>
          <w:bCs w:val="1"/>
          <w:i w:val="1"/>
          <w:iCs w:val="1"/>
          <w:color w:val="auto"/>
        </w:rPr>
        <w:t xml:space="preserve">Gain from sale of a business. </w:t>
      </w:r>
      <w:r>
        <w:rPr>
          <w:rFonts w:ascii="Arial" w:cs="Arial" w:eastAsia="Arial" w:hAnsi="Arial"/>
          <w:sz w:val="17"/>
          <w:szCs w:val="17"/>
          <w:color w:val="auto"/>
        </w:rPr>
        <w:t>Gain from sale of a business, for the three months ended December 31, 2020, was $226.4 million, while there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 such gain in the three months ended December 31, 2019. Please see Note 4 to our consolidated financial statements.</w:t>
      </w:r>
    </w:p>
    <w:p>
      <w:pPr>
        <w:spacing w:after="0" w:line="14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December 31, 2020 were $60.5 million on pre-tax income of $360.1 million, resulting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effective tax rate of 16.8%, compared to 19.1% in the three months ended December 31, 2019. Absent the gain from sale of a business, the effective tax rate for the three months ended December 31, 2020, would have been 15.6%. Our effective tax rate may fluctuate between periods as a result of discrete items that may affect a particular period. Please see Note 10 to our consolidated financial statements.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Net Income</w:t>
      </w:r>
      <w:r>
        <w:rPr>
          <w:rFonts w:ascii="Arial" w:cs="Arial" w:eastAsia="Arial" w:hAnsi="Arial"/>
          <w:sz w:val="17"/>
          <w:szCs w:val="17"/>
          <w:color w:val="auto"/>
        </w:rPr>
        <w:t>. Net income increased by $183.7 million, or 158.5%, to $299.6 million in the three months ended December 31, 2020, from</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$115.9 million in the three months ended December 31, 2019. The increase in net income was primarily attributable to the gain from sale of a business,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of tax.</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Diluted Earnings Per Share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earnings per share increased by $1.43, or 168.2%, to $2.28 in the three months ended December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$0.85 in the three months ended December 31, 2019. The increase in diluted earnings per share was primarily attributable to the gain from sale of a business, net of tax, which increased the diluted earnings per share for the three months ended December 31, 2020, by $1.42, as well as to the decrease in the diluted weighted average number of shares outstanding which resulted from share repurchases. Please see also Note 11 to our consolidated financial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totaled</w:t>
      </w:r>
      <w:r>
        <w:rPr>
          <w:rFonts w:ascii="Arial" w:cs="Arial" w:eastAsia="Arial" w:hAnsi="Arial"/>
          <w:sz w:val="16"/>
          <w:szCs w:val="16"/>
          <w:i w:val="1"/>
          <w:iCs w:val="1"/>
          <w:color w:val="auto"/>
        </w:rPr>
        <w:t xml:space="preserve"> </w:t>
      </w:r>
      <w:r>
        <w:rPr>
          <w:rFonts w:ascii="Arial" w:cs="Arial" w:eastAsia="Arial" w:hAnsi="Arial"/>
          <w:sz w:val="16"/>
          <w:szCs w:val="16"/>
          <w:color w:val="auto"/>
        </w:rPr>
        <w:t>$1,512.9 million as of December 31, 2020, compared to $983.9 million as of September 30, 2019. The increase was mainly attributable to</w:t>
      </w:r>
    </w:p>
    <w:p>
      <w:pPr>
        <w:ind w:left="120" w:right="80"/>
        <w:spacing w:after="0" w:line="253" w:lineRule="auto"/>
        <w:rPr>
          <w:sz w:val="20"/>
          <w:szCs w:val="20"/>
          <w:color w:val="auto"/>
        </w:rPr>
      </w:pPr>
      <w:r>
        <w:rPr>
          <w:rFonts w:ascii="Arial" w:cs="Arial" w:eastAsia="Arial" w:hAnsi="Arial"/>
          <w:sz w:val="18"/>
          <w:szCs w:val="18"/>
          <w:color w:val="auto"/>
        </w:rPr>
        <w:t>$416.5 million positive cash flow from operating activities, reflecting healthy cash collections and the cash benefit of a multi-year strategic partnership agreement with T-Mobile, $290.8 million net cash received from sale of a business and, $12.7 million of proceeds from stock option exercises, partially offset by $90.0 million repurchase of our ordinary shares, $50.1 million for capital expenditures, net, $43.1 million of cash dividend payment and $9.9 million payments for business and intangible assets acquisitions. Net cash provided by operating activities amounted to $416.5 million and $163.9 million in the three months ended December 31, 2020 and 2019, respectively.</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free cash flow for the three months ended December 31, 2020 was $366.4 million and is calculated as net cash provided by operating activities of $416.5 million for the period less $50.1 million for capital expenditures, net (which included capital expenditures of $18.3 million as part of our investment in our new campus in Israel).</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believe that our current cash balances, cash generated from operations, our current lines of credit, loans, Senior Notes and our ability to access capital markets will provide sufficient resources to meet our operational needs, fund the construction of the new campus in Israel, loan and debt repayment needs, fund share repurchases and the payment of cash dividends for at least the next twelve months.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short-term interest-bearing investments comprised of marketable securities and bank deposits. We classify all of our marketable securities as available-for-sale securities. Such marketable securities consist primarily of money market funds, corporate bonds and U.S government securities, which are stated at market value. We believe we have conservative investment policy guidelines. Our interest-bearing investments are stated at fair value with the unrealized gains or losses reported as a separate component of accumulated other comprehensive income,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three months ended December 31, 2020 and 2019, we did not recognize any credit losses. Please see Notes 6 and 7 to the consolidated financial statements.</w:t>
      </w:r>
    </w:p>
    <w:p>
      <w:pPr>
        <w:spacing w:after="0" w:line="17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 xml:space="preserve">Revolving Credit Facility, Loans, Senior Notes, Letters of Credit, Guarantees and Contractual Obligations. </w:t>
      </w:r>
      <w:r>
        <w:rPr>
          <w:rFonts w:ascii="Arial" w:cs="Arial" w:eastAsia="Arial" w:hAnsi="Arial"/>
          <w:sz w:val="17"/>
          <w:szCs w:val="17"/>
          <w:color w:val="auto"/>
        </w:rPr>
        <w:t>In December 2011, we entered into the</w:t>
      </w:r>
      <w:r>
        <w:rPr>
          <w:rFonts w:ascii="Arial" w:cs="Arial" w:eastAsia="Arial" w:hAnsi="Arial"/>
          <w:sz w:val="17"/>
          <w:szCs w:val="17"/>
          <w:i w:val="1"/>
          <w:iCs w:val="1"/>
          <w:color w:val="auto"/>
        </w:rPr>
        <w:t xml:space="preserve"> </w:t>
      </w:r>
      <w:r>
        <w:rPr>
          <w:rFonts w:ascii="Arial" w:cs="Arial" w:eastAsia="Arial" w:hAnsi="Arial"/>
          <w:sz w:val="17"/>
          <w:szCs w:val="17"/>
          <w:color w:val="auto"/>
        </w:rPr>
        <w:t>unsecured $500.0 million Revolving Credit Facility. In December 2014, the Revolving Credit Facility was amended and restated to, among other things, extend the maturity date of the facility to December 2019. In December 2017, the Revolving Credit Facility was amended and restated again to, among other things, extend the maturity date of the facility to December 2022. As of December 31, 2020, we were in compliance with the financial covenants and had no outstanding borrowing under the Revolving Credit Facility.</w:t>
      </w:r>
    </w:p>
    <w:p>
      <w:pPr>
        <w:spacing w:after="0" w:line="17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addition, unassociated with the Revolving Credit Facility discussed above, in May 2020, we entered into an additional $100.0 million short-term loan which remains outstanding as of December 31, 2020.</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our senior unsecured obligations and rank equally in right of payment with all of our existing and future senior indebtedness, including any indebtedness we may incur from time to time under the Revolving Credit Facility. As of December 31, 2020, the noncurrent outstanding principal portion was $650.0 million, please see Note 13 to our consolidated financial statements.</w:t>
      </w:r>
    </w:p>
    <w:p>
      <w:pPr>
        <w:spacing w:after="0" w:line="16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December 31, 2020, we had additional uncommitted lines of credit available for general corporate and other specific purposes and had outstanding letters of credit and bank guarantees from various banks totaling $96.1 million. These were supported by a combination of the uncommitted lines of credit that we maintain with various banks.</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have contractual obligations for Long-term and Short-term debt and accrued interests, our non-cancelable operating leases, purchase obligations, pension funding and unrecognized tax benefits, the total net investment related to the construction of the new campus in Israel, summarized in the disclosure of contractual obligations set forth in our Annual Report on Form 20-F for the fiscal year ended September 30, 2020, filed on December 14, 2020 with the SEC. Since September 30, 2020, there have been no material changes in our aggregate contractual obligations mentioned above.</w:t>
      </w:r>
    </w:p>
    <w:p>
      <w:pPr>
        <w:spacing w:after="0" w:line="18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Generally, 80% to 90% of our capital expenditures (excluding the investment in our new campus in Israel) consist of</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purchases of computer equipment, and the remainder is attributable mainly to leasehold improvements. Our capital expenditures were approximately $50.1 million in the three months ended December 31, 2020 and were mainly attributable to investments in our operating facilities and our development centers around the world (including the investment in our new campus in Israel).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total net investment we expect to make in connection with the construction of the new campus is estimated to be up to $350 million over a period of five years, starting with fiscal year 2018, out of which approximately $96 million was incurred in fiscal year 2018 by both us and our partner Union at equal portions (i.e. our net investment was approximately $48 million), $7 million was incurred by us in fiscal year 2019 (which is net of proceed of $9.7 million relating to the refund of betterment levy) and $63 million was incurred by us in fiscal year 2020. We expect to incur approximately $140 million in fiscal year 2021.</w:t>
      </w:r>
    </w:p>
    <w:p>
      <w:pPr>
        <w:spacing w:after="0" w:line="18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From time to time, our Board of Directors can adopt share repurchase plans authorizing the repurchase of our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On November 12, 2019, our Board of Directors adopted another share repurchase plan authorizing the repurchase of up to an additional $800.0 million of our outstanding ordinary shares with no expiration date. During the three months ended December 31, 2020, we repurchased approximately 1.4 million ordinary shares at an average price of $62.66 per share (excluding broker and transaction fees). The November 2019 plan permits us to purchase our ordinary shares in the open market or through privately negotiated transactions at times and prices that we consider appropriate. As of December 31, 2020, we had remaining authority to repurchase up to $588.3 million of our outstanding ordinary shares under the November 2019 plan.</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Cash Dividends. </w:t>
      </w:r>
      <w:r>
        <w:rPr>
          <w:rFonts w:ascii="Arial" w:cs="Arial" w:eastAsia="Arial" w:hAnsi="Arial"/>
          <w:sz w:val="17"/>
          <w:szCs w:val="17"/>
          <w:color w:val="auto"/>
        </w:rPr>
        <w:t>Our Board of Directors declared the following dividends during the three months ended December 31, 2020 and 2019:</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4"/>
              </w:rPr>
              <w:t>Declaration Date</w:t>
            </w:r>
          </w:p>
        </w:tc>
        <w:tc>
          <w:tcPr>
            <w:tcW w:w="1680" w:type="dxa"/>
            <w:vAlign w:val="bottom"/>
            <w:vMerge w:val="restart"/>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Dividends Per</w:t>
            </w:r>
          </w:p>
        </w:tc>
        <w:tc>
          <w:tcPr>
            <w:tcW w:w="17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Record Date</w:t>
            </w:r>
          </w:p>
        </w:tc>
        <w:tc>
          <w:tcPr>
            <w:tcW w:w="2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440" w:type="dxa"/>
            <w:vAlign w:val="bottom"/>
            <w:gridSpan w:val="3"/>
          </w:tcPr>
          <w:p>
            <w:pPr>
              <w:jc w:val="center"/>
              <w:ind w:right="460"/>
              <w:spacing w:after="0" w:line="158" w:lineRule="exact"/>
              <w:rPr>
                <w:sz w:val="20"/>
                <w:szCs w:val="20"/>
                <w:color w:val="auto"/>
              </w:rPr>
            </w:pPr>
            <w:r>
              <w:rPr>
                <w:rFonts w:ascii="Arial" w:cs="Arial" w:eastAsia="Arial" w:hAnsi="Arial"/>
                <w:sz w:val="14"/>
                <w:szCs w:val="14"/>
                <w:b w:val="1"/>
                <w:bCs w:val="1"/>
                <w:color w:val="auto"/>
                <w:w w:val="96"/>
              </w:rPr>
              <w:t>Ordinary Share</w:t>
            </w:r>
          </w:p>
        </w:tc>
        <w:tc>
          <w:tcPr>
            <w:tcW w:w="1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w w:val="89"/>
              </w:rPr>
              <w:t>in millions</w:t>
            </w: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November 10, 2020</w:t>
            </w:r>
          </w:p>
        </w:tc>
        <w:tc>
          <w:tcPr>
            <w:tcW w:w="1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0.3275</w:t>
            </w:r>
          </w:p>
        </w:tc>
        <w:tc>
          <w:tcPr>
            <w:tcW w:w="4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December 31, 2020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42.9</w:t>
            </w:r>
          </w:p>
        </w:tc>
        <w:tc>
          <w:tcPr>
            <w:tcW w:w="4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January 22, 2021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November 12, 2019</w:t>
            </w:r>
          </w:p>
        </w:tc>
        <w:tc>
          <w:tcPr>
            <w:tcW w:w="16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0.285</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December 31, 2019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38.4</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w w:val="90"/>
              </w:rPr>
              <w:t>January 24, 2020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February 2, 2021, our Board of Directors approved the next quarterly dividend payment and set March 31, 2021 as the record date for determining the shareholders entitled to receive the dividend, which is payable on April 23, 2021. On January 29, 2021, at the annual general meeting of shareholders, our shareholders approved an increase in the rate of the quarterly cash dividend from $0.3275 per share to $0.36 per share. As a result, the April 23, 2021 cash dividend will be paid at the increased rate of $0.36.</w:t>
      </w:r>
    </w:p>
    <w:p>
      <w:pPr>
        <w:spacing w:after="0" w:line="18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During the three months ended December 31, 2020 and 2019,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December 31, 2020 of equity securities that are registered by us pursuant to Section 12 of the Exchange Act: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Total Number of</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Purchased as Part</w:t>
            </w:r>
          </w:p>
        </w:tc>
        <w:tc>
          <w:tcPr>
            <w:tcW w:w="26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of Shares that May</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26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680" w:type="dxa"/>
            <w:vAlign w:val="bottom"/>
            <w:gridSpan w:val="2"/>
            <w:vMerge w:val="restart"/>
          </w:tcPr>
          <w:p>
            <w:pPr>
              <w:spacing w:after="0"/>
              <w:rPr>
                <w:sz w:val="12"/>
                <w:szCs w:val="12"/>
                <w:color w:val="auto"/>
              </w:rPr>
            </w:pP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680" w:type="dxa"/>
            <w:vAlign w:val="bottom"/>
            <w:gridSpan w:val="2"/>
            <w:vMerge w:val="continue"/>
          </w:tcPr>
          <w:p>
            <w:pPr>
              <w:spacing w:after="0"/>
              <w:rPr>
                <w:sz w:val="15"/>
                <w:szCs w:val="15"/>
                <w:color w:val="auto"/>
              </w:rPr>
            </w:pPr>
          </w:p>
        </w:tc>
        <w:tc>
          <w:tcPr>
            <w:tcW w:w="106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89"/>
              </w:rPr>
              <w:t>Purchased</w:t>
            </w:r>
          </w:p>
        </w:tc>
        <w:tc>
          <w:tcPr>
            <w:tcW w:w="480" w:type="dxa"/>
            <w:vAlign w:val="bottom"/>
          </w:tcPr>
          <w:p>
            <w:pPr>
              <w:spacing w:after="0"/>
              <w:rPr>
                <w:sz w:val="15"/>
                <w:szCs w:val="15"/>
                <w:color w:val="auto"/>
              </w:rPr>
            </w:pPr>
          </w:p>
        </w:tc>
        <w:tc>
          <w:tcPr>
            <w:tcW w:w="16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Paid per Share(1)</w:t>
            </w:r>
          </w:p>
        </w:tc>
        <w:tc>
          <w:tcPr>
            <w:tcW w:w="13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or Programs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5"/>
              </w:rPr>
              <w:t>or Programs(2)</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1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10/01/20-10/31/20</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427,188</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57.74</w:t>
            </w:r>
          </w:p>
        </w:tc>
        <w:tc>
          <w:tcPr>
            <w:tcW w:w="5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427,188</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653,679,902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11/01/20-11/30/20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484,902</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62.11</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484,902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623,563,556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12/01/20-12/31/20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524,147</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67.19</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524,147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588,343,951</w:t>
            </w:r>
          </w:p>
        </w:tc>
        <w:tc>
          <w:tcPr>
            <w:tcW w:w="0" w:type="dxa"/>
            <w:vAlign w:val="bottom"/>
          </w:tcPr>
          <w:p>
            <w:pPr>
              <w:spacing w:after="0"/>
              <w:rPr>
                <w:sz w:val="1"/>
                <w:szCs w:val="1"/>
                <w:color w:val="auto"/>
              </w:rPr>
            </w:pPr>
          </w:p>
        </w:tc>
      </w:tr>
      <w:tr>
        <w:trPr>
          <w:trHeight w:val="223"/>
        </w:trPr>
        <w:tc>
          <w:tcPr>
            <w:tcW w:w="4540" w:type="dxa"/>
            <w:vAlign w:val="bottom"/>
            <w:gridSpan w:val="4"/>
          </w:tcPr>
          <w:p>
            <w:pPr>
              <w:ind w:left="4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1,436,237</w:t>
            </w:r>
          </w:p>
        </w:tc>
        <w:tc>
          <w:tcPr>
            <w:tcW w:w="20" w:type="dxa"/>
            <w:vAlign w:val="bottom"/>
            <w:tcBorders>
              <w:bottom w:val="single" w:sz="8" w:color="auto"/>
            </w:tcBorders>
          </w:tcPr>
          <w:p>
            <w:pPr>
              <w:spacing w:after="0"/>
              <w:rPr>
                <w:sz w:val="19"/>
                <w:szCs w:val="19"/>
                <w:color w:val="auto"/>
              </w:rPr>
            </w:pP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62.66</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1,436,237</w:t>
            </w:r>
          </w:p>
        </w:tc>
        <w:tc>
          <w:tcPr>
            <w:tcW w:w="24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588,343,951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540" w:hanging="424"/>
        <w:spacing w:after="0" w:line="255"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November 12, 2019, our Board of Directors adopted another share repurchase plan for the repurchase of up to an additional $800.0 million of our outstanding ordinary shares. The authorizations have no expiration date and permit us to purchase our ordinary shares in open market or privately negotiated transactions at times and prices we consider appropriate.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December 31, 2020:</w:t>
      </w:r>
    </w:p>
    <w:p>
      <w:pPr>
        <w:spacing w:after="0" w:line="131"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6-K dated November 12, 2020</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6-K dated December 23, 2020</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320" w:top="459" w:right="5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February 16, 2021</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32</w:t>
      </w:r>
    </w:p>
    <w:sectPr>
      <w:pgSz w:w="11900" w:h="16838" w:orient="portrait"/>
      <w:cols w:equalWidth="0" w:num="1">
        <w:col w:w="10820"/>
      </w:cols>
      <w:pgMar w:left="320" w:top="459"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6"/>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2021-02-16T16:27:25Z</dcterms:created>
  <dcterms:modified xsi:type="dcterms:W3CDTF">2021-02-16T16:27:25Z</dcterms:modified>
</cp:coreProperties>
</file>