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26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8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27"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60" w:type="dxa"/>
            <w:vAlign w:val="bottom"/>
            <w:gridSpan w:val="4"/>
          </w:tcPr>
          <w:p>
            <w:pPr>
              <w:jc w:val="center"/>
              <w:ind w:right="2280"/>
              <w:spacing w:after="0"/>
              <w:rPr>
                <w:sz w:val="20"/>
                <w:szCs w:val="20"/>
                <w:color w:val="auto"/>
              </w:rPr>
            </w:pPr>
            <w:r>
              <w:rPr>
                <w:rFonts w:ascii="Arial" w:cs="Arial" w:eastAsia="Arial" w:hAnsi="Arial"/>
                <w:sz w:val="18"/>
                <w:szCs w:val="18"/>
                <w:color w:val="auto"/>
                <w:w w:val="98"/>
              </w:rPr>
              <w:t>AMDOCS LIMITED</w:t>
            </w:r>
          </w:p>
        </w:tc>
        <w:tc>
          <w:tcPr>
            <w:tcW w:w="198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gridSpan w:val="3"/>
          </w:tcPr>
          <w:p>
            <w:pPr>
              <w:jc w:val="center"/>
              <w:ind w:right="3180"/>
              <w:spacing w:after="0"/>
              <w:rPr>
                <w:sz w:val="20"/>
                <w:szCs w:val="20"/>
                <w:color w:val="auto"/>
              </w:rPr>
            </w:pPr>
            <w:r>
              <w:rPr>
                <w:rFonts w:ascii="Arial" w:cs="Arial" w:eastAsia="Arial" w:hAnsi="Arial"/>
                <w:sz w:val="18"/>
                <w:szCs w:val="18"/>
                <w:color w:val="auto"/>
                <w:w w:val="95"/>
              </w:rPr>
              <w:t>FORM 6-K</w:t>
            </w:r>
          </w:p>
        </w:tc>
        <w:tc>
          <w:tcPr>
            <w:tcW w:w="198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5"/>
          </w:tcPr>
          <w:p>
            <w:pPr>
              <w:jc w:val="center"/>
              <w:ind w:right="2100"/>
              <w:spacing w:after="0"/>
              <w:rPr>
                <w:sz w:val="20"/>
                <w:szCs w:val="20"/>
                <w:color w:val="auto"/>
              </w:rPr>
            </w:pPr>
            <w:r>
              <w:rPr>
                <w:rFonts w:ascii="Arial" w:cs="Arial" w:eastAsia="Arial" w:hAnsi="Arial"/>
                <w:sz w:val="18"/>
                <w:szCs w:val="18"/>
                <w:color w:val="auto"/>
                <w:w w:val="90"/>
              </w:rPr>
              <w:t>REPORT OF FOREIGN PRIVATE ISSUER</w:t>
            </w:r>
          </w:p>
        </w:tc>
        <w:tc>
          <w:tcPr>
            <w:tcW w:w="198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00" w:type="dxa"/>
            <w:vAlign w:val="bottom"/>
            <w:gridSpan w:val="7"/>
          </w:tcPr>
          <w:p>
            <w:pPr>
              <w:jc w:val="center"/>
              <w:ind w:right="1340"/>
              <w:spacing w:after="0"/>
              <w:rPr>
                <w:sz w:val="20"/>
                <w:szCs w:val="20"/>
                <w:color w:val="auto"/>
              </w:rPr>
            </w:pPr>
            <w:r>
              <w:rPr>
                <w:rFonts w:ascii="Arial" w:cs="Arial" w:eastAsia="Arial" w:hAnsi="Arial"/>
                <w:sz w:val="18"/>
                <w:szCs w:val="18"/>
                <w:color w:val="auto"/>
                <w:w w:val="91"/>
              </w:rPr>
              <w:t>FOR THE QUARTER ENDED DECEMBER 31, 2011</w:t>
            </w:r>
          </w:p>
        </w:tc>
        <w:tc>
          <w:tcPr>
            <w:tcW w:w="198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gridSpan w:val="3"/>
          </w:tcPr>
          <w:p>
            <w:pPr>
              <w:jc w:val="center"/>
              <w:ind w:right="3180"/>
              <w:spacing w:after="0"/>
              <w:rPr>
                <w:sz w:val="20"/>
                <w:szCs w:val="20"/>
                <w:color w:val="auto"/>
              </w:rPr>
            </w:pPr>
            <w:r>
              <w:rPr>
                <w:rFonts w:ascii="Arial" w:cs="Arial" w:eastAsia="Arial" w:hAnsi="Arial"/>
                <w:sz w:val="18"/>
                <w:szCs w:val="18"/>
                <w:color w:val="auto"/>
                <w:w w:val="98"/>
              </w:rPr>
              <w:t>INDEX</w:t>
            </w:r>
          </w:p>
        </w:tc>
        <w:tc>
          <w:tcPr>
            <w:tcW w:w="198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66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8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900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4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9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4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4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Shareholders’ Equity</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92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28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Operating and Financial Review and Prospects</w:t>
              </w:r>
            </w:hyperlink>
          </w:p>
        </w:tc>
        <w:tc>
          <w:tcPr>
            <w:tcW w:w="516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696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Changes in Securities, Use of Proceeds and Issuer Purchases of Equity Securities</w:t>
              </w:r>
            </w:hyperlink>
          </w:p>
        </w:tc>
        <w:tc>
          <w:tcPr>
            <w:tcW w:w="2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8480" w:type="dxa"/>
            <w:vAlign w:val="bottom"/>
            <w:gridSpan w:val="13"/>
          </w:tcPr>
          <w:p>
            <w:pPr>
              <w:ind w:lef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Reports on Form 6-K</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44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40"/>
        <w:spacing w:after="0" w:line="259"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596,416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328,560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590,681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106,368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1,749,084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1,979,320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140,775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1,741,146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180,335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347,854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4,407,241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137,081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287,549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215,629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22,050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813,656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315,420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287,848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1,416,924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Ordinary Shares — Authorized 700,000 shares; £0.01 par value; 248,988 and 247,640 issued and 171,147 and 174,692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2,529,595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2,495,211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 77,841 and 72,948 ordinary shares, respectively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(2,073,117)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(40,061)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2,569,866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2,990,317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3,023,301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4,407,241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35,796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745,275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807,010</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775,181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105,435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92,731</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172,712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173,812</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Ordinary Shares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8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Treasury</w:t>
            </w:r>
          </w:p>
        </w:tc>
        <w:tc>
          <w:tcPr>
            <w:tcW w:w="11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Amount</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loss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174,692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$4,013</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$2,495,211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$(1,933,402)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$2,477,135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$ 3,023,301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Unrealized loss on foreign currency hedging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contracts, net of $(2,297) tax</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(19,954)</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(19,954)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short-term interest-bearing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investments, net of $(53) tax</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964</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23,831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(139,715)</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384</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Equity-based compensation expense related to employees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10,553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$4,034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$2,529,595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(2,073,117)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$2,569,866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$ 2,990,317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2011 and September 30, 2011, accumulated other comprehensive loss is comprised of unrealized loss on derivatives, net of tax, of $34,391 and $14,437, respectively, unrealized loss on short-term interest-bearing investments, net of tax, of $2,474 and $2,023, respectively, and unrealized loss on defined benefit plan, net of tax, of $3,196 and $3,196,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92,731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(5,776)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(20,673)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(6,239)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(2,959)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149,946</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(28,314)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74,108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(61,675)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(18,848)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(139,715)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(250,000)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(366,053)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(299,814)</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(234,955)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(144,333)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596,416</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2011, set forth in the Company’s Annual Report on Form 20-F filed on December 8, 2011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the Company beginning October 1, 2012 and early adoption is permitted. The Company does not expect the adoption of this new guidance will have a material impact on its financial statements.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the Company beginning October 1, 2012. In December 2011, the FASB issued guidance that indefinitely defers the guidance related to the presentation of reclassification adjustments. The Company is still evaluating whether to present other comprehensive income in a single continuous statement of comprehensive income or in two separate but consecutive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Fair Value Measurement</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28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December 31, 2011 and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 2011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$306,914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$306,914</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107,885</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76,891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76,891</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63,924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63,924</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U.S. agency securities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60,533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60,533</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9,464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9,464</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5,909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5,909</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224,905</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649,825</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(41,069)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(41,069)</w:t>
            </w:r>
          </w:p>
        </w:tc>
      </w:tr>
      <w:tr>
        <w:trPr>
          <w:trHeight w:val="28"/>
        </w:trPr>
        <w:tc>
          <w:tcPr>
            <w:tcW w:w="6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424,920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183,836</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608,756</w:t>
            </w:r>
          </w:p>
        </w:tc>
      </w:tr>
      <w:tr>
        <w:trPr>
          <w:trHeight w:val="20"/>
        </w:trPr>
        <w:tc>
          <w:tcPr>
            <w:tcW w:w="6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5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2011</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$ 510,711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$ 510,711</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110,339</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80,355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80,355</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71,160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71,160</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U.S. agency securities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57,540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57,540</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10,270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10,270</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6,395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6,395</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w:t>
            </w: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236,334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867,489</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(10,270)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(10,270)</w:t>
            </w:r>
          </w:p>
        </w:tc>
      </w:tr>
      <w:tr>
        <w:trPr>
          <w:trHeight w:val="28"/>
        </w:trPr>
        <w:tc>
          <w:tcPr>
            <w:tcW w:w="6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226,064</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857,219</w:t>
            </w:r>
          </w:p>
        </w:tc>
      </w:tr>
      <w:tr>
        <w:trPr>
          <w:trHeight w:val="20"/>
        </w:trPr>
        <w:tc>
          <w:tcPr>
            <w:tcW w:w="6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2011.</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Financial Instruments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personal costs, short-term financing arrangements and other current liabilities approximates their fair value because of the relatively short maturity of these items.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2011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$306,914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$306,914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107,542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343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107,885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336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76,891</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tcPr>
          <w:p>
            <w:pPr>
              <w:jc w:val="right"/>
              <w:spacing w:after="0"/>
              <w:rPr>
                <w:sz w:val="20"/>
                <w:szCs w:val="20"/>
                <w:color w:val="auto"/>
              </w:rPr>
            </w:pPr>
            <w:r>
              <w:rPr>
                <w:rFonts w:ascii="Arial" w:cs="Arial" w:eastAsia="Arial" w:hAnsi="Arial"/>
                <w:sz w:val="18"/>
                <w:szCs w:val="18"/>
                <w:color w:val="auto"/>
              </w:rPr>
              <w:t>63,632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292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63,924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278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9,464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5,168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901</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119</w:t>
            </w:r>
          </w:p>
        </w:tc>
        <w:tc>
          <w:tcPr>
            <w:tcW w:w="4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652,430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1,249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3,854</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649,825</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Available-for-sale securities are classified as short term interest-bearing investments on the Company’s balance sheet, except for $321,265 of securities with maturities from date of acquisition of 90 days or less which are included in cash and cash equivalents as of December 31,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As of September 30, 2011</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$ 510,711</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$ 510,711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110,021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318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110,339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400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tcPr>
          <w:p>
            <w:pPr>
              <w:jc w:val="right"/>
              <w:spacing w:after="0"/>
              <w:rPr>
                <w:sz w:val="20"/>
                <w:szCs w:val="20"/>
                <w:color w:val="auto"/>
              </w:rPr>
            </w:pPr>
            <w:r>
              <w:rPr>
                <w:rFonts w:ascii="Arial" w:cs="Arial" w:eastAsia="Arial" w:hAnsi="Arial"/>
                <w:sz w:val="18"/>
                <w:szCs w:val="18"/>
                <w:color w:val="auto"/>
              </w:rPr>
              <w:t>70,725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435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71,160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308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10,247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1,181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5,469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882</w:t>
            </w:r>
          </w:p>
        </w:tc>
        <w:tc>
          <w:tcPr>
            <w:tcW w:w="4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869,590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3,585</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867,489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right="30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Available-for-sale securities are classified as short term interest-bearing investments on the Company’s balance sheet, except for $525,390 of securities with maturities from date of acquisition of 90 days or less which are included in cash and cash equivalents as of September 30, 2011.</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2011,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through earnings, in the three months ended December 31, 2011 and 2010. As of December 31, 2011, unrealized losses of $779 related to other-than-temporarily impaired securities are included in accumulated other comprehensive loss.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a cumulative roll forward of credit losses recognized in earnings as of December 31, 2011:</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0"/>
              </w:rPr>
              <w:t>Credit loss on debt securities for which an other-than-temporary impairment was not previously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2011,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462,118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649,825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The maximum amount of loss due to credit risk that the Company would incur if counterparties to the derivative financial instruments failed completely to perform according to the terms of the contracts, based on the fair value of the Company’s derivative contracts that are favorable to the Company, was approximately $1,360 as of December 31, 2011.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2011. Notional values are U.S. dollar translated and calculated based on forward rates as of December 31, 2011 for forward contracts, and based on spot rates as of December 31, 2011 for options.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1,161,420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Please see Note 3 to the consolidated financial statements. The fair value of the open foreign exchange contracts recorded by the Company on its consolidated balance sheets as of December 31, 2011 and September 30, 2011, as an asset or a liability is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December 31,</w:t>
            </w:r>
          </w:p>
        </w:tc>
        <w:tc>
          <w:tcPr>
            <w:tcW w:w="1400" w:type="dxa"/>
            <w:vAlign w:val="bottom"/>
            <w:gridSpan w:val="3"/>
          </w:tcPr>
          <w:p>
            <w:pPr>
              <w:ind w:left="5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1,303</w:t>
            </w:r>
          </w:p>
        </w:tc>
        <w:tc>
          <w:tcPr>
            <w:tcW w:w="140" w:type="dxa"/>
            <w:vAlign w:val="bottom"/>
          </w:tcPr>
          <w:p>
            <w:pPr>
              <w:spacing w:after="0"/>
              <w:rPr>
                <w:sz w:val="18"/>
                <w:szCs w:val="18"/>
                <w:color w:val="auto"/>
              </w:rPr>
            </w:pP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(28,906)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(37,805)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(3,264)</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(41,069)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280"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280"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December 31, 2011 are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three months ended December 31, 2011 and 2010, which partially offset the foreign currency impact from the underlying exposures, is summarized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Gains (Losses) Reclassified from</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 Comprehensive Loss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9"/>
              </w:rPr>
              <w:t>(Effective Portion)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1,359</w:t>
            </w:r>
          </w:p>
        </w:tc>
        <w:tc>
          <w:tcPr>
            <w:tcW w:w="3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(2,849)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aggregate (loss) gain of $(2,899) and $3,012, net of taxes, was reclassified from other comprehensive loss in the three months ended December 31, 2011 and 2010, respectively. The ineffective portion of the change in fair value of a cash flow hedge, including the time value portion excluded from effectiveness testing for the three months ended December 31, 2011 and 2010, was not material.</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December 31, 2011, net losses related to derivatives designated as cash flow hedges and recorded in accumulated other comprehensive loss totaled $34,391, of which $25,741 will be reclassified into earnings within the next 12 months and will partially offset the foreign currency impact from the underlying exposures. The amount ultimately realized in earnings will likely differ due to future changes in foreign exchange rates. (Losses) gains from cash flow hedges recognized in other comprehensive loss during the three months ended December 31, 2011 and 2010, respectively, were $(25,100) and $6,652, or $(22,853) and $5,815, net of taxes, respectively.</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Net unrealized (losses) gains on cash flow hedges, net of tax, beginning of period</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(14,437)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(22,853)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vMerge w:val="continue"/>
          </w:tcPr>
          <w:p>
            <w:pPr>
              <w:spacing w:after="0"/>
              <w:rPr>
                <w:sz w:val="19"/>
                <w:szCs w:val="19"/>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(34,391)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24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Risk Management Derivatives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effect of the Company’s derivative instruments not designated as hedging instruments in the consolidated statements of income for the three months ended December 31, 2011 and 2010, respectively, which partially offset the foreign currency impact from the underlying exposure, is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tcPr>
          <w:p>
            <w:pPr>
              <w:jc w:val="center"/>
              <w:ind w:left="379"/>
              <w:spacing w:after="0"/>
              <w:rPr>
                <w:sz w:val="20"/>
                <w:szCs w:val="20"/>
                <w:color w:val="auto"/>
              </w:rPr>
            </w:pPr>
            <w:r>
              <w:rPr>
                <w:rFonts w:ascii="Arial" w:cs="Arial" w:eastAsia="Arial" w:hAnsi="Arial"/>
                <w:sz w:val="14"/>
                <w:szCs w:val="14"/>
                <w:b w:val="1"/>
                <w:bCs w:val="1"/>
                <w:color w:val="auto"/>
                <w:w w:val="83"/>
              </w:rPr>
              <w:t>Gains (Losses)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8"/>
                <w:szCs w:val="18"/>
                <w:color w:val="auto"/>
              </w:rPr>
              <w:t>Revenue</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8"/>
                <w:szCs w:val="18"/>
                <w:color w:val="auto"/>
              </w:rPr>
              <w:t>Interest and other expense,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gridSpan w:val="2"/>
            <w:vMerge w:val="continue"/>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(1,445)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Accounts Receivable, Net</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0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6"/>
              </w:rPr>
              <w:t>December 31,</w:t>
            </w:r>
          </w:p>
        </w:tc>
        <w:tc>
          <w:tcPr>
            <w:tcW w:w="440" w:type="dxa"/>
            <w:vAlign w:val="bottom"/>
          </w:tcPr>
          <w:p>
            <w:pPr>
              <w:spacing w:after="0"/>
              <w:rPr>
                <w:sz w:val="11"/>
                <w:szCs w:val="11"/>
                <w:color w:val="auto"/>
              </w:rPr>
            </w:pPr>
          </w:p>
        </w:tc>
        <w:tc>
          <w:tcPr>
            <w:tcW w:w="92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178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508,896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98,849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380"/>
              <w:spacing w:after="0"/>
              <w:rPr>
                <w:sz w:val="20"/>
                <w:szCs w:val="20"/>
                <w:color w:val="auto"/>
              </w:rPr>
            </w:pPr>
            <w:r>
              <w:rPr>
                <w:rFonts w:ascii="Arial" w:cs="Arial" w:eastAsia="Arial" w:hAnsi="Arial"/>
                <w:sz w:val="18"/>
                <w:szCs w:val="18"/>
                <w:color w:val="auto"/>
              </w:rPr>
              <w:t>Accounts receivable, net</w:t>
            </w: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1840" w:type="dxa"/>
            <w:vAlign w:val="bottom"/>
            <w:gridSpan w:val="4"/>
          </w:tcPr>
          <w:p>
            <w:pPr>
              <w:ind w:left="17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590,681</w:t>
            </w:r>
          </w:p>
        </w:tc>
        <w:tc>
          <w:tcPr>
            <w:tcW w:w="120" w:type="dxa"/>
            <w:vAlign w:val="bottom"/>
          </w:tcPr>
          <w:p>
            <w:pPr>
              <w:spacing w:after="0"/>
              <w:rPr>
                <w:sz w:val="19"/>
                <w:szCs w:val="19"/>
                <w:color w:val="auto"/>
              </w:rPr>
            </w:pPr>
          </w:p>
        </w:tc>
        <w:tc>
          <w:tcPr>
            <w:tcW w:w="7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565,853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$ 92,731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$73,391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Unrealized (loss) gain on foreign currency hedging contracts, net of tax</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(19,954)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Unrealized loss on short-term interest-bearing investments, net of tax</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(451)</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defined benefit plan, net of tax</w:t>
            </w:r>
          </w:p>
        </w:tc>
        <w:tc>
          <w:tcPr>
            <w:tcW w:w="6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8"/>
                <w:szCs w:val="18"/>
                <w:color w:val="auto"/>
              </w:rPr>
              <w:t>Comprehensive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$ 72,326</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24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$18,480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w:t>
            </w:r>
          </w:p>
        </w:tc>
        <w:tc>
          <w:tcPr>
            <w:tcW w:w="3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12,704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Three months ended</w:t>
            </w: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11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Foreign taxes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2011, deferred tax assets of $142,735, derived primarily from tax credits,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amount of gross unrecognized tax benefits, which includes interest and penalties, was $135,658 as of December 31, 2011, all of which would affect the effective tax rate if realized.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the Company has accrued $18,577 in income taxes payable for interest and penalties relating to unrecognized tax benefits.</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0" w:type="dxa"/>
            <w:vAlign w:val="bottom"/>
          </w:tcPr>
          <w:p>
            <w:pPr>
              <w:ind w:left="440"/>
              <w:spacing w:after="0"/>
              <w:rPr>
                <w:sz w:val="20"/>
                <w:szCs w:val="20"/>
                <w:color w:val="auto"/>
              </w:rPr>
            </w:pPr>
            <w:r>
              <w:rPr>
                <w:rFonts w:ascii="Arial" w:cs="Arial" w:eastAsia="Arial" w:hAnsi="Arial"/>
                <w:sz w:val="18"/>
                <w:szCs w:val="18"/>
                <w:color w:val="auto"/>
                <w:w w:val="92"/>
              </w:rPr>
              <w:t>Denominator for basic earnings per share— weighted average number of shares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172,712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assumed conversions</w:t>
            </w:r>
          </w:p>
        </w:tc>
        <w:tc>
          <w:tcPr>
            <w:tcW w:w="3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173,812</w:t>
            </w:r>
          </w:p>
        </w:tc>
        <w:tc>
          <w:tcPr>
            <w:tcW w:w="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192,969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three months ended December 31, 2011 and 2010, 13,375 and 15,077 shares, respectively, were attributable to antidilutive outstanding stock options and therefore were not included in the calculation of diluted earnings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Repurchase of Securities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2010, the Company’s board of directors authorized a share repurchase plan allowing the repurchase of up to $700,000 of its outstanding ordinary shares over the following 12 months. In February 2011, the Company’s board of directors adopted a share repurchase plan authorizing the repurchase of up to $1,000,000 of the Company’s outstanding ordinary shares over the following 24 months. The authorizations permit the Company to purchase its ordinary shares in open market or privately negotiated transactions at times and prices that it considers appropriate. In April 2011, the Company completed the repurchase of the remaining authorized amount under the April 2010 share repurchase plan and began executing repurchases under the February 2011 plan. In the three months ended December 31, 2011, the Company repurchased approximately 4.9 million ordinary shares at an average price of $28.54 per share (excluding broker and transaction fees). As of December 31, 2011, the Company had remaining authority to repurchase up to $547.5 million of its outstanding ordinary shares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2007, the Company entered into an unsecured $500,000 five-year revolving credit facility with a syndicate of banks. In September 2011, the Company borrowed an aggregate of $250,000 under the facility and repaid it in October 2011. In December 2011, the Company entered into a new $500,000 five-year revolving credit facility with a syndicate of banks, which replaced the November 2007 credit facility. The new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December 31, 2011, the Company was in compliance with the financial covenants under the revolving credit facility and had no outstanding borrowings under this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February 2012, the maximum number of ordinary shares authorized to be granted under the Plan was increased from 55,300 to 62,300. Awards granted under the Plan generally vest over a period of four years and stock options have a term of ten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Company’s ordinary shares, as well as changes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left="156"/>
              <w:spacing w:after="0" w:line="14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gridSpan w:val="3"/>
          </w:tcPr>
          <w:p>
            <w:pPr>
              <w:jc w:val="center"/>
              <w:ind w:left="379"/>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Options</w:t>
            </w: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2011</w:t>
            </w:r>
          </w:p>
        </w:tc>
        <w:tc>
          <w:tcPr>
            <w:tcW w:w="1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$ 28.64</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28.64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31.20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2011</w:t>
            </w: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2011</w:t>
            </w: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10,776</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$ 29.36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2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Outstanding unvested shares as of October 1, 2011</w:t>
            </w:r>
          </w:p>
        </w:tc>
        <w:tc>
          <w:tcPr>
            <w:tcW w:w="2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Forfeited</w:t>
            </w:r>
          </w:p>
        </w:tc>
        <w:tc>
          <w:tcPr>
            <w:tcW w:w="2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0"/>
              </w:rPr>
              <w:t>Outstanding unvested shares as of December 31, 2011</w:t>
            </w:r>
          </w:p>
        </w:tc>
        <w:tc>
          <w:tcPr>
            <w:tcW w:w="2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20" w:type="dxa"/>
            <w:vAlign w:val="bottom"/>
            <w:vMerge w:val="restart"/>
          </w:tcPr>
          <w:p>
            <w:pPr>
              <w:jc w:val="right"/>
              <w:ind w:right="1737"/>
              <w:spacing w:after="0"/>
              <w:rPr>
                <w:sz w:val="20"/>
                <w:szCs w:val="20"/>
                <w:color w:val="auto"/>
              </w:rPr>
            </w:pPr>
            <w:r>
              <w:rPr>
                <w:rFonts w:ascii="Arial" w:cs="Arial" w:eastAsia="Arial" w:hAnsi="Arial"/>
                <w:sz w:val="18"/>
                <w:szCs w:val="18"/>
                <w:color w:val="auto"/>
              </w:rPr>
              <w:t>14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4" w:name="page15"/>
    <w:bookmarkEnd w:id="14"/>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2011, there was $55,033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2011 and 2010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520" w:type="dxa"/>
            <w:vAlign w:val="bottom"/>
            <w:gridSpan w:val="3"/>
          </w:tcPr>
          <w:p>
            <w:pPr>
              <w:ind w:lef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10,553</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13,274</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2011 and 2010 was $1,776 and $1,105, respectively.</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2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234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7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07" w:lineRule="exact"/>
        <w:rPr>
          <w:sz w:val="20"/>
          <w:szCs w:val="20"/>
          <w:color w:val="auto"/>
        </w:rPr>
      </w:pPr>
    </w:p>
    <w:p>
      <w:pPr>
        <w:ind w:left="240" w:right="9840" w:hanging="232"/>
        <w:spacing w:after="0" w:line="417" w:lineRule="auto"/>
        <w:tabs>
          <w:tab w:leader="none" w:pos="275"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2011 and 2010.</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2011, filed on December 8, 2011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Latin America, the Commonwealth of Independent States, India and Southeast Asia.</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offering which includes our recent Bridgewater acquisition portfolio. These enable service providers to introduce new products quickly, understand their customers more deeply, process orders more efficiently, monetize data and support new business models. We refer to these systems collectively as customer experience systems because of the crucial impact they have on the service providers’ end-user experience.</w:t>
      </w:r>
    </w:p>
    <w:p>
      <w:pPr>
        <w:spacing w:after="0" w:line="11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anticipate and respond to consumer demands.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 We refer to this type of customer experience as the “intentional customer experience.” In a global communications industry impacted by a growing number of connected devices and the resulting demand for increased bandwidth, consumers expect immediate and constant connectivity to personalized services, information and applications. We seek to address these market forces through a strategy of innovation from the network and business support systems to the device and end user. We continue to introduce and enhance products and services that deliver organizational and process improvements to bring value to our customers as they — and their markets — grow and change. Our goal is to supply scalable offerings that provide the functionality and flexibility to service providers that facilitate innovation and enable cost-effective execution.</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conduct our business globally, and as a result we are subject to the effects of global economic conditions and, in particular, market conditions in the communications, media and entertainment industry. In the three months ended December 31, 2011, customers in North America accounted for 71.1% of our revenue, while customers in Europe and the rest of the world accounted for 13.7% and 15.2%, respectively. Customers in emerging markets accounted for 10.2% of our revenue in the three months ended December 31, 2011. We maintain development facilities in Brazil, Cyprus, India, Ireland, Israel and the United States.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5" w:lineRule="exact"/>
        <w:rPr>
          <w:sz w:val="20"/>
          <w:szCs w:val="20"/>
          <w:color w:val="auto"/>
        </w:rPr>
      </w:pPr>
    </w:p>
    <w:p>
      <w:pPr>
        <w:ind w:left="5620" w:right="160" w:hanging="5045"/>
        <w:spacing w:after="0" w:line="433"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 17</w:t>
      </w:r>
    </w:p>
    <w:p>
      <w:pPr>
        <w:sectPr>
          <w:pgSz w:w="11900" w:h="16838" w:orient="portrait"/>
          <w:cols w:equalWidth="0" w:num="1">
            <w:col w:w="11420"/>
          </w:cols>
          <w:pgMar w:left="240" w:top="274" w:right="239" w:bottom="1440" w:gutter="0" w:footer="0" w:header="0"/>
        </w:sectPr>
      </w:pPr>
    </w:p>
    <w:bookmarkStart w:id="17" w:name="page18"/>
    <w:bookmarkEnd w:id="17"/>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managed services in our domain expertise and other related services,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Revenue from managed services arrangements (for customer experience systems and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$419.7 million and $371.2 million of revenue in the three months ended December 31, 2011 and 2010,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us beginning October 1, 2012 and early adoption is permitted. We do not expect that the adoption of this new guidance will have a material impact on our financial statements.</w:t>
      </w:r>
    </w:p>
    <w:p>
      <w:pPr>
        <w:spacing w:after="0" w:line="1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us beginning October 1, 2012. In December 2011, the FASB issued guidance which indefinitely defers the guidance related to the presentation of reclassification adjustments. We are still evaluating whether to present other comprehensive income in a single continuous statement of comprehensive income or in two separate but consecutive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for the three months ended December 31, 2011 and 2010, certain items in our consolidated statements of income reflected as a percentage of total revenue: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Three months ended</w:t>
            </w: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8"/>
                <w:szCs w:val="18"/>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2011 and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tabular presentation of our results of operations for the three months ended December 31, 2011 compared to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0"/>
              </w:rPr>
              <w:t>Increase (Decrease)</w:t>
            </w: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35,796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29,906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5,890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745,275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25,939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807,010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775,181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31,829</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231</w:t>
            </w: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508,138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54,992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6,315</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104,357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13,206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(6,204)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687,597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87,584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21,464</w:t>
            </w: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r>
      <w:tr>
        <w:trPr>
          <w:trHeight w:val="221"/>
        </w:trPr>
        <w:tc>
          <w:tcPr>
            <w:tcW w:w="6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105,435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84,467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20,968</w:t>
            </w:r>
          </w:p>
        </w:tc>
        <w:tc>
          <w:tcPr>
            <w:tcW w:w="4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73,391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19,340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increased by $31.8 million, or 4.1%, to $807.0 million in the three months ended December 31, 2011, from $775.2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2010. The increase in revenue was primarily attributable to revenue related to existing and new managed services arrangements and to revenue related to our network control offering partially offset by slower spending by AT&amp;T.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revenue in the three months ended December 31, 2011, increased by $5.9 million, or 19.7%, to $35.8 million in the three months ended December 31, 2011, from $29.9 million in the three months ended December 31, 2010. The increase in license revenue was primarily attributable to our network control offering.</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License and service revenue attributable to the sale of customer experience systems increased by $32.6 million, or 4.5%, to $758.0 million in the three months ended December 31, 2011, from $725.4 million in the three months ended December 31, 2010. The increase in revenue was primarily attributable to revenue related existing and new managed services arrangements and to revenue related to our network control offering partially offset by slower spending by AT&amp;T. License and service revenue resulting from the sale of customer experience systems represented 93.9% and 93.6% of our total revenue in the three months ended December 31, 2011 and 2010, respectively.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License and service revenue attributable to the sale of directory systems decreased by $0.8 million, or 1.6%, to $49.0 million in the three months ended December 31, 2011 from $49.8 million in the three months ended December 31, 2010. License and service revenue from the sale of directory systems represented 6.1% and 6.4% of our total revenue in the three months ended December 31, 2011 and 2010, respectively.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three months ended December 31, 2011, revenue from customers in North America, Europe and the rest of the world accounted for 71.1%, 13.7% and 15.2%, respectively, of total revenue, compared to 72.8%, 12.7% and 14.5%, respectively, in the three months ended December 31, 2010. Revenue from North American customers, in absolute amounts, increased during the three months ended December 31, 2011, primarily from revenue related to existing and new managed services arrangements and from revenue related to our network control offering, partially offset by slower spending by AT&amp;T. The increase in revenue from customers in Europe was primarily attributable to revenue related to new transformation and implementation projects. The increase in revenue from customers in the rest of the world was primarily attributable to our activity in emerging markets. Our revenue growth rate in Europe and the rest of the world was greater than the growth rate we experienced in North America, which resulted in an increase in revenue from customers in Europe and in the rest of the world as a percentage of total revenue and a decrease in revenue from customers in North America as a percentage of total revenue.</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b w:val="1"/>
          <w:bCs w:val="1"/>
          <w:i w:val="1"/>
          <w:iCs w:val="1"/>
          <w:color w:val="auto"/>
        </w:rPr>
        <w:t>Cost of License and Service</w:t>
      </w:r>
      <w:r>
        <w:rPr>
          <w:rFonts w:ascii="Arial" w:cs="Arial" w:eastAsia="Arial" w:hAnsi="Arial"/>
          <w:sz w:val="15"/>
          <w:szCs w:val="15"/>
          <w:color w:val="auto"/>
        </w:rPr>
        <w:t>. Cost of license includes fees and royalty payments to software suppliers. Cost of service consists primarily of costs associated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providing services to customers, including compensation expense and costs of third-party products. Cost of license and service increased by $8.3 million, or 1.6%, to $517.1 million in the three months ended December 31, 2011, from $508.8 million in the three months ended December 31, 2010. As a percentage of revenue, cost of license and service was 64.1% in the three months ended December 31, 2011, compared to 65.6% in the three months ended December 31, 2010. The decrease in our cost of license and service as a percentage of revenue was primarily attributable to the benefits of prior investments in internal training and knowledge building programs for our employees, as well as several key customer implementations that required incremental spending during fiscal 2011.</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$6.3 million, or 11.5%, to $61.3 million in the three months ended December 31, 2011, from $55.0 million in the three months ended December 31, 2010. The increase in research and development expense is primarily attributable to our network control research and development activity. Research and development expense increased as a percentage of revenue from 7.1% in the three months ended December 31, 2010 to 7.6% in the three months ended December 31, 2011.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increased by $1.9 million, or 1.9%, to $106.3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from $104.4 million in the three months ended December 31, 2010. Selling, general and administrative expense is primarily comprised of compensation expense.</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decreased by $6.2 million to $13.2 million from $19.4 million in the three months ended December 31, 2010. The decrease in amortization of purchased intangible assets and other was primarily due to purchased intangible assets that were fully amortized in prior periods, partially offset by amortization of intangible assets related to the Bridgewater acquisition.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$21.4 million, or 24.5%, to $109.0 million in the three months ended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6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December 31, 2011, from $87.6 million in the three months ended December 31, 2010. The increase in operating income as a percentage of revenue, was primarily attributable to the increase in revenue which was at a higher rate than the increase in cost of service and research and development expense.</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increased by $0.5 million to $3.6 million in the three months ended December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$3.1 million in the three months ended December 31, 2010.</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December 31, 2011 were $12.7 million on pretax income of $105.4 million, resulting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12.0%, compared to 13.1% in the three months ended December 31, 2010. Our effective tax rate may fluctuate between quarters as a result of discrete items that may affect a specific quarter.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$19.3 million, or 26.4%, to $92.7 million in the three months ended December 31, 2011, from $73.4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2010. The increase in net income was attributable primarily to the increase in operating income partially offset by the decrease in interest and other expense, net, and in income tax expense.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$0.15, or 39.5%, to $0.53 in the three months ended December 31, 2011, from $0.38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2010. The increase in diluted earnings per share resulted from the increase in net income and from the decrease in diluted weighted average numbers of shares outstanding resulting primarily from our repurchase of ordinary shares in fiscal 2011 and in the three months ended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Cash, cash equivalents and short-term interest-bearing investments, net of short-term debt, totaled $0.92 billion as of December 31, 2011, and as of September 30, 2011. The cash generated in the three months ended December 31, 2011, was mainly attributable to $149.9 million in positive cash flow from operations and $23.9 million of proceeds from employee stock options exercised, partially offset by $139.7 million used to repurchase our ordinary shares pursuant to our share repurchase program and $28.3 million for capital expenditures, net. Net cash provided by operating activities amounted to $149.9 million and $162.3 million for the three months ended December 31, 2011 and 2010, respectively.</w:t>
      </w:r>
    </w:p>
    <w:p>
      <w:pPr>
        <w:spacing w:after="0" w:line="1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policy is to retain sufficient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government guaranteed debt and U.S. agency securities. We believe we have conservative investment policy guidelines. Our interest-bearing investments are stated at fair value with the unrealized gains or losses reported as a separate component of accumulated other comprehensive loss, net of tax. Our interest-bearing investments are priced by pricing vendors and are classified as Level 1 or Level 2 investments, since these vendors either provide a quoted market price in an active market or use observable inputs. During the three months ended December 31, 2011 and 2010, we recognized immaterial credit losses. As of December 31, 2011, unrealized losses of $0.8 million related to other-than-temporarily impaired securities were included in accumulated other comprehensive loss. Please see Notes 3 and 4 to the consolidated financial statements.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November 2007, we entered into an unsecured $500.0 million five-year revolving credit facility with a syndicate of banks. In September 2011, we borrowed an aggregate of $250.0 million under the facility and repaid it in October 2011. In December 2011, we entered into a new unsecured $500.0 million five-year revolving credit facility with a syndicate of banks, which replaced the November 2007 credit facility. The new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December 31, 2011, we were in compliance with the financial covenants under the revolving credit facility and had no outstanding borrowings under this facility.</w:t>
      </w:r>
    </w:p>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2011, we had outstanding letters of credit and bank guarantees from various banks totaling $65.4 million. As of December 31, 2011, we had outstanding obligations of $0.9 million in connection with leasing arrangements.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contractual obligations for our non-cancelable operating leases, purchase obligations, pension funding and convertible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summarized in the tabular disclosure of contractual obligations set forth in our Annual Report on Form 20-F for the fiscal year ended September 30, 2011, filed on December 8, 2011 with the SEC. Since September 30, 2011, there have been no material changes in our contractual obligations other than in the ordinary course of our business.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capital expenditures were approximately $28.3 million in the three months ended December 31, 2011. Approximately 80% of these expenditures consisted of purchases of computer equipment, and the remainder was attributable mainly to leasehold improvements. The capital expenditures in the three months ended December 31, 2011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113"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In April 2010, our board of directors authorized a share repurchase plan allowing the repurchase of up to $700.0 million of our outstanding ordinary shares over the following 12 months. In February 2011, our board of directors adopted a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w:t>
      </w:r>
    </w:p>
    <w:p>
      <w:pPr>
        <w:spacing w:after="0" w:line="3"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2010 share repurchase plan and began executing repurchases under the February 2011 plan. In the three months ended December 31, 2011, we repurchased approximately 4.9 million ordinary shares at an average price of $28.54 per share (excluding broker and transaction fees). As of December 31, 2011, we had remaining authority to repurchase up to $547.5 million of our outstanding ordinary shares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three months ended December 31, 2011 and 2010,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2011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5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58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5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(b)</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5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280" w:type="dxa"/>
            <w:vAlign w:val="bottom"/>
            <w:gridSpan w:val="2"/>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4"/>
                <w:szCs w:val="14"/>
                <w:color w:val="auto"/>
              </w:rPr>
            </w:pPr>
          </w:p>
        </w:tc>
        <w:tc>
          <w:tcPr>
            <w:tcW w:w="1440" w:type="dxa"/>
            <w:vAlign w:val="bottom"/>
            <w:gridSpan w:val="3"/>
          </w:tcPr>
          <w:p>
            <w:pPr>
              <w:jc w:val="right"/>
              <w:ind w:right="580"/>
              <w:spacing w:after="0" w:line="148" w:lineRule="exact"/>
              <w:rPr>
                <w:sz w:val="20"/>
                <w:szCs w:val="20"/>
                <w:color w:val="auto"/>
              </w:rPr>
            </w:pPr>
            <w:r>
              <w:rPr>
                <w:rFonts w:ascii="Arial" w:cs="Arial" w:eastAsia="Arial" w:hAnsi="Arial"/>
                <w:sz w:val="14"/>
                <w:szCs w:val="14"/>
                <w:b w:val="1"/>
                <w:bCs w:val="1"/>
                <w:color w:val="auto"/>
                <w:w w:val="85"/>
              </w:rPr>
              <w:t>Paid per Share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10/1/11-10/31/11</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1,730,800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28.45</w:t>
            </w:r>
          </w:p>
        </w:tc>
        <w:tc>
          <w:tcPr>
            <w:tcW w:w="5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1,730,800</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687,136,548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11/1/11-11/30/11</w:t>
            </w:r>
          </w:p>
        </w:tc>
        <w:tc>
          <w:tcPr>
            <w:tcW w:w="860" w:type="dxa"/>
            <w:vAlign w:val="bottom"/>
          </w:tcPr>
          <w:p>
            <w:pPr>
              <w:jc w:val="right"/>
              <w:spacing w:after="0"/>
              <w:rPr>
                <w:sz w:val="20"/>
                <w:szCs w:val="20"/>
                <w:color w:val="auto"/>
              </w:rPr>
            </w:pPr>
            <w:r>
              <w:rPr>
                <w:rFonts w:ascii="Arial" w:cs="Arial" w:eastAsia="Arial" w:hAnsi="Arial"/>
                <w:sz w:val="18"/>
                <w:szCs w:val="18"/>
                <w:color w:val="auto"/>
              </w:rPr>
              <w:t>1,405,600</w:t>
            </w:r>
          </w:p>
        </w:tc>
        <w:tc>
          <w:tcPr>
            <w:tcW w:w="8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29.30</w:t>
            </w:r>
          </w:p>
        </w:tc>
        <w:tc>
          <w:tcPr>
            <w:tcW w:w="1060" w:type="dxa"/>
            <w:vAlign w:val="bottom"/>
          </w:tcPr>
          <w:p>
            <w:pPr>
              <w:jc w:val="right"/>
              <w:spacing w:after="0"/>
              <w:rPr>
                <w:sz w:val="20"/>
                <w:szCs w:val="20"/>
                <w:color w:val="auto"/>
              </w:rPr>
            </w:pPr>
            <w:r>
              <w:rPr>
                <w:rFonts w:ascii="Arial" w:cs="Arial" w:eastAsia="Arial" w:hAnsi="Arial"/>
                <w:sz w:val="18"/>
                <w:szCs w:val="18"/>
                <w:color w:val="auto"/>
              </w:rPr>
              <w:t>1,405,600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637,890,719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12/1/11-12/31/11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1,756,500</w:t>
            </w:r>
          </w:p>
        </w:tc>
        <w:tc>
          <w:tcPr>
            <w:tcW w:w="8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28.02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596,706,349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4,892,900</w:t>
            </w:r>
          </w:p>
        </w:tc>
        <w:tc>
          <w:tcPr>
            <w:tcW w:w="8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28.54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4,892,900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547,495,109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1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April 2010, our board of directors authorized a share repurchase plan allowing the repurchase of up to $700.0 million of our outstanding ordinary shares over the following 12 months. In February 2011, our board of directors adopted an additional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 2010 share repurchase plan and began executing repurchases under the February 2011 plan. In the three months ended December 31, 2011, we repurchased approximately 4.9 million ordinary shares at an average price of $28.54 per share (excluding broker and transaction fees). As of December 31, 2011, we had remaining authority to repurchase up to $547.5 million of our outstanding ordinary shares under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(a)Reports on Form 6-K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2011:</w:t>
      </w:r>
    </w:p>
    <w:p>
      <w:pPr>
        <w:spacing w:after="0" w:line="90"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November 9, 2011</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22, 2011</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22,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and Secretary Authorized U.S.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2019-12-09T13:32:20Z</dcterms:created>
  <dcterms:modified xsi:type="dcterms:W3CDTF">2019-12-09T13:32:20Z</dcterms:modified>
</cp:coreProperties>
</file>