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9"/>
        <w:spacing w:after="0"/>
        <w:rPr>
          <w:sz w:val="20"/>
          <w:szCs w:val="20"/>
          <w:color w:val="auto"/>
        </w:rPr>
      </w:pPr>
      <w:r>
        <w:rPr>
          <w:rFonts w:ascii="Courier New" w:cs="Courier New" w:eastAsia="Courier New" w:hAnsi="Courier New"/>
          <w:sz w:val="15"/>
          <w:szCs w:val="15"/>
          <w:color w:val="auto"/>
        </w:rPr>
        <w:t>WASHINGTON, D.C. 20549</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FORM 6-K</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REPORT OF FOREIGN PRIVATE ISSUER</w:t>
      </w:r>
    </w:p>
    <w:p>
      <w:pPr>
        <w:jc w:val="center"/>
        <w:ind w:right="3179"/>
        <w:spacing w:after="0"/>
        <w:rPr>
          <w:sz w:val="20"/>
          <w:szCs w:val="20"/>
          <w:color w:val="auto"/>
        </w:rPr>
      </w:pPr>
      <w:r>
        <w:rPr>
          <w:rFonts w:ascii="Courier New" w:cs="Courier New" w:eastAsia="Courier New" w:hAnsi="Courier New"/>
          <w:sz w:val="15"/>
          <w:szCs w:val="15"/>
          <w:color w:val="auto"/>
        </w:rPr>
        <w:t>PURSUANT TO RULE 13A-16 OR 15D-16 OF</w:t>
      </w:r>
    </w:p>
    <w:p>
      <w:pPr>
        <w:jc w:val="center"/>
        <w:ind w:right="309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6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For the Quarter Ended March 31, 2004</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Commission File Number 1-14840</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Suite 5, Tower Hill House Le Bordage</w:t>
      </w:r>
    </w:p>
    <w:p>
      <w:pPr>
        <w:jc w:val="center"/>
        <w:ind w:right="3099"/>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Amdocs, Inc.</w:t>
      </w:r>
    </w:p>
    <w:p>
      <w:pPr>
        <w:jc w:val="center"/>
        <w:ind w:right="3099"/>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75" w:lineRule="exact"/>
        <w:rPr>
          <w:sz w:val="24"/>
          <w:szCs w:val="24"/>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ectPr>
          <w:pgSz w:w="11900" w:h="16838" w:orient="portrait"/>
          <w:cols w:equalWidth="0" w:num="1">
            <w:col w:w="10219"/>
          </w:cols>
          <w:pgMar w:left="240" w:top="396" w:right="1440" w:bottom="1440" w:gutter="0" w:footer="0" w:header="0"/>
        </w:sectPr>
      </w:pPr>
    </w:p>
    <w:p>
      <w:pPr>
        <w:spacing w:after="0" w:line="176" w:lineRule="exact"/>
        <w:rPr>
          <w:sz w:val="24"/>
          <w:szCs w:val="24"/>
          <w:color w:val="auto"/>
        </w:rPr>
      </w:pPr>
    </w:p>
    <w:p>
      <w:pPr>
        <w:ind w:left="1580"/>
        <w:spacing w:after="0"/>
        <w:rPr>
          <w:sz w:val="20"/>
          <w:szCs w:val="20"/>
          <w:color w:val="auto"/>
        </w:rPr>
      </w:pPr>
      <w:r>
        <w:rPr>
          <w:rFonts w:ascii="Courier New" w:cs="Courier New" w:eastAsia="Courier New" w:hAnsi="Courier New"/>
          <w:sz w:val="14"/>
          <w:szCs w:val="14"/>
          <w:color w:val="auto"/>
        </w:rPr>
        <w:t>FORM 20-F</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FORM 40-F</w:t>
      </w:r>
    </w:p>
    <w:p>
      <w:pPr>
        <w:spacing w:after="0" w:line="11" w:lineRule="exact"/>
        <w:rPr>
          <w:sz w:val="24"/>
          <w:szCs w:val="24"/>
          <w:color w:val="auto"/>
        </w:rPr>
      </w:pPr>
    </w:p>
    <w:p>
      <w:pPr>
        <w:sectPr>
          <w:pgSz w:w="11900" w:h="16838" w:orient="portrait"/>
          <w:cols w:equalWidth="0" w:num="3">
            <w:col w:w="2380" w:space="440"/>
            <w:col w:w="1220" w:space="720"/>
            <w:col w:w="5459"/>
          </w:cols>
          <w:pgMar w:left="240" w:top="396"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sectPr>
          <w:pgSz w:w="11900" w:h="16838" w:orient="portrait"/>
          <w:cols w:equalWidth="0" w:num="2">
            <w:col w:w="5000" w:space="720"/>
            <w:col w:w="4499"/>
          </w:cols>
          <w:pgMar w:left="240" w:top="396" w:right="1440" w:bottom="1440" w:gutter="0" w:footer="0" w:header="0"/>
          <w:type w:val="continuous"/>
        </w:sectPr>
      </w:pPr>
    </w:p>
    <w:p>
      <w:pPr>
        <w:ind w:right="3179"/>
        <w:spacing w:after="0" w:line="260"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396" w:right="1440" w:bottom="1440" w:gutter="0" w:footer="0" w:header="0"/>
          <w:type w:val="continuous"/>
        </w:sectPr>
      </w:pPr>
    </w:p>
    <w:p>
      <w:pPr>
        <w:spacing w:after="0" w:line="163" w:lineRule="exact"/>
        <w:rPr>
          <w:sz w:val="24"/>
          <w:szCs w:val="24"/>
          <w:color w:val="auto"/>
        </w:rPr>
      </w:pPr>
    </w:p>
    <w:p>
      <w:pPr>
        <w:ind w:left="184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4319"/>
        <w:spacing w:after="0"/>
        <w:rPr>
          <w:sz w:val="20"/>
          <w:szCs w:val="20"/>
          <w:color w:val="auto"/>
        </w:rPr>
      </w:pPr>
      <w:r>
        <w:rPr>
          <w:rFonts w:ascii="Courier New" w:cs="Courier New" w:eastAsia="Courier New" w:hAnsi="Courier New"/>
          <w:sz w:val="15"/>
          <w:szCs w:val="15"/>
          <w:color w:val="auto"/>
        </w:rPr>
        <w:t>X</w:t>
      </w:r>
    </w:p>
    <w:p>
      <w:pPr>
        <w:spacing w:after="0" w:line="5" w:lineRule="exact"/>
        <w:rPr>
          <w:sz w:val="24"/>
          <w:szCs w:val="24"/>
          <w:color w:val="auto"/>
        </w:rPr>
      </w:pPr>
    </w:p>
    <w:p>
      <w:pPr>
        <w:jc w:val="center"/>
        <w:ind w:right="431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4">
            <w:col w:w="2100" w:space="100"/>
            <w:col w:w="2100" w:space="720"/>
            <w:col w:w="180" w:space="80"/>
            <w:col w:w="4939"/>
          </w:cols>
          <w:pgMar w:left="240" w:top="396" w:right="1440" w:bottom="1440" w:gutter="0" w:footer="0" w:header="0"/>
          <w:type w:val="continuous"/>
        </w:sectPr>
      </w:pPr>
    </w:p>
    <w:bookmarkStart w:id="1" w:name="page2"/>
    <w:bookmarkEnd w:id="1"/>
    <w:p>
      <w:pPr>
        <w:jc w:val="center"/>
        <w:ind w:right="319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FORM 6-K</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FOR THE QUARTER ENDED MARCH 31, 2004</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INDEX</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9" w:lineRule="exact"/>
        <w:rPr>
          <w:sz w:val="20"/>
          <w:szCs w:val="20"/>
          <w:color w:val="auto"/>
        </w:rPr>
      </w:pPr>
    </w:p>
    <w:p>
      <w:pPr>
        <w:ind w:left="1220"/>
        <w:spacing w:after="0"/>
        <w:tabs>
          <w:tab w:leader="none" w:pos="200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Unaudited Consolidated Financial Statements</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Consolidated Balance Sheets</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Consolidated Statement of Changes in</w:t>
      </w:r>
    </w:p>
    <w:p>
      <w:pPr>
        <w:ind w:left="2900"/>
        <w:spacing w:after="0"/>
        <w:rPr>
          <w:sz w:val="20"/>
          <w:szCs w:val="20"/>
          <w:color w:val="auto"/>
        </w:rPr>
      </w:pPr>
      <w:r>
        <w:rPr>
          <w:rFonts w:ascii="Courier New" w:cs="Courier New" w:eastAsia="Courier New" w:hAnsi="Courier New"/>
          <w:sz w:val="15"/>
          <w:szCs w:val="15"/>
          <w:color w:val="auto"/>
        </w:rPr>
        <w:t>Shareholders' Equity</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Notes to Unaudited Consolidated Financial</w:t>
      </w:r>
    </w:p>
    <w:p>
      <w:pPr>
        <w:ind w:left="2900"/>
        <w:spacing w:after="0"/>
        <w:rPr>
          <w:sz w:val="20"/>
          <w:szCs w:val="20"/>
          <w:color w:val="auto"/>
        </w:rPr>
      </w:pPr>
      <w:r>
        <w:rPr>
          <w:rFonts w:ascii="Courier New" w:cs="Courier New" w:eastAsia="Courier New" w:hAnsi="Courier New"/>
          <w:sz w:val="15"/>
          <w:szCs w:val="15"/>
          <w:color w:val="auto"/>
        </w:rPr>
        <w:t>Statements</w:t>
      </w:r>
    </w:p>
    <w:p>
      <w:pPr>
        <w:spacing w:after="0" w:line="169" w:lineRule="exact"/>
        <w:rPr>
          <w:sz w:val="20"/>
          <w:szCs w:val="20"/>
          <w:color w:val="auto"/>
        </w:rPr>
      </w:pPr>
    </w:p>
    <w:p>
      <w:pPr>
        <w:ind w:left="1220"/>
        <w:spacing w:after="0"/>
        <w:tabs>
          <w:tab w:leader="none" w:pos="200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Operating and Financial Review and Prospects</w:t>
      </w:r>
    </w:p>
    <w:p>
      <w:pPr>
        <w:spacing w:after="0" w:line="33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344" w:lineRule="exact"/>
        <w:rPr>
          <w:sz w:val="20"/>
          <w:szCs w:val="20"/>
          <w:color w:val="auto"/>
        </w:rPr>
      </w:pPr>
    </w:p>
    <w:p>
      <w:pPr>
        <w:ind w:left="2100" w:right="3799" w:hanging="880"/>
        <w:spacing w:after="0" w:line="235" w:lineRule="auto"/>
        <w:tabs>
          <w:tab w:leader="none" w:pos="2080" w:val="left"/>
        </w:tabs>
        <w:rPr>
          <w:sz w:val="20"/>
          <w:szCs w:val="20"/>
          <w:color w:val="auto"/>
        </w:rPr>
      </w:pPr>
      <w:r>
        <w:rPr>
          <w:rFonts w:ascii="Courier New" w:cs="Courier New" w:eastAsia="Courier New" w:hAnsi="Courier New"/>
          <w:sz w:val="15"/>
          <w:szCs w:val="15"/>
          <w:color w:val="auto"/>
        </w:rPr>
        <w:t>Item 1.</w:t>
        <w:tab/>
        <w:t>Changes in Securities, Use of Proceeds and Issuer Purchases of Equity Securities</w:t>
      </w:r>
    </w:p>
    <w:p>
      <w:pPr>
        <w:spacing w:after="0" w:line="170" w:lineRule="exact"/>
        <w:rPr>
          <w:sz w:val="20"/>
          <w:szCs w:val="20"/>
          <w:color w:val="auto"/>
        </w:rPr>
      </w:pPr>
    </w:p>
    <w:p>
      <w:pPr>
        <w:ind w:left="1220"/>
        <w:spacing w:after="0"/>
        <w:tabs>
          <w:tab w:leader="none" w:pos="20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Reports on Form 6-K</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5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PART I FINANCIAL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AMDOCS LIMITED</w:t>
      </w:r>
    </w:p>
    <w:p>
      <w:pPr>
        <w:ind w:left="2380"/>
        <w:spacing w:after="0"/>
        <w:rPr>
          <w:sz w:val="20"/>
          <w:szCs w:val="20"/>
          <w:color w:val="auto"/>
        </w:rPr>
      </w:pPr>
      <w:r>
        <w:rPr>
          <w:rFonts w:ascii="Courier New" w:cs="Courier New" w:eastAsia="Courier New" w:hAnsi="Courier New"/>
          <w:sz w:val="15"/>
          <w:szCs w:val="15"/>
          <w:color w:val="auto"/>
        </w:rPr>
        <w:t>CONSOLIDATED BALANCE SHEETS</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(in U.S. dollars, unless otherwise stated)</w:t>
      </w:r>
    </w:p>
    <w:tbl>
      <w:tblPr>
        <w:tblLayout w:type="fixed"/>
        <w:tblInd w:w="0" w:type="dxa"/>
        <w:tblCellMar>
          <w:top w:w="0" w:type="dxa"/>
          <w:left w:w="0" w:type="dxa"/>
          <w:bottom w:w="0" w:type="dxa"/>
          <w:right w:w="0" w:type="dxa"/>
        </w:tblCellMar>
      </w:tblPr>
      <w:tr>
        <w:trPr>
          <w:trHeight w:val="170"/>
        </w:trPr>
        <w:tc>
          <w:tcPr>
            <w:tcW w:w="7620" w:type="dxa"/>
            <w:vAlign w:val="bottom"/>
          </w:tcPr>
          <w:p>
            <w:pPr>
              <w:ind w:left="1920"/>
              <w:spacing w:after="0"/>
              <w:rPr>
                <w:sz w:val="20"/>
                <w:szCs w:val="20"/>
                <w:color w:val="auto"/>
              </w:rPr>
            </w:pPr>
            <w:r>
              <w:rPr>
                <w:rFonts w:ascii="Courier New" w:cs="Courier New" w:eastAsia="Courier New" w:hAnsi="Courier New"/>
                <w:sz w:val="15"/>
                <w:szCs w:val="15"/>
                <w:color w:val="auto"/>
              </w:rPr>
              <w:t>(in thousands, except per share data)</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78"/>
        </w:trPr>
        <w:tc>
          <w:tcPr>
            <w:tcW w:w="7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AS OF</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7620" w:type="dxa"/>
            <w:vAlign w:val="bottom"/>
          </w:tcPr>
          <w:p>
            <w:pPr>
              <w:spacing w:after="0"/>
              <w:rPr>
                <w:sz w:val="14"/>
                <w:szCs w:val="14"/>
                <w:color w:val="auto"/>
              </w:rPr>
            </w:pPr>
          </w:p>
        </w:tc>
        <w:tc>
          <w:tcPr>
            <w:tcW w:w="2780" w:type="dxa"/>
            <w:vAlign w:val="bottom"/>
            <w:gridSpan w:val="4"/>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MARCH 31,</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SEPTEMBER 30,</w:t>
            </w:r>
          </w:p>
        </w:tc>
      </w:tr>
      <w:tr>
        <w:trPr>
          <w:trHeight w:val="170"/>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7620" w:type="dxa"/>
            <w:vAlign w:val="bottom"/>
          </w:tcPr>
          <w:p>
            <w:pPr>
              <w:spacing w:after="0"/>
              <w:rPr>
                <w:sz w:val="14"/>
                <w:szCs w:val="14"/>
                <w:color w:val="auto"/>
              </w:rPr>
            </w:pP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620" w:type="dxa"/>
            <w:vAlign w:val="bottom"/>
          </w:tcPr>
          <w:p>
            <w:pPr>
              <w:spacing w:after="0"/>
              <w:rPr>
                <w:sz w:val="14"/>
                <w:szCs w:val="14"/>
                <w:color w:val="auto"/>
              </w:rPr>
            </w:pP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(UNAUDITED)</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9"/>
        </w:trPr>
        <w:tc>
          <w:tcPr>
            <w:tcW w:w="76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76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796,318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847,600</w:t>
            </w: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Short-term interest-bearing investments</w:t>
            </w:r>
          </w:p>
        </w:tc>
        <w:tc>
          <w:tcPr>
            <w:tcW w:w="3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770,217</w:t>
            </w:r>
          </w:p>
        </w:tc>
        <w:tc>
          <w:tcPr>
            <w:tcW w:w="22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443,292</w:t>
            </w: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3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247,766</w:t>
            </w:r>
          </w:p>
        </w:tc>
        <w:tc>
          <w:tcPr>
            <w:tcW w:w="22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198,274</w:t>
            </w: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3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75,103</w:t>
            </w:r>
          </w:p>
        </w:tc>
        <w:tc>
          <w:tcPr>
            <w:tcW w:w="22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60,868</w:t>
            </w: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3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80,275</w:t>
            </w:r>
          </w:p>
        </w:tc>
        <w:tc>
          <w:tcPr>
            <w:tcW w:w="22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85,902</w:t>
            </w:r>
          </w:p>
        </w:tc>
      </w:tr>
      <w:tr>
        <w:trPr>
          <w:trHeight w:val="170"/>
        </w:trPr>
        <w:tc>
          <w:tcPr>
            <w:tcW w:w="7620" w:type="dxa"/>
            <w:vAlign w:val="bottom"/>
          </w:tcPr>
          <w:p>
            <w:pPr>
              <w:spacing w:after="0"/>
              <w:rPr>
                <w:sz w:val="14"/>
                <w:szCs w:val="14"/>
                <w:color w:val="auto"/>
              </w:rPr>
            </w:pP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620" w:type="dxa"/>
            <w:vAlign w:val="bottom"/>
          </w:tcPr>
          <w:p>
            <w:pPr>
              <w:ind w:left="1040"/>
              <w:spacing w:after="0"/>
              <w:rPr>
                <w:sz w:val="20"/>
                <w:szCs w:val="20"/>
                <w:color w:val="auto"/>
              </w:rPr>
            </w:pPr>
            <w:r>
              <w:rPr>
                <w:rFonts w:ascii="Courier New" w:cs="Courier New" w:eastAsia="Courier New" w:hAnsi="Courier New"/>
                <w:sz w:val="15"/>
                <w:szCs w:val="15"/>
                <w:color w:val="auto"/>
              </w:rPr>
              <w:t>Total current assets</w:t>
            </w:r>
          </w:p>
        </w:tc>
        <w:tc>
          <w:tcPr>
            <w:tcW w:w="3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1,969,679</w:t>
            </w:r>
          </w:p>
        </w:tc>
        <w:tc>
          <w:tcPr>
            <w:tcW w:w="22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1,635,936</w:t>
            </w:r>
          </w:p>
        </w:tc>
      </w:tr>
      <w:tr>
        <w:trPr>
          <w:trHeight w:val="509"/>
        </w:trPr>
        <w:tc>
          <w:tcPr>
            <w:tcW w:w="762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300" w:type="dxa"/>
            <w:vAlign w:val="bottom"/>
          </w:tcPr>
          <w:p>
            <w:pPr>
              <w:spacing w:after="0"/>
              <w:rPr>
                <w:sz w:val="24"/>
                <w:szCs w:val="2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182,937</w:t>
            </w:r>
          </w:p>
        </w:tc>
        <w:tc>
          <w:tcPr>
            <w:tcW w:w="220" w:type="dxa"/>
            <w:vAlign w:val="bottom"/>
          </w:tcPr>
          <w:p>
            <w:pPr>
              <w:spacing w:after="0"/>
              <w:rPr>
                <w:sz w:val="24"/>
                <w:szCs w:val="2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203,467</w:t>
            </w:r>
          </w:p>
        </w:tc>
      </w:tr>
      <w:tr>
        <w:trPr>
          <w:trHeight w:val="170"/>
        </w:trPr>
        <w:tc>
          <w:tcPr>
            <w:tcW w:w="76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3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111,824</w:t>
            </w:r>
          </w:p>
        </w:tc>
        <w:tc>
          <w:tcPr>
            <w:tcW w:w="22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105,943</w:t>
            </w:r>
          </w:p>
        </w:tc>
      </w:tr>
      <w:tr>
        <w:trPr>
          <w:trHeight w:val="170"/>
        </w:trPr>
        <w:tc>
          <w:tcPr>
            <w:tcW w:w="762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3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807,305</w:t>
            </w:r>
          </w:p>
        </w:tc>
        <w:tc>
          <w:tcPr>
            <w:tcW w:w="22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797,134</w:t>
            </w:r>
          </w:p>
        </w:tc>
      </w:tr>
      <w:tr>
        <w:trPr>
          <w:trHeight w:val="170"/>
        </w:trPr>
        <w:tc>
          <w:tcPr>
            <w:tcW w:w="762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3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60,880</w:t>
            </w:r>
          </w:p>
        </w:tc>
        <w:tc>
          <w:tcPr>
            <w:tcW w:w="22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58,841</w:t>
            </w:r>
          </w:p>
        </w:tc>
      </w:tr>
      <w:tr>
        <w:trPr>
          <w:trHeight w:val="170"/>
        </w:trPr>
        <w:tc>
          <w:tcPr>
            <w:tcW w:w="762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3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107,013</w:t>
            </w:r>
          </w:p>
        </w:tc>
        <w:tc>
          <w:tcPr>
            <w:tcW w:w="22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76,196</w:t>
            </w:r>
          </w:p>
        </w:tc>
      </w:tr>
      <w:tr>
        <w:trPr>
          <w:trHeight w:val="170"/>
        </w:trPr>
        <w:tc>
          <w:tcPr>
            <w:tcW w:w="7620" w:type="dxa"/>
            <w:vAlign w:val="bottom"/>
          </w:tcPr>
          <w:p>
            <w:pPr>
              <w:spacing w:after="0"/>
              <w:rPr>
                <w:sz w:val="14"/>
                <w:szCs w:val="14"/>
                <w:color w:val="auto"/>
              </w:rPr>
            </w:pP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620" w:type="dxa"/>
            <w:vAlign w:val="bottom"/>
          </w:tcPr>
          <w:p>
            <w:pPr>
              <w:ind w:left="1040"/>
              <w:spacing w:after="0"/>
              <w:rPr>
                <w:sz w:val="20"/>
                <w:szCs w:val="20"/>
                <w:color w:val="auto"/>
              </w:rPr>
            </w:pPr>
            <w:r>
              <w:rPr>
                <w:rFonts w:ascii="Courier New" w:cs="Courier New" w:eastAsia="Courier New" w:hAnsi="Courier New"/>
                <w:sz w:val="15"/>
                <w:szCs w:val="15"/>
                <w:color w:val="auto"/>
              </w:rPr>
              <w:t>Total assets</w:t>
            </w: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$ 3,239,638</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$ 2,877,517</w:t>
            </w:r>
          </w:p>
        </w:tc>
      </w:tr>
      <w:tr>
        <w:trPr>
          <w:trHeight w:val="170"/>
        </w:trPr>
        <w:tc>
          <w:tcPr>
            <w:tcW w:w="7620" w:type="dxa"/>
            <w:vAlign w:val="bottom"/>
          </w:tcPr>
          <w:p>
            <w:pPr>
              <w:spacing w:after="0"/>
              <w:rPr>
                <w:sz w:val="14"/>
                <w:szCs w:val="14"/>
                <w:color w:val="auto"/>
              </w:rPr>
            </w:pP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76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76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80,778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101,116</w:t>
            </w: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3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158,374</w:t>
            </w:r>
          </w:p>
        </w:tc>
        <w:tc>
          <w:tcPr>
            <w:tcW w:w="22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123,223</w:t>
            </w: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Accrued personnel costs</w:t>
            </w:r>
          </w:p>
        </w:tc>
        <w:tc>
          <w:tcPr>
            <w:tcW w:w="3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117,675</w:t>
            </w:r>
          </w:p>
        </w:tc>
        <w:tc>
          <w:tcPr>
            <w:tcW w:w="22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106,857</w:t>
            </w: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2% convertible notes</w:t>
            </w:r>
          </w:p>
        </w:tc>
        <w:tc>
          <w:tcPr>
            <w:tcW w:w="3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395,454</w:t>
            </w:r>
          </w:p>
        </w:tc>
        <w:tc>
          <w:tcPr>
            <w:tcW w:w="22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400,454</w:t>
            </w: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financing arrangement</w:t>
            </w:r>
          </w:p>
        </w:tc>
        <w:tc>
          <w:tcPr>
            <w:tcW w:w="3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1,777</w:t>
            </w:r>
          </w:p>
        </w:tc>
        <w:tc>
          <w:tcPr>
            <w:tcW w:w="22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2,179</w:t>
            </w: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3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232,444</w:t>
            </w:r>
          </w:p>
        </w:tc>
        <w:tc>
          <w:tcPr>
            <w:tcW w:w="22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174,616</w:t>
            </w: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3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23,439</w:t>
            </w:r>
          </w:p>
        </w:tc>
        <w:tc>
          <w:tcPr>
            <w:tcW w:w="22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27,140</w:t>
            </w: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payable</w:t>
            </w:r>
          </w:p>
        </w:tc>
        <w:tc>
          <w:tcPr>
            <w:tcW w:w="3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146,395</w:t>
            </w:r>
          </w:p>
        </w:tc>
        <w:tc>
          <w:tcPr>
            <w:tcW w:w="22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133,002</w:t>
            </w:r>
          </w:p>
        </w:tc>
      </w:tr>
      <w:tr>
        <w:trPr>
          <w:trHeight w:val="170"/>
        </w:trPr>
        <w:tc>
          <w:tcPr>
            <w:tcW w:w="7620" w:type="dxa"/>
            <w:vAlign w:val="bottom"/>
          </w:tcPr>
          <w:p>
            <w:pPr>
              <w:spacing w:after="0"/>
              <w:rPr>
                <w:sz w:val="14"/>
                <w:szCs w:val="14"/>
                <w:color w:val="auto"/>
              </w:rPr>
            </w:pP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620" w:type="dxa"/>
            <w:vAlign w:val="bottom"/>
          </w:tcPr>
          <w:p>
            <w:pPr>
              <w:ind w:left="1040"/>
              <w:spacing w:after="0"/>
              <w:rPr>
                <w:sz w:val="20"/>
                <w:szCs w:val="20"/>
                <w:color w:val="auto"/>
              </w:rPr>
            </w:pPr>
            <w:r>
              <w:rPr>
                <w:rFonts w:ascii="Courier New" w:cs="Courier New" w:eastAsia="Courier New" w:hAnsi="Courier New"/>
                <w:sz w:val="15"/>
                <w:szCs w:val="15"/>
                <w:color w:val="auto"/>
              </w:rPr>
              <w:t>Total current liabilities</w:t>
            </w:r>
          </w:p>
        </w:tc>
        <w:tc>
          <w:tcPr>
            <w:tcW w:w="3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1,156,336</w:t>
            </w:r>
          </w:p>
        </w:tc>
        <w:tc>
          <w:tcPr>
            <w:tcW w:w="22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1,068,587</w:t>
            </w:r>
          </w:p>
        </w:tc>
      </w:tr>
      <w:tr>
        <w:trPr>
          <w:trHeight w:val="339"/>
        </w:trPr>
        <w:tc>
          <w:tcPr>
            <w:tcW w:w="76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300" w:type="dxa"/>
            <w:vAlign w:val="bottom"/>
          </w:tcPr>
          <w:p>
            <w:pPr>
              <w:spacing w:after="0"/>
              <w:rPr>
                <w:sz w:val="24"/>
                <w:szCs w:val="2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52,969</w:t>
            </w:r>
          </w:p>
        </w:tc>
        <w:tc>
          <w:tcPr>
            <w:tcW w:w="220" w:type="dxa"/>
            <w:vAlign w:val="bottom"/>
          </w:tcPr>
          <w:p>
            <w:pPr>
              <w:spacing w:after="0"/>
              <w:rPr>
                <w:sz w:val="24"/>
                <w:szCs w:val="2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44,835</w:t>
            </w:r>
          </w:p>
        </w:tc>
      </w:tr>
      <w:tr>
        <w:trPr>
          <w:trHeight w:val="170"/>
        </w:trPr>
        <w:tc>
          <w:tcPr>
            <w:tcW w:w="7620" w:type="dxa"/>
            <w:vAlign w:val="bottom"/>
          </w:tcPr>
          <w:p>
            <w:pPr>
              <w:spacing w:after="0"/>
              <w:rPr>
                <w:sz w:val="20"/>
                <w:szCs w:val="20"/>
                <w:color w:val="auto"/>
              </w:rPr>
            </w:pPr>
            <w:r>
              <w:rPr>
                <w:rFonts w:ascii="Courier New" w:cs="Courier New" w:eastAsia="Courier New" w:hAnsi="Courier New"/>
                <w:sz w:val="15"/>
                <w:szCs w:val="15"/>
                <w:color w:val="auto"/>
              </w:rPr>
              <w:t>0.50% convertible notes</w:t>
            </w:r>
          </w:p>
        </w:tc>
        <w:tc>
          <w:tcPr>
            <w:tcW w:w="3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450,000</w:t>
            </w:r>
          </w:p>
        </w:tc>
        <w:tc>
          <w:tcPr>
            <w:tcW w:w="22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620" w:type="dxa"/>
            <w:vAlign w:val="bottom"/>
          </w:tcPr>
          <w:p>
            <w:pPr>
              <w:spacing w:after="0"/>
              <w:rPr>
                <w:sz w:val="20"/>
                <w:szCs w:val="20"/>
                <w:color w:val="auto"/>
              </w:rPr>
            </w:pPr>
            <w:r>
              <w:rPr>
                <w:rFonts w:ascii="Courier New" w:cs="Courier New" w:eastAsia="Courier New" w:hAnsi="Courier New"/>
                <w:sz w:val="15"/>
                <w:szCs w:val="15"/>
                <w:color w:val="auto"/>
              </w:rPr>
              <w:t>Noncurrent liabilities and other</w:t>
            </w:r>
          </w:p>
        </w:tc>
        <w:tc>
          <w:tcPr>
            <w:tcW w:w="3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160,582</w:t>
            </w:r>
          </w:p>
        </w:tc>
        <w:tc>
          <w:tcPr>
            <w:tcW w:w="22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172,495</w:t>
            </w:r>
          </w:p>
        </w:tc>
      </w:tr>
      <w:tr>
        <w:trPr>
          <w:trHeight w:val="170"/>
        </w:trPr>
        <w:tc>
          <w:tcPr>
            <w:tcW w:w="7620" w:type="dxa"/>
            <w:vAlign w:val="bottom"/>
          </w:tcPr>
          <w:p>
            <w:pPr>
              <w:spacing w:after="0"/>
              <w:rPr>
                <w:sz w:val="14"/>
                <w:szCs w:val="14"/>
                <w:color w:val="auto"/>
              </w:rPr>
            </w:pP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620" w:type="dxa"/>
            <w:vAlign w:val="bottom"/>
          </w:tcPr>
          <w:p>
            <w:pPr>
              <w:ind w:left="1040"/>
              <w:spacing w:after="0"/>
              <w:rPr>
                <w:sz w:val="20"/>
                <w:szCs w:val="20"/>
                <w:color w:val="auto"/>
              </w:rPr>
            </w:pPr>
            <w:r>
              <w:rPr>
                <w:rFonts w:ascii="Courier New" w:cs="Courier New" w:eastAsia="Courier New" w:hAnsi="Courier New"/>
                <w:sz w:val="15"/>
                <w:szCs w:val="15"/>
                <w:color w:val="auto"/>
              </w:rPr>
              <w:t>Total liabilities</w:t>
            </w:r>
          </w:p>
        </w:tc>
        <w:tc>
          <w:tcPr>
            <w:tcW w:w="3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1,819,887</w:t>
            </w:r>
          </w:p>
        </w:tc>
        <w:tc>
          <w:tcPr>
            <w:tcW w:w="22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1,285,917</w:t>
            </w:r>
          </w:p>
        </w:tc>
      </w:tr>
      <w:tr>
        <w:trPr>
          <w:trHeight w:val="170"/>
        </w:trPr>
        <w:tc>
          <w:tcPr>
            <w:tcW w:w="7620" w:type="dxa"/>
            <w:vAlign w:val="bottom"/>
          </w:tcPr>
          <w:p>
            <w:pPr>
              <w:spacing w:after="0"/>
              <w:rPr>
                <w:sz w:val="14"/>
                <w:szCs w:val="14"/>
                <w:color w:val="auto"/>
              </w:rPr>
            </w:pP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6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Preferred Shares - Authorized 25,000 shares; L0.01 par value; 0 shares issued and</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rPr>
              <w:t>outstanding</w:t>
            </w:r>
          </w:p>
        </w:tc>
        <w:tc>
          <w:tcPr>
            <w:tcW w:w="3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Ordinary Shares - Authorized 550,000 shares; L0.01 par value; 224,738 and</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rPr>
              <w:t>223,790 issued and 206,019 and 216,058 outstanding, respectively</w:t>
            </w:r>
          </w:p>
        </w:tc>
        <w:tc>
          <w:tcPr>
            <w:tcW w:w="3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3,597</w:t>
            </w:r>
          </w:p>
        </w:tc>
        <w:tc>
          <w:tcPr>
            <w:tcW w:w="22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3,580</w:t>
            </w: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Additional paid-in capital</w:t>
            </w:r>
          </w:p>
        </w:tc>
        <w:tc>
          <w:tcPr>
            <w:tcW w:w="3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1,834,838</w:t>
            </w:r>
          </w:p>
        </w:tc>
        <w:tc>
          <w:tcPr>
            <w:tcW w:w="22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1,820,956</w:t>
            </w: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Treasury stock, at cost - 18,719 and 7,732 Ordinary Shares, respectively</w:t>
            </w:r>
          </w:p>
        </w:tc>
        <w:tc>
          <w:tcPr>
            <w:tcW w:w="30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(402,360)</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(109,281)</w:t>
            </w: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Accumulated other comprehensive (loss) income</w:t>
            </w:r>
          </w:p>
        </w:tc>
        <w:tc>
          <w:tcPr>
            <w:tcW w:w="30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(1,387)</w:t>
            </w:r>
          </w:p>
        </w:tc>
        <w:tc>
          <w:tcPr>
            <w:tcW w:w="22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3,715</w:t>
            </w: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Unearned compensation</w:t>
            </w:r>
          </w:p>
        </w:tc>
        <w:tc>
          <w:tcPr>
            <w:tcW w:w="30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(925)</w:t>
            </w:r>
          </w:p>
        </w:tc>
        <w:tc>
          <w:tcPr>
            <w:tcW w:w="22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Accumulated deficit</w:t>
            </w:r>
          </w:p>
        </w:tc>
        <w:tc>
          <w:tcPr>
            <w:tcW w:w="30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(14,012)</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(127,370)</w:t>
            </w:r>
          </w:p>
        </w:tc>
      </w:tr>
      <w:tr>
        <w:trPr>
          <w:trHeight w:val="170"/>
        </w:trPr>
        <w:tc>
          <w:tcPr>
            <w:tcW w:w="7620" w:type="dxa"/>
            <w:vAlign w:val="bottom"/>
          </w:tcPr>
          <w:p>
            <w:pPr>
              <w:spacing w:after="0"/>
              <w:rPr>
                <w:sz w:val="14"/>
                <w:szCs w:val="14"/>
                <w:color w:val="auto"/>
              </w:rPr>
            </w:pP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620" w:type="dxa"/>
            <w:vAlign w:val="bottom"/>
          </w:tcPr>
          <w:p>
            <w:pPr>
              <w:ind w:left="1040"/>
              <w:spacing w:after="0"/>
              <w:rPr>
                <w:sz w:val="20"/>
                <w:szCs w:val="20"/>
                <w:color w:val="auto"/>
              </w:rPr>
            </w:pPr>
            <w:r>
              <w:rPr>
                <w:rFonts w:ascii="Courier New" w:cs="Courier New" w:eastAsia="Courier New" w:hAnsi="Courier New"/>
                <w:sz w:val="15"/>
                <w:szCs w:val="15"/>
                <w:color w:val="auto"/>
              </w:rPr>
              <w:t>Total shareholders' equity</w:t>
            </w:r>
          </w:p>
        </w:tc>
        <w:tc>
          <w:tcPr>
            <w:tcW w:w="3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1,419,751</w:t>
            </w:r>
          </w:p>
        </w:tc>
        <w:tc>
          <w:tcPr>
            <w:tcW w:w="22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1,591,600</w:t>
            </w:r>
          </w:p>
        </w:tc>
      </w:tr>
      <w:tr>
        <w:trPr>
          <w:trHeight w:val="170"/>
        </w:trPr>
        <w:tc>
          <w:tcPr>
            <w:tcW w:w="7620" w:type="dxa"/>
            <w:vAlign w:val="bottom"/>
          </w:tcPr>
          <w:p>
            <w:pPr>
              <w:spacing w:after="0"/>
              <w:rPr>
                <w:sz w:val="14"/>
                <w:szCs w:val="14"/>
                <w:color w:val="auto"/>
              </w:rPr>
            </w:pP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620" w:type="dxa"/>
            <w:vAlign w:val="bottom"/>
          </w:tcPr>
          <w:p>
            <w:pPr>
              <w:ind w:left="104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$ 3,239,638</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$ 2,877,517</w:t>
            </w:r>
          </w:p>
        </w:tc>
      </w:tr>
      <w:tr>
        <w:trPr>
          <w:trHeight w:val="170"/>
        </w:trPr>
        <w:tc>
          <w:tcPr>
            <w:tcW w:w="7620" w:type="dxa"/>
            <w:vAlign w:val="bottom"/>
          </w:tcPr>
          <w:p>
            <w:pPr>
              <w:spacing w:after="0"/>
              <w:rPr>
                <w:sz w:val="14"/>
                <w:szCs w:val="14"/>
                <w:color w:val="auto"/>
              </w:rPr>
            </w:pP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440"/>
        <w:spacing w:after="0"/>
        <w:rPr>
          <w:sz w:val="20"/>
          <w:szCs w:val="20"/>
          <w:color w:val="auto"/>
        </w:rPr>
      </w:pPr>
      <w:r>
        <w:rPr>
          <w:rFonts w:ascii="Courier New" w:cs="Courier New" w:eastAsia="Courier New" w:hAnsi="Courier New"/>
          <w:sz w:val="15"/>
          <w:szCs w:val="15"/>
          <w:color w:val="auto"/>
        </w:rPr>
        <w:t>statements.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400"/>
          </w:cols>
          <w:pgMar w:left="240" w:top="452" w:right="1259" w:bottom="1440" w:gutter="0" w:footer="0" w:header="0"/>
        </w:sectPr>
      </w:pPr>
    </w:p>
    <w:bookmarkStart w:id="3" w:name="page4"/>
    <w:bookmarkEnd w:id="3"/>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070"/>
        <w:spacing w:after="0"/>
        <w:rPr>
          <w:sz w:val="20"/>
          <w:szCs w:val="20"/>
          <w:color w:val="auto"/>
        </w:rPr>
      </w:pPr>
      <w:r>
        <w:rPr>
          <w:rFonts w:ascii="Courier New" w:cs="Courier New" w:eastAsia="Courier New" w:hAnsi="Courier New"/>
          <w:sz w:val="15"/>
          <w:szCs w:val="15"/>
          <w:color w:val="auto"/>
        </w:rPr>
        <w:t>CONSOLIDATED STATEMENTS OF INCOME (UNAUDITED)</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THREE MONTHS ENDED</w:t>
            </w:r>
          </w:p>
        </w:tc>
        <w:tc>
          <w:tcPr>
            <w:tcW w:w="300" w:type="dxa"/>
            <w:vAlign w:val="bottom"/>
          </w:tcPr>
          <w:p>
            <w:pPr>
              <w:spacing w:after="0"/>
              <w:rPr>
                <w:sz w:val="14"/>
                <w:szCs w:val="14"/>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w w:val="99"/>
              </w:rPr>
              <w:t>SIX MONTHS</w:t>
            </w:r>
          </w:p>
        </w:tc>
        <w:tc>
          <w:tcPr>
            <w:tcW w:w="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4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3"/>
          </w:tcPr>
          <w:p>
            <w:pPr>
              <w:jc w:val="right"/>
              <w:ind w:right="687"/>
              <w:spacing w:after="0"/>
              <w:rPr>
                <w:sz w:val="20"/>
                <w:szCs w:val="20"/>
                <w:color w:val="auto"/>
              </w:rPr>
            </w:pPr>
            <w:r>
              <w:rPr>
                <w:rFonts w:ascii="Courier New" w:cs="Courier New" w:eastAsia="Courier New" w:hAnsi="Courier New"/>
                <w:sz w:val="15"/>
                <w:szCs w:val="15"/>
                <w:color w:val="auto"/>
              </w:rPr>
              <w:t>MARCH 31,</w:t>
            </w:r>
          </w:p>
        </w:tc>
        <w:tc>
          <w:tcPr>
            <w:tcW w:w="300" w:type="dxa"/>
            <w:vAlign w:val="bottom"/>
          </w:tcPr>
          <w:p>
            <w:pPr>
              <w:spacing w:after="0"/>
              <w:rPr>
                <w:sz w:val="14"/>
                <w:szCs w:val="14"/>
                <w:color w:val="auto"/>
              </w:rPr>
            </w:pPr>
          </w:p>
        </w:tc>
        <w:tc>
          <w:tcPr>
            <w:tcW w:w="176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4880" w:type="dxa"/>
            <w:vAlign w:val="bottom"/>
          </w:tcPr>
          <w:p>
            <w:pPr>
              <w:spacing w:after="0"/>
              <w:rPr>
                <w:sz w:val="14"/>
                <w:szCs w:val="14"/>
                <w:color w:val="auto"/>
              </w:rPr>
            </w:pPr>
          </w:p>
        </w:tc>
        <w:tc>
          <w:tcPr>
            <w:tcW w:w="2300" w:type="dxa"/>
            <w:vAlign w:val="bottom"/>
            <w:gridSpan w:val="4"/>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2004</w:t>
            </w:r>
          </w:p>
        </w:tc>
        <w:tc>
          <w:tcPr>
            <w:tcW w:w="12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48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License (*)</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$ 18,107</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$ 19,159</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$ 34,728</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$ 39,685</w:t>
            </w: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Service (*)</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424,651</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335,855</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836,325</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654,715</w:t>
            </w:r>
          </w:p>
        </w:tc>
      </w:tr>
      <w:tr>
        <w:trPr>
          <w:trHeight w:val="170"/>
        </w:trPr>
        <w:tc>
          <w:tcPr>
            <w:tcW w:w="48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442,758</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355,014</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871,053</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694,400</w:t>
            </w:r>
          </w:p>
        </w:tc>
      </w:tr>
      <w:tr>
        <w:trPr>
          <w:trHeight w:val="170"/>
        </w:trPr>
        <w:tc>
          <w:tcPr>
            <w:tcW w:w="48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Cost of license</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1,227</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1,546</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2,359</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2,682</w:t>
            </w: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Cost of service</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278,258</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212,080</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550,361</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416,066</w:t>
            </w: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Research and development</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30,084</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29,328</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60,582</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58,947</w:t>
            </w: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53,836</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51,121</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106,333</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102,701</w:t>
            </w: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purchased intangible assets</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3,769</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4,625</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8,865</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9,779</w:t>
            </w: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Restructuring charges</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9,956</w:t>
            </w:r>
          </w:p>
        </w:tc>
      </w:tr>
      <w:tr>
        <w:trPr>
          <w:trHeight w:val="170"/>
        </w:trPr>
        <w:tc>
          <w:tcPr>
            <w:tcW w:w="48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367,174</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298,700</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728,500</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600,131</w:t>
            </w:r>
          </w:p>
        </w:tc>
      </w:tr>
      <w:tr>
        <w:trPr>
          <w:trHeight w:val="170"/>
        </w:trPr>
        <w:tc>
          <w:tcPr>
            <w:tcW w:w="48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2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75,584</w:t>
            </w:r>
          </w:p>
        </w:tc>
        <w:tc>
          <w:tcPr>
            <w:tcW w:w="3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56,314</w:t>
            </w:r>
          </w:p>
        </w:tc>
        <w:tc>
          <w:tcPr>
            <w:tcW w:w="300" w:type="dxa"/>
            <w:vAlign w:val="bottom"/>
          </w:tcPr>
          <w:p>
            <w:pPr>
              <w:spacing w:after="0"/>
              <w:rPr>
                <w:sz w:val="24"/>
                <w:szCs w:val="2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142,553</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94,269</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 (*)</w:t>
            </w:r>
          </w:p>
        </w:tc>
        <w:tc>
          <w:tcPr>
            <w:tcW w:w="32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1,711</w:t>
            </w:r>
          </w:p>
        </w:tc>
        <w:tc>
          <w:tcPr>
            <w:tcW w:w="3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4,186</w:t>
            </w:r>
          </w:p>
        </w:tc>
        <w:tc>
          <w:tcPr>
            <w:tcW w:w="300" w:type="dxa"/>
            <w:vAlign w:val="bottom"/>
          </w:tcPr>
          <w:p>
            <w:pPr>
              <w:spacing w:after="0"/>
              <w:rPr>
                <w:sz w:val="24"/>
                <w:szCs w:val="2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2,778</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9,163</w:t>
            </w:r>
          </w:p>
        </w:tc>
      </w:tr>
      <w:tr>
        <w:trPr>
          <w:trHeight w:val="170"/>
        </w:trPr>
        <w:tc>
          <w:tcPr>
            <w:tcW w:w="48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77,295</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60,500</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145,331</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103,432</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17,005</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15,125</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31,973</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25,858</w:t>
            </w:r>
          </w:p>
        </w:tc>
      </w:tr>
      <w:tr>
        <w:trPr>
          <w:trHeight w:val="170"/>
        </w:trPr>
        <w:tc>
          <w:tcPr>
            <w:tcW w:w="48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$ 60,290</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$ 45,375</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$113,358</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$ 77,574</w:t>
            </w:r>
          </w:p>
        </w:tc>
      </w:tr>
      <w:tr>
        <w:trPr>
          <w:trHeight w:val="170"/>
        </w:trPr>
        <w:tc>
          <w:tcPr>
            <w:tcW w:w="48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0.53</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0.36</w:t>
            </w:r>
          </w:p>
        </w:tc>
      </w:tr>
      <w:tr>
        <w:trPr>
          <w:trHeight w:val="170"/>
        </w:trPr>
        <w:tc>
          <w:tcPr>
            <w:tcW w:w="48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0.52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0.36</w:t>
            </w:r>
          </w:p>
        </w:tc>
      </w:tr>
      <w:tr>
        <w:trPr>
          <w:trHeight w:val="170"/>
        </w:trPr>
        <w:tc>
          <w:tcPr>
            <w:tcW w:w="48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 outstanding</w:t>
            </w:r>
          </w:p>
        </w:tc>
        <w:tc>
          <w:tcPr>
            <w:tcW w:w="32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209,977</w:t>
            </w:r>
          </w:p>
        </w:tc>
        <w:tc>
          <w:tcPr>
            <w:tcW w:w="3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215,797</w:t>
            </w:r>
          </w:p>
        </w:tc>
        <w:tc>
          <w:tcPr>
            <w:tcW w:w="300" w:type="dxa"/>
            <w:vAlign w:val="bottom"/>
          </w:tcPr>
          <w:p>
            <w:pPr>
              <w:spacing w:after="0"/>
              <w:rPr>
                <w:sz w:val="24"/>
                <w:szCs w:val="2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212,556</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215,711</w:t>
            </w:r>
          </w:p>
        </w:tc>
      </w:tr>
      <w:tr>
        <w:trPr>
          <w:trHeight w:val="170"/>
        </w:trPr>
        <w:tc>
          <w:tcPr>
            <w:tcW w:w="48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 outstanding</w:t>
            </w:r>
          </w:p>
        </w:tc>
        <w:tc>
          <w:tcPr>
            <w:tcW w:w="32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216,164</w:t>
            </w:r>
          </w:p>
        </w:tc>
        <w:tc>
          <w:tcPr>
            <w:tcW w:w="3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219,109</w:t>
            </w:r>
          </w:p>
        </w:tc>
        <w:tc>
          <w:tcPr>
            <w:tcW w:w="300" w:type="dxa"/>
            <w:vAlign w:val="bottom"/>
          </w:tcPr>
          <w:p>
            <w:pPr>
              <w:spacing w:after="0"/>
              <w:rPr>
                <w:sz w:val="24"/>
                <w:szCs w:val="2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218,379</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218,179</w:t>
            </w:r>
          </w:p>
        </w:tc>
      </w:tr>
      <w:tr>
        <w:trPr>
          <w:trHeight w:val="170"/>
        </w:trPr>
        <w:tc>
          <w:tcPr>
            <w:tcW w:w="48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339" w:lineRule="exact"/>
        <w:rPr>
          <w:sz w:val="20"/>
          <w:szCs w:val="20"/>
          <w:color w:val="auto"/>
        </w:rPr>
      </w:pPr>
    </w:p>
    <w:p>
      <w:pPr>
        <w:ind w:left="530" w:hanging="530"/>
        <w:spacing w:after="0"/>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4.</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250"/>
        <w:spacing w:after="0"/>
        <w:rPr>
          <w:sz w:val="20"/>
          <w:szCs w:val="20"/>
          <w:color w:val="auto"/>
        </w:rPr>
      </w:pPr>
      <w:r>
        <w:rPr>
          <w:rFonts w:ascii="Courier New" w:cs="Courier New" w:eastAsia="Courier New" w:hAnsi="Courier New"/>
          <w:sz w:val="15"/>
          <w:szCs w:val="15"/>
          <w:color w:val="auto"/>
        </w:rPr>
        <w:t>statements.</w:t>
      </w:r>
    </w:p>
    <w:p>
      <w:pPr>
        <w:spacing w:after="0" w:line="33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452" w:right="1440" w:bottom="1440" w:gutter="0" w:footer="0" w:header="0"/>
        </w:sectPr>
      </w:pPr>
    </w:p>
    <w:bookmarkStart w:id="4" w:name="page5"/>
    <w:bookmarkEnd w:id="4"/>
    <w:p>
      <w:pPr>
        <w:jc w:val="center"/>
        <w:ind w:right="448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CONSOLIDATED STATEMENT OF CHANGES IN SHAREHOLDERS' EQUITY (UNAUDITED)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(in thousands)</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78"/>
        </w:trPr>
        <w:tc>
          <w:tcPr>
            <w:tcW w:w="2540" w:type="dxa"/>
            <w:vAlign w:val="bottom"/>
          </w:tcPr>
          <w:p>
            <w:pPr>
              <w:spacing w:after="0"/>
              <w:rPr>
                <w:sz w:val="24"/>
                <w:szCs w:val="24"/>
                <w:color w:val="auto"/>
              </w:rPr>
            </w:pP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Ordinary Shares</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Additional</w:t>
            </w:r>
          </w:p>
        </w:tc>
        <w:tc>
          <w:tcPr>
            <w:tcW w:w="10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 Other</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2540" w:type="dxa"/>
            <w:vAlign w:val="bottom"/>
          </w:tcPr>
          <w:p>
            <w:pPr>
              <w:spacing w:after="0"/>
              <w:rPr>
                <w:sz w:val="14"/>
                <w:szCs w:val="14"/>
                <w:color w:val="auto"/>
              </w:rPr>
            </w:pPr>
          </w:p>
        </w:tc>
        <w:tc>
          <w:tcPr>
            <w:tcW w:w="1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Paid-in</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Treasury</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7"/>
              </w:rPr>
              <w:t>Comprehensive</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Unearned</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6"/>
              </w:rPr>
              <w:t>Accumulated</w:t>
            </w:r>
          </w:p>
        </w:tc>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Accumulated</w:t>
            </w:r>
          </w:p>
        </w:tc>
      </w:tr>
      <w:tr>
        <w:trPr>
          <w:trHeight w:val="170"/>
        </w:trPr>
        <w:tc>
          <w:tcPr>
            <w:tcW w:w="254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Amount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Capital</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Stock</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7"/>
              </w:rPr>
              <w:t>(Loss) Income</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Compensation</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Deficit</w:t>
            </w: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Equity</w:t>
            </w:r>
          </w:p>
        </w:tc>
      </w:tr>
      <w:tr>
        <w:trPr>
          <w:trHeight w:val="170"/>
        </w:trPr>
        <w:tc>
          <w:tcPr>
            <w:tcW w:w="25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120" w:type="dxa"/>
            <w:vAlign w:val="bottom"/>
          </w:tcPr>
          <w:p>
            <w:pPr>
              <w:ind w:left="80"/>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2540" w:type="dxa"/>
            <w:vAlign w:val="bottom"/>
          </w:tcPr>
          <w:p>
            <w:pPr>
              <w:spacing w:after="0"/>
              <w:rPr>
                <w:sz w:val="20"/>
                <w:szCs w:val="20"/>
                <w:color w:val="auto"/>
              </w:rPr>
            </w:pPr>
            <w:r>
              <w:rPr>
                <w:rFonts w:ascii="Courier New" w:cs="Courier New" w:eastAsia="Courier New" w:hAnsi="Courier New"/>
                <w:sz w:val="15"/>
                <w:szCs w:val="15"/>
                <w:color w:val="auto"/>
              </w:rPr>
              <w:t>BALANCE AS OF SEPTEMBER</w:t>
            </w: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2540" w:type="dxa"/>
            <w:vAlign w:val="bottom"/>
          </w:tcPr>
          <w:p>
            <w:pPr>
              <w:ind w:left="260"/>
              <w:spacing w:after="0"/>
              <w:rPr>
                <w:sz w:val="20"/>
                <w:szCs w:val="20"/>
                <w:color w:val="auto"/>
              </w:rPr>
            </w:pPr>
            <w:r>
              <w:rPr>
                <w:rFonts w:ascii="Courier New" w:cs="Courier New" w:eastAsia="Courier New" w:hAnsi="Courier New"/>
                <w:sz w:val="15"/>
                <w:szCs w:val="15"/>
                <w:color w:val="auto"/>
              </w:rPr>
              <w:t>30, 2003</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216,058</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$3,580</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$1,820,956</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$(109,281)</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$ 3,715</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$(127,370)</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$ 1,591,600</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254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113,358</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113,358</w:t>
            </w:r>
          </w:p>
        </w:tc>
      </w:tr>
      <w:tr>
        <w:trPr>
          <w:trHeight w:val="170"/>
        </w:trPr>
        <w:tc>
          <w:tcPr>
            <w:tcW w:w="2540" w:type="dxa"/>
            <w:vAlign w:val="bottom"/>
          </w:tcPr>
          <w:p>
            <w:pPr>
              <w:ind w:left="260"/>
              <w:spacing w:after="0"/>
              <w:rPr>
                <w:sz w:val="20"/>
                <w:szCs w:val="20"/>
                <w:color w:val="auto"/>
              </w:rPr>
            </w:pPr>
            <w:r>
              <w:rPr>
                <w:rFonts w:ascii="Courier New" w:cs="Courier New" w:eastAsia="Courier New" w:hAnsi="Courier New"/>
                <w:sz w:val="15"/>
                <w:szCs w:val="15"/>
                <w:color w:val="auto"/>
              </w:rPr>
              <w:t>Unrealized loss on</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2540" w:type="dxa"/>
            <w:vAlign w:val="bottom"/>
          </w:tcPr>
          <w:p>
            <w:pPr>
              <w:ind w:left="520"/>
              <w:spacing w:after="0"/>
              <w:rPr>
                <w:sz w:val="20"/>
                <w:szCs w:val="20"/>
                <w:color w:val="auto"/>
              </w:rPr>
            </w:pPr>
            <w:r>
              <w:rPr>
                <w:rFonts w:ascii="Courier New" w:cs="Courier New" w:eastAsia="Courier New" w:hAnsi="Courier New"/>
                <w:sz w:val="15"/>
                <w:szCs w:val="15"/>
                <w:color w:val="auto"/>
              </w:rPr>
              <w:t>foreign currency</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2540" w:type="dxa"/>
            <w:vAlign w:val="bottom"/>
          </w:tcPr>
          <w:p>
            <w:pPr>
              <w:ind w:left="520"/>
              <w:spacing w:after="0"/>
              <w:rPr>
                <w:sz w:val="20"/>
                <w:szCs w:val="20"/>
                <w:color w:val="auto"/>
              </w:rPr>
            </w:pPr>
            <w:r>
              <w:rPr>
                <w:rFonts w:ascii="Courier New" w:cs="Courier New" w:eastAsia="Courier New" w:hAnsi="Courier New"/>
                <w:sz w:val="15"/>
                <w:szCs w:val="15"/>
                <w:color w:val="auto"/>
              </w:rPr>
              <w:t>hedging contracts, net</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2540" w:type="dxa"/>
            <w:vAlign w:val="bottom"/>
          </w:tcPr>
          <w:p>
            <w:pPr>
              <w:ind w:left="520"/>
              <w:spacing w:after="0"/>
              <w:rPr>
                <w:sz w:val="20"/>
                <w:szCs w:val="20"/>
                <w:color w:val="auto"/>
              </w:rPr>
            </w:pPr>
            <w:r>
              <w:rPr>
                <w:rFonts w:ascii="Courier New" w:cs="Courier New" w:eastAsia="Courier New" w:hAnsi="Courier New"/>
                <w:sz w:val="15"/>
                <w:szCs w:val="15"/>
                <w:color w:val="auto"/>
              </w:rPr>
              <w:t>of $(1,758) tax</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(5,562)</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(5,562)</w:t>
            </w:r>
          </w:p>
        </w:tc>
      </w:tr>
      <w:tr>
        <w:trPr>
          <w:trHeight w:val="170"/>
        </w:trPr>
        <w:tc>
          <w:tcPr>
            <w:tcW w:w="2540" w:type="dxa"/>
            <w:vAlign w:val="bottom"/>
          </w:tcPr>
          <w:p>
            <w:pPr>
              <w:ind w:left="260"/>
              <w:spacing w:after="0"/>
              <w:rPr>
                <w:sz w:val="20"/>
                <w:szCs w:val="20"/>
                <w:color w:val="auto"/>
              </w:rPr>
            </w:pPr>
            <w:r>
              <w:rPr>
                <w:rFonts w:ascii="Courier New" w:cs="Courier New" w:eastAsia="Courier New" w:hAnsi="Courier New"/>
                <w:sz w:val="15"/>
                <w:szCs w:val="15"/>
                <w:color w:val="auto"/>
              </w:rPr>
              <w:t>Unrealized income on</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2540" w:type="dxa"/>
            <w:vAlign w:val="bottom"/>
          </w:tcPr>
          <w:p>
            <w:pPr>
              <w:ind w:left="520"/>
              <w:spacing w:after="0"/>
              <w:rPr>
                <w:sz w:val="20"/>
                <w:szCs w:val="20"/>
                <w:color w:val="auto"/>
              </w:rPr>
            </w:pPr>
            <w:r>
              <w:rPr>
                <w:rFonts w:ascii="Courier New" w:cs="Courier New" w:eastAsia="Courier New" w:hAnsi="Courier New"/>
                <w:sz w:val="15"/>
                <w:szCs w:val="15"/>
                <w:color w:val="auto"/>
              </w:rPr>
              <w:t>cash equivalents and</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2540" w:type="dxa"/>
            <w:vAlign w:val="bottom"/>
          </w:tcPr>
          <w:p>
            <w:pPr>
              <w:ind w:left="520"/>
              <w:spacing w:after="0"/>
              <w:rPr>
                <w:sz w:val="20"/>
                <w:szCs w:val="20"/>
                <w:color w:val="auto"/>
              </w:rPr>
            </w:pPr>
            <w:r>
              <w:rPr>
                <w:rFonts w:ascii="Courier New" w:cs="Courier New" w:eastAsia="Courier New" w:hAnsi="Courier New"/>
                <w:sz w:val="15"/>
                <w:szCs w:val="15"/>
                <w:color w:val="auto"/>
              </w:rPr>
              <w:t>short-term interest-</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2540" w:type="dxa"/>
            <w:vAlign w:val="bottom"/>
          </w:tcPr>
          <w:p>
            <w:pPr>
              <w:ind w:left="520"/>
              <w:spacing w:after="0"/>
              <w:rPr>
                <w:sz w:val="20"/>
                <w:szCs w:val="20"/>
                <w:color w:val="auto"/>
              </w:rPr>
            </w:pPr>
            <w:r>
              <w:rPr>
                <w:rFonts w:ascii="Courier New" w:cs="Courier New" w:eastAsia="Courier New" w:hAnsi="Courier New"/>
                <w:sz w:val="15"/>
                <w:szCs w:val="15"/>
                <w:color w:val="auto"/>
              </w:rPr>
              <w:t>bearing investments,</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2540" w:type="dxa"/>
            <w:vAlign w:val="bottom"/>
          </w:tcPr>
          <w:p>
            <w:pPr>
              <w:ind w:left="520"/>
              <w:spacing w:after="0"/>
              <w:rPr>
                <w:sz w:val="20"/>
                <w:szCs w:val="20"/>
                <w:color w:val="auto"/>
              </w:rPr>
            </w:pPr>
            <w:r>
              <w:rPr>
                <w:rFonts w:ascii="Courier New" w:cs="Courier New" w:eastAsia="Courier New" w:hAnsi="Courier New"/>
                <w:sz w:val="15"/>
                <w:szCs w:val="15"/>
                <w:color w:val="auto"/>
              </w:rPr>
              <w:t>net of $128 tax</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460</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460</w:t>
            </w:r>
          </w:p>
        </w:tc>
      </w:tr>
      <w:tr>
        <w:trPr>
          <w:trHeight w:val="170"/>
        </w:trPr>
        <w:tc>
          <w:tcPr>
            <w:tcW w:w="2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540" w:type="dxa"/>
            <w:vAlign w:val="bottom"/>
          </w:tcPr>
          <w:p>
            <w:pPr>
              <w:ind w:left="260"/>
              <w:spacing w:after="0"/>
              <w:rPr>
                <w:sz w:val="20"/>
                <w:szCs w:val="20"/>
                <w:color w:val="auto"/>
              </w:rPr>
            </w:pPr>
            <w:r>
              <w:rPr>
                <w:rFonts w:ascii="Courier New" w:cs="Courier New" w:eastAsia="Courier New" w:hAnsi="Courier New"/>
                <w:sz w:val="15"/>
                <w:szCs w:val="15"/>
                <w:color w:val="auto"/>
              </w:rPr>
              <w:t>Comprehensive income</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108,256</w:t>
            </w:r>
          </w:p>
        </w:tc>
      </w:tr>
      <w:tr>
        <w:trPr>
          <w:trHeight w:val="170"/>
        </w:trPr>
        <w:tc>
          <w:tcPr>
            <w:tcW w:w="2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Issuance of ordinary</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shares related to</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acquisition, net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561</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14,392</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15,139</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Employee stock options</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exercised</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948</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9,772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9,789</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Tax benefit of stock</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options exercised</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2,406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2,406</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Repurchase of ordinary</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shares</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(11,548)</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(307,471)</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(307,471)</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Expense related to vesting</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of stock options</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Stock options granted</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(951)</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compensation</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w:t>
            </w:r>
          </w:p>
        </w:tc>
      </w:tr>
      <w:tr>
        <w:trPr>
          <w:trHeight w:val="170"/>
        </w:trPr>
        <w:tc>
          <w:tcPr>
            <w:tcW w:w="25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BALANCE AS OF MARCH 31,</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2004</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206,019</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$3,597</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$1,834,838</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$(402,360)</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$(1,387)</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$(925)</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(14,012)</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$ 1,419,751</w:t>
            </w:r>
          </w:p>
        </w:tc>
      </w:tr>
      <w:tr>
        <w:trPr>
          <w:trHeight w:val="170"/>
        </w:trPr>
        <w:tc>
          <w:tcPr>
            <w:tcW w:w="25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4480"/>
        <w:spacing w:after="0" w:line="237" w:lineRule="auto"/>
        <w:rPr>
          <w:sz w:val="20"/>
          <w:szCs w:val="20"/>
          <w:color w:val="auto"/>
        </w:rPr>
      </w:pPr>
      <w:r>
        <w:rPr>
          <w:rFonts w:ascii="Courier New" w:cs="Courier New" w:eastAsia="Courier New" w:hAnsi="Courier New"/>
          <w:sz w:val="15"/>
          <w:szCs w:val="15"/>
          <w:color w:val="auto"/>
        </w:rPr>
        <w:t>As of March 31, 2004 and September 30, 2003, accumulated other comprehensive (loss) income is comprised of unrealized (loss) gain on derivatives, net of tax, of $(1,879) and $3,683, respectively, and unrealized gain on cash equivalents and short-term interest-bearing investments, net of tax, of $492 and $32, respectively.</w:t>
      </w:r>
    </w:p>
    <w:p>
      <w:pPr>
        <w:spacing w:after="0" w:line="342"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4560"/>
        <w:spacing w:after="0"/>
        <w:rPr>
          <w:sz w:val="20"/>
          <w:szCs w:val="20"/>
          <w:color w:val="auto"/>
        </w:rPr>
      </w:pPr>
      <w:r>
        <w:rPr>
          <w:rFonts w:ascii="Courier New" w:cs="Courier New" w:eastAsia="Courier New" w:hAnsi="Courier New"/>
          <w:sz w:val="15"/>
          <w:szCs w:val="15"/>
          <w:color w:val="auto"/>
        </w:rPr>
        <w:t>statements.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0"/>
          </w:cols>
          <w:pgMar w:left="240" w:top="452" w:right="139" w:bottom="1440" w:gutter="0" w:footer="0" w:header="0"/>
        </w:sectPr>
      </w:pPr>
    </w:p>
    <w:bookmarkStart w:id="5" w:name="page6"/>
    <w:bookmarkEnd w:id="5"/>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CONSOLIDATED STATEMENTS OF CASH FLOWS (UNAUDITED) - CONTINUED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40" w:type="dxa"/>
            <w:vAlign w:val="bottom"/>
          </w:tcPr>
          <w:p>
            <w:pPr>
              <w:ind w:left="2900"/>
              <w:spacing w:after="0"/>
              <w:rPr>
                <w:sz w:val="20"/>
                <w:szCs w:val="20"/>
                <w:color w:val="auto"/>
              </w:rPr>
            </w:pPr>
            <w:r>
              <w:rPr>
                <w:rFonts w:ascii="Courier New" w:cs="Courier New" w:eastAsia="Courier New" w:hAnsi="Courier New"/>
                <w:sz w:val="15"/>
                <w:szCs w:val="15"/>
                <w:color w:val="auto"/>
              </w:rPr>
              <w:t>(in thousands)</w:t>
            </w: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8"/>
        </w:trPr>
        <w:tc>
          <w:tcPr>
            <w:tcW w:w="6740" w:type="dxa"/>
            <w:vAlign w:val="bottom"/>
          </w:tcPr>
          <w:p>
            <w:pPr>
              <w:spacing w:after="0"/>
              <w:rPr>
                <w:sz w:val="24"/>
                <w:szCs w:val="24"/>
                <w:color w:val="auto"/>
              </w:rPr>
            </w:pPr>
          </w:p>
        </w:tc>
        <w:tc>
          <w:tcPr>
            <w:tcW w:w="25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SIX MONTHS ENDED MARCH 31,</w:t>
            </w:r>
          </w:p>
        </w:tc>
      </w:tr>
      <w:tr>
        <w:trPr>
          <w:trHeight w:val="170"/>
        </w:trPr>
        <w:tc>
          <w:tcPr>
            <w:tcW w:w="6740" w:type="dxa"/>
            <w:vAlign w:val="bottom"/>
          </w:tcPr>
          <w:p>
            <w:pPr>
              <w:spacing w:after="0"/>
              <w:rPr>
                <w:sz w:val="14"/>
                <w:szCs w:val="14"/>
                <w:color w:val="auto"/>
              </w:rPr>
            </w:pPr>
          </w:p>
        </w:tc>
        <w:tc>
          <w:tcPr>
            <w:tcW w:w="250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6740" w:type="dxa"/>
            <w:vAlign w:val="bottom"/>
          </w:tcPr>
          <w:p>
            <w:pPr>
              <w:spacing w:after="0"/>
              <w:rPr>
                <w:sz w:val="14"/>
                <w:szCs w:val="14"/>
                <w:color w:val="auto"/>
              </w:rPr>
            </w:pP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2004</w:t>
            </w:r>
          </w:p>
        </w:tc>
        <w:tc>
          <w:tcPr>
            <w:tcW w:w="36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6740" w:type="dxa"/>
            <w:vAlign w:val="bottom"/>
          </w:tcPr>
          <w:p>
            <w:pPr>
              <w:spacing w:after="0"/>
              <w:rPr>
                <w:sz w:val="14"/>
                <w:szCs w:val="14"/>
                <w:color w:val="auto"/>
              </w:rPr>
            </w:pP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674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$ 113,358</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77,574</w:t>
            </w: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 operating activities:</w:t>
            </w: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49,447</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46,444</w:t>
            </w:r>
          </w:p>
        </w:tc>
      </w:tr>
      <w:tr>
        <w:trPr>
          <w:trHeight w:val="170"/>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(Gain) loss on sale of equipment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509</w:t>
            </w:r>
          </w:p>
        </w:tc>
      </w:tr>
      <w:tr>
        <w:trPr>
          <w:trHeight w:val="170"/>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Gain on repurchase of 2% convertible notes</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7,762</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5,314</w:t>
            </w:r>
          </w:p>
        </w:tc>
      </w:tr>
      <w:tr>
        <w:trPr>
          <w:trHeight w:val="170"/>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Tax benefit of stock options exercised</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2,406</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w:t>
            </w:r>
          </w:p>
        </w:tc>
      </w:tr>
      <w:tr>
        <w:trPr>
          <w:trHeight w:val="170"/>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Realized (gain) loss from short-term interest-bearing investments</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(305)</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1,077</w:t>
            </w: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 net of amounts acquired:</w:t>
            </w: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(46,709)</w:t>
            </w:r>
          </w:p>
        </w:tc>
        <w:tc>
          <w:tcPr>
            <w:tcW w:w="36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74,122</w:t>
            </w:r>
          </w:p>
        </w:tc>
      </w:tr>
      <w:tr>
        <w:trPr>
          <w:trHeight w:val="170"/>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460</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(11,460)</w:t>
            </w:r>
          </w:p>
        </w:tc>
      </w:tr>
      <w:tr>
        <w:trPr>
          <w:trHeight w:val="170"/>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assets</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(24,121)</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(6,318)</w:t>
            </w:r>
          </w:p>
        </w:tc>
      </w:tr>
      <w:tr>
        <w:trPr>
          <w:trHeight w:val="170"/>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23,808</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(22,244)</w:t>
            </w:r>
          </w:p>
        </w:tc>
      </w:tr>
      <w:tr>
        <w:trPr>
          <w:trHeight w:val="170"/>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56,035</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28,930</w:t>
            </w:r>
          </w:p>
        </w:tc>
      </w:tr>
      <w:tr>
        <w:trPr>
          <w:trHeight w:val="170"/>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payable</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817</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3,890</w:t>
            </w:r>
          </w:p>
        </w:tc>
      </w:tr>
      <w:tr>
        <w:trPr>
          <w:trHeight w:val="170"/>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Noncurrent liabilities and other</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(920)</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(2,190)</w:t>
            </w:r>
          </w:p>
        </w:tc>
      </w:tr>
      <w:tr>
        <w:trPr>
          <w:trHeight w:val="170"/>
        </w:trPr>
        <w:tc>
          <w:tcPr>
            <w:tcW w:w="6740" w:type="dxa"/>
            <w:vAlign w:val="bottom"/>
          </w:tcPr>
          <w:p>
            <w:pPr>
              <w:spacing w:after="0"/>
              <w:rPr>
                <w:sz w:val="14"/>
                <w:szCs w:val="14"/>
                <w:color w:val="auto"/>
              </w:rPr>
            </w:pP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181,939</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195,694</w:t>
            </w:r>
          </w:p>
        </w:tc>
      </w:tr>
      <w:tr>
        <w:trPr>
          <w:trHeight w:val="170"/>
        </w:trPr>
        <w:tc>
          <w:tcPr>
            <w:tcW w:w="6740" w:type="dxa"/>
            <w:vAlign w:val="bottom"/>
          </w:tcPr>
          <w:p>
            <w:pPr>
              <w:spacing w:after="0"/>
              <w:rPr>
                <w:sz w:val="14"/>
                <w:szCs w:val="14"/>
                <w:color w:val="auto"/>
              </w:rPr>
            </w:pP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 improvements</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470</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1,283</w:t>
            </w: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leasehold improvements and</w:t>
            </w: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(23,373)</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(26,998)</w:t>
            </w: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Proceeds from sale of short-term interest-bearing investments</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587,180</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328,759</w:t>
            </w: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Purchase of short-term interest-bearing investments</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(913,216)</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(329,606)</w:t>
            </w: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(Cash paid for) reimbursement of cash in acquisition</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(10,386)</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11,111</w:t>
            </w:r>
          </w:p>
        </w:tc>
      </w:tr>
      <w:tr>
        <w:trPr>
          <w:trHeight w:val="170"/>
        </w:trPr>
        <w:tc>
          <w:tcPr>
            <w:tcW w:w="6740" w:type="dxa"/>
            <w:vAlign w:val="bottom"/>
          </w:tcPr>
          <w:p>
            <w:pPr>
              <w:spacing w:after="0"/>
              <w:rPr>
                <w:sz w:val="14"/>
                <w:szCs w:val="14"/>
                <w:color w:val="auto"/>
              </w:rPr>
            </w:pP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(359,325)</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(12,684)</w:t>
            </w:r>
          </w:p>
        </w:tc>
      </w:tr>
      <w:tr>
        <w:trPr>
          <w:trHeight w:val="170"/>
        </w:trPr>
        <w:tc>
          <w:tcPr>
            <w:tcW w:w="6740" w:type="dxa"/>
            <w:vAlign w:val="bottom"/>
          </w:tcPr>
          <w:p>
            <w:pPr>
              <w:spacing w:after="0"/>
              <w:rPr>
                <w:sz w:val="14"/>
                <w:szCs w:val="14"/>
                <w:color w:val="auto"/>
              </w:rPr>
            </w:pP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Proceeds from employee stock options exercised</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9,789</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1,109</w:t>
            </w: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Net proceeds from issue of long-term 0.50% convertible notes</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442,075</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Repurchase of ordinary shares</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(307,471)</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Repurchase of 2% convertible notes</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(4,987)</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Principal payments under financing arrangement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(1,090)</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Principal payments on capital lease obligations</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(12,212)</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(5,949)</w:t>
            </w:r>
          </w:p>
        </w:tc>
      </w:tr>
      <w:tr>
        <w:trPr>
          <w:trHeight w:val="170"/>
        </w:trPr>
        <w:tc>
          <w:tcPr>
            <w:tcW w:w="6740" w:type="dxa"/>
            <w:vAlign w:val="bottom"/>
          </w:tcPr>
          <w:p>
            <w:pPr>
              <w:spacing w:after="0"/>
              <w:rPr>
                <w:sz w:val="14"/>
                <w:szCs w:val="14"/>
                <w:color w:val="auto"/>
              </w:rPr>
            </w:pP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126,104</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(4,840)</w:t>
            </w:r>
          </w:p>
        </w:tc>
      </w:tr>
      <w:tr>
        <w:trPr>
          <w:trHeight w:val="170"/>
        </w:trPr>
        <w:tc>
          <w:tcPr>
            <w:tcW w:w="6740" w:type="dxa"/>
            <w:vAlign w:val="bottom"/>
          </w:tcPr>
          <w:p>
            <w:pPr>
              <w:spacing w:after="0"/>
              <w:rPr>
                <w:sz w:val="14"/>
                <w:szCs w:val="14"/>
                <w:color w:val="auto"/>
              </w:rPr>
            </w:pP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74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(51,282)</w:t>
            </w:r>
          </w:p>
        </w:tc>
        <w:tc>
          <w:tcPr>
            <w:tcW w:w="36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175,403</w:t>
            </w: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847,600</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466,655</w:t>
            </w:r>
          </w:p>
        </w:tc>
      </w:tr>
      <w:tr>
        <w:trPr>
          <w:trHeight w:val="170"/>
        </w:trPr>
        <w:tc>
          <w:tcPr>
            <w:tcW w:w="6740" w:type="dxa"/>
            <w:vAlign w:val="bottom"/>
          </w:tcPr>
          <w:p>
            <w:pPr>
              <w:spacing w:after="0"/>
              <w:rPr>
                <w:sz w:val="14"/>
                <w:szCs w:val="14"/>
                <w:color w:val="auto"/>
              </w:rPr>
            </w:pP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$ 796,318</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$ 642,058</w:t>
            </w:r>
          </w:p>
        </w:tc>
      </w:tr>
      <w:tr>
        <w:trPr>
          <w:trHeight w:val="170"/>
        </w:trPr>
        <w:tc>
          <w:tcPr>
            <w:tcW w:w="6740" w:type="dxa"/>
            <w:vAlign w:val="bottom"/>
          </w:tcPr>
          <w:p>
            <w:pPr>
              <w:spacing w:after="0"/>
              <w:rPr>
                <w:sz w:val="14"/>
                <w:szCs w:val="14"/>
                <w:color w:val="auto"/>
              </w:rPr>
            </w:pP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Cash paid for:</w:t>
            </w: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Income taxes, net of refunds</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16,190</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15,982</w:t>
            </w:r>
          </w:p>
        </w:tc>
      </w:tr>
      <w:tr>
        <w:trPr>
          <w:trHeight w:val="170"/>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Interest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5,290</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4,801</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INVESTING AND FINANCING ACTIVITIES</w:t>
      </w:r>
    </w:p>
    <w:p>
      <w:pPr>
        <w:spacing w:after="0" w:line="175" w:lineRule="exact"/>
        <w:rPr>
          <w:sz w:val="20"/>
          <w:szCs w:val="20"/>
          <w:color w:val="auto"/>
        </w:rPr>
      </w:pPr>
    </w:p>
    <w:p>
      <w:pPr>
        <w:ind w:right="3359"/>
        <w:spacing w:after="0" w:line="265" w:lineRule="auto"/>
        <w:rPr>
          <w:sz w:val="20"/>
          <w:szCs w:val="20"/>
          <w:color w:val="auto"/>
        </w:rPr>
      </w:pPr>
      <w:r>
        <w:rPr>
          <w:rFonts w:ascii="Courier New" w:cs="Courier New" w:eastAsia="Courier New" w:hAnsi="Courier New"/>
          <w:sz w:val="14"/>
          <w:szCs w:val="14"/>
          <w:color w:val="auto"/>
        </w:rPr>
        <w:t>In the six months ended March 31, 2004, the Company issued 561 ordinary shares in connection with the acquisition of XACCT (as defined below). See Note 10.</w:t>
      </w:r>
    </w:p>
    <w:p>
      <w:pPr>
        <w:spacing w:after="0" w:line="32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259"/>
        <w:spacing w:after="0"/>
        <w:rPr>
          <w:sz w:val="20"/>
          <w:szCs w:val="20"/>
          <w:color w:val="auto"/>
        </w:rPr>
      </w:pPr>
      <w:r>
        <w:rPr>
          <w:rFonts w:ascii="Courier New" w:cs="Courier New" w:eastAsia="Courier New" w:hAnsi="Courier New"/>
          <w:sz w:val="15"/>
          <w:szCs w:val="15"/>
          <w:color w:val="auto"/>
        </w:rPr>
        <w:t>statements.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2" w:right="1440" w:bottom="1440" w:gutter="0" w:footer="0" w:header="0"/>
        </w:sectPr>
      </w:pPr>
    </w:p>
    <w:bookmarkStart w:id="6" w:name="page7"/>
    <w:bookmarkEnd w:id="6"/>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9" w:lineRule="exact"/>
        <w:rPr>
          <w:sz w:val="20"/>
          <w:szCs w:val="20"/>
          <w:color w:val="auto"/>
        </w:rPr>
      </w:pPr>
    </w:p>
    <w:p>
      <w:pPr>
        <w:ind w:left="530" w:hanging="530"/>
        <w:spacing w:after="0"/>
        <w:tabs>
          <w:tab w:leader="none" w:pos="53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5" w:lineRule="exact"/>
        <w:rPr>
          <w:sz w:val="20"/>
          <w:szCs w:val="20"/>
          <w:color w:val="auto"/>
        </w:rPr>
      </w:pPr>
    </w:p>
    <w:p>
      <w:pPr>
        <w:ind w:left="530" w:right="3179" w:firstLine="529"/>
        <w:spacing w:after="0" w:line="238" w:lineRule="auto"/>
        <w:rPr>
          <w:sz w:val="20"/>
          <w:szCs w:val="20"/>
          <w:color w:val="auto"/>
        </w:rPr>
      </w:pPr>
      <w:r>
        <w:rPr>
          <w:rFonts w:ascii="Courier New" w:cs="Courier New" w:eastAsia="Courier New" w:hAnsi="Courier New"/>
          <w:sz w:val="15"/>
          <w:szCs w:val="15"/>
          <w:color w:val="auto"/>
        </w:rPr>
        <w:t>Amdocs Limited (the "Company") is a leading provider of software products and services to the communications industry. The Company and its subsidiaries operate in one operating segment, providing integrated customer management systems and related services primarily for the communications industry. The Company designs, develops, markets, implements, supports and operates information systems solutions, including Managed Services, primarily for leading communications companies throughout the world.</w:t>
      </w:r>
    </w:p>
    <w:p>
      <w:pPr>
        <w:spacing w:after="0" w:line="178" w:lineRule="exact"/>
        <w:rPr>
          <w:sz w:val="20"/>
          <w:szCs w:val="20"/>
          <w:color w:val="auto"/>
        </w:rPr>
      </w:pPr>
    </w:p>
    <w:p>
      <w:pPr>
        <w:ind w:left="530" w:right="3179" w:firstLine="529"/>
        <w:spacing w:after="0" w:line="238" w:lineRule="auto"/>
        <w:rPr>
          <w:sz w:val="20"/>
          <w:szCs w:val="20"/>
          <w:color w:val="auto"/>
        </w:rPr>
      </w:pPr>
      <w:r>
        <w:rPr>
          <w:rFonts w:ascii="Courier New" w:cs="Courier New" w:eastAsia="Courier New" w:hAnsi="Courier New"/>
          <w:sz w:val="15"/>
          <w:szCs w:val="15"/>
          <w:color w:val="auto"/>
        </w:rPr>
        <w:t>The unaudited consolidated financial statements of the Company have been prepared in accordance with accounting principles generally accepted in the United States ("GAAP"). In the opinion of the Company's management, all adjustments considered necessary for a fair presentation of the unaudited interim consolidated financial statements have been included herein and are of a normal recurring nature.</w:t>
      </w:r>
    </w:p>
    <w:p>
      <w:pPr>
        <w:spacing w:after="0" w:line="176" w:lineRule="exact"/>
        <w:rPr>
          <w:sz w:val="20"/>
          <w:szCs w:val="20"/>
          <w:color w:val="auto"/>
        </w:rPr>
      </w:pPr>
    </w:p>
    <w:p>
      <w:pPr>
        <w:ind w:left="530" w:right="3179" w:firstLine="529"/>
        <w:spacing w:after="0" w:line="238" w:lineRule="auto"/>
        <w:rPr>
          <w:sz w:val="20"/>
          <w:szCs w:val="20"/>
          <w:color w:val="auto"/>
        </w:rPr>
      </w:pPr>
      <w:r>
        <w:rPr>
          <w:rFonts w:ascii="Courier New" w:cs="Courier New" w:eastAsia="Courier New" w:hAnsi="Courier New"/>
          <w:sz w:val="15"/>
          <w:szCs w:val="15"/>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76" w:lineRule="exact"/>
        <w:rPr>
          <w:sz w:val="20"/>
          <w:szCs w:val="20"/>
          <w:color w:val="auto"/>
        </w:rPr>
      </w:pPr>
    </w:p>
    <w:p>
      <w:pPr>
        <w:ind w:left="530" w:right="3179" w:firstLine="529"/>
        <w:spacing w:after="0" w:line="238" w:lineRule="auto"/>
        <w:rPr>
          <w:sz w:val="20"/>
          <w:szCs w:val="20"/>
          <w:color w:val="auto"/>
        </w:rPr>
      </w:pPr>
      <w:r>
        <w:rPr>
          <w:rFonts w:ascii="Courier New" w:cs="Courier New" w:eastAsia="Courier New" w:hAnsi="Courier New"/>
          <w:sz w:val="15"/>
          <w:szCs w:val="15"/>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2003, set forth in the Company's Annual Report on Form 20-F filed on December 24, 2003 with the Securities and Exchange Commission.</w:t>
      </w:r>
    </w:p>
    <w:p>
      <w:pPr>
        <w:spacing w:after="0" w:line="173"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Reclassification</w:t>
      </w:r>
    </w:p>
    <w:p>
      <w:pPr>
        <w:spacing w:after="0" w:line="175" w:lineRule="exact"/>
        <w:rPr>
          <w:sz w:val="20"/>
          <w:szCs w:val="20"/>
          <w:color w:val="auto"/>
        </w:rPr>
      </w:pPr>
    </w:p>
    <w:p>
      <w:pPr>
        <w:ind w:left="530" w:right="3259" w:firstLine="529"/>
        <w:spacing w:after="0" w:line="235" w:lineRule="auto"/>
        <w:rPr>
          <w:sz w:val="20"/>
          <w:szCs w:val="20"/>
          <w:color w:val="auto"/>
        </w:rPr>
      </w:pPr>
      <w:r>
        <w:rPr>
          <w:rFonts w:ascii="Courier New" w:cs="Courier New" w:eastAsia="Courier New" w:hAnsi="Courier New"/>
          <w:sz w:val="15"/>
          <w:szCs w:val="15"/>
          <w:color w:val="auto"/>
        </w:rPr>
        <w:t>Certain prior year amounts have been reclassified to conform to the current year presentation.</w:t>
      </w:r>
    </w:p>
    <w:p>
      <w:pPr>
        <w:spacing w:after="0" w:line="170" w:lineRule="exact"/>
        <w:rPr>
          <w:sz w:val="20"/>
          <w:szCs w:val="20"/>
          <w:color w:val="auto"/>
        </w:rPr>
      </w:pPr>
    </w:p>
    <w:p>
      <w:pPr>
        <w:ind w:left="530" w:hanging="530"/>
        <w:spacing w:after="0"/>
        <w:tabs>
          <w:tab w:leader="none" w:pos="5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POLICY</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Accounting for Stock-Based Compensation</w:t>
      </w:r>
    </w:p>
    <w:p>
      <w:pPr>
        <w:spacing w:after="0" w:line="175" w:lineRule="exact"/>
        <w:rPr>
          <w:sz w:val="20"/>
          <w:szCs w:val="20"/>
          <w:color w:val="auto"/>
        </w:rPr>
      </w:pPr>
    </w:p>
    <w:p>
      <w:pPr>
        <w:ind w:left="530" w:right="3259" w:firstLine="529"/>
        <w:spacing w:after="0" w:line="238" w:lineRule="auto"/>
        <w:rPr>
          <w:sz w:val="20"/>
          <w:szCs w:val="20"/>
          <w:color w:val="auto"/>
        </w:rPr>
      </w:pPr>
      <w:r>
        <w:rPr>
          <w:rFonts w:ascii="Courier New" w:cs="Courier New" w:eastAsia="Courier New" w:hAnsi="Courier New"/>
          <w:sz w:val="15"/>
          <w:szCs w:val="15"/>
          <w:color w:val="auto"/>
        </w:rPr>
        <w:t>The Company follows Accounting Principles Board ("APB") Opinion No. 25, "Accounting for Stock Issued to Employees" in accounting for its employee stock options.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Employee stock-based compensation cost of $26 and $0 is reflected in net income for the six months ended March 31, 2004 and 2003, respectively.</w:t>
      </w:r>
    </w:p>
    <w:p>
      <w:pPr>
        <w:spacing w:after="0" w:line="180" w:lineRule="exact"/>
        <w:rPr>
          <w:sz w:val="20"/>
          <w:szCs w:val="20"/>
          <w:color w:val="auto"/>
        </w:rPr>
      </w:pPr>
    </w:p>
    <w:p>
      <w:pPr>
        <w:ind w:left="530" w:right="3179" w:firstLine="529"/>
        <w:spacing w:after="0" w:line="238" w:lineRule="auto"/>
        <w:rPr>
          <w:sz w:val="20"/>
          <w:szCs w:val="20"/>
          <w:color w:val="auto"/>
        </w:rPr>
      </w:pPr>
      <w:r>
        <w:rPr>
          <w:rFonts w:ascii="Courier New" w:cs="Courier New" w:eastAsia="Courier New" w:hAnsi="Courier New"/>
          <w:sz w:val="15"/>
          <w:szCs w:val="15"/>
          <w:color w:val="auto"/>
        </w:rPr>
        <w:t>As presented below, the Company determined net income and earnings per share information as if the fair value method described in Statements of Financial Accounting Standards ("SFAS") No. 123, "Accounting for Stock-Based Compensation", as amended by SFAS No. 148, "Accounting for Stock-Based Compensation - Transition and Disclosure - an Amendment of Financial Accounting Standards Board Statement No. 123", had been applied to its employee stock-based compensation. The Company utilized the Black-Scholes option-pricing model to estimate fair value, which is one of several methods that can be used under SFAS No. 123. The Black-Scholes option valuation model was developed for use</w:t>
      </w:r>
    </w:p>
    <w:p>
      <w:pPr>
        <w:spacing w:after="0" w:line="34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452" w:right="1440" w:bottom="1440" w:gutter="0" w:footer="0" w:header="0"/>
        </w:sectPr>
      </w:pPr>
    </w:p>
    <w:bookmarkStart w:id="7" w:name="page8"/>
    <w:bookmarkEnd w:id="7"/>
    <w:p>
      <w:pPr>
        <w:jc w:val="center"/>
        <w:ind w:right="335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5" w:lineRule="exact"/>
        <w:rPr>
          <w:sz w:val="20"/>
          <w:szCs w:val="20"/>
          <w:color w:val="auto"/>
        </w:rPr>
      </w:pPr>
    </w:p>
    <w:p>
      <w:pPr>
        <w:ind w:left="520" w:right="3179"/>
        <w:spacing w:after="0" w:line="258" w:lineRule="auto"/>
        <w:rPr>
          <w:sz w:val="20"/>
          <w:szCs w:val="20"/>
          <w:color w:val="auto"/>
        </w:rPr>
      </w:pPr>
      <w:r>
        <w:rPr>
          <w:rFonts w:ascii="Courier New" w:cs="Courier New" w:eastAsia="Courier New" w:hAnsi="Courier New"/>
          <w:sz w:val="14"/>
          <w:szCs w:val="14"/>
          <w:color w:val="auto"/>
        </w:rPr>
        <w:t>in estimating the fair value of traded options that have no vesting restrictions and are fully transferable. Option valuation models require the input of highly subjective assumptions, including the expected share price volatility. The Company's options have characteristics significantly different from those of traded options, and changes in the subjective input assumptions can materially affect the fair value estimates.</w:t>
      </w:r>
    </w:p>
    <w:p>
      <w:pPr>
        <w:spacing w:after="0" w:line="164" w:lineRule="exact"/>
        <w:rPr>
          <w:sz w:val="20"/>
          <w:szCs w:val="20"/>
          <w:color w:val="auto"/>
        </w:rPr>
      </w:pPr>
    </w:p>
    <w:p>
      <w:pPr>
        <w:ind w:left="520" w:right="3179" w:firstLine="529"/>
        <w:spacing w:after="0" w:line="237" w:lineRule="auto"/>
        <w:rPr>
          <w:sz w:val="20"/>
          <w:szCs w:val="20"/>
          <w:color w:val="auto"/>
        </w:rPr>
      </w:pPr>
      <w:r>
        <w:rPr>
          <w:rFonts w:ascii="Courier New" w:cs="Courier New" w:eastAsia="Courier New" w:hAnsi="Courier New"/>
          <w:sz w:val="15"/>
          <w:szCs w:val="15"/>
          <w:color w:val="auto"/>
        </w:rPr>
        <w:t>The fair value of options granted was estimated at the date of grant using the Black-Scholes pricing model with the following assumptions for the presented periods (all in weighted averages):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3440" w:type="dxa"/>
            <w:vAlign w:val="bottom"/>
            <w:gridSpan w:val="3"/>
          </w:tcPr>
          <w:p>
            <w:pPr>
              <w:ind w:left="1540"/>
              <w:spacing w:after="0"/>
              <w:rPr>
                <w:sz w:val="20"/>
                <w:szCs w:val="20"/>
                <w:color w:val="auto"/>
              </w:rPr>
            </w:pPr>
            <w:r>
              <w:rPr>
                <w:rFonts w:ascii="Courier New" w:cs="Courier New" w:eastAsia="Courier New" w:hAnsi="Courier New"/>
                <w:sz w:val="15"/>
                <w:szCs w:val="15"/>
                <w:color w:val="auto"/>
              </w:rPr>
              <w:t>THREE MONTHS ENDED</w:t>
            </w:r>
          </w:p>
        </w:tc>
        <w:tc>
          <w:tcPr>
            <w:tcW w:w="224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3560" w:type="dxa"/>
            <w:vAlign w:val="bottom"/>
          </w:tcPr>
          <w:p>
            <w:pPr>
              <w:spacing w:after="0"/>
              <w:rPr>
                <w:sz w:val="14"/>
                <w:szCs w:val="14"/>
                <w:color w:val="auto"/>
              </w:rPr>
            </w:pPr>
          </w:p>
        </w:tc>
        <w:tc>
          <w:tcPr>
            <w:tcW w:w="3440" w:type="dxa"/>
            <w:vAlign w:val="bottom"/>
            <w:gridSpan w:val="3"/>
          </w:tcPr>
          <w:p>
            <w:pPr>
              <w:ind w:left="1980"/>
              <w:spacing w:after="0"/>
              <w:rPr>
                <w:sz w:val="20"/>
                <w:szCs w:val="20"/>
                <w:color w:val="auto"/>
              </w:rPr>
            </w:pPr>
            <w:r>
              <w:rPr>
                <w:rFonts w:ascii="Courier New" w:cs="Courier New" w:eastAsia="Courier New" w:hAnsi="Courier New"/>
                <w:sz w:val="15"/>
                <w:szCs w:val="15"/>
                <w:color w:val="auto"/>
              </w:rPr>
              <w:t>MARCH 31,</w:t>
            </w:r>
          </w:p>
        </w:tc>
        <w:tc>
          <w:tcPr>
            <w:tcW w:w="1620" w:type="dxa"/>
            <w:vAlign w:val="bottom"/>
            <w:gridSpan w:val="2"/>
          </w:tcPr>
          <w:p>
            <w:pPr>
              <w:ind w:left="840"/>
              <w:spacing w:after="0"/>
              <w:rPr>
                <w:sz w:val="20"/>
                <w:szCs w:val="20"/>
                <w:color w:val="auto"/>
              </w:rPr>
            </w:pPr>
            <w:r>
              <w:rPr>
                <w:rFonts w:ascii="Courier New" w:cs="Courier New" w:eastAsia="Courier New" w:hAnsi="Courier New"/>
                <w:sz w:val="15"/>
                <w:szCs w:val="15"/>
                <w:color w:val="auto"/>
                <w:w w:val="93"/>
              </w:rPr>
              <w:t>MARCH 31,</w:t>
            </w:r>
          </w:p>
        </w:tc>
        <w:tc>
          <w:tcPr>
            <w:tcW w:w="620" w:type="dxa"/>
            <w:vAlign w:val="bottom"/>
          </w:tcPr>
          <w:p>
            <w:pPr>
              <w:spacing w:after="0"/>
              <w:rPr>
                <w:sz w:val="14"/>
                <w:szCs w:val="14"/>
                <w:color w:val="auto"/>
              </w:rPr>
            </w:pPr>
          </w:p>
        </w:tc>
      </w:tr>
      <w:tr>
        <w:trPr>
          <w:trHeight w:val="170"/>
        </w:trPr>
        <w:tc>
          <w:tcPr>
            <w:tcW w:w="3560" w:type="dxa"/>
            <w:vAlign w:val="bottom"/>
          </w:tcPr>
          <w:p>
            <w:pPr>
              <w:spacing w:after="0"/>
              <w:rPr>
                <w:sz w:val="14"/>
                <w:szCs w:val="14"/>
                <w:color w:val="auto"/>
              </w:rPr>
            </w:pPr>
          </w:p>
        </w:tc>
        <w:tc>
          <w:tcPr>
            <w:tcW w:w="2600" w:type="dxa"/>
            <w:vAlign w:val="bottom"/>
            <w:gridSpan w:val="2"/>
          </w:tcPr>
          <w:p>
            <w:pPr>
              <w:ind w:left="1280"/>
              <w:spacing w:after="0"/>
              <w:rPr>
                <w:sz w:val="20"/>
                <w:szCs w:val="20"/>
                <w:color w:val="auto"/>
              </w:rPr>
            </w:pPr>
            <w:r>
              <w:rPr>
                <w:rFonts w:ascii="Courier New" w:cs="Courier New" w:eastAsia="Courier New" w:hAnsi="Courier New"/>
                <w:sz w:val="13"/>
                <w:szCs w:val="13"/>
                <w:color w:val="auto"/>
                <w:w w:val="72"/>
              </w:rPr>
              <w:t>-----------------------</w:t>
            </w:r>
          </w:p>
        </w:tc>
        <w:tc>
          <w:tcPr>
            <w:tcW w:w="840" w:type="dxa"/>
            <w:vAlign w:val="bottom"/>
          </w:tcPr>
          <w:p>
            <w:pPr>
              <w:spacing w:after="0"/>
              <w:rPr>
                <w:sz w:val="14"/>
                <w:szCs w:val="14"/>
                <w:color w:val="auto"/>
              </w:rPr>
            </w:pPr>
          </w:p>
        </w:tc>
        <w:tc>
          <w:tcPr>
            <w:tcW w:w="224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560" w:type="dxa"/>
            <w:vAlign w:val="bottom"/>
          </w:tcPr>
          <w:p>
            <w:pPr>
              <w:spacing w:after="0"/>
              <w:rPr>
                <w:sz w:val="14"/>
                <w:szCs w:val="14"/>
                <w:color w:val="auto"/>
              </w:rPr>
            </w:pPr>
          </w:p>
        </w:tc>
        <w:tc>
          <w:tcPr>
            <w:tcW w:w="2420" w:type="dxa"/>
            <w:vAlign w:val="bottom"/>
          </w:tcPr>
          <w:p>
            <w:pPr>
              <w:ind w:left="1540"/>
              <w:spacing w:after="0"/>
              <w:rPr>
                <w:sz w:val="20"/>
                <w:szCs w:val="20"/>
                <w:color w:val="auto"/>
              </w:rPr>
            </w:pPr>
            <w:r>
              <w:rPr>
                <w:rFonts w:ascii="Courier New" w:cs="Courier New" w:eastAsia="Courier New" w:hAnsi="Courier New"/>
                <w:sz w:val="15"/>
                <w:szCs w:val="15"/>
                <w:color w:val="auto"/>
              </w:rPr>
              <w:t>2004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2003</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2004</w:t>
            </w:r>
          </w:p>
        </w:tc>
        <w:tc>
          <w:tcPr>
            <w:tcW w:w="4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3560" w:type="dxa"/>
            <w:vAlign w:val="bottom"/>
          </w:tcPr>
          <w:p>
            <w:pPr>
              <w:spacing w:after="0"/>
              <w:rPr>
                <w:sz w:val="14"/>
                <w:szCs w:val="14"/>
                <w:color w:val="auto"/>
              </w:rPr>
            </w:pPr>
          </w:p>
        </w:tc>
        <w:tc>
          <w:tcPr>
            <w:tcW w:w="242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356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242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2.12%</w:t>
            </w:r>
          </w:p>
        </w:tc>
        <w:tc>
          <w:tcPr>
            <w:tcW w:w="18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2.72%</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2.10%</w:t>
            </w:r>
          </w:p>
        </w:tc>
        <w:tc>
          <w:tcPr>
            <w:tcW w:w="44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2.72%</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Expected life of options</w:t>
            </w:r>
          </w:p>
        </w:tc>
        <w:tc>
          <w:tcPr>
            <w:tcW w:w="242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3.00</w:t>
            </w:r>
          </w:p>
        </w:tc>
        <w:tc>
          <w:tcPr>
            <w:tcW w:w="180" w:type="dxa"/>
            <w:vAlign w:val="bottom"/>
          </w:tcPr>
          <w:p>
            <w:pPr>
              <w:spacing w:after="0"/>
              <w:rPr>
                <w:sz w:val="14"/>
                <w:szCs w:val="14"/>
                <w:color w:val="auto"/>
              </w:rPr>
            </w:pPr>
          </w:p>
        </w:tc>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2.91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w:t>
            </w:r>
          </w:p>
        </w:tc>
        <w:tc>
          <w:tcPr>
            <w:tcW w:w="44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2.92</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Expected annual volatility</w:t>
            </w:r>
          </w:p>
        </w:tc>
        <w:tc>
          <w:tcPr>
            <w:tcW w:w="242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0.461</w:t>
            </w:r>
          </w:p>
        </w:tc>
        <w:tc>
          <w:tcPr>
            <w:tcW w:w="180" w:type="dxa"/>
            <w:vAlign w:val="bottom"/>
          </w:tcPr>
          <w:p>
            <w:pPr>
              <w:spacing w:after="0"/>
              <w:rPr>
                <w:sz w:val="14"/>
                <w:szCs w:val="14"/>
                <w:color w:val="auto"/>
              </w:rPr>
            </w:pPr>
          </w:p>
        </w:tc>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0.54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0.44</w:t>
            </w:r>
          </w:p>
        </w:tc>
        <w:tc>
          <w:tcPr>
            <w:tcW w:w="44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0.58</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2420" w:type="dxa"/>
            <w:vAlign w:val="bottom"/>
          </w:tcPr>
          <w:p>
            <w:pPr>
              <w:ind w:left="1720"/>
              <w:spacing w:after="0"/>
              <w:rPr>
                <w:sz w:val="20"/>
                <w:szCs w:val="20"/>
                <w:color w:val="auto"/>
              </w:rPr>
            </w:pPr>
            <w:r>
              <w:rPr>
                <w:rFonts w:ascii="Courier New" w:cs="Courier New" w:eastAsia="Courier New" w:hAnsi="Courier New"/>
                <w:sz w:val="15"/>
                <w:szCs w:val="15"/>
                <w:color w:val="auto"/>
              </w:rPr>
              <w:t>None</w:t>
            </w:r>
          </w:p>
        </w:tc>
        <w:tc>
          <w:tcPr>
            <w:tcW w:w="180" w:type="dxa"/>
            <w:vAlign w:val="bottom"/>
          </w:tcPr>
          <w:p>
            <w:pPr>
              <w:spacing w:after="0"/>
              <w:rPr>
                <w:sz w:val="14"/>
                <w:szCs w:val="14"/>
                <w:color w:val="auto"/>
              </w:rPr>
            </w:pPr>
          </w:p>
        </w:tc>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None</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None</w:t>
            </w:r>
          </w:p>
        </w:tc>
        <w:tc>
          <w:tcPr>
            <w:tcW w:w="44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None</w:t>
            </w:r>
          </w:p>
        </w:tc>
      </w:tr>
      <w:tr>
        <w:trPr>
          <w:trHeight w:val="339"/>
        </w:trPr>
        <w:tc>
          <w:tcPr>
            <w:tcW w:w="3560" w:type="dxa"/>
            <w:vAlign w:val="bottom"/>
          </w:tcPr>
          <w:p>
            <w:pPr>
              <w:spacing w:after="0"/>
              <w:rPr>
                <w:sz w:val="20"/>
                <w:szCs w:val="20"/>
                <w:color w:val="auto"/>
              </w:rPr>
            </w:pPr>
            <w:r>
              <w:rPr>
                <w:rFonts w:ascii="Courier New" w:cs="Courier New" w:eastAsia="Courier New" w:hAnsi="Courier New"/>
                <w:sz w:val="15"/>
                <w:szCs w:val="15"/>
                <w:color w:val="auto"/>
              </w:rPr>
              <w:t>Fair value per option</w:t>
            </w:r>
          </w:p>
        </w:tc>
        <w:tc>
          <w:tcPr>
            <w:tcW w:w="242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   11.65</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6.01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10.40</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4.71</w:t>
            </w:r>
          </w:p>
        </w:tc>
      </w:tr>
    </w:tbl>
    <w:p>
      <w:pPr>
        <w:spacing w:after="0" w:line="344" w:lineRule="exact"/>
        <w:rPr>
          <w:sz w:val="20"/>
          <w:szCs w:val="20"/>
          <w:color w:val="auto"/>
        </w:rPr>
      </w:pPr>
    </w:p>
    <w:p>
      <w:pPr>
        <w:ind w:left="520" w:right="3179" w:firstLine="529"/>
        <w:spacing w:after="0" w:line="237" w:lineRule="auto"/>
        <w:rPr>
          <w:sz w:val="20"/>
          <w:szCs w:val="20"/>
          <w:color w:val="auto"/>
        </w:rPr>
      </w:pPr>
      <w:r>
        <w:rPr>
          <w:rFonts w:ascii="Courier New" w:cs="Courier New" w:eastAsia="Courier New" w:hAnsi="Courier New"/>
          <w:sz w:val="15"/>
          <w:szCs w:val="15"/>
          <w:color w:val="auto"/>
        </w:rPr>
        <w:t>The following table sets forth the pro forma effect of applying SFAS No. 123 on net income and earnings per share for the three months and six months ended March 31, 2004 and 2003:</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7"/>
              </w:rPr>
              <w:t>THREE MONTHS ENDED</w:t>
            </w:r>
          </w:p>
        </w:tc>
        <w:tc>
          <w:tcPr>
            <w:tcW w:w="300" w:type="dxa"/>
            <w:vAlign w:val="bottom"/>
          </w:tcPr>
          <w:p>
            <w:pPr>
              <w:spacing w:after="0"/>
              <w:rPr>
                <w:sz w:val="14"/>
                <w:szCs w:val="14"/>
                <w:color w:val="auto"/>
              </w:rPr>
            </w:pPr>
          </w:p>
        </w:tc>
        <w:tc>
          <w:tcPr>
            <w:tcW w:w="198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700" w:type="dxa"/>
            <w:vAlign w:val="bottom"/>
          </w:tcPr>
          <w:p>
            <w:pPr>
              <w:spacing w:after="0"/>
              <w:rPr>
                <w:sz w:val="14"/>
                <w:szCs w:val="14"/>
                <w:color w:val="auto"/>
              </w:rPr>
            </w:pPr>
          </w:p>
        </w:tc>
      </w:tr>
      <w:tr>
        <w:trPr>
          <w:trHeight w:val="170"/>
        </w:trPr>
        <w:tc>
          <w:tcPr>
            <w:tcW w:w="4620" w:type="dxa"/>
            <w:vAlign w:val="bottom"/>
          </w:tcPr>
          <w:p>
            <w:pPr>
              <w:spacing w:after="0"/>
              <w:rPr>
                <w:sz w:val="14"/>
                <w:szCs w:val="14"/>
                <w:color w:val="auto"/>
              </w:rPr>
            </w:pPr>
          </w:p>
        </w:tc>
        <w:tc>
          <w:tcPr>
            <w:tcW w:w="2340" w:type="dxa"/>
            <w:vAlign w:val="bottom"/>
            <w:gridSpan w:val="4"/>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2004</w:t>
            </w:r>
          </w:p>
        </w:tc>
        <w:tc>
          <w:tcPr>
            <w:tcW w:w="36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2003</w:t>
            </w:r>
          </w:p>
        </w:tc>
        <w:tc>
          <w:tcPr>
            <w:tcW w:w="3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2004</w:t>
            </w:r>
          </w:p>
        </w:tc>
        <w:tc>
          <w:tcPr>
            <w:tcW w:w="36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4620" w:type="dxa"/>
            <w:vAlign w:val="bottom"/>
          </w:tcPr>
          <w:p>
            <w:pPr>
              <w:spacing w:after="0"/>
              <w:rPr>
                <w:sz w:val="14"/>
                <w:szCs w:val="14"/>
                <w:color w:val="auto"/>
              </w:rPr>
            </w:pP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620" w:type="dxa"/>
            <w:vAlign w:val="bottom"/>
          </w:tcPr>
          <w:p>
            <w:pPr>
              <w:spacing w:after="0"/>
              <w:rPr>
                <w:sz w:val="20"/>
                <w:szCs w:val="20"/>
                <w:color w:val="auto"/>
              </w:rPr>
            </w:pPr>
            <w:r>
              <w:rPr>
                <w:rFonts w:ascii="Courier New" w:cs="Courier New" w:eastAsia="Courier New" w:hAnsi="Courier New"/>
                <w:sz w:val="15"/>
                <w:szCs w:val="15"/>
                <w:color w:val="auto"/>
              </w:rPr>
              <w:t>Net income, as reported</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$ 60,290</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$ 45,375</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$ 113,358</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77,574</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Add: Stock-based employee compensation expense</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620" w:type="dxa"/>
            <w:vAlign w:val="bottom"/>
          </w:tcPr>
          <w:p>
            <w:pPr>
              <w:ind w:left="700"/>
              <w:spacing w:after="0"/>
              <w:rPr>
                <w:sz w:val="20"/>
                <w:szCs w:val="20"/>
                <w:color w:val="auto"/>
              </w:rPr>
            </w:pPr>
            <w:r>
              <w:rPr>
                <w:rFonts w:ascii="Courier New" w:cs="Courier New" w:eastAsia="Courier New" w:hAnsi="Courier New"/>
                <w:sz w:val="15"/>
                <w:szCs w:val="15"/>
                <w:color w:val="auto"/>
              </w:rPr>
              <w:t>included in net income, net of related tax</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620" w:type="dxa"/>
            <w:vAlign w:val="bottom"/>
          </w:tcPr>
          <w:p>
            <w:pPr>
              <w:ind w:left="700"/>
              <w:spacing w:after="0"/>
              <w:rPr>
                <w:sz w:val="20"/>
                <w:szCs w:val="20"/>
                <w:color w:val="auto"/>
              </w:rPr>
            </w:pPr>
            <w:r>
              <w:rPr>
                <w:rFonts w:ascii="Courier New" w:cs="Courier New" w:eastAsia="Courier New" w:hAnsi="Courier New"/>
                <w:sz w:val="15"/>
                <w:szCs w:val="15"/>
                <w:color w:val="auto"/>
              </w:rPr>
              <w:t>effects</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w:t>
            </w:r>
          </w:p>
        </w:tc>
        <w:tc>
          <w:tcPr>
            <w:tcW w:w="36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w:t>
            </w:r>
          </w:p>
        </w:tc>
        <w:tc>
          <w:tcPr>
            <w:tcW w:w="30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w:t>
            </w:r>
          </w:p>
        </w:tc>
        <w:tc>
          <w:tcPr>
            <w:tcW w:w="3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Less: Total stock-based employee compensation</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620" w:type="dxa"/>
            <w:vAlign w:val="bottom"/>
          </w:tcPr>
          <w:p>
            <w:pPr>
              <w:ind w:left="700"/>
              <w:spacing w:after="0"/>
              <w:rPr>
                <w:sz w:val="20"/>
                <w:szCs w:val="20"/>
                <w:color w:val="auto"/>
              </w:rPr>
            </w:pPr>
            <w:r>
              <w:rPr>
                <w:rFonts w:ascii="Courier New" w:cs="Courier New" w:eastAsia="Courier New" w:hAnsi="Courier New"/>
                <w:sz w:val="15"/>
                <w:szCs w:val="15"/>
                <w:color w:val="auto"/>
              </w:rPr>
              <w:t>expense determined under fair value method</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620" w:type="dxa"/>
            <w:vAlign w:val="bottom"/>
          </w:tcPr>
          <w:p>
            <w:pPr>
              <w:ind w:left="700"/>
              <w:spacing w:after="0"/>
              <w:rPr>
                <w:sz w:val="20"/>
                <w:szCs w:val="20"/>
                <w:color w:val="auto"/>
              </w:rPr>
            </w:pPr>
            <w:r>
              <w:rPr>
                <w:rFonts w:ascii="Courier New" w:cs="Courier New" w:eastAsia="Courier New" w:hAnsi="Courier New"/>
                <w:sz w:val="15"/>
                <w:szCs w:val="15"/>
                <w:color w:val="auto"/>
              </w:rPr>
              <w:t>for all awards, net of related tax effects</w:t>
            </w:r>
          </w:p>
        </w:tc>
        <w:tc>
          <w:tcPr>
            <w:tcW w:w="30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(8,489)</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(9,623)</w:t>
            </w:r>
          </w:p>
        </w:tc>
        <w:tc>
          <w:tcPr>
            <w:tcW w:w="30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(19,204)</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(30,007)</w:t>
            </w:r>
          </w:p>
        </w:tc>
      </w:tr>
      <w:tr>
        <w:trPr>
          <w:trHeight w:val="170"/>
        </w:trPr>
        <w:tc>
          <w:tcPr>
            <w:tcW w:w="4620" w:type="dxa"/>
            <w:vAlign w:val="bottom"/>
          </w:tcPr>
          <w:p>
            <w:pPr>
              <w:spacing w:after="0"/>
              <w:rPr>
                <w:sz w:val="14"/>
                <w:szCs w:val="14"/>
                <w:color w:val="auto"/>
              </w:rPr>
            </w:pP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Pro forma net income</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$ 51,821</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$ 35,757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94,179</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47,586</w:t>
            </w:r>
          </w:p>
        </w:tc>
      </w:tr>
      <w:tr>
        <w:trPr>
          <w:trHeight w:val="170"/>
        </w:trPr>
        <w:tc>
          <w:tcPr>
            <w:tcW w:w="4620" w:type="dxa"/>
            <w:vAlign w:val="bottom"/>
          </w:tcPr>
          <w:p>
            <w:pPr>
              <w:spacing w:after="0"/>
              <w:rPr>
                <w:sz w:val="14"/>
                <w:szCs w:val="14"/>
                <w:color w:val="auto"/>
              </w:rPr>
            </w:pP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620" w:type="dxa"/>
            <w:vAlign w:val="bottom"/>
          </w:tcPr>
          <w:p>
            <w:pPr>
              <w:ind w:left="440"/>
              <w:spacing w:after="0"/>
              <w:rPr>
                <w:sz w:val="20"/>
                <w:szCs w:val="20"/>
                <w:color w:val="auto"/>
              </w:rPr>
            </w:pPr>
            <w:r>
              <w:rPr>
                <w:rFonts w:ascii="Courier New" w:cs="Courier New" w:eastAsia="Courier New" w:hAnsi="Courier New"/>
                <w:sz w:val="15"/>
                <w:szCs w:val="15"/>
                <w:color w:val="auto"/>
              </w:rPr>
              <w:t>As reported</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0.29</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0.21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0.53</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0.36</w:t>
            </w:r>
          </w:p>
        </w:tc>
      </w:tr>
      <w:tr>
        <w:trPr>
          <w:trHeight w:val="170"/>
        </w:trPr>
        <w:tc>
          <w:tcPr>
            <w:tcW w:w="4620" w:type="dxa"/>
            <w:vAlign w:val="bottom"/>
          </w:tcPr>
          <w:p>
            <w:pPr>
              <w:spacing w:after="0"/>
              <w:rPr>
                <w:sz w:val="14"/>
                <w:szCs w:val="14"/>
                <w:color w:val="auto"/>
              </w:rPr>
            </w:pP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ind w:left="440"/>
              <w:spacing w:after="0"/>
              <w:rPr>
                <w:sz w:val="20"/>
                <w:szCs w:val="20"/>
                <w:color w:val="auto"/>
              </w:rPr>
            </w:pPr>
            <w:r>
              <w:rPr>
                <w:rFonts w:ascii="Courier New" w:cs="Courier New" w:eastAsia="Courier New" w:hAnsi="Courier New"/>
                <w:sz w:val="15"/>
                <w:szCs w:val="15"/>
                <w:color w:val="auto"/>
              </w:rPr>
              <w:t>Pro forma</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0.25</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0.17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0.44</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0.22</w:t>
            </w:r>
          </w:p>
        </w:tc>
      </w:tr>
      <w:tr>
        <w:trPr>
          <w:trHeight w:val="170"/>
        </w:trPr>
        <w:tc>
          <w:tcPr>
            <w:tcW w:w="4620" w:type="dxa"/>
            <w:vAlign w:val="bottom"/>
          </w:tcPr>
          <w:p>
            <w:pPr>
              <w:spacing w:after="0"/>
              <w:rPr>
                <w:sz w:val="14"/>
                <w:szCs w:val="14"/>
                <w:color w:val="auto"/>
              </w:rPr>
            </w:pP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620" w:type="dxa"/>
            <w:vAlign w:val="bottom"/>
          </w:tcPr>
          <w:p>
            <w:pPr>
              <w:ind w:left="440"/>
              <w:spacing w:after="0"/>
              <w:rPr>
                <w:sz w:val="20"/>
                <w:szCs w:val="20"/>
                <w:color w:val="auto"/>
              </w:rPr>
            </w:pPr>
            <w:r>
              <w:rPr>
                <w:rFonts w:ascii="Courier New" w:cs="Courier New" w:eastAsia="Courier New" w:hAnsi="Courier New"/>
                <w:sz w:val="15"/>
                <w:szCs w:val="15"/>
                <w:color w:val="auto"/>
              </w:rPr>
              <w:t>As reported</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0.28</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0.21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0.52</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0.36</w:t>
            </w:r>
          </w:p>
        </w:tc>
      </w:tr>
      <w:tr>
        <w:trPr>
          <w:trHeight w:val="170"/>
        </w:trPr>
        <w:tc>
          <w:tcPr>
            <w:tcW w:w="4620" w:type="dxa"/>
            <w:vAlign w:val="bottom"/>
          </w:tcPr>
          <w:p>
            <w:pPr>
              <w:spacing w:after="0"/>
              <w:rPr>
                <w:sz w:val="14"/>
                <w:szCs w:val="14"/>
                <w:color w:val="auto"/>
              </w:rPr>
            </w:pP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ind w:left="440"/>
              <w:spacing w:after="0"/>
              <w:rPr>
                <w:sz w:val="20"/>
                <w:szCs w:val="20"/>
                <w:color w:val="auto"/>
              </w:rPr>
            </w:pPr>
            <w:r>
              <w:rPr>
                <w:rFonts w:ascii="Courier New" w:cs="Courier New" w:eastAsia="Courier New" w:hAnsi="Courier New"/>
                <w:sz w:val="15"/>
                <w:szCs w:val="15"/>
                <w:color w:val="auto"/>
              </w:rPr>
              <w:t>Pro forma</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0.24</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0.17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0.44</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0.22</w:t>
            </w:r>
          </w:p>
        </w:tc>
      </w:tr>
      <w:tr>
        <w:trPr>
          <w:trHeight w:val="170"/>
        </w:trPr>
        <w:tc>
          <w:tcPr>
            <w:tcW w:w="4620" w:type="dxa"/>
            <w:vAlign w:val="bottom"/>
          </w:tcPr>
          <w:p>
            <w:pPr>
              <w:spacing w:after="0"/>
              <w:rPr>
                <w:sz w:val="14"/>
                <w:szCs w:val="14"/>
                <w:color w:val="auto"/>
              </w:rPr>
            </w:pP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520" w:right="3179" w:firstLine="529"/>
        <w:spacing w:after="0" w:line="256" w:lineRule="auto"/>
        <w:rPr>
          <w:sz w:val="20"/>
          <w:szCs w:val="20"/>
          <w:color w:val="auto"/>
        </w:rPr>
      </w:pPr>
      <w:r>
        <w:rPr>
          <w:rFonts w:ascii="Courier New" w:cs="Courier New" w:eastAsia="Courier New" w:hAnsi="Courier New"/>
          <w:sz w:val="14"/>
          <w:szCs w:val="14"/>
          <w:color w:val="auto"/>
        </w:rPr>
        <w:t>The pro forma results for the three months and six months ended March 31, 2003 have been revised due to a correction of the stock-based employee compensation expense amounts for such periods. These corrections resulted in a decrease in pro forma net income of $8,364 and $15,799 from the amounts previously reported in the three months and six months ended March 31, 2003, respectively, and a decrease in pro forma diluted earnings per share of $0.03 and $0.07 from the per share amounts previously reported in the three months and six months ended March 31, 2003, respectively. Additionally, the pro forma results for the three months ended December 31, 2003 and 2002 have been revised due to the correction of the stock-based compensation amount for such periods. The correction resulted in a decrease in pro forma net income of $4,003 and $7,435 from the amounts previously reported, respectively, and a decrease in pro forma diluted earnings per share of $0.02 and $0.04 from the per share amounts previously reported, respectively, for such periods. The effect of this correction for fiscal 2003 resulted in a decrease in pro forma net income of $33,732 and a decrease in pro forma diluted earnings per share of $0.15 from the amounts previously reported. As of June 10, 2004, the Company analyzed the impact of the correction only for the aforementioned periods. The information with respect to prior periods will be included in the Company's Form 20-F for the 2004 fiscal year.</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52" w:right="1440" w:bottom="396" w:gutter="0" w:footer="0" w:header="0"/>
        </w:sectPr>
      </w:pPr>
    </w:p>
    <w:bookmarkStart w:id="8" w:name="page9"/>
    <w:bookmarkEnd w:id="8"/>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5" w:lineRule="exact"/>
        <w:rPr>
          <w:sz w:val="20"/>
          <w:szCs w:val="20"/>
          <w:color w:val="auto"/>
        </w:rPr>
      </w:pPr>
    </w:p>
    <w:p>
      <w:pPr>
        <w:ind w:left="1050" w:right="6879" w:hanging="1050"/>
        <w:spacing w:after="0" w:line="513" w:lineRule="auto"/>
        <w:tabs>
          <w:tab w:leader="none" w:pos="521"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ACCOUNTING STANDARDS Variable Interest Entities</w:t>
      </w:r>
    </w:p>
    <w:p>
      <w:pPr>
        <w:ind w:left="530" w:right="3179" w:firstLine="529"/>
        <w:spacing w:after="0" w:line="238" w:lineRule="auto"/>
        <w:rPr>
          <w:sz w:val="20"/>
          <w:szCs w:val="20"/>
          <w:color w:val="auto"/>
        </w:rPr>
      </w:pPr>
      <w:r>
        <w:rPr>
          <w:rFonts w:ascii="Courier New" w:cs="Courier New" w:eastAsia="Courier New" w:hAnsi="Courier New"/>
          <w:sz w:val="15"/>
          <w:szCs w:val="15"/>
          <w:color w:val="auto"/>
        </w:rPr>
        <w:t>In January 2003, the Financial Accounting Standards Board ("FASB") issued Interpretation No. 46 ("FIN No. 46"), "Consolidation of Variable Interest Entities", which was further revised in December 2003. FIN No. 46 requires the consolidation of entities in which an enterprise absorbs a majority of the entity's expected losses, receives a majority of the entity's expected residual returns, or both, as a result of ownership, contractual or other financial interests in the entity. FIN No. 46 currently has no effect on the Company's consolidated financial position and results of operations.</w:t>
      </w:r>
    </w:p>
    <w:p>
      <w:pPr>
        <w:spacing w:after="0" w:line="173" w:lineRule="exact"/>
        <w:rPr>
          <w:sz w:val="20"/>
          <w:szCs w:val="20"/>
          <w:color w:val="auto"/>
        </w:rPr>
      </w:pPr>
    </w:p>
    <w:p>
      <w:pPr>
        <w:ind w:left="530" w:hanging="530"/>
        <w:spacing w:after="0"/>
        <w:tabs>
          <w:tab w:leader="none" w:pos="53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5" w:lineRule="exact"/>
        <w:rPr>
          <w:sz w:val="20"/>
          <w:szCs w:val="20"/>
          <w:color w:val="auto"/>
        </w:rPr>
      </w:pPr>
    </w:p>
    <w:p>
      <w:pPr>
        <w:ind w:left="530" w:right="3179" w:firstLine="529"/>
        <w:spacing w:after="0" w:line="238" w:lineRule="auto"/>
        <w:rPr>
          <w:sz w:val="20"/>
          <w:szCs w:val="20"/>
          <w:color w:val="auto"/>
        </w:rPr>
      </w:pPr>
      <w:r>
        <w:rPr>
          <w:rFonts w:ascii="Courier New" w:cs="Courier New" w:eastAsia="Courier New" w:hAnsi="Courier New"/>
          <w:sz w:val="15"/>
          <w:szCs w:val="15"/>
          <w:color w:val="auto"/>
        </w:rPr>
        <w:t>The Company had licensed software and provided computer systems integration and related services to Certen Inc. ("Certen") prior to the acquisition of the remaining 90% of Certen by the Company on July 2, 2003 (see Note 10). As a result of the acquisition of the remaining 90% of Certen by the Company, commencing on the acquisition date, the fair market value of Certen's assets and liabilities has been included in the Company's consolidated balance sheet and the results of Certen's operations are included in the Company's consolidated statements of income. Certen is now a wholly owned subsidiary of the Company, and Certen ceased to be a related party as of July 2, 2003, according SFAS No. 57, "Related Party Disclosures".</w:t>
      </w:r>
    </w:p>
    <w:p>
      <w:pPr>
        <w:spacing w:after="0" w:line="181" w:lineRule="exact"/>
        <w:rPr>
          <w:sz w:val="20"/>
          <w:szCs w:val="20"/>
          <w:color w:val="auto"/>
        </w:rPr>
      </w:pPr>
    </w:p>
    <w:p>
      <w:pPr>
        <w:ind w:left="530" w:right="3179" w:firstLine="529"/>
        <w:spacing w:after="0" w:line="235" w:lineRule="auto"/>
        <w:rPr>
          <w:sz w:val="20"/>
          <w:szCs w:val="20"/>
          <w:color w:val="auto"/>
        </w:rPr>
      </w:pPr>
      <w:r>
        <w:rPr>
          <w:rFonts w:ascii="Courier New" w:cs="Courier New" w:eastAsia="Courier New" w:hAnsi="Courier New"/>
          <w:sz w:val="15"/>
          <w:szCs w:val="15"/>
          <w:color w:val="auto"/>
        </w:rPr>
        <w:t>The following related party revenue is included in the statements of income for the three months and six months ended March 31, 2003:</w:t>
      </w:r>
    </w:p>
    <w:p>
      <w:pPr>
        <w:spacing w:after="0" w:line="200" w:lineRule="exact"/>
        <w:rPr>
          <w:sz w:val="20"/>
          <w:szCs w:val="20"/>
          <w:color w:val="auto"/>
        </w:rPr>
      </w:pPr>
    </w:p>
    <w:p>
      <w:pPr>
        <w:spacing w:after="0" w:line="309"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2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THREE MONTHS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SIX MONTHS</w:t>
            </w:r>
          </w:p>
        </w:tc>
      </w:tr>
      <w:tr>
        <w:trPr>
          <w:trHeight w:val="170"/>
        </w:trPr>
        <w:tc>
          <w:tcPr>
            <w:tcW w:w="2560" w:type="dxa"/>
            <w:vAlign w:val="bottom"/>
          </w:tcPr>
          <w:p>
            <w:pPr>
              <w:spacing w:after="0"/>
              <w:rPr>
                <w:sz w:val="14"/>
                <w:szCs w:val="14"/>
                <w:color w:val="auto"/>
              </w:rPr>
            </w:pPr>
          </w:p>
        </w:tc>
        <w:tc>
          <w:tcPr>
            <w:tcW w:w="26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ENDED</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2560" w:type="dxa"/>
            <w:vAlign w:val="bottom"/>
          </w:tcPr>
          <w:p>
            <w:pPr>
              <w:spacing w:after="0"/>
              <w:rPr>
                <w:sz w:val="14"/>
                <w:szCs w:val="14"/>
                <w:color w:val="auto"/>
              </w:rPr>
            </w:pPr>
          </w:p>
        </w:tc>
        <w:tc>
          <w:tcPr>
            <w:tcW w:w="2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MARCH 31,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2560" w:type="dxa"/>
            <w:vAlign w:val="bottom"/>
          </w:tcPr>
          <w:p>
            <w:pPr>
              <w:spacing w:after="0"/>
              <w:rPr>
                <w:sz w:val="14"/>
                <w:szCs w:val="14"/>
                <w:color w:val="auto"/>
              </w:rPr>
            </w:pPr>
          </w:p>
        </w:tc>
        <w:tc>
          <w:tcPr>
            <w:tcW w:w="2600" w:type="dxa"/>
            <w:vAlign w:val="bottom"/>
          </w:tcPr>
          <w:p>
            <w:pPr>
              <w:jc w:val="center"/>
              <w:ind w:left="1187"/>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560" w:type="dxa"/>
            <w:vAlign w:val="bottom"/>
          </w:tcPr>
          <w:p>
            <w:pPr>
              <w:spacing w:after="0"/>
              <w:rPr>
                <w:sz w:val="14"/>
                <w:szCs w:val="14"/>
                <w:color w:val="auto"/>
              </w:rPr>
            </w:pPr>
          </w:p>
        </w:tc>
        <w:tc>
          <w:tcPr>
            <w:tcW w:w="2600" w:type="dxa"/>
            <w:vAlign w:val="bottom"/>
          </w:tcPr>
          <w:p>
            <w:pPr>
              <w:jc w:val="center"/>
              <w:ind w:left="1207"/>
              <w:spacing w:after="0"/>
              <w:rPr>
                <w:sz w:val="20"/>
                <w:szCs w:val="20"/>
                <w:color w:val="auto"/>
              </w:rPr>
            </w:pPr>
            <w:r>
              <w:rPr>
                <w:rFonts w:ascii="Courier New" w:cs="Courier New" w:eastAsia="Courier New" w:hAnsi="Courier New"/>
                <w:sz w:val="15"/>
                <w:szCs w:val="15"/>
                <w:color w:val="auto"/>
                <w:w w:val="99"/>
              </w:rPr>
              <w:t>2003</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560" w:type="dxa"/>
            <w:vAlign w:val="bottom"/>
          </w:tcPr>
          <w:p>
            <w:pPr>
              <w:spacing w:after="0"/>
              <w:rPr>
                <w:sz w:val="14"/>
                <w:szCs w:val="14"/>
                <w:color w:val="auto"/>
              </w:rPr>
            </w:pPr>
          </w:p>
        </w:tc>
        <w:tc>
          <w:tcPr>
            <w:tcW w:w="2600" w:type="dxa"/>
            <w:vAlign w:val="bottom"/>
          </w:tcPr>
          <w:p>
            <w:pPr>
              <w:jc w:val="center"/>
              <w:ind w:left="1187"/>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5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2560" w:type="dxa"/>
            <w:vAlign w:val="bottom"/>
          </w:tcPr>
          <w:p>
            <w:pPr>
              <w:ind w:left="520"/>
              <w:spacing w:after="0"/>
              <w:rPr>
                <w:sz w:val="20"/>
                <w:szCs w:val="20"/>
                <w:color w:val="auto"/>
              </w:rPr>
            </w:pPr>
            <w:r>
              <w:rPr>
                <w:rFonts w:ascii="Courier New" w:cs="Courier New" w:eastAsia="Courier New" w:hAnsi="Courier New"/>
                <w:sz w:val="15"/>
                <w:szCs w:val="15"/>
                <w:color w:val="auto"/>
              </w:rPr>
              <w:t>License</w:t>
            </w:r>
          </w:p>
        </w:tc>
        <w:tc>
          <w:tcPr>
            <w:tcW w:w="26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$ 1,191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$ 3,243</w:t>
            </w:r>
          </w:p>
        </w:tc>
      </w:tr>
      <w:tr>
        <w:trPr>
          <w:trHeight w:val="170"/>
        </w:trPr>
        <w:tc>
          <w:tcPr>
            <w:tcW w:w="2560" w:type="dxa"/>
            <w:vAlign w:val="bottom"/>
          </w:tcPr>
          <w:p>
            <w:pPr>
              <w:ind w:left="520"/>
              <w:spacing w:after="0"/>
              <w:rPr>
                <w:sz w:val="20"/>
                <w:szCs w:val="20"/>
                <w:color w:val="auto"/>
              </w:rPr>
            </w:pPr>
            <w:r>
              <w:rPr>
                <w:rFonts w:ascii="Courier New" w:cs="Courier New" w:eastAsia="Courier New" w:hAnsi="Courier New"/>
                <w:sz w:val="15"/>
                <w:szCs w:val="15"/>
                <w:color w:val="auto"/>
              </w:rPr>
              <w:t>Service</w:t>
            </w:r>
          </w:p>
        </w:tc>
        <w:tc>
          <w:tcPr>
            <w:tcW w:w="26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26,702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51,748</w:t>
            </w:r>
          </w:p>
        </w:tc>
      </w:tr>
    </w:tbl>
    <w:p>
      <w:pPr>
        <w:spacing w:after="0" w:line="344" w:lineRule="exact"/>
        <w:rPr>
          <w:sz w:val="20"/>
          <w:szCs w:val="20"/>
          <w:color w:val="auto"/>
        </w:rPr>
      </w:pPr>
    </w:p>
    <w:p>
      <w:pPr>
        <w:ind w:left="530" w:right="3179" w:firstLine="529"/>
        <w:spacing w:after="0" w:line="235" w:lineRule="auto"/>
        <w:rPr>
          <w:sz w:val="20"/>
          <w:szCs w:val="20"/>
          <w:color w:val="auto"/>
        </w:rPr>
      </w:pPr>
      <w:r>
        <w:rPr>
          <w:rFonts w:ascii="Courier New" w:cs="Courier New" w:eastAsia="Courier New" w:hAnsi="Courier New"/>
          <w:sz w:val="15"/>
          <w:szCs w:val="15"/>
          <w:color w:val="auto"/>
        </w:rPr>
        <w:t>The following related party expense is included in the statements of income for the three months and six months ended March 31, 2003:</w:t>
      </w:r>
    </w:p>
    <w:p>
      <w:pPr>
        <w:sectPr>
          <w:pgSz w:w="11900" w:h="16838" w:orient="portrait"/>
          <w:cols w:equalWidth="0" w:num="1">
            <w:col w:w="10229"/>
          </w:cols>
          <w:pgMar w:left="230" w:top="452"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4490"/>
        <w:spacing w:after="0"/>
        <w:rPr>
          <w:sz w:val="20"/>
          <w:szCs w:val="20"/>
          <w:color w:val="auto"/>
        </w:rPr>
      </w:pPr>
      <w:r>
        <w:rPr>
          <w:rFonts w:ascii="Courier New" w:cs="Courier New" w:eastAsia="Courier New" w:hAnsi="Courier New"/>
          <w:sz w:val="14"/>
          <w:szCs w:val="14"/>
          <w:color w:val="auto"/>
        </w:rPr>
        <w:t>THREE MONTHS</w:t>
      </w:r>
    </w:p>
    <w:p>
      <w:pPr>
        <w:spacing w:after="0" w:line="5" w:lineRule="exact"/>
        <w:rPr>
          <w:sz w:val="20"/>
          <w:szCs w:val="20"/>
          <w:color w:val="auto"/>
        </w:rPr>
      </w:pPr>
    </w:p>
    <w:p>
      <w:pPr>
        <w:ind w:left="4770"/>
        <w:spacing w:after="0"/>
        <w:rPr>
          <w:sz w:val="20"/>
          <w:szCs w:val="20"/>
          <w:color w:val="auto"/>
        </w:rPr>
      </w:pPr>
      <w:r>
        <w:rPr>
          <w:rFonts w:ascii="Courier New" w:cs="Courier New" w:eastAsia="Courier New" w:hAnsi="Courier New"/>
          <w:sz w:val="15"/>
          <w:szCs w:val="15"/>
          <w:color w:val="auto"/>
        </w:rPr>
        <w:t>ENDED</w:t>
      </w:r>
    </w:p>
    <w:p>
      <w:pPr>
        <w:ind w:left="4590"/>
        <w:spacing w:after="0"/>
        <w:rPr>
          <w:sz w:val="20"/>
          <w:szCs w:val="20"/>
          <w:color w:val="auto"/>
        </w:rPr>
      </w:pPr>
      <w:r>
        <w:rPr>
          <w:rFonts w:ascii="Courier New" w:cs="Courier New" w:eastAsia="Courier New" w:hAnsi="Courier New"/>
          <w:sz w:val="15"/>
          <w:szCs w:val="15"/>
          <w:color w:val="auto"/>
        </w:rPr>
        <w:t>MARCH 31,</w:t>
      </w:r>
    </w:p>
    <w:p>
      <w:pPr>
        <w:ind w:left="4850"/>
        <w:spacing w:after="0"/>
        <w:rPr>
          <w:sz w:val="20"/>
          <w:szCs w:val="20"/>
          <w:color w:val="auto"/>
        </w:rPr>
      </w:pPr>
      <w:r>
        <w:rPr>
          <w:rFonts w:ascii="Courier New" w:cs="Courier New" w:eastAsia="Courier New" w:hAnsi="Courier New"/>
          <w:sz w:val="15"/>
          <w:szCs w:val="15"/>
          <w:color w:val="auto"/>
        </w:rPr>
        <w:t>2003</w:t>
      </w:r>
    </w:p>
    <w:p>
      <w:pPr>
        <w:spacing w:after="0" w:line="4" w:lineRule="exact"/>
        <w:rPr>
          <w:sz w:val="20"/>
          <w:szCs w:val="20"/>
          <w:color w:val="auto"/>
        </w:rPr>
      </w:pPr>
    </w:p>
    <w:p>
      <w:pPr>
        <w:ind w:left="449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SIX MONTHS</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ENDED</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MARCH 31,</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5550" w:space="260"/>
            <w:col w:w="4419"/>
          </w:cols>
          <w:pgMar w:left="230" w:top="452" w:right="1440" w:bottom="1440" w:gutter="0" w:footer="0" w:header="0"/>
          <w:type w:val="continuous"/>
        </w:sectPr>
      </w:pPr>
    </w:p>
    <w:p>
      <w:pPr>
        <w:ind w:left="530"/>
        <w:spacing w:after="0"/>
        <w:rPr>
          <w:sz w:val="20"/>
          <w:szCs w:val="20"/>
          <w:color w:val="auto"/>
        </w:rPr>
      </w:pPr>
      <w:r>
        <w:rPr>
          <w:rFonts w:ascii="Courier New" w:cs="Courier New" w:eastAsia="Courier New" w:hAnsi="Courier New"/>
          <w:sz w:val="14"/>
          <w:szCs w:val="14"/>
          <w:color w:val="auto"/>
        </w:rPr>
        <w:t>Interest income and other, net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$ 458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$ 1,098</w:t>
      </w:r>
    </w:p>
    <w:p>
      <w:pPr>
        <w:spacing w:after="0" w:line="200" w:lineRule="exact"/>
        <w:rPr>
          <w:sz w:val="20"/>
          <w:szCs w:val="20"/>
          <w:color w:val="auto"/>
        </w:rPr>
      </w:pPr>
    </w:p>
    <w:p>
      <w:pPr>
        <w:sectPr>
          <w:pgSz w:w="11900" w:h="16838" w:orient="portrait"/>
          <w:cols w:equalWidth="0" w:num="3">
            <w:col w:w="4050" w:space="720"/>
            <w:col w:w="440" w:space="700"/>
            <w:col w:w="4319"/>
          </w:cols>
          <w:pgMar w:left="230" w:top="452" w:right="1440" w:bottom="1440" w:gutter="0" w:footer="0" w:header="0"/>
          <w:type w:val="continuous"/>
        </w:sectPr>
      </w:pPr>
    </w:p>
    <w:p>
      <w:pPr>
        <w:spacing w:after="0" w:line="150" w:lineRule="exact"/>
        <w:rPr>
          <w:sz w:val="20"/>
          <w:szCs w:val="20"/>
          <w:color w:val="auto"/>
        </w:rPr>
      </w:pPr>
    </w:p>
    <w:p>
      <w:pPr>
        <w:ind w:left="1050" w:right="3359" w:hanging="521"/>
        <w:spacing w:after="0" w:line="237" w:lineRule="auto"/>
        <w:tabs>
          <w:tab w:leader="none" w:pos="10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and exchange rate differences, net of hedging, on the convertible debentures of Certen. Absent hedging, these amounts would be $3,601 and $4,611 for the three and six months ended March 31, 2003, respectively.</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452" w:right="1440" w:bottom="1440" w:gutter="0" w:footer="0" w:header="0"/>
          <w:type w:val="continuous"/>
        </w:sectPr>
      </w:pPr>
    </w:p>
    <w:bookmarkStart w:id="9" w:name="page10"/>
    <w:bookmarkEnd w:id="9"/>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9" w:lineRule="exact"/>
        <w:rPr>
          <w:sz w:val="20"/>
          <w:szCs w:val="20"/>
          <w:color w:val="auto"/>
        </w:rPr>
      </w:pPr>
    </w:p>
    <w:p>
      <w:pPr>
        <w:ind w:left="530" w:hanging="530"/>
        <w:spacing w:after="0"/>
        <w:tabs>
          <w:tab w:leader="none" w:pos="53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 NET</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Accounts receivable, net consists of the following:</w:t>
      </w:r>
    </w:p>
    <w:p>
      <w:pPr>
        <w:spacing w:after="0" w:line="200" w:lineRule="exact"/>
        <w:rPr>
          <w:sz w:val="20"/>
          <w:szCs w:val="20"/>
          <w:color w:val="auto"/>
        </w:rPr>
      </w:pPr>
    </w:p>
    <w:p>
      <w:pPr>
        <w:spacing w:after="0" w:line="308" w:lineRule="exact"/>
        <w:rPr>
          <w:sz w:val="20"/>
          <w:szCs w:val="20"/>
          <w:color w:val="auto"/>
        </w:rPr>
      </w:pPr>
    </w:p>
    <w:tbl>
      <w:tblPr>
        <w:tblLayout w:type="fixed"/>
        <w:tblInd w:w="89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93"/>
              </w:rPr>
              <w:t>AS OF</w:t>
            </w:r>
          </w:p>
        </w:tc>
      </w:tr>
      <w:tr>
        <w:trPr>
          <w:trHeight w:val="170"/>
        </w:trPr>
        <w:tc>
          <w:tcPr>
            <w:tcW w:w="2760" w:type="dxa"/>
            <w:vAlign w:val="bottom"/>
          </w:tcPr>
          <w:p>
            <w:pPr>
              <w:spacing w:after="0"/>
              <w:rPr>
                <w:sz w:val="14"/>
                <w:szCs w:val="14"/>
                <w:color w:val="auto"/>
              </w:rPr>
            </w:pPr>
          </w:p>
        </w:tc>
        <w:tc>
          <w:tcPr>
            <w:tcW w:w="252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760" w:type="dxa"/>
            <w:vAlign w:val="bottom"/>
          </w:tcPr>
          <w:p>
            <w:pPr>
              <w:spacing w:after="0"/>
              <w:rPr>
                <w:sz w:val="14"/>
                <w:szCs w:val="14"/>
                <w:color w:val="auto"/>
              </w:rPr>
            </w:pPr>
          </w:p>
        </w:tc>
        <w:tc>
          <w:tcPr>
            <w:tcW w:w="11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MARCH 31,</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2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2004</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760" w:type="dxa"/>
            <w:vAlign w:val="bottom"/>
          </w:tcPr>
          <w:p>
            <w:pPr>
              <w:spacing w:after="0"/>
              <w:rPr>
                <w:sz w:val="14"/>
                <w:szCs w:val="14"/>
                <w:color w:val="auto"/>
              </w:rPr>
            </w:pPr>
          </w:p>
        </w:tc>
        <w:tc>
          <w:tcPr>
            <w:tcW w:w="11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Accounts receivable -billed</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253,293</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$ 200,220</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Accounts receivable -unbilled</w:t>
            </w:r>
          </w:p>
        </w:tc>
        <w:tc>
          <w:tcPr>
            <w:tcW w:w="4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11,223</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16,072</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Less - allowances</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(16,750)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(18,018)</w:t>
            </w:r>
          </w:p>
        </w:tc>
      </w:tr>
      <w:tr>
        <w:trPr>
          <w:trHeight w:val="170"/>
        </w:trPr>
        <w:tc>
          <w:tcPr>
            <w:tcW w:w="2760" w:type="dxa"/>
            <w:vAlign w:val="bottom"/>
          </w:tcPr>
          <w:p>
            <w:pPr>
              <w:spacing w:after="0"/>
              <w:rPr>
                <w:sz w:val="14"/>
                <w:szCs w:val="14"/>
                <w:color w:val="auto"/>
              </w:rPr>
            </w:pPr>
          </w:p>
        </w:tc>
        <w:tc>
          <w:tcPr>
            <w:tcW w:w="11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Accounts receivable, net</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247,766</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$ 198,274</w:t>
            </w:r>
          </w:p>
        </w:tc>
      </w:tr>
      <w:tr>
        <w:trPr>
          <w:trHeight w:val="170"/>
        </w:trPr>
        <w:tc>
          <w:tcPr>
            <w:tcW w:w="2760" w:type="dxa"/>
            <w:vAlign w:val="bottom"/>
          </w:tcPr>
          <w:p>
            <w:pPr>
              <w:spacing w:after="0"/>
              <w:rPr>
                <w:sz w:val="14"/>
                <w:szCs w:val="14"/>
                <w:color w:val="auto"/>
              </w:rPr>
            </w:pPr>
          </w:p>
        </w:tc>
        <w:tc>
          <w:tcPr>
            <w:tcW w:w="11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530" w:hanging="530"/>
        <w:spacing w:after="0"/>
        <w:tabs>
          <w:tab w:leader="none" w:pos="53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75" w:lineRule="exact"/>
        <w:rPr>
          <w:sz w:val="20"/>
          <w:szCs w:val="20"/>
          <w:color w:val="auto"/>
        </w:rPr>
      </w:pPr>
    </w:p>
    <w:p>
      <w:pPr>
        <w:ind w:left="530" w:right="3179" w:firstLine="529"/>
        <w:spacing w:after="0" w:line="237" w:lineRule="auto"/>
        <w:rPr>
          <w:sz w:val="20"/>
          <w:szCs w:val="20"/>
          <w:color w:val="auto"/>
        </w:rPr>
      </w:pPr>
      <w:r>
        <w:rPr>
          <w:rFonts w:ascii="Courier New" w:cs="Courier New" w:eastAsia="Courier New" w:hAnsi="Courier New"/>
          <w:sz w:val="15"/>
          <w:szCs w:val="15"/>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6" w:lineRule="exact"/>
        <w:rPr>
          <w:sz w:val="20"/>
          <w:szCs w:val="20"/>
          <w:color w:val="auto"/>
        </w:rPr>
      </w:pPr>
    </w:p>
    <w:p>
      <w:pPr>
        <w:ind w:left="530" w:right="3179" w:firstLine="529"/>
        <w:spacing w:after="0" w:line="235" w:lineRule="auto"/>
        <w:rPr>
          <w:sz w:val="20"/>
          <w:szCs w:val="20"/>
          <w:color w:val="auto"/>
        </w:rPr>
      </w:pPr>
      <w:r>
        <w:rPr>
          <w:rFonts w:ascii="Courier New" w:cs="Courier New" w:eastAsia="Courier New" w:hAnsi="Courier New"/>
          <w:sz w:val="15"/>
          <w:szCs w:val="15"/>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25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THREE MONTHS ENDED</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SIX MONTHS</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4580" w:type="dxa"/>
            <w:vAlign w:val="bottom"/>
          </w:tcPr>
          <w:p>
            <w:pPr>
              <w:spacing w:after="0"/>
              <w:rPr>
                <w:sz w:val="14"/>
                <w:szCs w:val="14"/>
                <w:color w:val="auto"/>
              </w:rPr>
            </w:pPr>
          </w:p>
        </w:tc>
        <w:tc>
          <w:tcPr>
            <w:tcW w:w="250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MARCH 31,</w:t>
            </w:r>
          </w:p>
        </w:tc>
        <w:tc>
          <w:tcPr>
            <w:tcW w:w="23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4580" w:type="dxa"/>
            <w:vAlign w:val="bottom"/>
          </w:tcPr>
          <w:p>
            <w:pPr>
              <w:spacing w:after="0"/>
              <w:rPr>
                <w:sz w:val="14"/>
                <w:szCs w:val="14"/>
                <w:color w:val="auto"/>
              </w:rPr>
            </w:pPr>
          </w:p>
        </w:tc>
        <w:tc>
          <w:tcPr>
            <w:tcW w:w="2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3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14"/>
                <w:szCs w:val="14"/>
                <w:color w:val="auto"/>
              </w:rPr>
            </w:pPr>
          </w:p>
        </w:tc>
        <w:tc>
          <w:tcPr>
            <w:tcW w:w="1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2004</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2003</w:t>
            </w: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2004</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4580" w:type="dxa"/>
            <w:vAlign w:val="bottom"/>
          </w:tcPr>
          <w:p>
            <w:pPr>
              <w:spacing w:after="0"/>
              <w:rPr>
                <w:sz w:val="14"/>
                <w:szCs w:val="1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$ 60,290</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$ 45,375</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$ 113,358</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$ 77,574</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Other comprehensive (loss) income:</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580" w:type="dxa"/>
            <w:vAlign w:val="bottom"/>
          </w:tcPr>
          <w:p>
            <w:pPr>
              <w:ind w:left="340"/>
              <w:spacing w:after="0"/>
              <w:rPr>
                <w:sz w:val="20"/>
                <w:szCs w:val="20"/>
                <w:color w:val="auto"/>
              </w:rPr>
            </w:pPr>
            <w:r>
              <w:rPr>
                <w:rFonts w:ascii="Courier New" w:cs="Courier New" w:eastAsia="Courier New" w:hAnsi="Courier New"/>
                <w:sz w:val="15"/>
                <w:szCs w:val="15"/>
                <w:color w:val="auto"/>
              </w:rPr>
              <w:t>Unrealized (loss) income  on foreign currency</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580" w:type="dxa"/>
            <w:vAlign w:val="bottom"/>
          </w:tcPr>
          <w:p>
            <w:pPr>
              <w:ind w:left="600"/>
              <w:spacing w:after="0"/>
              <w:rPr>
                <w:sz w:val="20"/>
                <w:szCs w:val="20"/>
                <w:color w:val="auto"/>
              </w:rPr>
            </w:pPr>
            <w:r>
              <w:rPr>
                <w:rFonts w:ascii="Courier New" w:cs="Courier New" w:eastAsia="Courier New" w:hAnsi="Courier New"/>
                <w:sz w:val="15"/>
                <w:szCs w:val="15"/>
                <w:color w:val="auto"/>
              </w:rPr>
              <w:t>hedging contracts, net of tax</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(2,363)</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3,666</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(5,562)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9,134</w:t>
            </w:r>
          </w:p>
        </w:tc>
      </w:tr>
      <w:tr>
        <w:trPr>
          <w:trHeight w:val="170"/>
        </w:trPr>
        <w:tc>
          <w:tcPr>
            <w:tcW w:w="4580" w:type="dxa"/>
            <w:vAlign w:val="bottom"/>
          </w:tcPr>
          <w:p>
            <w:pPr>
              <w:ind w:left="340"/>
              <w:spacing w:after="0"/>
              <w:rPr>
                <w:sz w:val="20"/>
                <w:szCs w:val="20"/>
                <w:color w:val="auto"/>
              </w:rPr>
            </w:pPr>
            <w:r>
              <w:rPr>
                <w:rFonts w:ascii="Courier New" w:cs="Courier New" w:eastAsia="Courier New" w:hAnsi="Courier New"/>
                <w:sz w:val="15"/>
                <w:szCs w:val="15"/>
                <w:color w:val="auto"/>
              </w:rPr>
              <w:t>Unrealized gain (loss) on short-term</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580" w:type="dxa"/>
            <w:vAlign w:val="bottom"/>
          </w:tcPr>
          <w:p>
            <w:pPr>
              <w:ind w:left="600"/>
              <w:spacing w:after="0"/>
              <w:rPr>
                <w:sz w:val="20"/>
                <w:szCs w:val="20"/>
                <w:color w:val="auto"/>
              </w:rPr>
            </w:pPr>
            <w:r>
              <w:rPr>
                <w:rFonts w:ascii="Courier New" w:cs="Courier New" w:eastAsia="Courier New" w:hAnsi="Courier New"/>
                <w:sz w:val="15"/>
                <w:szCs w:val="15"/>
                <w:color w:val="auto"/>
              </w:rPr>
              <w:t>interest-bearing investments, net of tax</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925</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(943)</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460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(1,049)</w:t>
            </w:r>
          </w:p>
        </w:tc>
      </w:tr>
      <w:tr>
        <w:trPr>
          <w:trHeight w:val="170"/>
        </w:trPr>
        <w:tc>
          <w:tcPr>
            <w:tcW w:w="4580" w:type="dxa"/>
            <w:vAlign w:val="bottom"/>
          </w:tcPr>
          <w:p>
            <w:pPr>
              <w:spacing w:after="0"/>
              <w:rPr>
                <w:sz w:val="14"/>
                <w:szCs w:val="1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$ 58,852</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$ 48,098</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$ 108,256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$ 85,659</w:t>
            </w:r>
          </w:p>
        </w:tc>
      </w:tr>
      <w:tr>
        <w:trPr>
          <w:trHeight w:val="170"/>
        </w:trPr>
        <w:tc>
          <w:tcPr>
            <w:tcW w:w="4580" w:type="dxa"/>
            <w:vAlign w:val="bottom"/>
          </w:tcPr>
          <w:p>
            <w:pPr>
              <w:spacing w:after="0"/>
              <w:rPr>
                <w:sz w:val="14"/>
                <w:szCs w:val="1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530" w:hanging="530"/>
        <w:spacing w:after="0"/>
        <w:tabs>
          <w:tab w:leader="none" w:pos="53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w w:val="99"/>
              </w:rPr>
              <w:t>The provision for income taxes for the following periods</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consisted</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920" w:type="dxa"/>
            <w:vAlign w:val="bottom"/>
          </w:tcPr>
          <w:p>
            <w:pPr>
              <w:ind w:left="520"/>
              <w:spacing w:after="0"/>
              <w:rPr>
                <w:sz w:val="20"/>
                <w:szCs w:val="20"/>
                <w:color w:val="auto"/>
              </w:rPr>
            </w:pPr>
            <w:r>
              <w:rPr>
                <w:rFonts w:ascii="Courier New" w:cs="Courier New" w:eastAsia="Courier New" w:hAnsi="Courier New"/>
                <w:sz w:val="15"/>
                <w:szCs w:val="15"/>
                <w:color w:val="auto"/>
              </w:rPr>
              <w:t>of:</w:t>
            </w:r>
          </w:p>
        </w:tc>
        <w:tc>
          <w:tcPr>
            <w:tcW w:w="5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78"/>
        </w:trPr>
        <w:tc>
          <w:tcPr>
            <w:tcW w:w="920" w:type="dxa"/>
            <w:vAlign w:val="bottom"/>
          </w:tcPr>
          <w:p>
            <w:pPr>
              <w:spacing w:after="0"/>
              <w:rPr>
                <w:sz w:val="24"/>
                <w:szCs w:val="24"/>
                <w:color w:val="auto"/>
              </w:rPr>
            </w:pPr>
          </w:p>
        </w:tc>
        <w:tc>
          <w:tcPr>
            <w:tcW w:w="61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THREE MONTHS ENDED</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SIX MONTHS</w:t>
            </w:r>
          </w:p>
        </w:tc>
        <w:tc>
          <w:tcPr>
            <w:tcW w:w="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920" w:type="dxa"/>
            <w:vAlign w:val="bottom"/>
          </w:tcPr>
          <w:p>
            <w:pPr>
              <w:spacing w:after="0"/>
              <w:rPr>
                <w:sz w:val="14"/>
                <w:szCs w:val="14"/>
                <w:color w:val="auto"/>
              </w:rPr>
            </w:pPr>
          </w:p>
        </w:tc>
        <w:tc>
          <w:tcPr>
            <w:tcW w:w="616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MARCH 31,</w:t>
            </w:r>
          </w:p>
        </w:tc>
        <w:tc>
          <w:tcPr>
            <w:tcW w:w="360" w:type="dxa"/>
            <w:vAlign w:val="bottom"/>
          </w:tcPr>
          <w:p>
            <w:pPr>
              <w:spacing w:after="0"/>
              <w:rPr>
                <w:sz w:val="14"/>
                <w:szCs w:val="14"/>
                <w:color w:val="auto"/>
              </w:rPr>
            </w:pPr>
          </w:p>
        </w:tc>
        <w:tc>
          <w:tcPr>
            <w:tcW w:w="19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920" w:type="dxa"/>
            <w:vAlign w:val="bottom"/>
          </w:tcPr>
          <w:p>
            <w:pPr>
              <w:spacing w:after="0"/>
              <w:rPr>
                <w:sz w:val="14"/>
                <w:szCs w:val="14"/>
                <w:color w:val="auto"/>
              </w:rPr>
            </w:pPr>
          </w:p>
        </w:tc>
        <w:tc>
          <w:tcPr>
            <w:tcW w:w="61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920" w:type="dxa"/>
            <w:vAlign w:val="bottom"/>
          </w:tcPr>
          <w:p>
            <w:pPr>
              <w:spacing w:after="0"/>
              <w:rPr>
                <w:sz w:val="14"/>
                <w:szCs w:val="14"/>
                <w:color w:val="auto"/>
              </w:rPr>
            </w:pPr>
          </w:p>
        </w:tc>
        <w:tc>
          <w:tcPr>
            <w:tcW w:w="5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2004</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2003</w:t>
            </w:r>
          </w:p>
        </w:tc>
        <w:tc>
          <w:tcPr>
            <w:tcW w:w="360" w:type="dxa"/>
            <w:vAlign w:val="bottom"/>
          </w:tcPr>
          <w:p>
            <w:pPr>
              <w:spacing w:after="0"/>
              <w:rPr>
                <w:sz w:val="14"/>
                <w:szCs w:val="14"/>
                <w:color w:val="auto"/>
              </w:rPr>
            </w:pP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2004</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920" w:type="dxa"/>
            <w:vAlign w:val="bottom"/>
          </w:tcPr>
          <w:p>
            <w:pPr>
              <w:spacing w:after="0"/>
              <w:rPr>
                <w:sz w:val="14"/>
                <w:szCs w:val="14"/>
                <w:color w:val="auto"/>
              </w:rPr>
            </w:pPr>
          </w:p>
        </w:tc>
        <w:tc>
          <w:tcPr>
            <w:tcW w:w="5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9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5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7,589</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7,623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24,211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$ 20,544</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5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9,416</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7,502</w:t>
            </w:r>
          </w:p>
        </w:tc>
        <w:tc>
          <w:tcPr>
            <w:tcW w:w="360" w:type="dxa"/>
            <w:vAlign w:val="bottom"/>
          </w:tcPr>
          <w:p>
            <w:pPr>
              <w:spacing w:after="0"/>
              <w:rPr>
                <w:sz w:val="14"/>
                <w:szCs w:val="14"/>
                <w:color w:val="auto"/>
              </w:rPr>
            </w:pP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7,762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5,314</w:t>
            </w:r>
          </w:p>
        </w:tc>
      </w:tr>
      <w:tr>
        <w:trPr>
          <w:trHeight w:val="170"/>
        </w:trPr>
        <w:tc>
          <w:tcPr>
            <w:tcW w:w="920" w:type="dxa"/>
            <w:vAlign w:val="bottom"/>
          </w:tcPr>
          <w:p>
            <w:pPr>
              <w:spacing w:after="0"/>
              <w:rPr>
                <w:sz w:val="14"/>
                <w:szCs w:val="14"/>
                <w:color w:val="auto"/>
              </w:rPr>
            </w:pPr>
          </w:p>
        </w:tc>
        <w:tc>
          <w:tcPr>
            <w:tcW w:w="5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920" w:type="dxa"/>
            <w:vAlign w:val="bottom"/>
          </w:tcPr>
          <w:p>
            <w:pPr>
              <w:spacing w:after="0"/>
              <w:rPr>
                <w:sz w:val="14"/>
                <w:szCs w:val="14"/>
                <w:color w:val="auto"/>
              </w:rPr>
            </w:pPr>
          </w:p>
        </w:tc>
        <w:tc>
          <w:tcPr>
            <w:tcW w:w="5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$ 17,005</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$ 15,125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31,973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$ 25,858</w:t>
            </w:r>
          </w:p>
        </w:tc>
      </w:tr>
      <w:tr>
        <w:trPr>
          <w:trHeight w:val="170"/>
        </w:trPr>
        <w:tc>
          <w:tcPr>
            <w:tcW w:w="920" w:type="dxa"/>
            <w:vAlign w:val="bottom"/>
          </w:tcPr>
          <w:p>
            <w:pPr>
              <w:spacing w:after="0"/>
              <w:rPr>
                <w:sz w:val="14"/>
                <w:szCs w:val="14"/>
                <w:color w:val="auto"/>
              </w:rPr>
            </w:pPr>
          </w:p>
        </w:tc>
        <w:tc>
          <w:tcPr>
            <w:tcW w:w="5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78"/>
        </w:trPr>
        <w:tc>
          <w:tcPr>
            <w:tcW w:w="920" w:type="dxa"/>
            <w:vAlign w:val="bottom"/>
          </w:tcPr>
          <w:p>
            <w:pPr>
              <w:spacing w:after="0"/>
              <w:rPr>
                <w:sz w:val="24"/>
                <w:szCs w:val="24"/>
                <w:color w:val="auto"/>
              </w:rPr>
            </w:pPr>
          </w:p>
        </w:tc>
        <w:tc>
          <w:tcPr>
            <w:tcW w:w="5100" w:type="dxa"/>
            <w:vAlign w:val="bottom"/>
          </w:tcPr>
          <w:p>
            <w:pPr>
              <w:jc w:val="right"/>
              <w:ind w:right="2427"/>
              <w:spacing w:after="0"/>
              <w:rPr>
                <w:sz w:val="20"/>
                <w:szCs w:val="20"/>
                <w:color w:val="auto"/>
              </w:rPr>
            </w:pPr>
            <w:r>
              <w:rPr>
                <w:rFonts w:ascii="Courier New" w:cs="Courier New" w:eastAsia="Courier New" w:hAnsi="Courier New"/>
                <w:sz w:val="15"/>
                <w:szCs w:val="15"/>
                <w:color w:val="auto"/>
              </w:rPr>
              <w:t>9</w:t>
            </w: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29"/>
          </w:cols>
          <w:pgMar w:left="230" w:top="452" w:right="1440" w:bottom="1440" w:gutter="0" w:footer="0" w:header="0"/>
        </w:sectPr>
      </w:pPr>
    </w:p>
    <w:bookmarkStart w:id="10" w:name="page11"/>
    <w:bookmarkEnd w:id="10"/>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5" w:lineRule="exact"/>
        <w:rPr>
          <w:sz w:val="20"/>
          <w:szCs w:val="20"/>
          <w:color w:val="auto"/>
        </w:rPr>
      </w:pPr>
    </w:p>
    <w:p>
      <w:pPr>
        <w:ind w:left="530" w:right="3179" w:firstLine="529"/>
        <w:spacing w:after="0" w:line="235" w:lineRule="auto"/>
        <w:rPr>
          <w:sz w:val="20"/>
          <w:szCs w:val="20"/>
          <w:color w:val="auto"/>
        </w:rPr>
      </w:pPr>
      <w:r>
        <w:rPr>
          <w:rFonts w:ascii="Courier New" w:cs="Courier New" w:eastAsia="Courier New" w:hAnsi="Courier New"/>
          <w:sz w:val="15"/>
          <w:szCs w:val="15"/>
          <w:color w:val="auto"/>
        </w:rPr>
        <w:t>The effective income tax rate varied from the statutory Guernsey tax rate as follows for the following periods:</w:t>
      </w:r>
    </w:p>
    <w:p>
      <w:pPr>
        <w:spacing w:after="0" w:line="200" w:lineRule="exact"/>
        <w:rPr>
          <w:sz w:val="20"/>
          <w:szCs w:val="20"/>
          <w:color w:val="auto"/>
        </w:rPr>
      </w:pPr>
    </w:p>
    <w:p>
      <w:pPr>
        <w:spacing w:after="0" w:line="309"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2520" w:type="dxa"/>
            <w:vAlign w:val="bottom"/>
          </w:tcPr>
          <w:p>
            <w:pPr>
              <w:spacing w:after="0"/>
              <w:rPr>
                <w:sz w:val="14"/>
                <w:szCs w:val="14"/>
                <w:color w:val="auto"/>
              </w:rPr>
            </w:pPr>
          </w:p>
        </w:tc>
        <w:tc>
          <w:tcPr>
            <w:tcW w:w="1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THREE MONTHS ENDED</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w w:val="99"/>
              </w:rPr>
              <w:t>SIX MONTHS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ENDED</w:t>
            </w:r>
          </w:p>
        </w:tc>
      </w:tr>
      <w:tr>
        <w:trPr>
          <w:trHeight w:val="170"/>
        </w:trPr>
        <w:tc>
          <w:tcPr>
            <w:tcW w:w="2520" w:type="dxa"/>
            <w:vAlign w:val="bottom"/>
          </w:tcPr>
          <w:p>
            <w:pPr>
              <w:spacing w:after="0"/>
              <w:rPr>
                <w:sz w:val="14"/>
                <w:szCs w:val="14"/>
                <w:color w:val="auto"/>
              </w:rPr>
            </w:pPr>
          </w:p>
        </w:tc>
        <w:tc>
          <w:tcPr>
            <w:tcW w:w="18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MARCH 31,</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2520" w:type="dxa"/>
            <w:vAlign w:val="bottom"/>
          </w:tcPr>
          <w:p>
            <w:pPr>
              <w:spacing w:after="0"/>
              <w:rPr>
                <w:sz w:val="14"/>
                <w:szCs w:val="14"/>
                <w:color w:val="auto"/>
              </w:rPr>
            </w:pPr>
          </w:p>
        </w:tc>
        <w:tc>
          <w:tcPr>
            <w:tcW w:w="1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252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2004</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2003</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2004</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52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39"/>
        </w:trPr>
        <w:tc>
          <w:tcPr>
            <w:tcW w:w="252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w:t>
            </w: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22</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w:t>
            </w:r>
          </w:p>
        </w:tc>
      </w:tr>
      <w:tr>
        <w:trPr>
          <w:trHeight w:val="170"/>
        </w:trPr>
        <w:tc>
          <w:tcPr>
            <w:tcW w:w="252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w:t>
            </w:r>
          </w:p>
        </w:tc>
      </w:tr>
      <w:tr>
        <w:trPr>
          <w:trHeight w:val="170"/>
        </w:trPr>
        <w:tc>
          <w:tcPr>
            <w:tcW w:w="252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530" w:right="3179" w:firstLine="529"/>
        <w:spacing w:after="0" w:line="237" w:lineRule="auto"/>
        <w:rPr>
          <w:sz w:val="20"/>
          <w:szCs w:val="20"/>
          <w:color w:val="auto"/>
        </w:rPr>
      </w:pPr>
      <w:r>
        <w:rPr>
          <w:rFonts w:ascii="Courier New" w:cs="Courier New" w:eastAsia="Courier New" w:hAnsi="Courier New"/>
          <w:sz w:val="15"/>
          <w:szCs w:val="15"/>
          <w:color w:val="auto"/>
        </w:rPr>
        <w:t>As a Guernsey corporation with tax-exempt status, the Company's overall effective tax rate is attributable solely to foreign taxes and for fiscal year 2004 is expected to approximate 22%.</w:t>
      </w:r>
    </w:p>
    <w:p>
      <w:pPr>
        <w:spacing w:after="0" w:line="169" w:lineRule="exact"/>
        <w:rPr>
          <w:sz w:val="20"/>
          <w:szCs w:val="20"/>
          <w:color w:val="auto"/>
        </w:rPr>
      </w:pPr>
    </w:p>
    <w:p>
      <w:pPr>
        <w:ind w:left="530" w:hanging="530"/>
        <w:spacing w:after="0"/>
        <w:tabs>
          <w:tab w:leader="none" w:pos="53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5" w:lineRule="exact"/>
        <w:rPr>
          <w:sz w:val="20"/>
          <w:szCs w:val="20"/>
          <w:color w:val="auto"/>
        </w:rPr>
      </w:pPr>
    </w:p>
    <w:p>
      <w:pPr>
        <w:ind w:left="530" w:right="3259" w:firstLine="529"/>
        <w:spacing w:after="0" w:line="235"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3"/>
          </w:tcPr>
          <w:p>
            <w:pPr>
              <w:jc w:val="right"/>
              <w:ind w:right="307"/>
              <w:spacing w:after="0"/>
              <w:rPr>
                <w:sz w:val="20"/>
                <w:szCs w:val="20"/>
                <w:color w:val="auto"/>
              </w:rPr>
            </w:pPr>
            <w:r>
              <w:rPr>
                <w:rFonts w:ascii="Courier New" w:cs="Courier New" w:eastAsia="Courier New" w:hAnsi="Courier New"/>
                <w:sz w:val="15"/>
                <w:szCs w:val="15"/>
                <w:color w:val="auto"/>
                <w:w w:val="97"/>
              </w:rPr>
              <w:t>THREE MONTHS ENDED</w:t>
            </w:r>
          </w:p>
        </w:tc>
        <w:tc>
          <w:tcPr>
            <w:tcW w:w="320" w:type="dxa"/>
            <w:vAlign w:val="bottom"/>
          </w:tcPr>
          <w:p>
            <w:pPr>
              <w:spacing w:after="0"/>
              <w:rPr>
                <w:sz w:val="14"/>
                <w:szCs w:val="14"/>
                <w:color w:val="auto"/>
              </w:rPr>
            </w:pPr>
          </w:p>
        </w:tc>
        <w:tc>
          <w:tcPr>
            <w:tcW w:w="17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3"/>
          </w:tcPr>
          <w:p>
            <w:pPr>
              <w:jc w:val="right"/>
              <w:ind w:right="667"/>
              <w:spacing w:after="0"/>
              <w:rPr>
                <w:sz w:val="20"/>
                <w:szCs w:val="20"/>
                <w:color w:val="auto"/>
              </w:rPr>
            </w:pPr>
            <w:r>
              <w:rPr>
                <w:rFonts w:ascii="Courier New" w:cs="Courier New" w:eastAsia="Courier New" w:hAnsi="Courier New"/>
                <w:sz w:val="15"/>
                <w:szCs w:val="15"/>
                <w:color w:val="auto"/>
              </w:rPr>
              <w:t>MARCH 31,</w:t>
            </w:r>
          </w:p>
        </w:tc>
        <w:tc>
          <w:tcPr>
            <w:tcW w:w="320" w:type="dxa"/>
            <w:vAlign w:val="bottom"/>
          </w:tcPr>
          <w:p>
            <w:pPr>
              <w:spacing w:after="0"/>
              <w:rPr>
                <w:sz w:val="14"/>
                <w:szCs w:val="14"/>
                <w:color w:val="auto"/>
              </w:rPr>
            </w:pPr>
          </w:p>
        </w:tc>
        <w:tc>
          <w:tcPr>
            <w:tcW w:w="176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4260" w:type="dxa"/>
            <w:vAlign w:val="bottom"/>
          </w:tcPr>
          <w:p>
            <w:pPr>
              <w:spacing w:after="0"/>
              <w:rPr>
                <w:sz w:val="14"/>
                <w:szCs w:val="14"/>
                <w:color w:val="auto"/>
              </w:rPr>
            </w:pPr>
          </w:p>
        </w:tc>
        <w:tc>
          <w:tcPr>
            <w:tcW w:w="2200" w:type="dxa"/>
            <w:vAlign w:val="bottom"/>
            <w:gridSpan w:val="4"/>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0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4"/>
                <w:szCs w:val="14"/>
                <w:color w:val="auto"/>
              </w:rPr>
            </w:pP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2003</w:t>
            </w:r>
          </w:p>
        </w:tc>
        <w:tc>
          <w:tcPr>
            <w:tcW w:w="32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2004</w:t>
            </w:r>
          </w:p>
        </w:tc>
        <w:tc>
          <w:tcPr>
            <w:tcW w:w="30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426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$ 60,290</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$ 45,375</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$113,358</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$ 77,574</w:t>
            </w:r>
          </w:p>
        </w:tc>
      </w:tr>
      <w:tr>
        <w:trPr>
          <w:trHeight w:val="170"/>
        </w:trPr>
        <w:tc>
          <w:tcPr>
            <w:tcW w:w="426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Denominator for basic earnings per share -</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number of shares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outstanding (1)</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209,977</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215,797</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212,556</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215,711</w:t>
            </w: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Effect of dilutive stock options granted</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6,187</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3,312</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5,823</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2,468</w:t>
            </w:r>
          </w:p>
        </w:tc>
      </w:tr>
      <w:tr>
        <w:trPr>
          <w:trHeight w:val="170"/>
        </w:trPr>
        <w:tc>
          <w:tcPr>
            <w:tcW w:w="426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Denominator for diluted earnings per share -</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adjusted weighted average shares and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assumed conversions (1)</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216,164</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219,109</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218,379</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218,179</w:t>
            </w:r>
          </w:p>
        </w:tc>
      </w:tr>
      <w:tr>
        <w:trPr>
          <w:trHeight w:val="170"/>
        </w:trPr>
        <w:tc>
          <w:tcPr>
            <w:tcW w:w="426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Basic earnings per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0.36</w:t>
            </w:r>
          </w:p>
        </w:tc>
      </w:tr>
      <w:tr>
        <w:trPr>
          <w:trHeight w:val="170"/>
        </w:trPr>
        <w:tc>
          <w:tcPr>
            <w:tcW w:w="426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Diluted earnings per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0.36</w:t>
            </w:r>
          </w:p>
        </w:tc>
      </w:tr>
      <w:tr>
        <w:trPr>
          <w:trHeight w:val="170"/>
        </w:trPr>
        <w:tc>
          <w:tcPr>
            <w:tcW w:w="426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590" w:right="3179" w:hanging="532"/>
        <w:spacing w:after="0" w:line="238" w:lineRule="auto"/>
        <w:tabs>
          <w:tab w:leader="none" w:pos="159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weighted average number of shares outstanding during the three months and six months ended March 31, 2003 includes exchangeable shares held by shareholders of Amdocs Canada, Inc. (formerly Solect Technology Group Inc. ("Solect")) pursuant to the Company's acquisition of Solect in April 2000, which were exchangeable for the Company's ordinary shares on a one-for-one basis. As of August 2003, none of the exchangeable shares remained outstanding.</w:t>
      </w:r>
    </w:p>
    <w:p>
      <w:pPr>
        <w:spacing w:after="0" w:line="178" w:lineRule="exact"/>
        <w:rPr>
          <w:sz w:val="20"/>
          <w:szCs w:val="20"/>
          <w:color w:val="auto"/>
        </w:rPr>
      </w:pPr>
    </w:p>
    <w:p>
      <w:pPr>
        <w:ind w:left="530" w:right="3179" w:firstLine="529"/>
        <w:spacing w:after="0" w:line="238" w:lineRule="auto"/>
        <w:rPr>
          <w:sz w:val="20"/>
          <w:szCs w:val="20"/>
          <w:color w:val="auto"/>
        </w:rPr>
      </w:pPr>
      <w:r>
        <w:rPr>
          <w:rFonts w:ascii="Courier New" w:cs="Courier New" w:eastAsia="Courier New" w:hAnsi="Courier New"/>
          <w:sz w:val="15"/>
          <w:szCs w:val="15"/>
          <w:color w:val="auto"/>
        </w:rPr>
        <w:t>The effect of the 2% Convertible Notes due June 1, 2008 issued by the Company in May 2001 (the "2% Notes") on diluted earnings per share was anti-dilutive for the three months and six months ended March 31, 2004 and 2003, and, therefore, was not included in the above calculation. The effect of the 0.50% Convertible Senior Notes due 2024 (the "0.50% Notes") issued by the Company in March 2004 on diluted earnings per share was not included in the above calculation due to the conditions on their conversion (see Note 11). The weighted average effect of the repurchase of ordinary shares by the Company has been included in the calculation of basic earnings per share.</w:t>
      </w:r>
    </w:p>
    <w:p>
      <w:pPr>
        <w:spacing w:after="0" w:line="34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452" w:right="1440" w:bottom="1440" w:gutter="0" w:footer="0" w:header="0"/>
        </w:sectPr>
      </w:pPr>
    </w:p>
    <w:bookmarkStart w:id="11" w:name="page12"/>
    <w:bookmarkEnd w:id="11"/>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9" w:lineRule="exact"/>
        <w:rPr>
          <w:sz w:val="20"/>
          <w:szCs w:val="20"/>
          <w:color w:val="auto"/>
        </w:rPr>
      </w:pPr>
    </w:p>
    <w:p>
      <w:pPr>
        <w:ind w:left="530" w:hanging="530"/>
        <w:spacing w:after="0"/>
        <w:tabs>
          <w:tab w:leader="none" w:pos="5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OF SECURITIES</w:t>
      </w:r>
    </w:p>
    <w:p>
      <w:pPr>
        <w:spacing w:after="0" w:line="175" w:lineRule="exact"/>
        <w:rPr>
          <w:sz w:val="20"/>
          <w:szCs w:val="20"/>
          <w:color w:val="auto"/>
        </w:rPr>
      </w:pPr>
    </w:p>
    <w:p>
      <w:pPr>
        <w:ind w:left="530" w:right="3259" w:firstLine="529"/>
        <w:spacing w:after="0" w:line="257" w:lineRule="auto"/>
        <w:rPr>
          <w:sz w:val="20"/>
          <w:szCs w:val="20"/>
          <w:color w:val="auto"/>
        </w:rPr>
      </w:pPr>
      <w:r>
        <w:rPr>
          <w:rFonts w:ascii="Courier New" w:cs="Courier New" w:eastAsia="Courier New" w:hAnsi="Courier New"/>
          <w:sz w:val="14"/>
          <w:szCs w:val="14"/>
          <w:color w:val="auto"/>
        </w:rPr>
        <w:t>On November 5, 2003, the Company announced that its board of directors had authorized a share repurchase program of up to 5,000 ordinary shares during fiscal 2004. The authorization permits the Company to purchase ordinary shares in the open market or in privately negotiated transactions and at prices the Company deems appropriate. The Company stated that one of the main purposes of the repurchase program was to offset the dilutive effect of any future share issuances, including issuances pursuant to employee equity plans or in connection with acquisitions. During the three months ended December 31, 2003 the Company repurchased 4,990 ordinary shares under this repurchase program, for an aggregate purchase price of $123,993. No share repurchases under this program were made in the three months ended March 31, 2004.</w:t>
      </w:r>
    </w:p>
    <w:p>
      <w:pPr>
        <w:spacing w:after="0" w:line="166" w:lineRule="exact"/>
        <w:rPr>
          <w:sz w:val="20"/>
          <w:szCs w:val="20"/>
          <w:color w:val="auto"/>
        </w:rPr>
      </w:pPr>
    </w:p>
    <w:p>
      <w:pPr>
        <w:ind w:left="530" w:right="3179" w:firstLine="529"/>
        <w:spacing w:after="0" w:line="238" w:lineRule="auto"/>
        <w:rPr>
          <w:sz w:val="20"/>
          <w:szCs w:val="20"/>
          <w:color w:val="auto"/>
        </w:rPr>
      </w:pPr>
      <w:r>
        <w:rPr>
          <w:rFonts w:ascii="Courier New" w:cs="Courier New" w:eastAsia="Courier New" w:hAnsi="Courier New"/>
          <w:sz w:val="15"/>
          <w:szCs w:val="15"/>
          <w:color w:val="auto"/>
        </w:rPr>
        <w:t>In connection with the Company's acquisition of XACCT Technologies Ltd. (see Note 10), the Company's board of directors approved the repurchase of ordinary shares to offset the dilutive effect of share issuances in the acquisition. The closing of the acquisition occurred in February 2004, and the Company repurchased 484 ordinary shares in February 2004 for an aggregate purchase price of $13,417.</w:t>
      </w:r>
    </w:p>
    <w:p>
      <w:pPr>
        <w:spacing w:after="0" w:line="176" w:lineRule="exact"/>
        <w:rPr>
          <w:sz w:val="20"/>
          <w:szCs w:val="20"/>
          <w:color w:val="auto"/>
        </w:rPr>
      </w:pPr>
    </w:p>
    <w:p>
      <w:pPr>
        <w:ind w:left="530" w:right="3439" w:firstLine="529"/>
        <w:spacing w:after="0" w:line="256" w:lineRule="auto"/>
        <w:rPr>
          <w:sz w:val="20"/>
          <w:szCs w:val="20"/>
          <w:color w:val="auto"/>
        </w:rPr>
      </w:pPr>
      <w:r>
        <w:rPr>
          <w:rFonts w:ascii="Courier New" w:cs="Courier New" w:eastAsia="Courier New" w:hAnsi="Courier New"/>
          <w:sz w:val="14"/>
          <w:szCs w:val="14"/>
          <w:color w:val="auto"/>
        </w:rPr>
        <w:t>In connection with the Company's issuance of the 0.50% Notes (see Note 11), the board of directors approved the repurchase of ordinary shares sold short by purchasers of the 0.50% Notes in negotiated transactions, concurrently with the sale of the notes, to offset the dilutive effect of the ordinary shares issuable upon conversion of the</w:t>
      </w:r>
    </w:p>
    <w:p>
      <w:pPr>
        <w:spacing w:after="0" w:line="2" w:lineRule="exact"/>
        <w:rPr>
          <w:sz w:val="20"/>
          <w:szCs w:val="20"/>
          <w:color w:val="auto"/>
        </w:rPr>
      </w:pPr>
    </w:p>
    <w:p>
      <w:pPr>
        <w:ind w:left="530" w:right="3259"/>
        <w:spacing w:after="0" w:line="237" w:lineRule="auto"/>
        <w:rPr>
          <w:sz w:val="20"/>
          <w:szCs w:val="20"/>
          <w:color w:val="auto"/>
        </w:rPr>
      </w:pPr>
      <w:r>
        <w:rPr>
          <w:rFonts w:ascii="Courier New" w:cs="Courier New" w:eastAsia="Courier New" w:hAnsi="Courier New"/>
          <w:sz w:val="15"/>
          <w:szCs w:val="15"/>
          <w:color w:val="auto"/>
        </w:rPr>
        <w:t>0.50% Notes. The closing of the sale of the 0.50% Notes occurred in March 2004, and the Company repurchased 6,074 ordinary shares for an aggregate purchase price of $170,061, out of the 10,436 ordinary shares issuable upon conversion of the 0.50% Notes, based on a conversion rate of 23.1911 shares per $1,000 principal amount.</w:t>
      </w:r>
    </w:p>
    <w:p>
      <w:pPr>
        <w:spacing w:after="0" w:line="173"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In July 2002, the board of directors authorized the Company to</w:t>
      </w:r>
    </w:p>
    <w:p>
      <w:pPr>
        <w:ind w:left="530"/>
        <w:spacing w:after="0"/>
        <w:rPr>
          <w:sz w:val="20"/>
          <w:szCs w:val="20"/>
          <w:color w:val="auto"/>
        </w:rPr>
      </w:pPr>
      <w:r>
        <w:rPr>
          <w:rFonts w:ascii="Courier New" w:cs="Courier New" w:eastAsia="Courier New" w:hAnsi="Courier New"/>
          <w:sz w:val="15"/>
          <w:szCs w:val="15"/>
          <w:color w:val="auto"/>
        </w:rPr>
        <w:t>repurchase its outstanding 2% Notes, in such amounts, at such prices and</w:t>
      </w:r>
    </w:p>
    <w:p>
      <w:pPr>
        <w:ind w:left="530"/>
        <w:spacing w:after="0"/>
        <w:rPr>
          <w:sz w:val="20"/>
          <w:szCs w:val="20"/>
          <w:color w:val="auto"/>
        </w:rPr>
      </w:pPr>
      <w:r>
        <w:rPr>
          <w:rFonts w:ascii="Courier New" w:cs="Courier New" w:eastAsia="Courier New" w:hAnsi="Courier New"/>
          <w:sz w:val="15"/>
          <w:szCs w:val="15"/>
          <w:color w:val="auto"/>
        </w:rPr>
        <w:t>at such times considered appropriate by the Company. During the three</w:t>
      </w:r>
    </w:p>
    <w:p>
      <w:pPr>
        <w:ind w:left="530"/>
        <w:spacing w:after="0" w:line="238" w:lineRule="auto"/>
        <w:rPr>
          <w:sz w:val="20"/>
          <w:szCs w:val="20"/>
          <w:color w:val="auto"/>
        </w:rPr>
      </w:pPr>
      <w:r>
        <w:rPr>
          <w:rFonts w:ascii="Courier New" w:cs="Courier New" w:eastAsia="Courier New" w:hAnsi="Courier New"/>
          <w:sz w:val="15"/>
          <w:szCs w:val="15"/>
          <w:color w:val="auto"/>
        </w:rPr>
        <w:t>months ended December 31, 2003, the Company repurchased $5,000 aggregate</w:t>
      </w:r>
    </w:p>
    <w:p>
      <w:pPr>
        <w:ind w:left="530"/>
        <w:spacing w:after="0"/>
        <w:rPr>
          <w:sz w:val="20"/>
          <w:szCs w:val="20"/>
          <w:color w:val="auto"/>
        </w:rPr>
      </w:pPr>
      <w:r>
        <w:rPr>
          <w:rFonts w:ascii="Courier New" w:cs="Courier New" w:eastAsia="Courier New" w:hAnsi="Courier New"/>
          <w:sz w:val="15"/>
          <w:szCs w:val="15"/>
          <w:color w:val="auto"/>
        </w:rPr>
        <w:t>principal amount of the 2% Notes for an aggregate purchase price of</w:t>
      </w:r>
    </w:p>
    <w:p>
      <w:pPr>
        <w:ind w:left="530"/>
        <w:spacing w:after="0"/>
        <w:rPr>
          <w:sz w:val="20"/>
          <w:szCs w:val="20"/>
          <w:color w:val="auto"/>
        </w:rPr>
      </w:pPr>
      <w:r>
        <w:rPr>
          <w:rFonts w:ascii="Courier New" w:cs="Courier New" w:eastAsia="Courier New" w:hAnsi="Courier New"/>
          <w:sz w:val="15"/>
          <w:szCs w:val="15"/>
          <w:color w:val="auto"/>
        </w:rPr>
        <w:t>$4,987. No repurchases of 2% Notes were made in the three months ended</w:t>
      </w:r>
    </w:p>
    <w:p>
      <w:pPr>
        <w:ind w:left="530"/>
        <w:spacing w:after="0" w:line="238" w:lineRule="auto"/>
        <w:rPr>
          <w:sz w:val="20"/>
          <w:szCs w:val="20"/>
          <w:color w:val="auto"/>
        </w:rPr>
      </w:pPr>
      <w:r>
        <w:rPr>
          <w:rFonts w:ascii="Courier New" w:cs="Courier New" w:eastAsia="Courier New" w:hAnsi="Courier New"/>
          <w:sz w:val="15"/>
          <w:szCs w:val="15"/>
          <w:color w:val="auto"/>
        </w:rPr>
        <w:t>March 31, 2004. During fiscal 2003 and 2002, the Company repurchased</w:t>
      </w:r>
    </w:p>
    <w:p>
      <w:pPr>
        <w:ind w:left="530"/>
        <w:spacing w:after="0"/>
        <w:rPr>
          <w:sz w:val="20"/>
          <w:szCs w:val="20"/>
          <w:color w:val="auto"/>
        </w:rPr>
      </w:pPr>
      <w:r>
        <w:rPr>
          <w:rFonts w:ascii="Courier New" w:cs="Courier New" w:eastAsia="Courier New" w:hAnsi="Courier New"/>
          <w:sz w:val="15"/>
          <w:szCs w:val="15"/>
          <w:color w:val="auto"/>
        </w:rPr>
        <w:t>$99,546 aggregate principal amount of the 2% Notes for an aggregate</w:t>
      </w:r>
    </w:p>
    <w:p>
      <w:pPr>
        <w:ind w:left="530"/>
        <w:spacing w:after="0"/>
        <w:rPr>
          <w:sz w:val="20"/>
          <w:szCs w:val="20"/>
          <w:color w:val="auto"/>
        </w:rPr>
      </w:pPr>
      <w:r>
        <w:rPr>
          <w:rFonts w:ascii="Courier New" w:cs="Courier New" w:eastAsia="Courier New" w:hAnsi="Courier New"/>
          <w:sz w:val="15"/>
          <w:szCs w:val="15"/>
          <w:color w:val="auto"/>
        </w:rPr>
        <w:t>purchase price of $93,087.</w:t>
      </w:r>
    </w:p>
    <w:p>
      <w:pPr>
        <w:spacing w:after="0" w:line="174" w:lineRule="exact"/>
        <w:rPr>
          <w:sz w:val="20"/>
          <w:szCs w:val="20"/>
          <w:color w:val="auto"/>
        </w:rPr>
      </w:pPr>
    </w:p>
    <w:p>
      <w:pPr>
        <w:ind w:left="530" w:right="3179" w:firstLine="529"/>
        <w:spacing w:after="0" w:line="238" w:lineRule="auto"/>
        <w:rPr>
          <w:sz w:val="20"/>
          <w:szCs w:val="20"/>
          <w:color w:val="auto"/>
        </w:rPr>
      </w:pPr>
      <w:r>
        <w:rPr>
          <w:rFonts w:ascii="Courier New" w:cs="Courier New" w:eastAsia="Courier New" w:hAnsi="Courier New"/>
          <w:sz w:val="15"/>
          <w:szCs w:val="15"/>
          <w:color w:val="auto"/>
        </w:rPr>
        <w:t>On June 1, 2004, the Company completed a cash offer for the 2% Notes. Pursuant to the indenture for the 2% Notes, each holder of the 2% Notes had the right to require the Company to repurchase on June 1, 2004 all or any part of such holder's notes at a price equal to 100% of the principal amount plus accrued and unpaid interest. Under the terms of the 2% Notes, the Company had the option to pay for the 2% Notes with cash, ordinary shares, or a combination of cash and ordinary shares. The Company elected to pay for the notes solely with cash. The Company accepted for payment $395,110 principal amount of 2% Notes surrendered for repurchase pursuant to the offer. The untendered $344 principal amount of 2% Notes will remain as obligations of the Company, due June 1, 2008, in accordance with their terms.</w:t>
      </w:r>
    </w:p>
    <w:p>
      <w:pPr>
        <w:spacing w:after="0" w:line="34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452" w:right="1440" w:bottom="1440" w:gutter="0" w:footer="0" w:header="0"/>
        </w:sectPr>
      </w:pPr>
    </w:p>
    <w:bookmarkStart w:id="12" w:name="page13"/>
    <w:bookmarkEnd w:id="12"/>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4" w:lineRule="exact"/>
        <w:rPr>
          <w:sz w:val="20"/>
          <w:szCs w:val="20"/>
          <w:color w:val="auto"/>
        </w:rPr>
      </w:pPr>
    </w:p>
    <w:p>
      <w:pPr>
        <w:ind w:left="530" w:right="8639" w:hanging="530"/>
        <w:spacing w:after="0" w:line="513" w:lineRule="auto"/>
        <w:tabs>
          <w:tab w:leader="none" w:pos="53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CERTEN INC.</w:t>
      </w:r>
    </w:p>
    <w:p>
      <w:pPr>
        <w:ind w:left="10" w:right="3179" w:firstLine="529"/>
        <w:spacing w:after="0" w:line="239" w:lineRule="auto"/>
        <w:rPr>
          <w:sz w:val="20"/>
          <w:szCs w:val="20"/>
          <w:color w:val="auto"/>
        </w:rPr>
      </w:pPr>
      <w:r>
        <w:rPr>
          <w:rFonts w:ascii="Courier New" w:cs="Courier New" w:eastAsia="Courier New" w:hAnsi="Courier New"/>
          <w:sz w:val="15"/>
          <w:szCs w:val="15"/>
          <w:color w:val="auto"/>
        </w:rPr>
        <w:t>On July 2, 2003, the Company acquired from Bell Canada ("Bell") its 90% ownership interest in Certen (renamed Amdocs Canada Managed Services, Inc.) for approximately $66,000 in cash. In addition, the Company had related transaction costs of approximately $5,000. The Company and Bell formed Certen in January 2001 to provide customer care and billing solutions to Bell and a number of Bell's affiliated companies. Prior to this acquisition, the Company owned 10% of Certen. As a result of the acquisition, Certen is now a wholly owned subsidiary of the Company. Since Certen's inception, the Company has provided customer care and billing software required by Certen, including related customization, installation, maintenance and other services. This acquisition expanded the Company's Managed Services offerings and positioned it as a major provider of Managed Services to the communications industry and was its next logical step in the evolution of its relationship with Bell. In addition, as a result of this acquisition, the Company continued to develop an integrated billing platform to replace legacy systems built on a product-by-product basis. Following the acquisition, Certen continued to provide Managed Services to Bell as it did prior to the acquisition, and the wholly owned subsidiary contributes a positive cash flow to the Company. The acquisition did not affect the Company's liquidity position.</w:t>
      </w:r>
    </w:p>
    <w:p>
      <w:pPr>
        <w:spacing w:after="0" w:line="175" w:lineRule="exact"/>
        <w:rPr>
          <w:sz w:val="20"/>
          <w:szCs w:val="20"/>
          <w:color w:val="auto"/>
        </w:rPr>
      </w:pPr>
    </w:p>
    <w:p>
      <w:pPr>
        <w:ind w:left="10" w:right="3259" w:firstLine="529"/>
        <w:spacing w:after="0" w:line="235" w:lineRule="auto"/>
        <w:rPr>
          <w:sz w:val="20"/>
          <w:szCs w:val="20"/>
          <w:color w:val="auto"/>
        </w:rPr>
      </w:pPr>
      <w:r>
        <w:rPr>
          <w:rFonts w:ascii="Courier New" w:cs="Courier New" w:eastAsia="Courier New" w:hAnsi="Courier New"/>
          <w:sz w:val="15"/>
          <w:szCs w:val="15"/>
          <w:color w:val="auto"/>
        </w:rPr>
        <w:t>The following is the revised preliminary allocation of the purchase price and deferred tax liability:</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Purchase price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65,887</w:t>
            </w:r>
          </w:p>
        </w:tc>
      </w:tr>
      <w:tr>
        <w:trPr>
          <w:trHeight w:val="170"/>
        </w:trPr>
        <w:tc>
          <w:tcPr>
            <w:tcW w:w="6680" w:type="dxa"/>
            <w:vAlign w:val="bottom"/>
          </w:tcPr>
          <w:p>
            <w:pPr>
              <w:ind w:left="340"/>
              <w:spacing w:after="0"/>
              <w:rPr>
                <w:sz w:val="20"/>
                <w:szCs w:val="20"/>
                <w:color w:val="auto"/>
              </w:rPr>
            </w:pPr>
            <w:r>
              <w:rPr>
                <w:rFonts w:ascii="Courier New" w:cs="Courier New" w:eastAsia="Courier New" w:hAnsi="Courier New"/>
                <w:sz w:val="15"/>
                <w:szCs w:val="15"/>
                <w:color w:val="auto"/>
              </w:rPr>
              <w:t>Estimated transaction costs</w:t>
            </w:r>
          </w:p>
        </w:tc>
        <w:tc>
          <w:tcPr>
            <w:tcW w:w="1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5,000</w:t>
            </w:r>
          </w:p>
        </w:tc>
      </w:tr>
      <w:tr>
        <w:trPr>
          <w:trHeight w:val="170"/>
        </w:trPr>
        <w:tc>
          <w:tcPr>
            <w:tcW w:w="6680" w:type="dxa"/>
            <w:vAlign w:val="bottom"/>
          </w:tcPr>
          <w:p>
            <w:pPr>
              <w:spacing w:after="0"/>
              <w:rPr>
                <w:sz w:val="14"/>
                <w:szCs w:val="14"/>
                <w:color w:val="auto"/>
              </w:rPr>
            </w:pP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ind w:left="340"/>
              <w:spacing w:after="0"/>
              <w:rPr>
                <w:sz w:val="20"/>
                <w:szCs w:val="20"/>
                <w:color w:val="auto"/>
              </w:rPr>
            </w:pPr>
            <w:r>
              <w:rPr>
                <w:rFonts w:ascii="Courier New" w:cs="Courier New" w:eastAsia="Courier New" w:hAnsi="Courier New"/>
                <w:sz w:val="15"/>
                <w:szCs w:val="15"/>
                <w:color w:val="auto"/>
              </w:rPr>
              <w:t>Total purchase price</w:t>
            </w:r>
          </w:p>
        </w:tc>
        <w:tc>
          <w:tcPr>
            <w:tcW w:w="1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70,887</w:t>
            </w:r>
          </w:p>
        </w:tc>
      </w:tr>
      <w:tr>
        <w:trPr>
          <w:trHeight w:val="170"/>
        </w:trPr>
        <w:tc>
          <w:tcPr>
            <w:tcW w:w="6680" w:type="dxa"/>
            <w:vAlign w:val="bottom"/>
          </w:tcPr>
          <w:p>
            <w:pPr>
              <w:ind w:left="340"/>
              <w:spacing w:after="0"/>
              <w:rPr>
                <w:sz w:val="20"/>
                <w:szCs w:val="20"/>
                <w:color w:val="auto"/>
              </w:rPr>
            </w:pPr>
            <w:r>
              <w:rPr>
                <w:rFonts w:ascii="Courier New" w:cs="Courier New" w:eastAsia="Courier New" w:hAnsi="Courier New"/>
                <w:sz w:val="15"/>
                <w:szCs w:val="15"/>
                <w:color w:val="auto"/>
                <w:w w:val="98"/>
              </w:rPr>
              <w:t>Write-off of deferred revenue and allowance on Amdocs books, net of tax</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(33,666)</w:t>
            </w:r>
          </w:p>
        </w:tc>
      </w:tr>
      <w:tr>
        <w:trPr>
          <w:trHeight w:val="170"/>
        </w:trPr>
        <w:tc>
          <w:tcPr>
            <w:tcW w:w="6680" w:type="dxa"/>
            <w:vAlign w:val="bottom"/>
          </w:tcPr>
          <w:p>
            <w:pPr>
              <w:spacing w:after="0"/>
              <w:rPr>
                <w:sz w:val="14"/>
                <w:szCs w:val="14"/>
                <w:color w:val="auto"/>
              </w:rPr>
            </w:pP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ind w:left="340"/>
              <w:spacing w:after="0"/>
              <w:rPr>
                <w:sz w:val="20"/>
                <w:szCs w:val="20"/>
                <w:color w:val="auto"/>
              </w:rPr>
            </w:pPr>
            <w:r>
              <w:rPr>
                <w:rFonts w:ascii="Courier New" w:cs="Courier New" w:eastAsia="Courier New" w:hAnsi="Courier New"/>
                <w:sz w:val="15"/>
                <w:szCs w:val="15"/>
                <w:color w:val="auto"/>
              </w:rPr>
              <w:t>Net amount for purchase price allocation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37,221</w:t>
            </w:r>
          </w:p>
        </w:tc>
      </w:tr>
      <w:tr>
        <w:trPr>
          <w:trHeight w:val="170"/>
        </w:trPr>
        <w:tc>
          <w:tcPr>
            <w:tcW w:w="6680" w:type="dxa"/>
            <w:vAlign w:val="bottom"/>
          </w:tcPr>
          <w:p>
            <w:pPr>
              <w:spacing w:after="0"/>
              <w:rPr>
                <w:sz w:val="14"/>
                <w:szCs w:val="14"/>
                <w:color w:val="auto"/>
              </w:rPr>
            </w:pP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680" w:type="dxa"/>
            <w:vAlign w:val="bottom"/>
          </w:tcPr>
          <w:p>
            <w:pPr>
              <w:spacing w:after="0"/>
              <w:rPr>
                <w:sz w:val="20"/>
                <w:szCs w:val="20"/>
                <w:color w:val="auto"/>
              </w:rPr>
            </w:pPr>
            <w:r>
              <w:rPr>
                <w:rFonts w:ascii="Courier New" w:cs="Courier New" w:eastAsia="Courier New" w:hAnsi="Courier New"/>
                <w:sz w:val="15"/>
                <w:szCs w:val="15"/>
                <w:color w:val="auto"/>
              </w:rPr>
              <w:t>Allocation of purchase price:</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680" w:type="dxa"/>
            <w:vAlign w:val="bottom"/>
          </w:tcPr>
          <w:p>
            <w:pPr>
              <w:ind w:left="340"/>
              <w:spacing w:after="0"/>
              <w:rPr>
                <w:sz w:val="20"/>
                <w:szCs w:val="20"/>
                <w:color w:val="auto"/>
              </w:rPr>
            </w:pPr>
            <w:r>
              <w:rPr>
                <w:rFonts w:ascii="Courier New" w:cs="Courier New" w:eastAsia="Courier New" w:hAnsi="Courier New"/>
                <w:sz w:val="15"/>
                <w:szCs w:val="15"/>
                <w:color w:val="auto"/>
              </w:rPr>
              <w:t>90% tangible assets acquired, net of capitalized Amdocs system on</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680" w:type="dxa"/>
            <w:vAlign w:val="bottom"/>
          </w:tcPr>
          <w:p>
            <w:pPr>
              <w:ind w:left="520"/>
              <w:spacing w:after="0"/>
              <w:rPr>
                <w:sz w:val="20"/>
                <w:szCs w:val="20"/>
                <w:color w:val="auto"/>
              </w:rPr>
            </w:pPr>
            <w:r>
              <w:rPr>
                <w:rFonts w:ascii="Courier New" w:cs="Courier New" w:eastAsia="Courier New" w:hAnsi="Courier New"/>
                <w:sz w:val="15"/>
                <w:szCs w:val="15"/>
                <w:color w:val="auto"/>
              </w:rPr>
              <w:t>Certen's books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80,929</w:t>
            </w:r>
          </w:p>
        </w:tc>
      </w:tr>
      <w:tr>
        <w:trPr>
          <w:trHeight w:val="170"/>
        </w:trPr>
        <w:tc>
          <w:tcPr>
            <w:tcW w:w="6680" w:type="dxa"/>
            <w:vAlign w:val="bottom"/>
          </w:tcPr>
          <w:p>
            <w:pPr>
              <w:ind w:left="340"/>
              <w:spacing w:after="0"/>
              <w:rPr>
                <w:sz w:val="20"/>
                <w:szCs w:val="20"/>
                <w:color w:val="auto"/>
              </w:rPr>
            </w:pPr>
            <w:r>
              <w:rPr>
                <w:rFonts w:ascii="Courier New" w:cs="Courier New" w:eastAsia="Courier New" w:hAnsi="Courier New"/>
                <w:sz w:val="15"/>
                <w:szCs w:val="15"/>
                <w:color w:val="auto"/>
              </w:rPr>
              <w:t>90% liabilities assumed</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(241,760)</w:t>
            </w:r>
          </w:p>
        </w:tc>
      </w:tr>
      <w:tr>
        <w:trPr>
          <w:trHeight w:val="170"/>
        </w:trPr>
        <w:tc>
          <w:tcPr>
            <w:tcW w:w="6680" w:type="dxa"/>
            <w:vAlign w:val="bottom"/>
          </w:tcPr>
          <w:p>
            <w:pPr>
              <w:spacing w:after="0"/>
              <w:rPr>
                <w:sz w:val="14"/>
                <w:szCs w:val="14"/>
                <w:color w:val="auto"/>
              </w:rPr>
            </w:pP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ind w:left="340"/>
              <w:spacing w:after="0"/>
              <w:rPr>
                <w:sz w:val="20"/>
                <w:szCs w:val="20"/>
                <w:color w:val="auto"/>
              </w:rPr>
            </w:pPr>
            <w:r>
              <w:rPr>
                <w:rFonts w:ascii="Courier New" w:cs="Courier New" w:eastAsia="Courier New" w:hAnsi="Courier New"/>
                <w:sz w:val="15"/>
                <w:szCs w:val="15"/>
                <w:color w:val="auto"/>
              </w:rPr>
              <w:t>Net liabilities acquired</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(160,831)</w:t>
            </w:r>
          </w:p>
        </w:tc>
      </w:tr>
      <w:tr>
        <w:trPr>
          <w:trHeight w:val="339"/>
        </w:trPr>
        <w:tc>
          <w:tcPr>
            <w:tcW w:w="6680" w:type="dxa"/>
            <w:vAlign w:val="bottom"/>
          </w:tcPr>
          <w:p>
            <w:pPr>
              <w:ind w:left="340"/>
              <w:spacing w:after="0"/>
              <w:rPr>
                <w:sz w:val="20"/>
                <w:szCs w:val="20"/>
                <w:color w:val="auto"/>
              </w:rPr>
            </w:pPr>
            <w:r>
              <w:rPr>
                <w:rFonts w:ascii="Courier New" w:cs="Courier New" w:eastAsia="Courier New" w:hAnsi="Courier New"/>
                <w:sz w:val="15"/>
                <w:szCs w:val="15"/>
                <w:color w:val="auto"/>
              </w:rPr>
              <w:t>Customer arrangement</w:t>
            </w:r>
          </w:p>
        </w:tc>
        <w:tc>
          <w:tcPr>
            <w:tcW w:w="18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36,385</w:t>
            </w:r>
          </w:p>
        </w:tc>
      </w:tr>
      <w:tr>
        <w:trPr>
          <w:trHeight w:val="170"/>
        </w:trPr>
        <w:tc>
          <w:tcPr>
            <w:tcW w:w="6680" w:type="dxa"/>
            <w:vAlign w:val="bottom"/>
          </w:tcPr>
          <w:p>
            <w:pPr>
              <w:ind w:left="340"/>
              <w:spacing w:after="0"/>
              <w:rPr>
                <w:sz w:val="20"/>
                <w:szCs w:val="20"/>
                <w:color w:val="auto"/>
              </w:rPr>
            </w:pPr>
            <w:r>
              <w:rPr>
                <w:rFonts w:ascii="Courier New" w:cs="Courier New" w:eastAsia="Courier New" w:hAnsi="Courier New"/>
                <w:sz w:val="15"/>
                <w:szCs w:val="15"/>
                <w:color w:val="auto"/>
              </w:rPr>
              <w:t>Adjustment to fair value of pension and other post-employment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680" w:type="dxa"/>
            <w:vAlign w:val="bottom"/>
          </w:tcPr>
          <w:p>
            <w:pPr>
              <w:ind w:left="520"/>
              <w:spacing w:after="0"/>
              <w:rPr>
                <w:sz w:val="20"/>
                <w:szCs w:val="20"/>
                <w:color w:val="auto"/>
              </w:rPr>
            </w:pPr>
            <w:r>
              <w:rPr>
                <w:rFonts w:ascii="Courier New" w:cs="Courier New" w:eastAsia="Courier New" w:hAnsi="Courier New"/>
                <w:sz w:val="15"/>
                <w:szCs w:val="15"/>
                <w:color w:val="auto"/>
              </w:rPr>
              <w:t>benefit liabilities</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(10,534)</w:t>
            </w:r>
          </w:p>
        </w:tc>
      </w:tr>
      <w:tr>
        <w:trPr>
          <w:trHeight w:val="170"/>
        </w:trPr>
        <w:tc>
          <w:tcPr>
            <w:tcW w:w="6680" w:type="dxa"/>
            <w:vAlign w:val="bottom"/>
          </w:tcPr>
          <w:p>
            <w:pPr>
              <w:ind w:left="340"/>
              <w:spacing w:after="0"/>
              <w:rPr>
                <w:sz w:val="20"/>
                <w:szCs w:val="20"/>
                <w:color w:val="auto"/>
              </w:rPr>
            </w:pPr>
            <w:r>
              <w:rPr>
                <w:rFonts w:ascii="Courier New" w:cs="Courier New" w:eastAsia="Courier New" w:hAnsi="Courier New"/>
                <w:sz w:val="15"/>
                <w:szCs w:val="15"/>
                <w:color w:val="auto"/>
              </w:rPr>
              <w:t>EITF 95-3 and other liabilities</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(4,936)</w:t>
            </w:r>
          </w:p>
        </w:tc>
      </w:tr>
      <w:tr>
        <w:trPr>
          <w:trHeight w:val="170"/>
        </w:trPr>
        <w:tc>
          <w:tcPr>
            <w:tcW w:w="6680" w:type="dxa"/>
            <w:vAlign w:val="bottom"/>
          </w:tcPr>
          <w:p>
            <w:pPr>
              <w:ind w:left="340"/>
              <w:spacing w:after="0"/>
              <w:rPr>
                <w:sz w:val="20"/>
                <w:szCs w:val="20"/>
                <w:color w:val="auto"/>
              </w:rPr>
            </w:pPr>
            <w:r>
              <w:rPr>
                <w:rFonts w:ascii="Courier New" w:cs="Courier New" w:eastAsia="Courier New" w:hAnsi="Courier New"/>
                <w:sz w:val="15"/>
                <w:szCs w:val="15"/>
                <w:color w:val="auto"/>
                <w:w w:val="98"/>
              </w:rPr>
              <w:t>Deferred taxes resulting from the difference between the assigned value</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680" w:type="dxa"/>
            <w:vAlign w:val="bottom"/>
          </w:tcPr>
          <w:p>
            <w:pPr>
              <w:ind w:left="520"/>
              <w:spacing w:after="0"/>
              <w:rPr>
                <w:sz w:val="20"/>
                <w:szCs w:val="20"/>
                <w:color w:val="auto"/>
              </w:rPr>
            </w:pPr>
            <w:r>
              <w:rPr>
                <w:rFonts w:ascii="Courier New" w:cs="Courier New" w:eastAsia="Courier New" w:hAnsi="Courier New"/>
                <w:sz w:val="15"/>
                <w:szCs w:val="15"/>
                <w:color w:val="auto"/>
              </w:rPr>
              <w:t>of certain assets and liabilities and their respective tax bases</w:t>
            </w:r>
          </w:p>
        </w:tc>
        <w:tc>
          <w:tcPr>
            <w:tcW w:w="1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74,307</w:t>
            </w:r>
          </w:p>
        </w:tc>
      </w:tr>
      <w:tr>
        <w:trPr>
          <w:trHeight w:val="170"/>
        </w:trPr>
        <w:tc>
          <w:tcPr>
            <w:tcW w:w="6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6680" w:type="dxa"/>
            <w:vAlign w:val="bottom"/>
          </w:tcPr>
          <w:p>
            <w:pPr>
              <w:ind w:left="340"/>
              <w:spacing w:after="0"/>
              <w:rPr>
                <w:sz w:val="20"/>
                <w:szCs w:val="20"/>
                <w:color w:val="auto"/>
              </w:rPr>
            </w:pPr>
            <w:r>
              <w:rPr>
                <w:rFonts w:ascii="Courier New" w:cs="Courier New" w:eastAsia="Courier New" w:hAnsi="Courier New"/>
                <w:sz w:val="15"/>
                <w:szCs w:val="15"/>
                <w:color w:val="auto"/>
              </w:rPr>
              <w:t>Net fair value of liabilities acquired</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(65,609)</w:t>
            </w:r>
          </w:p>
        </w:tc>
      </w:tr>
      <w:tr>
        <w:trPr>
          <w:trHeight w:val="170"/>
        </w:trPr>
        <w:tc>
          <w:tcPr>
            <w:tcW w:w="6680" w:type="dxa"/>
            <w:vAlign w:val="bottom"/>
          </w:tcPr>
          <w:p>
            <w:pPr>
              <w:ind w:left="340"/>
              <w:spacing w:after="0"/>
              <w:rPr>
                <w:sz w:val="20"/>
                <w:szCs w:val="20"/>
                <w:color w:val="auto"/>
              </w:rPr>
            </w:pPr>
            <w:r>
              <w:rPr>
                <w:rFonts w:ascii="Courier New" w:cs="Courier New" w:eastAsia="Courier New" w:hAnsi="Courier New"/>
                <w:sz w:val="15"/>
                <w:szCs w:val="15"/>
                <w:color w:val="auto"/>
              </w:rPr>
              <w:t>Goodwill</w:t>
            </w:r>
          </w:p>
        </w:tc>
        <w:tc>
          <w:tcPr>
            <w:tcW w:w="1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102,830</w:t>
            </w:r>
          </w:p>
        </w:tc>
      </w:tr>
      <w:tr>
        <w:trPr>
          <w:trHeight w:val="170"/>
        </w:trPr>
        <w:tc>
          <w:tcPr>
            <w:tcW w:w="6680" w:type="dxa"/>
            <w:vAlign w:val="bottom"/>
          </w:tcPr>
          <w:p>
            <w:pPr>
              <w:spacing w:after="0"/>
              <w:rPr>
                <w:sz w:val="14"/>
                <w:szCs w:val="14"/>
                <w:color w:val="auto"/>
              </w:rPr>
            </w:pP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37,221</w:t>
            </w:r>
          </w:p>
        </w:tc>
      </w:tr>
      <w:tr>
        <w:trPr>
          <w:trHeight w:val="170"/>
        </w:trPr>
        <w:tc>
          <w:tcPr>
            <w:tcW w:w="6680" w:type="dxa"/>
            <w:vAlign w:val="bottom"/>
          </w:tcPr>
          <w:p>
            <w:pPr>
              <w:spacing w:after="0"/>
              <w:rPr>
                <w:sz w:val="14"/>
                <w:szCs w:val="14"/>
                <w:color w:val="auto"/>
              </w:rPr>
            </w:pP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259" w:firstLine="529"/>
        <w:spacing w:after="0" w:line="237" w:lineRule="auto"/>
        <w:rPr>
          <w:sz w:val="20"/>
          <w:szCs w:val="20"/>
          <w:color w:val="auto"/>
        </w:rPr>
      </w:pPr>
      <w:r>
        <w:rPr>
          <w:rFonts w:ascii="Courier New" w:cs="Courier New" w:eastAsia="Courier New" w:hAnsi="Courier New"/>
          <w:sz w:val="15"/>
          <w:szCs w:val="15"/>
          <w:color w:val="auto"/>
        </w:rPr>
        <w:t>The following table sets forth the unaudited pro forma revenue, operating income, net income and earnings per share figures for the three months and six months ended March 31, 2003, as if Certen had been acquired as of October 1, 2001:</w:t>
      </w:r>
    </w:p>
    <w:p>
      <w:pPr>
        <w:spacing w:after="0" w:line="200" w:lineRule="exact"/>
        <w:rPr>
          <w:sz w:val="20"/>
          <w:szCs w:val="20"/>
          <w:color w:val="auto"/>
        </w:rPr>
      </w:pPr>
    </w:p>
    <w:p>
      <w:pPr>
        <w:spacing w:after="0" w:line="310" w:lineRule="exact"/>
        <w:rPr>
          <w:sz w:val="20"/>
          <w:szCs w:val="20"/>
          <w:color w:val="auto"/>
        </w:rPr>
      </w:pPr>
    </w:p>
    <w:tbl>
      <w:tblPr>
        <w:tblLayout w:type="fixed"/>
        <w:tblInd w:w="177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THREE MONTHS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SIX MONTHS</w:t>
            </w:r>
          </w:p>
        </w:tc>
      </w:tr>
      <w:tr>
        <w:trPr>
          <w:trHeight w:val="170"/>
        </w:trPr>
        <w:tc>
          <w:tcPr>
            <w:tcW w:w="2420" w:type="dxa"/>
            <w:vAlign w:val="bottom"/>
          </w:tcPr>
          <w:p>
            <w:pPr>
              <w:spacing w:after="0"/>
              <w:rPr>
                <w:sz w:val="14"/>
                <w:szCs w:val="14"/>
                <w:color w:val="auto"/>
              </w:rPr>
            </w:pP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ENDED</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2420" w:type="dxa"/>
            <w:vAlign w:val="bottom"/>
          </w:tcPr>
          <w:p>
            <w:pPr>
              <w:spacing w:after="0"/>
              <w:rPr>
                <w:sz w:val="14"/>
                <w:szCs w:val="14"/>
                <w:color w:val="auto"/>
              </w:rPr>
            </w:pP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spacing w:after="0"/>
              <w:rPr>
                <w:sz w:val="14"/>
                <w:szCs w:val="14"/>
                <w:color w:val="auto"/>
              </w:rPr>
            </w:pPr>
          </w:p>
        </w:tc>
        <w:tc>
          <w:tcPr>
            <w:tcW w:w="23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MARCH 31, 2003</w:t>
            </w:r>
          </w:p>
        </w:tc>
      </w:tr>
      <w:tr>
        <w:trPr>
          <w:trHeight w:val="170"/>
        </w:trPr>
        <w:tc>
          <w:tcPr>
            <w:tcW w:w="2420" w:type="dxa"/>
            <w:vAlign w:val="bottom"/>
          </w:tcPr>
          <w:p>
            <w:pPr>
              <w:spacing w:after="0"/>
              <w:rPr>
                <w:sz w:val="14"/>
                <w:szCs w:val="14"/>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$396,198</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$778,988</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46,967</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77,973</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37,858</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63,409</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0.18</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0.29</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0.17</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0.29</w:t>
            </w:r>
          </w:p>
        </w:tc>
      </w:tr>
      <w:tr>
        <w:trPr>
          <w:trHeight w:val="678"/>
        </w:trPr>
        <w:tc>
          <w:tcPr>
            <w:tcW w:w="2420" w:type="dxa"/>
            <w:vAlign w:val="bottom"/>
          </w:tcPr>
          <w:p>
            <w:pPr>
              <w:ind w:left="1660"/>
              <w:spacing w:after="0"/>
              <w:rPr>
                <w:sz w:val="20"/>
                <w:szCs w:val="20"/>
                <w:color w:val="auto"/>
              </w:rPr>
            </w:pPr>
            <w:r>
              <w:rPr>
                <w:rFonts w:ascii="Courier New" w:cs="Courier New" w:eastAsia="Courier New" w:hAnsi="Courier New"/>
                <w:sz w:val="15"/>
                <w:szCs w:val="15"/>
                <w:color w:val="auto"/>
              </w:rPr>
              <w:t>12</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29"/>
          </w:cols>
          <w:pgMar w:left="230" w:top="452" w:right="1440" w:bottom="735" w:gutter="0" w:footer="0" w:header="0"/>
        </w:sectPr>
      </w:pPr>
    </w:p>
    <w:bookmarkStart w:id="13" w:name="page14"/>
    <w:bookmarkEnd w:id="13"/>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XACCT TECHNOLOGIES LIMITED</w:t>
      </w:r>
    </w:p>
    <w:p>
      <w:pPr>
        <w:spacing w:after="0" w:line="175" w:lineRule="exact"/>
        <w:rPr>
          <w:sz w:val="20"/>
          <w:szCs w:val="20"/>
          <w:color w:val="auto"/>
        </w:rPr>
      </w:pPr>
    </w:p>
    <w:p>
      <w:pPr>
        <w:ind w:left="530" w:right="3179" w:firstLine="529"/>
        <w:spacing w:after="0" w:line="257" w:lineRule="auto"/>
        <w:rPr>
          <w:sz w:val="20"/>
          <w:szCs w:val="20"/>
          <w:color w:val="auto"/>
        </w:rPr>
      </w:pPr>
      <w:r>
        <w:rPr>
          <w:rFonts w:ascii="Courier New" w:cs="Courier New" w:eastAsia="Courier New" w:hAnsi="Courier New"/>
          <w:sz w:val="14"/>
          <w:szCs w:val="14"/>
          <w:color w:val="auto"/>
        </w:rPr>
        <w:t>On February 19, 2004, the Company acquired XACCT Technologies Ltd. ("XACCT"), a privately-held provider of mediation software to communications service providers. The Company acquired XACCT's outstanding shares for $28,425, of which $13,286 was paid in cash and the balance in 561 of the Company's ordinary shares. In addition, the Company had related transaction costs of approximately $750. This acquisition further expands the scope of the Company's billing capabilities in the network mediation space, enabling the collection, formatting and distribution of network usage events. With this acquisition, the Company achieves the capability to support end-to-end event processing, from network mediation through billing, for voice, data, content and commerce prepaid and postpaid transactions. The Company repurchased 484 ordinary shares in February 2004 to offset the dilutive effect of share issuances in the acquisition. The fair market value of XACCT's assets and liabilities has been included in the Company's balance sheet and the results of XACCT's operations have been included in the Company's consolidated statements of income, commencing on February 19, 2004.</w:t>
      </w:r>
    </w:p>
    <w:p>
      <w:pPr>
        <w:spacing w:after="0" w:line="334" w:lineRule="exact"/>
        <w:rPr>
          <w:sz w:val="20"/>
          <w:szCs w:val="20"/>
          <w:color w:val="auto"/>
        </w:rPr>
      </w:pPr>
    </w:p>
    <w:p>
      <w:pPr>
        <w:ind w:left="530" w:right="3439" w:firstLine="529"/>
        <w:spacing w:after="0" w:line="235" w:lineRule="auto"/>
        <w:rPr>
          <w:sz w:val="20"/>
          <w:szCs w:val="20"/>
          <w:color w:val="auto"/>
        </w:rPr>
      </w:pPr>
      <w:r>
        <w:rPr>
          <w:rFonts w:ascii="Courier New" w:cs="Courier New" w:eastAsia="Courier New" w:hAnsi="Courier New"/>
          <w:sz w:val="15"/>
          <w:szCs w:val="15"/>
          <w:color w:val="auto"/>
        </w:rPr>
        <w:t>The following is the preliminary allocation of the purchase price and deferred tax assets:</w:t>
      </w:r>
    </w:p>
    <w:p>
      <w:pPr>
        <w:spacing w:after="0" w:line="200" w:lineRule="exact"/>
        <w:rPr>
          <w:sz w:val="20"/>
          <w:szCs w:val="20"/>
          <w:color w:val="auto"/>
        </w:rPr>
      </w:pPr>
    </w:p>
    <w:p>
      <w:pPr>
        <w:spacing w:after="0" w:line="309" w:lineRule="exact"/>
        <w:rPr>
          <w:sz w:val="20"/>
          <w:szCs w:val="20"/>
          <w:color w:val="auto"/>
        </w:rPr>
      </w:pPr>
    </w:p>
    <w:tbl>
      <w:tblPr>
        <w:tblLayout w:type="fixed"/>
        <w:tblInd w:w="203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Net assets acquired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608</w:t>
            </w: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Technology</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9,058</w:t>
            </w: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Customer arrangements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1,046</w:t>
            </w: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6,326</w:t>
            </w: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12,137</w:t>
            </w:r>
          </w:p>
        </w:tc>
      </w:tr>
      <w:tr>
        <w:trPr>
          <w:trHeight w:val="170"/>
        </w:trPr>
        <w:tc>
          <w:tcPr>
            <w:tcW w:w="20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0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$29,175</w:t>
            </w:r>
          </w:p>
        </w:tc>
      </w:tr>
      <w:tr>
        <w:trPr>
          <w:trHeight w:val="170"/>
        </w:trPr>
        <w:tc>
          <w:tcPr>
            <w:tcW w:w="20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530" w:right="3259" w:firstLine="529"/>
        <w:spacing w:after="0" w:line="259" w:lineRule="auto"/>
        <w:rPr>
          <w:sz w:val="20"/>
          <w:szCs w:val="20"/>
          <w:color w:val="auto"/>
        </w:rPr>
      </w:pPr>
      <w:r>
        <w:rPr>
          <w:rFonts w:ascii="Courier New" w:cs="Courier New" w:eastAsia="Courier New" w:hAnsi="Courier New"/>
          <w:sz w:val="14"/>
          <w:szCs w:val="14"/>
          <w:color w:val="auto"/>
        </w:rPr>
        <w:t>Proforma information on the Company's results of operations for the six months and three months ended March 31, 2004 and 2003, to reflect the XACCT acquisition is not presented as its results of operations during such periods are not material to the Company's results of operations.</w:t>
      </w:r>
    </w:p>
    <w:p>
      <w:pPr>
        <w:spacing w:after="0" w:line="157" w:lineRule="exact"/>
        <w:rPr>
          <w:sz w:val="20"/>
          <w:szCs w:val="20"/>
          <w:color w:val="auto"/>
        </w:rPr>
      </w:pPr>
    </w:p>
    <w:p>
      <w:pPr>
        <w:ind w:left="530" w:hanging="530"/>
        <w:spacing w:after="0"/>
        <w:tabs>
          <w:tab w:leader="none" w:pos="53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0.50% CONVERTIBLE SENIOR NOTES DUE 2024</w:t>
      </w:r>
    </w:p>
    <w:p>
      <w:pPr>
        <w:spacing w:after="0" w:line="175" w:lineRule="exact"/>
        <w:rPr>
          <w:sz w:val="20"/>
          <w:szCs w:val="20"/>
          <w:color w:val="auto"/>
        </w:rPr>
      </w:pPr>
    </w:p>
    <w:p>
      <w:pPr>
        <w:ind w:left="530" w:right="3179" w:firstLine="529"/>
        <w:spacing w:after="0" w:line="239" w:lineRule="auto"/>
        <w:rPr>
          <w:sz w:val="20"/>
          <w:szCs w:val="20"/>
          <w:color w:val="auto"/>
        </w:rPr>
      </w:pPr>
      <w:r>
        <w:rPr>
          <w:rFonts w:ascii="Courier New" w:cs="Courier New" w:eastAsia="Courier New" w:hAnsi="Courier New"/>
          <w:sz w:val="15"/>
          <w:szCs w:val="15"/>
          <w:color w:val="auto"/>
        </w:rPr>
        <w:t>In March 2004 the Company issued $450,000 aggregate principal amount of 0.50% Notes. The Company is obligated to pay interest on the 0.50% Notes semi-annually on March 15 and September 15 of each year. The 0.50% Notes are senior unsecured obligations of the Company and rank equal in right of payment with all existing and future senior unsecured indebtedness of the Company. The 0.50% Notes are convertible, at the option of the holders at any time before the maturity date, into ordinary shares of the Company at a conversion rate of 23.1911 shares per one thousand dollars principal amount, representing a conversion price of approximately $43.12 per share, as follows: (i) during any fiscal quarter commencing after March 31, 2004, and only during that quarter if the closing sale price of the Company's ordinary shares exceeds 130% of the conversion price for at least 20 trading days in the 30 consecutive trading days ending on the last trading day of the proceeding fiscal quarter (initially 130% of $43.12, or $56.06); (ii) upon the occurrence of specified credit rating events with respect to the notes; (iii) subject to certain exceptions, during the five business day period after any five consecutive trading day period in which the trading price per note for each day of that measurement period was less than 98% of the product of the closing sale price of the Company's ordinary shares and the conversion rate; provided, however, holders may not convert their notes (in reliance on this subsection) if on any trading day during such measurement period the closing sale price of the Company's ordinary shares was between 100% and 130% of the then current conversion price of the notes (initially, between $43.12 and $56.06); (iv) if the notes have been called for redemption, or (v) upon the occurrence of specified corporate events. The 0.50% Notes are subject to redemption at any time on or after March 20, 2009, in</w:t>
      </w:r>
    </w:p>
    <w:p>
      <w:pPr>
        <w:spacing w:after="0" w:line="34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452" w:right="1440" w:bottom="1440" w:gutter="0" w:footer="0" w:header="0"/>
        </w:sectPr>
      </w:pPr>
    </w:p>
    <w:bookmarkStart w:id="14" w:name="page15"/>
    <w:bookmarkEnd w:id="14"/>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5" w:lineRule="exact"/>
        <w:rPr>
          <w:sz w:val="20"/>
          <w:szCs w:val="20"/>
          <w:color w:val="auto"/>
        </w:rPr>
      </w:pPr>
    </w:p>
    <w:p>
      <w:pPr>
        <w:ind w:left="530" w:right="3179"/>
        <w:spacing w:after="0" w:line="238" w:lineRule="auto"/>
        <w:rPr>
          <w:sz w:val="20"/>
          <w:szCs w:val="20"/>
          <w:color w:val="auto"/>
        </w:rPr>
      </w:pPr>
      <w:r>
        <w:rPr>
          <w:rFonts w:ascii="Courier New" w:cs="Courier New" w:eastAsia="Courier New" w:hAnsi="Courier New"/>
          <w:sz w:val="15"/>
          <w:szCs w:val="15"/>
          <w:color w:val="auto"/>
        </w:rPr>
        <w:t>whole or in part, at the option of the Company, at a redemption price of 100% of the principal amount plus accrued and unpaid interest, if any, on such redemption date. The 0.50% Notes are subject to repurchase, at the holders' option, on March 15, 2009, 2014 and 2019, at a repurchase price equal to 100% of the principal amount plus accrued and unpaid interest, if any, on such repurchase date. The Company may choose to pay the repurchase price in cash, ordinary shares or a combination of cash and ordinary shares.</w:t>
      </w:r>
    </w:p>
    <w:p>
      <w:pPr>
        <w:spacing w:after="0" w:line="178" w:lineRule="exact"/>
        <w:rPr>
          <w:sz w:val="20"/>
          <w:szCs w:val="20"/>
          <w:color w:val="auto"/>
        </w:rPr>
      </w:pPr>
    </w:p>
    <w:p>
      <w:pPr>
        <w:ind w:left="1050" w:right="5299" w:hanging="1050"/>
        <w:spacing w:after="0" w:line="513" w:lineRule="auto"/>
        <w:tabs>
          <w:tab w:leader="none" w:pos="52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OPERATIONAL EFFICIENCY AND COST REDUCTION PROGRAMS Fiscal Year Ended September 30, 2003</w:t>
      </w:r>
    </w:p>
    <w:p>
      <w:pPr>
        <w:ind w:left="530" w:right="3179" w:firstLine="529"/>
        <w:spacing w:after="0" w:line="237" w:lineRule="auto"/>
        <w:rPr>
          <w:sz w:val="20"/>
          <w:szCs w:val="20"/>
          <w:color w:val="auto"/>
        </w:rPr>
      </w:pPr>
      <w:r>
        <w:rPr>
          <w:rFonts w:ascii="Courier New" w:cs="Courier New" w:eastAsia="Courier New" w:hAnsi="Courier New"/>
          <w:sz w:val="15"/>
          <w:szCs w:val="15"/>
          <w:color w:val="auto"/>
        </w:rPr>
        <w:t>In the first quarter of fiscal 2003, the Company implemented a series of measures designed to reduce costs and improve productivity, with targeted quarterly savings of approximately $8,000. As part of this plan, the Company reduced its workforce by approximately 400 employees, representing approximately 4% of the Company's worldwide workforce of</w:t>
      </w:r>
    </w:p>
    <w:p>
      <w:pPr>
        <w:spacing w:after="0" w:line="9" w:lineRule="exact"/>
        <w:rPr>
          <w:sz w:val="20"/>
          <w:szCs w:val="20"/>
          <w:color w:val="auto"/>
        </w:rPr>
      </w:pPr>
    </w:p>
    <w:p>
      <w:pPr>
        <w:jc w:val="both"/>
        <w:ind w:left="530" w:right="3259"/>
        <w:spacing w:after="0" w:line="237" w:lineRule="auto"/>
        <w:rPr>
          <w:sz w:val="20"/>
          <w:szCs w:val="20"/>
          <w:color w:val="auto"/>
        </w:rPr>
      </w:pPr>
      <w:r>
        <w:rPr>
          <w:rFonts w:ascii="Courier New" w:cs="Courier New" w:eastAsia="Courier New" w:hAnsi="Courier New"/>
          <w:sz w:val="15"/>
          <w:szCs w:val="15"/>
          <w:color w:val="auto"/>
        </w:rPr>
        <w:t>9,000 full-time employees, vacated facilities in different centers around the world and implemented other cost reduction measures, including travel cuts and reduction in other discretionary costs.</w:t>
      </w:r>
    </w:p>
    <w:p>
      <w:pPr>
        <w:spacing w:after="0" w:line="175" w:lineRule="exact"/>
        <w:rPr>
          <w:sz w:val="20"/>
          <w:szCs w:val="20"/>
          <w:color w:val="auto"/>
        </w:rPr>
      </w:pPr>
    </w:p>
    <w:p>
      <w:pPr>
        <w:ind w:left="530" w:right="3259" w:firstLine="529"/>
        <w:spacing w:after="0" w:line="237" w:lineRule="auto"/>
        <w:rPr>
          <w:sz w:val="20"/>
          <w:szCs w:val="20"/>
          <w:color w:val="auto"/>
        </w:rPr>
      </w:pPr>
      <w:r>
        <w:rPr>
          <w:rFonts w:ascii="Courier New" w:cs="Courier New" w:eastAsia="Courier New" w:hAnsi="Courier New"/>
          <w:sz w:val="15"/>
          <w:szCs w:val="15"/>
          <w:color w:val="auto"/>
        </w:rPr>
        <w:t>The restructuring charge associated with these actions and recorded in the first quarter of fiscal 2003 was $9,956. Approximately $5,710 of the total charge was paid in cash as of March 31, 2004.</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Details of Restructuring Charge of $9,956:</w:t>
      </w:r>
    </w:p>
    <w:p>
      <w:pPr>
        <w:spacing w:after="0" w:line="175" w:lineRule="exact"/>
        <w:rPr>
          <w:sz w:val="20"/>
          <w:szCs w:val="20"/>
          <w:color w:val="auto"/>
        </w:rPr>
      </w:pPr>
    </w:p>
    <w:p>
      <w:pPr>
        <w:ind w:left="530" w:right="3179" w:firstLine="529"/>
        <w:spacing w:after="0" w:line="238" w:lineRule="auto"/>
        <w:rPr>
          <w:sz w:val="20"/>
          <w:szCs w:val="20"/>
          <w:color w:val="auto"/>
        </w:rPr>
      </w:pPr>
      <w:r>
        <w:rPr>
          <w:rFonts w:ascii="Courier New" w:cs="Courier New" w:eastAsia="Courier New" w:hAnsi="Courier New"/>
          <w:sz w:val="15"/>
          <w:szCs w:val="15"/>
          <w:color w:val="auto"/>
        </w:rPr>
        <w:t>The Company recorded a charge of $4,011 related to employee separation costs in connection with the termination of employment of software information technology specialists and administrative professionals from various locations around the world. The Company recorded a charge of $4,022 related to facilities, representing rent obligations relating to vacated facilities in Raanana, Israel and St. Louis, Missouri. The Company also recorded a provision of $1,829 for asset write-offs, principally for leasehold improvements in Raanana, Israel and St. Louis, Missouri that were abandoned.</w:t>
      </w:r>
    </w:p>
    <w:p>
      <w:pPr>
        <w:spacing w:after="0" w:line="179" w:lineRule="exact"/>
        <w:rPr>
          <w:sz w:val="20"/>
          <w:szCs w:val="20"/>
          <w:color w:val="auto"/>
        </w:rPr>
      </w:pPr>
    </w:p>
    <w:p>
      <w:pPr>
        <w:ind w:left="530" w:right="3359" w:firstLine="529"/>
        <w:spacing w:after="0" w:line="235" w:lineRule="auto"/>
        <w:rPr>
          <w:sz w:val="20"/>
          <w:szCs w:val="20"/>
          <w:color w:val="auto"/>
        </w:rPr>
      </w:pPr>
      <w:r>
        <w:rPr>
          <w:rFonts w:ascii="Courier New" w:cs="Courier New" w:eastAsia="Courier New" w:hAnsi="Courier New"/>
          <w:sz w:val="15"/>
          <w:szCs w:val="15"/>
          <w:color w:val="auto"/>
        </w:rPr>
        <w:t>The first quarter of fiscal 2003 restructuring charge is comprised of the following as of March 31, 2004:</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2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EMPLOYEE</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SEPARATION</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ASSET</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COSTS</w:t>
            </w: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FACILITIES</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WRITE-OFFS</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OTHER</w:t>
            </w:r>
          </w:p>
        </w:tc>
        <w:tc>
          <w:tcPr>
            <w:tcW w:w="30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TOTAL</w:t>
            </w:r>
          </w:p>
        </w:tc>
      </w:tr>
      <w:tr>
        <w:trPr>
          <w:trHeight w:val="170"/>
        </w:trPr>
        <w:tc>
          <w:tcPr>
            <w:tcW w:w="298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2980" w:type="dxa"/>
            <w:vAlign w:val="bottom"/>
          </w:tcPr>
          <w:p>
            <w:pPr>
              <w:spacing w:after="0"/>
              <w:rPr>
                <w:sz w:val="20"/>
                <w:szCs w:val="20"/>
                <w:color w:val="auto"/>
              </w:rPr>
            </w:pPr>
            <w:r>
              <w:rPr>
                <w:rFonts w:ascii="Courier New" w:cs="Courier New" w:eastAsia="Courier New" w:hAnsi="Courier New"/>
                <w:sz w:val="15"/>
                <w:szCs w:val="15"/>
                <w:color w:val="auto"/>
              </w:rPr>
              <w:t>Balance as of October 1, 2002</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4,011</w:t>
            </w:r>
          </w:p>
        </w:tc>
        <w:tc>
          <w:tcPr>
            <w:tcW w:w="3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4,022</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1,829</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94</w:t>
            </w:r>
          </w:p>
        </w:tc>
        <w:tc>
          <w:tcPr>
            <w:tcW w:w="3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9,956</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(3,890)</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(467)</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(4,451)</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Non cash</w:t>
            </w: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(1,829)</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(1,829)</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(453)</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(415)</w:t>
            </w:r>
          </w:p>
        </w:tc>
      </w:tr>
      <w:tr>
        <w:trPr>
          <w:trHeight w:val="170"/>
        </w:trPr>
        <w:tc>
          <w:tcPr>
            <w:tcW w:w="2980" w:type="dxa"/>
            <w:vAlign w:val="bottom"/>
          </w:tcPr>
          <w:p>
            <w:pPr>
              <w:spacing w:after="0"/>
              <w:rPr>
                <w:sz w:val="14"/>
                <w:szCs w:val="14"/>
                <w:color w:val="auto"/>
              </w:rPr>
            </w:pPr>
          </w:p>
        </w:tc>
        <w:tc>
          <w:tcPr>
            <w:tcW w:w="12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Balance as of September 30, 2003</w:t>
            </w: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159</w:t>
            </w:r>
          </w:p>
        </w:tc>
        <w:tc>
          <w:tcPr>
            <w:tcW w:w="3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3,102</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3,261</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(1,092)</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(1,259)</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w:t>
            </w:r>
          </w:p>
        </w:tc>
        <w:tc>
          <w:tcPr>
            <w:tcW w:w="3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w:t>
            </w:r>
          </w:p>
        </w:tc>
      </w:tr>
      <w:tr>
        <w:trPr>
          <w:trHeight w:val="170"/>
        </w:trPr>
        <w:tc>
          <w:tcPr>
            <w:tcW w:w="2980" w:type="dxa"/>
            <w:vAlign w:val="bottom"/>
          </w:tcPr>
          <w:p>
            <w:pPr>
              <w:spacing w:after="0"/>
              <w:rPr>
                <w:sz w:val="14"/>
                <w:szCs w:val="14"/>
                <w:color w:val="auto"/>
              </w:rPr>
            </w:pPr>
          </w:p>
        </w:tc>
        <w:tc>
          <w:tcPr>
            <w:tcW w:w="12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Balance as of March 31, 2004</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$ 2,010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w:t>
            </w: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$ 2,010</w:t>
            </w:r>
          </w:p>
        </w:tc>
      </w:tr>
      <w:tr>
        <w:trPr>
          <w:trHeight w:val="170"/>
        </w:trPr>
        <w:tc>
          <w:tcPr>
            <w:tcW w:w="2980" w:type="dxa"/>
            <w:vAlign w:val="bottom"/>
          </w:tcPr>
          <w:p>
            <w:pPr>
              <w:spacing w:after="0"/>
              <w:rPr>
                <w:sz w:val="14"/>
                <w:szCs w:val="14"/>
                <w:color w:val="auto"/>
              </w:rPr>
            </w:pPr>
          </w:p>
        </w:tc>
        <w:tc>
          <w:tcPr>
            <w:tcW w:w="12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530" w:right="3359" w:firstLine="529"/>
        <w:spacing w:after="0" w:line="237" w:lineRule="auto"/>
        <w:rPr>
          <w:sz w:val="20"/>
          <w:szCs w:val="20"/>
          <w:color w:val="auto"/>
        </w:rPr>
      </w:pPr>
      <w:r>
        <w:rPr>
          <w:rFonts w:ascii="Courier New" w:cs="Courier New" w:eastAsia="Courier New" w:hAnsi="Courier New"/>
          <w:sz w:val="15"/>
          <w:szCs w:val="15"/>
          <w:color w:val="auto"/>
        </w:rPr>
        <w:t>The financial savings of these actions, of approximately $8,000 quarterly commencing in the second quarter of 2003, is reflected as a reduction in operating expense. These costs savings may not be permanent as increased activity levels resulting from, among other factors, acquisitions, new Managed</w:t>
      </w:r>
    </w:p>
    <w:p>
      <w:pPr>
        <w:spacing w:after="0" w:line="34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452" w:right="1440" w:bottom="1440" w:gutter="0" w:footer="0" w:header="0"/>
        </w:sectPr>
      </w:pPr>
    </w:p>
    <w:bookmarkStart w:id="15" w:name="page16"/>
    <w:bookmarkEnd w:id="15"/>
    <w:p>
      <w:pPr>
        <w:jc w:val="center"/>
        <w:ind w:right="26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9"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5" w:lineRule="exact"/>
        <w:rPr>
          <w:sz w:val="20"/>
          <w:szCs w:val="20"/>
          <w:color w:val="auto"/>
        </w:rPr>
      </w:pPr>
    </w:p>
    <w:p>
      <w:pPr>
        <w:ind w:left="520" w:right="700"/>
        <w:spacing w:after="0" w:line="235" w:lineRule="auto"/>
        <w:rPr>
          <w:sz w:val="20"/>
          <w:szCs w:val="20"/>
          <w:color w:val="auto"/>
        </w:rPr>
      </w:pPr>
      <w:r>
        <w:rPr>
          <w:rFonts w:ascii="Courier New" w:cs="Courier New" w:eastAsia="Courier New" w:hAnsi="Courier New"/>
          <w:sz w:val="15"/>
          <w:szCs w:val="15"/>
          <w:color w:val="auto"/>
        </w:rPr>
        <w:t>Services agreements and increased revenue, may require an increase in headcount and other increased spending.</w:t>
      </w:r>
    </w:p>
    <w:p>
      <w:pPr>
        <w:spacing w:after="0" w:line="170"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Fiscal Year Ended September 30, 2002</w:t>
      </w:r>
    </w:p>
    <w:p>
      <w:pPr>
        <w:spacing w:after="0" w:line="175" w:lineRule="exact"/>
        <w:rPr>
          <w:sz w:val="20"/>
          <w:szCs w:val="20"/>
          <w:color w:val="auto"/>
        </w:rPr>
      </w:pPr>
    </w:p>
    <w:p>
      <w:pPr>
        <w:ind w:left="520" w:right="260" w:firstLine="529"/>
        <w:spacing w:after="0" w:line="238" w:lineRule="auto"/>
        <w:rPr>
          <w:sz w:val="20"/>
          <w:szCs w:val="20"/>
          <w:color w:val="auto"/>
        </w:rPr>
      </w:pPr>
      <w:r>
        <w:rPr>
          <w:rFonts w:ascii="Courier New" w:cs="Courier New" w:eastAsia="Courier New" w:hAnsi="Courier New"/>
          <w:sz w:val="15"/>
          <w:szCs w:val="15"/>
          <w:color w:val="auto"/>
        </w:rPr>
        <w:t>In the fourth quarter of fiscal 2002, the Company implemented a cost reduction program targeted to reduce costs by approximately $30,000 in response to a decline of the forecasted revenue for the third and fourth quarters of fiscal 2002. The decline resulted from, among other factors, slowdowns in customer buying decisions in the third quarter of fiscal 2002, stemming from overall reductions in the capital investment budgets of many communications service providers, leading to fewer new contracts than expected, as well as from smaller than expected initial spending commitments and reduced discretionary spending under contracts with some customers.</w:t>
      </w:r>
    </w:p>
    <w:p>
      <w:pPr>
        <w:spacing w:after="0" w:line="180" w:lineRule="exact"/>
        <w:rPr>
          <w:sz w:val="20"/>
          <w:szCs w:val="20"/>
          <w:color w:val="auto"/>
        </w:rPr>
      </w:pPr>
    </w:p>
    <w:p>
      <w:pPr>
        <w:ind w:left="520" w:right="260" w:firstLine="529"/>
        <w:spacing w:after="0" w:line="237" w:lineRule="auto"/>
        <w:rPr>
          <w:sz w:val="20"/>
          <w:szCs w:val="20"/>
          <w:color w:val="auto"/>
        </w:rPr>
      </w:pPr>
      <w:r>
        <w:rPr>
          <w:rFonts w:ascii="Courier New" w:cs="Courier New" w:eastAsia="Courier New" w:hAnsi="Courier New"/>
          <w:sz w:val="15"/>
          <w:szCs w:val="15"/>
          <w:color w:val="auto"/>
        </w:rPr>
        <w:t>The restructuring charge associated with these actions and recorded in the fourth quarter of fiscal 2002 was $20,919. Approximately $16,728 of the total charge was paid in cash as of March 31, 2004.</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Details of Restructuring Charge of $20,919:</w:t>
      </w:r>
    </w:p>
    <w:p>
      <w:pPr>
        <w:spacing w:after="0" w:line="175" w:lineRule="exact"/>
        <w:rPr>
          <w:sz w:val="20"/>
          <w:szCs w:val="20"/>
          <w:color w:val="auto"/>
        </w:rPr>
      </w:pPr>
    </w:p>
    <w:p>
      <w:pPr>
        <w:ind w:left="520" w:right="260" w:firstLine="529"/>
        <w:spacing w:after="0" w:line="257" w:lineRule="auto"/>
        <w:rPr>
          <w:sz w:val="20"/>
          <w:szCs w:val="20"/>
          <w:color w:val="auto"/>
        </w:rPr>
      </w:pPr>
      <w:r>
        <w:rPr>
          <w:rFonts w:ascii="Courier New" w:cs="Courier New" w:eastAsia="Courier New" w:hAnsi="Courier New"/>
          <w:sz w:val="14"/>
          <w:szCs w:val="14"/>
          <w:color w:val="auto"/>
        </w:rPr>
        <w:t>The Company recorded a charge of $11,353 related to employee separation costs in connection with the termination of employment of approximately 1,000 employees, representing approximately 10% of the Company's worldwide workforce of 9,900 full-time employees. The actual number of employees terminated approximated original estimates. There was not a single group of employees or business function that was solely impacted by these measures; instead it impacted information technology specialists and administration professionals across a broad range of functions according to the areas with reduced activities. The Company recorded a charge of $7,880 related to facilities, representing rent obligations relating to vacated facilities in various locations in Canada, Israel and the United States. The Company also recorded a provision of $1,584 for asset write-offs, principally for leasehold improvements in Canada, Israel and the United States that were abandoned.</w:t>
      </w:r>
    </w:p>
    <w:p>
      <w:pPr>
        <w:spacing w:after="0" w:line="165" w:lineRule="exact"/>
        <w:rPr>
          <w:sz w:val="20"/>
          <w:szCs w:val="20"/>
          <w:color w:val="auto"/>
        </w:rPr>
      </w:pPr>
    </w:p>
    <w:p>
      <w:pPr>
        <w:ind w:left="520" w:right="340" w:firstLine="529"/>
        <w:spacing w:after="0" w:line="235" w:lineRule="auto"/>
        <w:rPr>
          <w:sz w:val="20"/>
          <w:szCs w:val="20"/>
          <w:color w:val="auto"/>
        </w:rPr>
      </w:pPr>
      <w:r>
        <w:rPr>
          <w:rFonts w:ascii="Courier New" w:cs="Courier New" w:eastAsia="Courier New" w:hAnsi="Courier New"/>
          <w:sz w:val="15"/>
          <w:szCs w:val="15"/>
          <w:color w:val="auto"/>
        </w:rPr>
        <w:t>The fourth quarter of fiscal 2002 restructuring charge is comprised of the following as of March 31, 2004:</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EMPLOYEE</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0"/>
        </w:trPr>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SEPARATION</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ASSET</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0"/>
        </w:trPr>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COSTS</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FACILITIES</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WRITE-OFFS</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OTHER</w:t>
            </w:r>
          </w:p>
        </w:tc>
      </w:tr>
      <w:tr>
        <w:trPr>
          <w:trHeight w:val="170"/>
        </w:trPr>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2"/>
              </w:rPr>
              <w:t>------</w:t>
            </w:r>
          </w:p>
        </w:tc>
      </w:tr>
      <w:tr>
        <w:trPr>
          <w:trHeight w:val="33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Balance as of</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October 1, 2001</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11,353</w:t>
            </w: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7,880</w:t>
            </w:r>
          </w:p>
        </w:tc>
        <w:tc>
          <w:tcPr>
            <w:tcW w:w="30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1,584</w:t>
            </w:r>
          </w:p>
        </w:tc>
        <w:tc>
          <w:tcPr>
            <w:tcW w:w="300" w:type="dxa"/>
            <w:vAlign w:val="bottom"/>
          </w:tcPr>
          <w:p>
            <w:pPr>
              <w:spacing w:after="0"/>
              <w:rPr>
                <w:sz w:val="14"/>
                <w:szCs w:val="14"/>
                <w:color w:val="auto"/>
              </w:rPr>
            </w:pP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Cash payments</w:t>
            </w:r>
          </w:p>
        </w:tc>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(8,053)</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(456)</w:t>
            </w:r>
          </w:p>
        </w:tc>
        <w:tc>
          <w:tcPr>
            <w:tcW w:w="30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Non cash</w:t>
            </w:r>
          </w:p>
        </w:tc>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(1,584)</w:t>
            </w:r>
          </w:p>
        </w:tc>
        <w:tc>
          <w:tcPr>
            <w:tcW w:w="300" w:type="dxa"/>
            <w:vAlign w:val="bottom"/>
          </w:tcPr>
          <w:p>
            <w:pPr>
              <w:spacing w:after="0"/>
              <w:rPr>
                <w:sz w:val="14"/>
                <w:szCs w:val="14"/>
                <w:color w:val="auto"/>
              </w:rPr>
            </w:pP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Balance as of</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September 30, 2002</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3,300</w:t>
            </w: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7,424</w:t>
            </w:r>
          </w:p>
        </w:tc>
        <w:tc>
          <w:tcPr>
            <w:tcW w:w="30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Cash payments</w:t>
            </w:r>
          </w:p>
        </w:tc>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(3,240)</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(4,082)</w:t>
            </w:r>
          </w:p>
        </w:tc>
        <w:tc>
          <w:tcPr>
            <w:tcW w:w="30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w:t>
            </w:r>
          </w:p>
        </w:tc>
        <w:tc>
          <w:tcPr>
            <w:tcW w:w="30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Balance as of</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September 30, 2003</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w:t>
            </w: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3,194</w:t>
            </w:r>
          </w:p>
        </w:tc>
        <w:tc>
          <w:tcPr>
            <w:tcW w:w="30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Cash payments</w:t>
            </w:r>
          </w:p>
        </w:tc>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(795)</w:t>
            </w:r>
          </w:p>
        </w:tc>
        <w:tc>
          <w:tcPr>
            <w:tcW w:w="30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w:t>
            </w: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82</w:t>
            </w:r>
          </w:p>
        </w:tc>
        <w:tc>
          <w:tcPr>
            <w:tcW w:w="30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Balance as of</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March 31, 2004</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$ 2,481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678"/>
        </w:trPr>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540" w:hanging="533"/>
        <w:spacing w:after="0"/>
        <w:tabs>
          <w:tab w:leader="none" w:pos="5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20,919</w:t>
      </w:r>
    </w:p>
    <w:p>
      <w:pPr>
        <w:spacing w:after="0" w:line="4"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(8,566)</w:t>
      </w:r>
    </w:p>
    <w:p>
      <w:pPr>
        <w:spacing w:after="0" w:line="10"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(1,584)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ind w:left="180"/>
        <w:spacing w:after="0"/>
        <w:rPr>
          <w:sz w:val="20"/>
          <w:szCs w:val="20"/>
          <w:color w:val="auto"/>
        </w:rPr>
      </w:pPr>
      <w:r>
        <w:rPr>
          <w:rFonts w:ascii="Courier New" w:cs="Courier New" w:eastAsia="Courier New" w:hAnsi="Courier New"/>
          <w:sz w:val="15"/>
          <w:szCs w:val="15"/>
          <w:color w:val="auto"/>
        </w:rPr>
        <w:t>10,769</w:t>
      </w:r>
    </w:p>
    <w:p>
      <w:pPr>
        <w:jc w:val="right"/>
        <w:ind w:right="1679"/>
        <w:spacing w:after="0"/>
        <w:rPr>
          <w:sz w:val="20"/>
          <w:szCs w:val="20"/>
          <w:color w:val="auto"/>
        </w:rPr>
      </w:pPr>
      <w:r>
        <w:rPr>
          <w:rFonts w:ascii="Courier New" w:cs="Courier New" w:eastAsia="Courier New" w:hAnsi="Courier New"/>
          <w:sz w:val="15"/>
          <w:szCs w:val="15"/>
          <w:color w:val="auto"/>
        </w:rPr>
        <w:t>(7,367)</w:t>
      </w:r>
    </w:p>
    <w:p>
      <w:pPr>
        <w:jc w:val="right"/>
        <w:ind w:right="1679"/>
        <w:spacing w:after="0" w:line="238" w:lineRule="auto"/>
        <w:rPr>
          <w:sz w:val="20"/>
          <w:szCs w:val="20"/>
          <w:color w:val="auto"/>
        </w:rPr>
      </w:pPr>
      <w:r>
        <w:rPr>
          <w:rFonts w:ascii="Courier New" w:cs="Courier New" w:eastAsia="Courier New" w:hAnsi="Courier New"/>
          <w:sz w:val="15"/>
          <w:szCs w:val="15"/>
          <w:color w:val="auto"/>
        </w:rPr>
        <w:t>(126)</w:t>
      </w:r>
    </w:p>
    <w:p>
      <w:pPr>
        <w:spacing w:after="0"/>
        <w:rPr>
          <w:sz w:val="20"/>
          <w:szCs w:val="20"/>
          <w:color w:val="auto"/>
        </w:rPr>
      </w:pPr>
      <w:r>
        <w:rPr>
          <w:rFonts w:ascii="Courier New" w:cs="Courier New" w:eastAsia="Courier New" w:hAnsi="Courier New"/>
          <w:sz w:val="15"/>
          <w:szCs w:val="15"/>
          <w:color w:val="auto"/>
        </w:rPr>
        <w:t>--------</w:t>
      </w:r>
    </w:p>
    <w:p>
      <w:pPr>
        <w:ind w:left="280"/>
        <w:spacing w:after="0"/>
        <w:rPr>
          <w:sz w:val="20"/>
          <w:szCs w:val="20"/>
          <w:color w:val="auto"/>
        </w:rPr>
      </w:pPr>
      <w:r>
        <w:rPr>
          <w:rFonts w:ascii="Courier New" w:cs="Courier New" w:eastAsia="Courier New" w:hAnsi="Courier New"/>
          <w:sz w:val="15"/>
          <w:szCs w:val="15"/>
          <w:color w:val="auto"/>
        </w:rPr>
        <w:t>3,276</w:t>
      </w:r>
    </w:p>
    <w:p>
      <w:pPr>
        <w:jc w:val="right"/>
        <w:ind w:right="1679"/>
        <w:spacing w:after="0" w:line="238" w:lineRule="auto"/>
        <w:rPr>
          <w:sz w:val="20"/>
          <w:szCs w:val="20"/>
          <w:color w:val="auto"/>
        </w:rPr>
      </w:pPr>
      <w:r>
        <w:rPr>
          <w:rFonts w:ascii="Courier New" w:cs="Courier New" w:eastAsia="Courier New" w:hAnsi="Courier New"/>
          <w:sz w:val="15"/>
          <w:szCs w:val="15"/>
          <w:color w:val="auto"/>
        </w:rPr>
        <w:t>(795)</w:t>
      </w:r>
    </w:p>
    <w:p>
      <w:pPr>
        <w:ind w:left="54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ind w:left="280" w:hanging="273"/>
        <w:spacing w:after="0"/>
        <w:tabs>
          <w:tab w:leader="none" w:pos="2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2,481</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7300" w:space="440"/>
            <w:col w:w="2479"/>
          </w:cols>
          <w:pgMar w:left="240" w:top="452" w:right="1440" w:bottom="1440" w:gutter="0" w:footer="0" w:header="0"/>
        </w:sectPr>
      </w:pPr>
    </w:p>
    <w:bookmarkStart w:id="16" w:name="page17"/>
    <w:bookmarkEnd w:id="16"/>
    <w:p>
      <w:pPr>
        <w:jc w:val="center"/>
        <w:ind w:right="18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5" w:lineRule="exact"/>
        <w:rPr>
          <w:sz w:val="20"/>
          <w:szCs w:val="20"/>
          <w:color w:val="auto"/>
        </w:rPr>
      </w:pPr>
    </w:p>
    <w:p>
      <w:pPr>
        <w:ind w:left="520" w:right="180" w:firstLine="529"/>
        <w:spacing w:after="0" w:line="258" w:lineRule="auto"/>
        <w:rPr>
          <w:sz w:val="20"/>
          <w:szCs w:val="20"/>
          <w:color w:val="auto"/>
        </w:rPr>
      </w:pPr>
      <w:r>
        <w:rPr>
          <w:rFonts w:ascii="Courier New" w:cs="Courier New" w:eastAsia="Courier New" w:hAnsi="Courier New"/>
          <w:sz w:val="14"/>
          <w:szCs w:val="14"/>
          <w:color w:val="auto"/>
        </w:rPr>
        <w:t>The financial savings of these actions of approximately $30,000 quarterly commencing in the first quarter of fiscal 2003, is reflected as a reduction in operating expense. These costs savings may not be permanent as increased activity levels resulting from, among other factors, acquisitions, Managed Services agreements and increased revenue, may require an increase in headcount and other increased spending.</w:t>
      </w:r>
    </w:p>
    <w:p>
      <w:pPr>
        <w:spacing w:after="0" w:line="164" w:lineRule="exact"/>
        <w:rPr>
          <w:sz w:val="20"/>
          <w:szCs w:val="20"/>
          <w:color w:val="auto"/>
        </w:rPr>
      </w:pPr>
    </w:p>
    <w:p>
      <w:pPr>
        <w:ind w:left="520" w:right="180" w:firstLine="529"/>
        <w:spacing w:after="0" w:line="237" w:lineRule="auto"/>
        <w:rPr>
          <w:sz w:val="20"/>
          <w:szCs w:val="20"/>
          <w:color w:val="auto"/>
        </w:rPr>
      </w:pPr>
      <w:r>
        <w:rPr>
          <w:rFonts w:ascii="Courier New" w:cs="Courier New" w:eastAsia="Courier New" w:hAnsi="Courier New"/>
          <w:sz w:val="15"/>
          <w:szCs w:val="15"/>
          <w:color w:val="auto"/>
        </w:rPr>
        <w:t>In the first quarter of fiscal 2002, as part of a plan to achieve increased operational efficiency and to more closely monitor and reduce costs, the Company consolidated its Stamford, Connecticut data center into its Champaign, Illinois facility and closed the Stamford facility.</w:t>
      </w:r>
    </w:p>
    <w:p>
      <w:pPr>
        <w:spacing w:after="0" w:line="171"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Details of Restructuring charge of $13,311:</w:t>
      </w:r>
    </w:p>
    <w:p>
      <w:pPr>
        <w:spacing w:after="0" w:line="175" w:lineRule="exact"/>
        <w:rPr>
          <w:sz w:val="20"/>
          <w:szCs w:val="20"/>
          <w:color w:val="auto"/>
        </w:rPr>
      </w:pPr>
    </w:p>
    <w:p>
      <w:pPr>
        <w:ind w:left="520" w:right="180" w:firstLine="529"/>
        <w:spacing w:after="0" w:line="238" w:lineRule="auto"/>
        <w:rPr>
          <w:sz w:val="20"/>
          <w:szCs w:val="20"/>
          <w:color w:val="auto"/>
        </w:rPr>
      </w:pPr>
      <w:r>
        <w:rPr>
          <w:rFonts w:ascii="Courier New" w:cs="Courier New" w:eastAsia="Courier New" w:hAnsi="Courier New"/>
          <w:sz w:val="15"/>
          <w:szCs w:val="15"/>
          <w:color w:val="auto"/>
        </w:rPr>
        <w:t>Approximately $6,255 of the total restructuring charge related to facilities and represented rent obligation outstanding for the Stamford site. Approximately $4,126 of the total restructuring charge related to the write-off of leasehold improvements at the Stamford site that were abandoned. The Company also recorded a provision of $2,930 related to employee separation costs in connection with the termination of employment of 166 employees.</w:t>
      </w:r>
    </w:p>
    <w:p>
      <w:pPr>
        <w:spacing w:after="0" w:line="177" w:lineRule="exact"/>
        <w:rPr>
          <w:sz w:val="20"/>
          <w:szCs w:val="20"/>
          <w:color w:val="auto"/>
        </w:rPr>
      </w:pPr>
    </w:p>
    <w:p>
      <w:pPr>
        <w:ind w:left="520" w:right="620" w:firstLine="529"/>
        <w:spacing w:after="0" w:line="237" w:lineRule="auto"/>
        <w:rPr>
          <w:sz w:val="20"/>
          <w:szCs w:val="20"/>
          <w:color w:val="auto"/>
        </w:rPr>
      </w:pPr>
      <w:r>
        <w:rPr>
          <w:rFonts w:ascii="Courier New" w:cs="Courier New" w:eastAsia="Courier New" w:hAnsi="Courier New"/>
          <w:sz w:val="15"/>
          <w:szCs w:val="15"/>
          <w:color w:val="auto"/>
        </w:rPr>
        <w:t>The restructuring charge related to the consolidation of the Stamford and Champaign facilities is comprised of the following as of March 31, 2004:</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EMPLOYEE</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SEPARATION</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ASSET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COSTS</w:t>
            </w: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FACILITIES</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WRITE-OFFS</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OTHER</w:t>
            </w:r>
          </w:p>
        </w:tc>
      </w:tr>
      <w:tr>
        <w:trPr>
          <w:trHeight w:val="170"/>
        </w:trPr>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Balance as of</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October 1, 2001</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2,530</w:t>
            </w:r>
          </w:p>
        </w:tc>
        <w:tc>
          <w:tcPr>
            <w:tcW w:w="3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6,255</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4,126</w:t>
            </w:r>
          </w:p>
        </w:tc>
        <w:tc>
          <w:tcPr>
            <w:tcW w:w="26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400</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Cash payments</w:t>
            </w:r>
          </w:p>
        </w:tc>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(2,473)</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(2,592)</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Non cash</w:t>
            </w:r>
          </w:p>
        </w:tc>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(4,126)</w:t>
            </w:r>
          </w:p>
        </w:tc>
        <w:tc>
          <w:tcPr>
            <w:tcW w:w="26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Balance as of</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September 30, 2002</w:t>
            </w: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57</w:t>
            </w:r>
          </w:p>
        </w:tc>
        <w:tc>
          <w:tcPr>
            <w:tcW w:w="3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3,663</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395</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Cash payments</w:t>
            </w:r>
          </w:p>
        </w:tc>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(785)</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(141)</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(168)</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(254)</w:t>
            </w:r>
          </w:p>
        </w:tc>
      </w:tr>
      <w:tr>
        <w:trPr>
          <w:trHeight w:val="170"/>
        </w:trPr>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Balance as of</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September 30, 2003</w:t>
            </w: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2,710</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Cash payments</w:t>
            </w:r>
          </w:p>
        </w:tc>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(465)</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Balance as of</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March 31, 2004</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$ 2,245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520" w:right="620" w:firstLine="529"/>
        <w:spacing w:after="0" w:line="265" w:lineRule="auto"/>
        <w:rPr>
          <w:sz w:val="20"/>
          <w:szCs w:val="20"/>
          <w:color w:val="auto"/>
        </w:rPr>
      </w:pPr>
      <w:r>
        <w:rPr>
          <w:rFonts w:ascii="Courier New" w:cs="Courier New" w:eastAsia="Courier New" w:hAnsi="Courier New"/>
          <w:sz w:val="14"/>
          <w:szCs w:val="14"/>
          <w:color w:val="auto"/>
        </w:rPr>
        <w:t>The operating costs related to the Stamford site that were eliminated were approximately $8,500 in its last quarter of activity.</w:t>
      </w:r>
    </w:p>
    <w:p>
      <w:pPr>
        <w:spacing w:after="0" w:line="32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758"/>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521" w:hanging="521"/>
        <w:spacing w:after="0"/>
        <w:tabs>
          <w:tab w:leader="none" w:pos="521"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13,311</w:t>
      </w:r>
    </w:p>
    <w:p>
      <w:pPr>
        <w:spacing w:after="0" w:line="4" w:lineRule="exact"/>
        <w:rPr>
          <w:rFonts w:ascii="Courier New" w:cs="Courier New" w:eastAsia="Courier New" w:hAnsi="Courier New"/>
          <w:sz w:val="15"/>
          <w:szCs w:val="15"/>
          <w:color w:val="auto"/>
        </w:rPr>
      </w:pPr>
    </w:p>
    <w:p>
      <w:pPr>
        <w:ind w:left="181"/>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(5,070)</w:t>
      </w:r>
    </w:p>
    <w:p>
      <w:pPr>
        <w:spacing w:after="0" w:line="10" w:lineRule="exact"/>
        <w:rPr>
          <w:rFonts w:ascii="Courier New" w:cs="Courier New" w:eastAsia="Courier New" w:hAnsi="Courier New"/>
          <w:sz w:val="15"/>
          <w:szCs w:val="15"/>
          <w:color w:val="auto"/>
        </w:rPr>
      </w:pPr>
    </w:p>
    <w:p>
      <w:pPr>
        <w:ind w:left="181"/>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(4,126)</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w:t>
      </w:r>
    </w:p>
    <w:p>
      <w:pPr>
        <w:ind w:left="261"/>
        <w:spacing w:after="0"/>
        <w:rPr>
          <w:sz w:val="20"/>
          <w:szCs w:val="20"/>
          <w:color w:val="auto"/>
        </w:rPr>
      </w:pPr>
      <w:r>
        <w:rPr>
          <w:rFonts w:ascii="Courier New" w:cs="Courier New" w:eastAsia="Courier New" w:hAnsi="Courier New"/>
          <w:sz w:val="15"/>
          <w:szCs w:val="15"/>
          <w:color w:val="auto"/>
        </w:rPr>
        <w:t>4,115</w:t>
      </w:r>
    </w:p>
    <w:p>
      <w:pPr>
        <w:jc w:val="right"/>
        <w:ind w:right="1759"/>
        <w:spacing w:after="0"/>
        <w:rPr>
          <w:sz w:val="20"/>
          <w:szCs w:val="20"/>
          <w:color w:val="auto"/>
        </w:rPr>
      </w:pPr>
      <w:r>
        <w:rPr>
          <w:rFonts w:ascii="Courier New" w:cs="Courier New" w:eastAsia="Courier New" w:hAnsi="Courier New"/>
          <w:sz w:val="15"/>
          <w:szCs w:val="15"/>
          <w:color w:val="auto"/>
        </w:rPr>
        <w:t>(926)</w:t>
      </w:r>
    </w:p>
    <w:p>
      <w:pPr>
        <w:jc w:val="right"/>
        <w:ind w:right="1759"/>
        <w:spacing w:after="0" w:line="238" w:lineRule="auto"/>
        <w:rPr>
          <w:sz w:val="20"/>
          <w:szCs w:val="20"/>
          <w:color w:val="auto"/>
        </w:rPr>
      </w:pPr>
      <w:r>
        <w:rPr>
          <w:rFonts w:ascii="Courier New" w:cs="Courier New" w:eastAsia="Courier New" w:hAnsi="Courier New"/>
          <w:sz w:val="15"/>
          <w:szCs w:val="15"/>
          <w:color w:val="auto"/>
        </w:rPr>
        <w:t>(479)</w:t>
      </w:r>
    </w:p>
    <w:p>
      <w:pPr>
        <w:ind w:left="1"/>
        <w:spacing w:after="0"/>
        <w:rPr>
          <w:sz w:val="20"/>
          <w:szCs w:val="20"/>
          <w:color w:val="auto"/>
        </w:rPr>
      </w:pPr>
      <w:r>
        <w:rPr>
          <w:rFonts w:ascii="Courier New" w:cs="Courier New" w:eastAsia="Courier New" w:hAnsi="Courier New"/>
          <w:sz w:val="15"/>
          <w:szCs w:val="15"/>
          <w:color w:val="auto"/>
        </w:rPr>
        <w:t>--------</w:t>
      </w:r>
    </w:p>
    <w:p>
      <w:pPr>
        <w:ind w:left="261"/>
        <w:spacing w:after="0"/>
        <w:rPr>
          <w:sz w:val="20"/>
          <w:szCs w:val="20"/>
          <w:color w:val="auto"/>
        </w:rPr>
      </w:pPr>
      <w:r>
        <w:rPr>
          <w:rFonts w:ascii="Courier New" w:cs="Courier New" w:eastAsia="Courier New" w:hAnsi="Courier New"/>
          <w:sz w:val="15"/>
          <w:szCs w:val="15"/>
          <w:color w:val="auto"/>
        </w:rPr>
        <w:t>2,710</w:t>
      </w:r>
    </w:p>
    <w:p>
      <w:pPr>
        <w:jc w:val="right"/>
        <w:ind w:right="1759"/>
        <w:spacing w:after="0" w:line="238" w:lineRule="auto"/>
        <w:rPr>
          <w:sz w:val="20"/>
          <w:szCs w:val="20"/>
          <w:color w:val="auto"/>
        </w:rPr>
      </w:pPr>
      <w:r>
        <w:rPr>
          <w:rFonts w:ascii="Courier New" w:cs="Courier New" w:eastAsia="Courier New" w:hAnsi="Courier New"/>
          <w:sz w:val="15"/>
          <w:szCs w:val="15"/>
          <w:color w:val="auto"/>
        </w:rPr>
        <w:t>(465)</w:t>
      </w:r>
    </w:p>
    <w:p>
      <w:pPr>
        <w:ind w:left="1"/>
        <w:spacing w:after="0"/>
        <w:rPr>
          <w:sz w:val="20"/>
          <w:szCs w:val="20"/>
          <w:color w:val="auto"/>
        </w:rPr>
      </w:pPr>
      <w:r>
        <w:rPr>
          <w:rFonts w:ascii="Courier New" w:cs="Courier New" w:eastAsia="Courier New" w:hAnsi="Courier New"/>
          <w:sz w:val="15"/>
          <w:szCs w:val="15"/>
          <w:color w:val="auto"/>
        </w:rPr>
        <w:t>--------</w:t>
      </w:r>
    </w:p>
    <w:p>
      <w:pPr>
        <w:ind w:left="261" w:hanging="261"/>
        <w:spacing w:after="0"/>
        <w:tabs>
          <w:tab w:leader="none" w:pos="26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2,245</w:t>
      </w:r>
    </w:p>
    <w:p>
      <w:pPr>
        <w:ind w:left="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7220" w:space="439"/>
            <w:col w:w="2560"/>
          </w:cols>
          <w:pgMar w:left="240" w:top="452" w:right="1440" w:bottom="1440" w:gutter="0" w:footer="0" w:header="0"/>
        </w:sectPr>
      </w:pPr>
    </w:p>
    <w:bookmarkStart w:id="17" w:name="page18"/>
    <w:bookmarkEnd w:id="17"/>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9" w:lineRule="exact"/>
        <w:rPr>
          <w:sz w:val="20"/>
          <w:szCs w:val="20"/>
          <w:color w:val="auto"/>
        </w:rPr>
      </w:pPr>
    </w:p>
    <w:p>
      <w:pPr>
        <w:ind w:left="530" w:hanging="530"/>
        <w:spacing w:after="0"/>
        <w:tabs>
          <w:tab w:leader="none" w:pos="53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BENEFITS</w:t>
      </w:r>
    </w:p>
    <w:p>
      <w:pPr>
        <w:spacing w:after="0" w:line="175" w:lineRule="exact"/>
        <w:rPr>
          <w:sz w:val="20"/>
          <w:szCs w:val="20"/>
          <w:color w:val="auto"/>
        </w:rPr>
      </w:pPr>
    </w:p>
    <w:p>
      <w:pPr>
        <w:ind w:left="530" w:right="3179" w:firstLine="529"/>
        <w:spacing w:after="0" w:line="238" w:lineRule="auto"/>
        <w:rPr>
          <w:sz w:val="20"/>
          <w:szCs w:val="20"/>
          <w:color w:val="auto"/>
        </w:rPr>
      </w:pPr>
      <w:r>
        <w:rPr>
          <w:rFonts w:ascii="Courier New" w:cs="Courier New" w:eastAsia="Courier New" w:hAnsi="Courier New"/>
          <w:sz w:val="15"/>
          <w:szCs w:val="15"/>
          <w:color w:val="auto"/>
        </w:rPr>
        <w:t>FASB Statement No. 132 (revised 2003), "Employers' Disclosures about Pensions and Other Postretirement Benefits", requires additional disclosures about assets, obligations, cash flows, and net periodic benefit cost of defined benefit pension plans and other post-retirement benefit plans. The provisions of this Statement are effective for fiscal years ending after December 15, 2003. The interim-period disclosures are effective for interim periods beginning after December 15, 2003. The Company adopted the interim disclosure provisions in the quarter ended March 31, 2004.</w:t>
      </w:r>
    </w:p>
    <w:p>
      <w:pPr>
        <w:spacing w:after="0" w:line="179" w:lineRule="exact"/>
        <w:rPr>
          <w:sz w:val="20"/>
          <w:szCs w:val="20"/>
          <w:color w:val="auto"/>
        </w:rPr>
      </w:pPr>
    </w:p>
    <w:p>
      <w:pPr>
        <w:ind w:left="530" w:right="3259" w:firstLine="529"/>
        <w:spacing w:after="0" w:line="238" w:lineRule="auto"/>
        <w:rPr>
          <w:sz w:val="20"/>
          <w:szCs w:val="20"/>
          <w:color w:val="auto"/>
        </w:rPr>
      </w:pPr>
      <w:r>
        <w:rPr>
          <w:rFonts w:ascii="Courier New" w:cs="Courier New" w:eastAsia="Courier New" w:hAnsi="Courier New"/>
          <w:sz w:val="15"/>
          <w:szCs w:val="15"/>
          <w:color w:val="auto"/>
        </w:rPr>
        <w:t>As a result of the Company's acquisition of Certen (see Note 10) on July 2, 2003, the Company now maintains several non-contributory defined benefit plans that provide for pension, other retirement and post-employment benefits for Certen employees based on length of service and rate of pay. Contributions by the Company are based on various generally accepted actuarial methods and reflect actuarial assumptions concerning future investment returns, salary projections and future service benefits. Plan assets consist primarily of Canadian and other equities, government and corporate bonds, debentures and secured mortgages, which are held in units of the BCE Master Trust Fund, a trust established by Bell.</w:t>
      </w:r>
    </w:p>
    <w:p>
      <w:pPr>
        <w:spacing w:after="0" w:line="181" w:lineRule="exact"/>
        <w:rPr>
          <w:sz w:val="20"/>
          <w:szCs w:val="20"/>
          <w:color w:val="auto"/>
        </w:rPr>
      </w:pPr>
    </w:p>
    <w:p>
      <w:pPr>
        <w:ind w:left="530" w:right="3179" w:firstLine="529"/>
        <w:spacing w:after="0" w:line="235" w:lineRule="auto"/>
        <w:rPr>
          <w:sz w:val="20"/>
          <w:szCs w:val="20"/>
          <w:color w:val="auto"/>
        </w:rPr>
      </w:pPr>
      <w:r>
        <w:rPr>
          <w:rFonts w:ascii="Courier New" w:cs="Courier New" w:eastAsia="Courier New" w:hAnsi="Courier New"/>
          <w:sz w:val="15"/>
          <w:szCs w:val="15"/>
          <w:color w:val="auto"/>
        </w:rPr>
        <w:t>The net periodic benefit cost under these plans for the three months and six months ended March 31, 2004, was as follows:</w:t>
      </w:r>
    </w:p>
    <w:p>
      <w:pPr>
        <w:spacing w:after="0" w:line="200" w:lineRule="exact"/>
        <w:rPr>
          <w:sz w:val="20"/>
          <w:szCs w:val="20"/>
          <w:color w:val="auto"/>
        </w:rPr>
      </w:pPr>
    </w:p>
    <w:p>
      <w:pPr>
        <w:spacing w:after="0" w:line="309"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19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THREE MONTHS ENDED</w:t>
            </w:r>
          </w:p>
        </w:tc>
        <w:tc>
          <w:tcPr>
            <w:tcW w:w="18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2820" w:type="dxa"/>
            <w:vAlign w:val="bottom"/>
          </w:tcPr>
          <w:p>
            <w:pPr>
              <w:spacing w:after="0"/>
              <w:rPr>
                <w:sz w:val="14"/>
                <w:szCs w:val="14"/>
                <w:color w:val="auto"/>
              </w:rPr>
            </w:pPr>
          </w:p>
        </w:tc>
        <w:tc>
          <w:tcPr>
            <w:tcW w:w="19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MARCH 31, 2004</w:t>
            </w:r>
          </w:p>
        </w:tc>
        <w:tc>
          <w:tcPr>
            <w:tcW w:w="18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MARCH 31, 2004</w:t>
            </w:r>
          </w:p>
        </w:tc>
      </w:tr>
      <w:tr>
        <w:trPr>
          <w:trHeight w:val="170"/>
        </w:trPr>
        <w:tc>
          <w:tcPr>
            <w:tcW w:w="2820" w:type="dxa"/>
            <w:vAlign w:val="bottom"/>
          </w:tcPr>
          <w:p>
            <w:pPr>
              <w:spacing w:after="0"/>
              <w:rPr>
                <w:sz w:val="14"/>
                <w:szCs w:val="14"/>
                <w:color w:val="auto"/>
              </w:rPr>
            </w:pPr>
          </w:p>
        </w:tc>
        <w:tc>
          <w:tcPr>
            <w:tcW w:w="19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PENSION</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OTHER</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PENSION</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OTHER</w:t>
            </w:r>
          </w:p>
        </w:tc>
      </w:tr>
      <w:tr>
        <w:trPr>
          <w:trHeight w:val="170"/>
        </w:trPr>
        <w:tc>
          <w:tcPr>
            <w:tcW w:w="282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BENEFITS</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BENEFITS</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BENEFITS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BENEFITS</w:t>
            </w:r>
          </w:p>
        </w:tc>
      </w:tr>
      <w:tr>
        <w:trPr>
          <w:trHeight w:val="170"/>
        </w:trPr>
        <w:tc>
          <w:tcPr>
            <w:tcW w:w="282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Service costs</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$ 478</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973</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Interest on benefit obligations</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624</w:t>
            </w:r>
          </w:p>
        </w:tc>
        <w:tc>
          <w:tcPr>
            <w:tcW w:w="40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1,271</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183</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Expected return on plan assets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(533)</w:t>
            </w:r>
          </w:p>
        </w:tc>
        <w:tc>
          <w:tcPr>
            <w:tcW w:w="40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(1,086)</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$ 569</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177</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$ 1,158</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$360</w:t>
            </w:r>
          </w:p>
        </w:tc>
      </w:tr>
      <w:tr>
        <w:trPr>
          <w:trHeight w:val="170"/>
        </w:trPr>
        <w:tc>
          <w:tcPr>
            <w:tcW w:w="28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530" w:right="3259" w:firstLine="529"/>
        <w:spacing w:after="0" w:line="237" w:lineRule="auto"/>
        <w:rPr>
          <w:sz w:val="20"/>
          <w:szCs w:val="20"/>
          <w:color w:val="auto"/>
        </w:rPr>
      </w:pPr>
      <w:r>
        <w:rPr>
          <w:rFonts w:ascii="Courier New" w:cs="Courier New" w:eastAsia="Courier New" w:hAnsi="Courier New"/>
          <w:sz w:val="15"/>
          <w:szCs w:val="15"/>
          <w:color w:val="auto"/>
        </w:rPr>
        <w:t>For the three and six months ended March 31, 2004, no contributions had been made by the Company, although the Company expects that contributions for the fiscal year ending September 30, 2004 will approximate the net periodic benefit cost.</w:t>
      </w:r>
    </w:p>
    <w:p>
      <w:pPr>
        <w:spacing w:after="0" w:line="171" w:lineRule="exact"/>
        <w:rPr>
          <w:sz w:val="20"/>
          <w:szCs w:val="20"/>
          <w:color w:val="auto"/>
        </w:rPr>
      </w:pPr>
    </w:p>
    <w:p>
      <w:pPr>
        <w:ind w:left="530" w:hanging="530"/>
        <w:spacing w:after="0"/>
        <w:tabs>
          <w:tab w:leader="none" w:pos="53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Legal Proceedings</w:t>
      </w:r>
    </w:p>
    <w:p>
      <w:pPr>
        <w:spacing w:after="0" w:line="175" w:lineRule="exact"/>
        <w:rPr>
          <w:sz w:val="20"/>
          <w:szCs w:val="20"/>
          <w:color w:val="auto"/>
        </w:rPr>
      </w:pPr>
    </w:p>
    <w:p>
      <w:pPr>
        <w:ind w:left="530" w:right="3179" w:firstLine="529"/>
        <w:spacing w:after="0" w:line="238" w:lineRule="auto"/>
        <w:rPr>
          <w:sz w:val="20"/>
          <w:szCs w:val="20"/>
          <w:color w:val="auto"/>
        </w:rPr>
      </w:pPr>
      <w:r>
        <w:rPr>
          <w:rFonts w:ascii="Courier New" w:cs="Courier New" w:eastAsia="Courier New" w:hAnsi="Courier New"/>
          <w:sz w:val="15"/>
          <w:szCs w:val="15"/>
          <w:color w:val="auto"/>
        </w:rPr>
        <w:t>On December 2, 2003 the Company announced that the United States District Court for the Eastern District of Missouri had issued an order granting the Company's motion to dismiss the securities class action lawsuits that had been pending against the Company and certain of its directors and officers since June 2002. The court's order also directed that judgment be entered in favor of the defendants. The consolidated complaint filed in the action alleged that the Company and the individual defendants had made false or misleading statements about the Company's business and future prospects during a putative class period between July 18, 2000 and June 20, 2002. On December 29, 2003 the lead plaintiffs appealed to the United States Court of Appeals for the Eighth Circuit from the final judgment entered on December 1, 2003.</w:t>
      </w:r>
    </w:p>
    <w:p>
      <w:pPr>
        <w:spacing w:after="0" w:line="34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452" w:right="1440" w:bottom="1440" w:gutter="0" w:footer="0" w:header="0"/>
        </w:sectPr>
      </w:pPr>
    </w:p>
    <w:bookmarkStart w:id="18" w:name="page19"/>
    <w:bookmarkEnd w:id="18"/>
    <w:p>
      <w:pPr>
        <w:jc w:val="center"/>
        <w:ind w:right="361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5" w:lineRule="exact"/>
        <w:rPr>
          <w:sz w:val="20"/>
          <w:szCs w:val="20"/>
          <w:color w:val="auto"/>
        </w:rPr>
      </w:pPr>
    </w:p>
    <w:p>
      <w:pPr>
        <w:ind w:left="80" w:right="3179" w:firstLine="529"/>
        <w:spacing w:after="0" w:line="237" w:lineRule="auto"/>
        <w:rPr>
          <w:sz w:val="20"/>
          <w:szCs w:val="20"/>
          <w:color w:val="auto"/>
        </w:rPr>
      </w:pPr>
      <w:r>
        <w:rPr>
          <w:rFonts w:ascii="Courier New" w:cs="Courier New" w:eastAsia="Courier New" w:hAnsi="Courier New"/>
          <w:sz w:val="15"/>
          <w:szCs w:val="15"/>
          <w:color w:val="auto"/>
        </w:rPr>
        <w:t>The Company is involved in various other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173"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Securities and Exchange Commission Investigation</w:t>
      </w:r>
    </w:p>
    <w:p>
      <w:pPr>
        <w:spacing w:after="0" w:line="175" w:lineRule="exact"/>
        <w:rPr>
          <w:sz w:val="20"/>
          <w:szCs w:val="20"/>
          <w:color w:val="auto"/>
        </w:rPr>
      </w:pPr>
    </w:p>
    <w:p>
      <w:pPr>
        <w:ind w:left="80" w:right="3259" w:firstLine="529"/>
        <w:spacing w:after="0" w:line="238" w:lineRule="auto"/>
        <w:rPr>
          <w:sz w:val="20"/>
          <w:szCs w:val="20"/>
          <w:color w:val="auto"/>
        </w:rPr>
      </w:pPr>
      <w:r>
        <w:rPr>
          <w:rFonts w:ascii="Courier New" w:cs="Courier New" w:eastAsia="Courier New" w:hAnsi="Courier New"/>
          <w:sz w:val="15"/>
          <w:szCs w:val="15"/>
          <w:color w:val="auto"/>
        </w:rPr>
        <w:t>The Company has been informed that the Midwest Regional Office of the SEC is conducting a private investigation into the events leading up to the Company's announcement in June 2002 of revised projected revenue for the third and fourth quarters of fiscal 2002. The investigation appears to be focused on, but is not explicitly limited to, the Company's forecasting beginning with its April 23, 2002 press release. Although the Company believes that it will be able to satisfy any concerns the SEC staff may have in this regard, the Company is unable to predict the duration, scope, or outcome of the investigation. The Company is cooperating fully with the SEC staff.</w:t>
      </w:r>
    </w:p>
    <w:p>
      <w:pPr>
        <w:spacing w:after="0" w:line="174"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Guarantor's Accounting and Disclosure Requirements for Guarantees</w:t>
      </w:r>
    </w:p>
    <w:p>
      <w:pPr>
        <w:spacing w:after="0" w:line="175" w:lineRule="exact"/>
        <w:rPr>
          <w:sz w:val="20"/>
          <w:szCs w:val="20"/>
          <w:color w:val="auto"/>
        </w:rPr>
      </w:pPr>
    </w:p>
    <w:p>
      <w:pPr>
        <w:ind w:right="3259" w:firstLine="617"/>
        <w:spacing w:after="0" w:line="257" w:lineRule="auto"/>
        <w:rPr>
          <w:sz w:val="20"/>
          <w:szCs w:val="20"/>
          <w:color w:val="auto"/>
        </w:rPr>
      </w:pPr>
      <w:r>
        <w:rPr>
          <w:rFonts w:ascii="Courier New" w:cs="Courier New" w:eastAsia="Courier New" w:hAnsi="Courier New"/>
          <w:sz w:val="14"/>
          <w:szCs w:val="14"/>
          <w:color w:val="auto"/>
        </w:rPr>
        <w:t>The Company is a party to an agreement entered into prior to December 31, 2002 that includes an indemnification of one of its customers for any withholding tax that might be required under the customer's local tax laws from certain payments made to the Company under this agreement. The indemnification under this agreement expires in December 2005. As of March 31, 2004 and September 30, 2003, the maximum potential amount of the Company's future exposure under this guarantee as determined in accordance with Financial Accounting Standards Board Interpretation No. 45 "Guarantor's Accounting and Disclosure Requirements for Guarantees, Including Indirect Guarantees of Indebtedness of Others" was $4,717.</w:t>
      </w:r>
    </w:p>
    <w:p>
      <w:pPr>
        <w:spacing w:after="0" w:line="166"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Company generally sells its ClarifyCRM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the six months ended March 31, 2004 and 2003.</w:t>
      </w:r>
    </w:p>
    <w:p>
      <w:pPr>
        <w:spacing w:after="0" w:line="177" w:lineRule="exact"/>
        <w:rPr>
          <w:sz w:val="20"/>
          <w:szCs w:val="20"/>
          <w:color w:val="auto"/>
        </w:rPr>
      </w:pPr>
    </w:p>
    <w:p>
      <w:pPr>
        <w:ind w:left="80" w:right="3259" w:firstLine="529"/>
        <w:spacing w:after="0" w:line="258" w:lineRule="auto"/>
        <w:rPr>
          <w:sz w:val="20"/>
          <w:szCs w:val="20"/>
          <w:color w:val="auto"/>
        </w:rPr>
      </w:pPr>
      <w:r>
        <w:rPr>
          <w:rFonts w:ascii="Courier New" w:cs="Courier New" w:eastAsia="Courier New" w:hAnsi="Courier New"/>
          <w:sz w:val="14"/>
          <w:szCs w:val="14"/>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financial statements.</w:t>
      </w:r>
    </w:p>
    <w:p>
      <w:pPr>
        <w:spacing w:after="0" w:line="32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779"/>
          </w:cols>
          <w:pgMar w:left="680" w:top="45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ITEM 2. OPERATING AND FINANCIAL REVIEW AND PROSPECTS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STATEMENTS</w:t>
      </w:r>
    </w:p>
    <w:p>
      <w:pPr>
        <w:spacing w:after="0" w:line="175"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section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64"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under the caption "Risk Factors" in the Form 20-F for fiscal 2003 that we have filed with the United States Securities and Exchange Commission ("SEC").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5" w:lineRule="exact"/>
        <w:rPr>
          <w:sz w:val="20"/>
          <w:szCs w:val="20"/>
          <w:color w:val="auto"/>
        </w:rPr>
      </w:pPr>
    </w:p>
    <w:p>
      <w:pPr>
        <w:ind w:right="3799" w:firstLine="529"/>
        <w:spacing w:after="0" w:line="235" w:lineRule="auto"/>
        <w:rPr>
          <w:sz w:val="20"/>
          <w:szCs w:val="20"/>
          <w:color w:val="auto"/>
        </w:rPr>
      </w:pPr>
      <w:r>
        <w:rPr>
          <w:rFonts w:ascii="Courier New" w:cs="Courier New" w:eastAsia="Courier New" w:hAnsi="Courier New"/>
          <w:sz w:val="15"/>
          <w:szCs w:val="15"/>
          <w:color w:val="auto"/>
        </w:rPr>
        <w:t>In this section, we discuss the general financial condition and the results of operations for Amdocs and its subsidiaries including:</w:t>
      </w:r>
    </w:p>
    <w:p>
      <w:pPr>
        <w:spacing w:after="0" w:line="170" w:lineRule="exact"/>
        <w:rPr>
          <w:sz w:val="20"/>
          <w:szCs w:val="20"/>
          <w:color w:val="auto"/>
        </w:rPr>
      </w:pPr>
    </w:p>
    <w:p>
      <w:pPr>
        <w:ind w:left="1040" w:hanging="521"/>
        <w:spacing w:after="0"/>
        <w:tabs>
          <w:tab w:leader="none" w:pos="10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factors that affect our business,</w:t>
      </w:r>
    </w:p>
    <w:p>
      <w:pPr>
        <w:spacing w:after="0" w:line="174" w:lineRule="exact"/>
        <w:rPr>
          <w:rFonts w:ascii="Courier New" w:cs="Courier New" w:eastAsia="Courier New" w:hAnsi="Courier New"/>
          <w:sz w:val="15"/>
          <w:szCs w:val="15"/>
          <w:color w:val="auto"/>
        </w:rPr>
      </w:pPr>
    </w:p>
    <w:p>
      <w:pPr>
        <w:ind w:left="1040" w:right="3619" w:hanging="521"/>
        <w:spacing w:after="0" w:line="235" w:lineRule="auto"/>
        <w:tabs>
          <w:tab w:leader="none" w:pos="10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revenue and costs for the six months and three months ended March 31, 2004 and 2003,</w:t>
      </w:r>
    </w:p>
    <w:p>
      <w:pPr>
        <w:spacing w:after="0" w:line="175" w:lineRule="exact"/>
        <w:rPr>
          <w:rFonts w:ascii="Courier New" w:cs="Courier New" w:eastAsia="Courier New" w:hAnsi="Courier New"/>
          <w:sz w:val="15"/>
          <w:szCs w:val="15"/>
          <w:color w:val="auto"/>
        </w:rPr>
      </w:pPr>
    </w:p>
    <w:p>
      <w:pPr>
        <w:ind w:left="1040" w:right="3179" w:hanging="521"/>
        <w:spacing w:after="0" w:line="235" w:lineRule="auto"/>
        <w:tabs>
          <w:tab w:leader="none" w:pos="10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reasons why such revenue and costs were different from period to period,</w:t>
      </w:r>
    </w:p>
    <w:p>
      <w:pPr>
        <w:spacing w:after="0" w:line="170"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69"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74" w:lineRule="exact"/>
        <w:rPr>
          <w:rFonts w:ascii="Courier New" w:cs="Courier New" w:eastAsia="Courier New" w:hAnsi="Courier New"/>
          <w:sz w:val="15"/>
          <w:szCs w:val="15"/>
          <w:color w:val="auto"/>
        </w:rPr>
      </w:pPr>
    </w:p>
    <w:p>
      <w:pPr>
        <w:ind w:left="1040" w:right="3179" w:hanging="521"/>
        <w:spacing w:after="0" w:line="235" w:lineRule="auto"/>
        <w:tabs>
          <w:tab w:leader="none" w:pos="10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expenditures for the six months and three months ended March 31, 2004 and 2003, and</w:t>
      </w:r>
    </w:p>
    <w:p>
      <w:pPr>
        <w:spacing w:after="0" w:line="175" w:lineRule="exact"/>
        <w:rPr>
          <w:rFonts w:ascii="Courier New" w:cs="Courier New" w:eastAsia="Courier New" w:hAnsi="Courier New"/>
          <w:sz w:val="15"/>
          <w:szCs w:val="15"/>
          <w:color w:val="auto"/>
        </w:rPr>
      </w:pPr>
    </w:p>
    <w:p>
      <w:pPr>
        <w:ind w:left="1040" w:right="3359" w:hanging="521"/>
        <w:spacing w:after="0" w:line="235" w:lineRule="auto"/>
        <w:tabs>
          <w:tab w:leader="none" w:pos="10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 and possible acquisitions.</w:t>
      </w:r>
    </w:p>
    <w:p>
      <w:pPr>
        <w:spacing w:after="0" w:line="176"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In this section, we also analyze and explain the changes in the specific line items in our consolidated statements of income between the six-month and three-month periods ended March 31, 2004 and 2003. You should read this section in conjunction with our consolidated financial statements.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5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OVERVIEW OF BUSINESS AND TREND INFORMATION</w:t>
      </w:r>
    </w:p>
    <w:p>
      <w:pPr>
        <w:spacing w:after="0" w:line="17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Our market focus is primarily the communications industry, and we are a leading provider of software products and services to major communications companies in North America, Europe and the rest of the world. The products and services that we provide are known as integrated customer management systems,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 Our portfolio of products also includes a full range of directory sales and publishing systems, which we refer to as "Directory Systems", for publishers of both traditional printed yellow page and white page directories and electronic Internet directories.</w:t>
      </w:r>
    </w:p>
    <w:p>
      <w:pPr>
        <w:spacing w:after="0" w:line="183"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Our Integrated Customer Management systems are designed to meet the mission-critical needs of leading communications service providers. We support a wide range of communications services, including wireline, wireless, voice, data, broadband, content, electronic and mobile commerce and Internet Protocol ("IP") based services. We also support companies that offer bundled or convergent service packages. Due to the complexity of our customers' projects and the expertise required for system support, we also provide extensive implementation, system integration, system modification, ongoing support, system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 in all cases on either or a combination of a fixed or unit charge basis to our customers.</w:t>
      </w:r>
    </w:p>
    <w:p>
      <w:pPr>
        <w:spacing w:after="0" w:line="184"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Our business is conducted on a global basis. We maintain five development facilities located in Israel, the United States, Cyprus, Ireland and Canada. Recently, we established a new development center in India. We expect this development center to grow and support the overall activity of our business worldwide, at comparatively lower operating costs.</w:t>
      </w:r>
    </w:p>
    <w:p>
      <w:pPr>
        <w:spacing w:after="0" w:line="178"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As part of our strategy, we may pursue acquisitions and other initiatives in order to offer new products or services or otherwise enhance our market position or strategic strengths.</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5" w:lineRule="exact"/>
        <w:rPr>
          <w:sz w:val="20"/>
          <w:szCs w:val="20"/>
          <w:color w:val="auto"/>
        </w:rPr>
      </w:pPr>
    </w:p>
    <w:p>
      <w:pPr>
        <w:ind w:left="1040" w:right="3439" w:hanging="521"/>
        <w:spacing w:after="0" w:line="237" w:lineRule="auto"/>
        <w:tabs>
          <w:tab w:leader="none" w:pos="10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sales of our products and related services, including license fees and modification, implementation and integration services,</w:t>
      </w:r>
    </w:p>
    <w:p>
      <w:pPr>
        <w:spacing w:after="0" w:line="174" w:lineRule="exact"/>
        <w:rPr>
          <w:rFonts w:ascii="Courier New" w:cs="Courier New" w:eastAsia="Courier New" w:hAnsi="Courier New"/>
          <w:sz w:val="15"/>
          <w:szCs w:val="15"/>
          <w:color w:val="auto"/>
        </w:rPr>
      </w:pPr>
    </w:p>
    <w:p>
      <w:pPr>
        <w:ind w:left="1040" w:right="3799" w:hanging="521"/>
        <w:spacing w:after="0" w:line="235" w:lineRule="auto"/>
        <w:tabs>
          <w:tab w:leader="none" w:pos="10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Managed Services and other related services for our solutions, and</w:t>
      </w:r>
    </w:p>
    <w:p>
      <w:pPr>
        <w:spacing w:after="0" w:line="175" w:lineRule="exact"/>
        <w:rPr>
          <w:rFonts w:ascii="Courier New" w:cs="Courier New" w:eastAsia="Courier New" w:hAnsi="Courier New"/>
          <w:sz w:val="15"/>
          <w:szCs w:val="15"/>
          <w:color w:val="auto"/>
        </w:rPr>
      </w:pPr>
    </w:p>
    <w:p>
      <w:pPr>
        <w:ind w:left="1040" w:right="3359" w:hanging="521"/>
        <w:spacing w:after="0" w:line="237" w:lineRule="auto"/>
        <w:tabs>
          <w:tab w:leader="none" w:pos="10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support and maintenance provided to our customers, and from incremental license fees resulting from increases in a customer's business volume.</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Revenue is recognized only when all of the following conditions have been met: (i) there is persuasive evidence of an arrangement; (ii) delivery has occurred; (iii) the fee is fixed and determinable; and (iv) collectability of the fee is probable. We usually sell our software as part of an overall solution offered to a customer, in which significant modification is normally required. As a result, we generally recognize revenue over the course of these long-term projects. Initial license fee revenue is recognized as work is performed, using the percentage of completion method of accounting. Subsequent license fee revenue is recognized upon completion of specified conditions in each contract, based on a customer's subscriber level or number of users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In Managed Services contracts, we typically recognize revenue from the operation</w:t>
      </w:r>
    </w:p>
    <w:p>
      <w:pPr>
        <w:spacing w:after="0" w:line="3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52" w:right="1440" w:bottom="1440" w:gutter="0" w:footer="0" w:header="0"/>
        </w:sectPr>
      </w:pPr>
    </w:p>
    <w:bookmarkStart w:id="21" w:name="page22"/>
    <w:bookmarkEnd w:id="21"/>
    <w:p>
      <w:pPr>
        <w:ind w:right="3179"/>
        <w:spacing w:after="0" w:line="238" w:lineRule="auto"/>
        <w:rPr>
          <w:sz w:val="20"/>
          <w:szCs w:val="20"/>
          <w:color w:val="auto"/>
        </w:rPr>
      </w:pPr>
      <w:r>
        <w:rPr>
          <w:rFonts w:ascii="Courier New" w:cs="Courier New" w:eastAsia="Courier New" w:hAnsi="Courier New"/>
          <w:sz w:val="15"/>
          <w:szCs w:val="15"/>
          <w:color w:val="auto"/>
        </w:rPr>
        <w:t>of a customer's system either ratably over the service period or as services are performed. Revenue from ongoing support services is recognized as work is performed. Revenue from third-party hardware and software sales is recognized upon installation and delivery, respectively.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179" w:lineRule="exact"/>
        <w:rPr>
          <w:sz w:val="20"/>
          <w:szCs w:val="20"/>
          <w:color w:val="auto"/>
        </w:rPr>
      </w:pPr>
    </w:p>
    <w:p>
      <w:pPr>
        <w:ind w:right="3179" w:firstLine="529"/>
        <w:spacing w:after="0" w:line="239" w:lineRule="auto"/>
        <w:rPr>
          <w:sz w:val="20"/>
          <w:szCs w:val="20"/>
          <w:color w:val="auto"/>
        </w:rPr>
      </w:pPr>
      <w:r>
        <w:rPr>
          <w:rFonts w:ascii="Courier New" w:cs="Courier New" w:eastAsia="Courier New" w:hAnsi="Courier New"/>
          <w:sz w:val="15"/>
          <w:szCs w:val="15"/>
          <w:color w:val="auto"/>
        </w:rPr>
        <w:t>Our business is subject to the effects of general global economic conditions and, in particular, market conditions in the communications industry. As a result of the slowdown in the communications industry during the last two years, the market value, financial results and prospects, and capital spending levels of communications companies declined or degraded. The challenging environment in the communications industry significantly impacted our business. During the last two years, delays in customer buying decisions stemming from rigorous management of operating expenses and overall reductions in the capital investment budgets of many communications service providers led to fewer new contracts, as well as smaller initial spending commitments and reduced discretionary spending under contracts with some of our customers. As a result of the market conditions during fiscal 2002 mentioned above, our revenue in the fiscal 2002 third quarter decreased by more than $75 million from the previous quarter. Revenue continued to decline in the fourth quarter of fiscal 2002 and the first quarter of fiscal 2003. During calendar 2003, the market began to stabilize. As a result, we resumed sequential revenue growth in the second quarter of fiscal 2003, although revenue for the second quarter of fiscal 2004 is still below the level achieved in the second quarter of fiscal 2002. During the six months ended March 31, 2004, communications service providers demonstrated a greater readiness to commit to new projects. While difficulties remain in the communications industry, we believe that, with the overall improvement of market conditions, we will be able to achieve modest sequential growth in revenues and earnings in the coming quarters.</w:t>
      </w:r>
    </w:p>
    <w:p>
      <w:pPr>
        <w:spacing w:after="0" w:line="176" w:lineRule="exact"/>
        <w:rPr>
          <w:sz w:val="20"/>
          <w:szCs w:val="20"/>
          <w:color w:val="auto"/>
        </w:rPr>
      </w:pPr>
    </w:p>
    <w:p>
      <w:pPr>
        <w:ind w:right="3359" w:firstLine="529"/>
        <w:spacing w:after="0" w:line="235" w:lineRule="auto"/>
        <w:rPr>
          <w:sz w:val="20"/>
          <w:szCs w:val="20"/>
          <w:color w:val="auto"/>
        </w:rPr>
      </w:pPr>
      <w:r>
        <w:rPr>
          <w:rFonts w:ascii="Courier New" w:cs="Courier New" w:eastAsia="Courier New" w:hAnsi="Courier New"/>
          <w:sz w:val="15"/>
          <w:szCs w:val="15"/>
          <w:color w:val="auto"/>
        </w:rPr>
        <w:t>Our quarterly revenue for the last ten quarters are summarized below (in millions):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Q1</w:t>
            </w:r>
          </w:p>
        </w:tc>
        <w:tc>
          <w:tcPr>
            <w:tcW w:w="32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Q2</w:t>
            </w:r>
          </w:p>
        </w:tc>
        <w:tc>
          <w:tcPr>
            <w:tcW w:w="30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Q3</w:t>
            </w:r>
          </w:p>
        </w:tc>
        <w:tc>
          <w:tcPr>
            <w:tcW w:w="3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Q4</w:t>
            </w:r>
          </w:p>
        </w:tc>
      </w:tr>
      <w:tr>
        <w:trPr>
          <w:trHeight w:val="170"/>
        </w:trPr>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Fiscal 2004</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428.3</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442.8</w:t>
            </w:r>
          </w:p>
        </w:tc>
        <w:tc>
          <w:tcPr>
            <w:tcW w:w="300" w:type="dxa"/>
            <w:vAlign w:val="bottom"/>
          </w:tcPr>
          <w:p>
            <w:pPr>
              <w:spacing w:after="0"/>
              <w:rPr>
                <w:sz w:val="24"/>
                <w:szCs w:val="2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NA</w:t>
            </w: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Fiscal</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2003</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339.4</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355.0</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377.2</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411.7</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Fiscal</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2002</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422.6</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455.3</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380.2</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355.5</w:t>
            </w:r>
          </w:p>
        </w:tc>
      </w:tr>
    </w:tbl>
    <w:p>
      <w:pPr>
        <w:spacing w:after="0" w:line="344" w:lineRule="exact"/>
        <w:rPr>
          <w:sz w:val="20"/>
          <w:szCs w:val="20"/>
          <w:color w:val="auto"/>
        </w:rPr>
      </w:pPr>
    </w:p>
    <w:p>
      <w:pPr>
        <w:ind w:right="3259" w:firstLine="529"/>
        <w:spacing w:after="0" w:line="258" w:lineRule="auto"/>
        <w:rPr>
          <w:sz w:val="20"/>
          <w:szCs w:val="20"/>
          <w:color w:val="auto"/>
        </w:rPr>
      </w:pPr>
      <w:r>
        <w:rPr>
          <w:rFonts w:ascii="Courier New" w:cs="Courier New" w:eastAsia="Courier New" w:hAnsi="Courier New"/>
          <w:sz w:val="14"/>
          <w:szCs w:val="14"/>
          <w:color w:val="auto"/>
        </w:rPr>
        <w:t>Due to our heavy dependence on the communications industry and a limited number of significant customers, we can be adversely affected by consolidations of service providers and by bankruptcies or other business failures in that industry. The potential loss of a customer due to consolidation or failures in the communications industry could harm our business and might have a material adverse effect on our consolidated operating results and financial condition.</w:t>
      </w:r>
    </w:p>
    <w:p>
      <w:pPr>
        <w:spacing w:after="0" w:line="164" w:lineRule="exact"/>
        <w:rPr>
          <w:sz w:val="20"/>
          <w:szCs w:val="20"/>
          <w:color w:val="auto"/>
        </w:rPr>
      </w:pPr>
    </w:p>
    <w:p>
      <w:pPr>
        <w:ind w:right="3439" w:firstLine="529"/>
        <w:spacing w:after="0" w:line="237" w:lineRule="auto"/>
        <w:rPr>
          <w:sz w:val="20"/>
          <w:szCs w:val="20"/>
          <w:color w:val="auto"/>
        </w:rPr>
      </w:pPr>
      <w:r>
        <w:rPr>
          <w:rFonts w:ascii="Courier New" w:cs="Courier New" w:eastAsia="Courier New" w:hAnsi="Courier New"/>
          <w:sz w:val="15"/>
          <w:szCs w:val="15"/>
          <w:color w:val="auto"/>
        </w:rPr>
        <w:t>Our total revenue in the three months ended March 31, 2004 increased by $87.7 million, or 24.7%, from the three months ended March 31, 2003, as set forth below (in millions):</w:t>
      </w:r>
    </w:p>
    <w:p>
      <w:pPr>
        <w:sectPr>
          <w:pgSz w:w="11900" w:h="16838" w:orient="portrait"/>
          <w:cols w:equalWidth="0" w:num="1">
            <w:col w:w="10219"/>
          </w:cols>
          <w:pgMar w:left="240" w:top="458"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THREE MONTHS</w:t>
      </w:r>
    </w:p>
    <w:p>
      <w:pPr>
        <w:ind w:left="1760"/>
        <w:spacing w:after="0"/>
        <w:rPr>
          <w:sz w:val="20"/>
          <w:szCs w:val="20"/>
          <w:color w:val="auto"/>
        </w:rPr>
      </w:pPr>
      <w:r>
        <w:rPr>
          <w:rFonts w:ascii="Courier New" w:cs="Courier New" w:eastAsia="Courier New" w:hAnsi="Courier New"/>
          <w:sz w:val="15"/>
          <w:szCs w:val="15"/>
          <w:color w:val="auto"/>
        </w:rPr>
        <w:t>ENDED MARCH 31,</w:t>
      </w:r>
    </w:p>
    <w:p>
      <w:pPr>
        <w:spacing w:after="0" w:line="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660"/>
        <w:spacing w:after="0"/>
        <w:tabs>
          <w:tab w:leader="none" w:pos="2880" w:val="left"/>
        </w:tabs>
        <w:rPr>
          <w:sz w:val="20"/>
          <w:szCs w:val="20"/>
          <w:color w:val="auto"/>
        </w:rPr>
      </w:pP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2003</w:t>
      </w:r>
    </w:p>
    <w:p>
      <w:pPr>
        <w:spacing w:after="0" w:line="5" w:lineRule="exact"/>
        <w:rPr>
          <w:sz w:val="20"/>
          <w:szCs w:val="20"/>
          <w:color w:val="auto"/>
        </w:rPr>
      </w:pPr>
    </w:p>
    <w:p>
      <w:pPr>
        <w:ind w:left="1480"/>
        <w:spacing w:after="0"/>
        <w:tabs>
          <w:tab w:leader="none" w:pos="27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jc w:val="center"/>
        <w:ind w:right="5559"/>
        <w:spacing w:after="0"/>
        <w:rPr>
          <w:sz w:val="20"/>
          <w:szCs w:val="20"/>
          <w:color w:val="auto"/>
        </w:rPr>
      </w:pPr>
      <w:r>
        <w:rPr>
          <w:rFonts w:ascii="Courier New" w:cs="Courier New" w:eastAsia="Courier New" w:hAnsi="Courier New"/>
          <w:sz w:val="14"/>
          <w:szCs w:val="14"/>
          <w:color w:val="auto"/>
        </w:rPr>
        <w:t>PERCENTAGE</w:t>
      </w:r>
    </w:p>
    <w:p>
      <w:pPr>
        <w:spacing w:after="0" w:line="5" w:lineRule="exact"/>
        <w:rPr>
          <w:sz w:val="20"/>
          <w:szCs w:val="20"/>
          <w:color w:val="auto"/>
        </w:rPr>
      </w:pPr>
    </w:p>
    <w:p>
      <w:pPr>
        <w:jc w:val="center"/>
        <w:ind w:right="5559"/>
        <w:spacing w:after="0"/>
        <w:rPr>
          <w:sz w:val="20"/>
          <w:szCs w:val="20"/>
          <w:color w:val="auto"/>
        </w:rPr>
      </w:pPr>
      <w:r>
        <w:rPr>
          <w:rFonts w:ascii="Courier New" w:cs="Courier New" w:eastAsia="Courier New" w:hAnsi="Courier New"/>
          <w:sz w:val="15"/>
          <w:szCs w:val="15"/>
          <w:color w:val="auto"/>
        </w:rPr>
        <w:t>INCREASE</w:t>
      </w:r>
    </w:p>
    <w:p>
      <w:pPr>
        <w:spacing w:after="0" w:line="5" w:lineRule="exact"/>
        <w:rPr>
          <w:sz w:val="20"/>
          <w:szCs w:val="20"/>
          <w:color w:val="auto"/>
        </w:rPr>
      </w:pPr>
    </w:p>
    <w:p>
      <w:pPr>
        <w:jc w:val="center"/>
        <w:ind w:right="5559"/>
        <w:spacing w:after="0"/>
        <w:rPr>
          <w:sz w:val="20"/>
          <w:szCs w:val="20"/>
          <w:color w:val="auto"/>
        </w:rPr>
      </w:pPr>
      <w:r>
        <w:rPr>
          <w:rFonts w:ascii="Courier New" w:cs="Courier New" w:eastAsia="Courier New" w:hAnsi="Courier New"/>
          <w:sz w:val="14"/>
          <w:szCs w:val="14"/>
          <w:color w:val="auto"/>
        </w:rPr>
        <w:t>----------</w:t>
      </w:r>
    </w:p>
    <w:p>
      <w:pPr>
        <w:spacing w:after="0" w:line="519" w:lineRule="exact"/>
        <w:rPr>
          <w:sz w:val="20"/>
          <w:szCs w:val="20"/>
          <w:color w:val="auto"/>
        </w:rPr>
      </w:pPr>
    </w:p>
    <w:p>
      <w:pPr>
        <w:sectPr>
          <w:pgSz w:w="11900" w:h="16838" w:orient="portrait"/>
          <w:cols w:equalWidth="0" w:num="2">
            <w:col w:w="3340" w:space="440"/>
            <w:col w:w="6439"/>
          </w:cols>
          <w:pgMar w:left="240" w:top="45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Total revenue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$ 442.8</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$ 355.0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24.7%</w:t>
      </w:r>
    </w:p>
    <w:p>
      <w:pPr>
        <w:spacing w:after="0" w:line="200" w:lineRule="exact"/>
        <w:rPr>
          <w:sz w:val="20"/>
          <w:szCs w:val="20"/>
          <w:color w:val="auto"/>
        </w:rPr>
      </w:pPr>
    </w:p>
    <w:p>
      <w:pPr>
        <w:sectPr>
          <w:pgSz w:w="11900" w:h="16838" w:orient="portrait"/>
          <w:cols w:equalWidth="0" w:num="4">
            <w:col w:w="1140" w:space="340"/>
            <w:col w:w="620" w:space="620"/>
            <w:col w:w="620" w:space="620"/>
            <w:col w:w="6259"/>
          </w:cols>
          <w:pgMar w:left="240" w:top="458" w:right="1440" w:bottom="1440" w:gutter="0" w:footer="0" w:header="0"/>
          <w:type w:val="continuous"/>
        </w:sectPr>
      </w:pPr>
    </w:p>
    <w:p>
      <w:pPr>
        <w:spacing w:after="0" w:line="150" w:lineRule="exact"/>
        <w:rPr>
          <w:sz w:val="20"/>
          <w:szCs w:val="20"/>
          <w:color w:val="auto"/>
        </w:rPr>
      </w:pPr>
    </w:p>
    <w:p>
      <w:pPr>
        <w:jc w:val="both"/>
        <w:ind w:right="3539" w:firstLine="529"/>
        <w:spacing w:after="0" w:line="237" w:lineRule="auto"/>
        <w:rPr>
          <w:sz w:val="20"/>
          <w:szCs w:val="20"/>
          <w:color w:val="auto"/>
        </w:rPr>
      </w:pPr>
      <w:r>
        <w:rPr>
          <w:rFonts w:ascii="Courier New" w:cs="Courier New" w:eastAsia="Courier New" w:hAnsi="Courier New"/>
          <w:sz w:val="15"/>
          <w:szCs w:val="15"/>
          <w:color w:val="auto"/>
        </w:rPr>
        <w:t>The increase in total revenue was primarily as a result of new Managed Services agreements and additional revenue resulting from our acquisition of Certen in the fourth quarter of fiscal 2003.</w:t>
      </w:r>
    </w:p>
    <w:p>
      <w:pPr>
        <w:spacing w:after="0" w:line="17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License and service revenue from the sale of CC&amp;B Systems was $756.7 million and $604.5 million in the six months ended March 31, 2004 and 2003, respectively, representing 86.9% and 87.1%, respectively, of our total revenue for such periods. License and service revenue from the sale of CC&amp;B Systems was $381.3</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58" w:right="1440" w:bottom="1440" w:gutter="0" w:footer="0" w:header="0"/>
          <w:type w:val="continuous"/>
        </w:sectPr>
      </w:pPr>
    </w:p>
    <w:bookmarkStart w:id="22" w:name="page23"/>
    <w:bookmarkEnd w:id="22"/>
    <w:p>
      <w:pPr>
        <w:ind w:right="3439"/>
        <w:spacing w:after="0" w:line="265" w:lineRule="auto"/>
        <w:rPr>
          <w:sz w:val="20"/>
          <w:szCs w:val="20"/>
          <w:color w:val="auto"/>
        </w:rPr>
      </w:pPr>
      <w:r>
        <w:rPr>
          <w:rFonts w:ascii="Courier New" w:cs="Courier New" w:eastAsia="Courier New" w:hAnsi="Courier New"/>
          <w:sz w:val="14"/>
          <w:szCs w:val="14"/>
          <w:color w:val="auto"/>
        </w:rPr>
        <w:t>million and $305.8 million in the three months ended March 31, 2004 and 2003, respectively, representing 86.1% of our total revenue for such periods.</w:t>
      </w:r>
    </w:p>
    <w:p>
      <w:pPr>
        <w:spacing w:after="0" w:line="158" w:lineRule="exact"/>
        <w:rPr>
          <w:sz w:val="20"/>
          <w:szCs w:val="20"/>
          <w:color w:val="auto"/>
        </w:rPr>
      </w:pPr>
    </w:p>
    <w:p>
      <w:pPr>
        <w:ind w:right="3359" w:firstLine="529"/>
        <w:spacing w:after="0" w:line="237" w:lineRule="auto"/>
        <w:rPr>
          <w:sz w:val="20"/>
          <w:szCs w:val="20"/>
          <w:color w:val="auto"/>
        </w:rPr>
      </w:pPr>
      <w:r>
        <w:rPr>
          <w:rFonts w:ascii="Courier New" w:cs="Courier New" w:eastAsia="Courier New" w:hAnsi="Courier New"/>
          <w:sz w:val="15"/>
          <w:szCs w:val="15"/>
          <w:color w:val="auto"/>
        </w:rPr>
        <w:t>We believe that we are a leading global provider of CC&amp;B Systems. We provide a broad set of billing and CRM products, with proven functionality and scalability, accompanied by a comprehensive range of support services.</w:t>
      </w:r>
    </w:p>
    <w:p>
      <w:pPr>
        <w:spacing w:after="0" w:line="175" w:lineRule="exact"/>
        <w:rPr>
          <w:sz w:val="20"/>
          <w:szCs w:val="20"/>
          <w:color w:val="auto"/>
        </w:rPr>
      </w:pPr>
    </w:p>
    <w:p>
      <w:pPr>
        <w:ind w:right="3259" w:firstLine="529"/>
        <w:spacing w:after="0" w:line="235" w:lineRule="auto"/>
        <w:rPr>
          <w:sz w:val="20"/>
          <w:szCs w:val="20"/>
          <w:color w:val="auto"/>
        </w:rPr>
      </w:pPr>
      <w:r>
        <w:rPr>
          <w:rFonts w:ascii="Courier New" w:cs="Courier New" w:eastAsia="Courier New" w:hAnsi="Courier New"/>
          <w:sz w:val="15"/>
          <w:szCs w:val="15"/>
          <w:color w:val="auto"/>
        </w:rPr>
        <w:t>We believe that demand for our CC&amp;B Systems is driven by, among other key factors:</w:t>
      </w:r>
    </w:p>
    <w:p>
      <w:pPr>
        <w:spacing w:after="0" w:line="170" w:lineRule="exact"/>
        <w:rPr>
          <w:sz w:val="20"/>
          <w:szCs w:val="20"/>
          <w:color w:val="auto"/>
        </w:rPr>
      </w:pPr>
    </w:p>
    <w:p>
      <w:pPr>
        <w:ind w:left="1040" w:hanging="521"/>
        <w:spacing w:after="0"/>
        <w:tabs>
          <w:tab w:leader="none" w:pos="10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global penetration of communications service providers,</w:t>
      </w:r>
    </w:p>
    <w:p>
      <w:pPr>
        <w:spacing w:after="0" w:line="174" w:lineRule="exact"/>
        <w:rPr>
          <w:rFonts w:ascii="Courier New" w:cs="Courier New" w:eastAsia="Courier New" w:hAnsi="Courier New"/>
          <w:sz w:val="15"/>
          <w:szCs w:val="15"/>
          <w:color w:val="auto"/>
        </w:rPr>
      </w:pPr>
    </w:p>
    <w:p>
      <w:pPr>
        <w:ind w:left="1040" w:right="4059" w:hanging="521"/>
        <w:spacing w:after="0" w:line="235" w:lineRule="auto"/>
        <w:tabs>
          <w:tab w:leader="none" w:pos="10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emergence of new communications products and services, especially IP, data and content services,</w:t>
      </w:r>
    </w:p>
    <w:p>
      <w:pPr>
        <w:spacing w:after="0" w:line="175" w:lineRule="exact"/>
        <w:rPr>
          <w:rFonts w:ascii="Courier New" w:cs="Courier New" w:eastAsia="Courier New" w:hAnsi="Courier New"/>
          <w:sz w:val="15"/>
          <w:szCs w:val="15"/>
          <w:color w:val="auto"/>
        </w:rPr>
      </w:pPr>
    </w:p>
    <w:p>
      <w:pPr>
        <w:ind w:left="1040" w:right="3179" w:hanging="521"/>
        <w:spacing w:after="0" w:line="237" w:lineRule="auto"/>
        <w:tabs>
          <w:tab w:leader="none" w:pos="10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technological changes, such as the introduction of wireless Internet services via GPRS (General Packet Radio Services) and UMTS (Universal Mobile Telecommunications System) technology,</w:t>
      </w:r>
    </w:p>
    <w:p>
      <w:pPr>
        <w:spacing w:after="0" w:line="169"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ongoing consolidation within the communications industry,</w:t>
      </w:r>
    </w:p>
    <w:p>
      <w:pPr>
        <w:spacing w:after="0" w:line="174" w:lineRule="exact"/>
        <w:rPr>
          <w:rFonts w:ascii="Courier New" w:cs="Courier New" w:eastAsia="Courier New" w:hAnsi="Courier New"/>
          <w:sz w:val="15"/>
          <w:szCs w:val="15"/>
          <w:color w:val="auto"/>
        </w:rPr>
      </w:pPr>
    </w:p>
    <w:p>
      <w:pPr>
        <w:ind w:left="1040" w:right="3539" w:hanging="521"/>
        <w:spacing w:after="0" w:line="235" w:lineRule="auto"/>
        <w:tabs>
          <w:tab w:leader="none" w:pos="10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needs of communications service providers to reduce costs and retain high value customers, and</w:t>
      </w:r>
    </w:p>
    <w:p>
      <w:pPr>
        <w:spacing w:after="0" w:line="170"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shift from in-house management to vendor solutions.</w:t>
      </w:r>
    </w:p>
    <w:p>
      <w:pPr>
        <w:spacing w:after="0" w:line="175"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We also believe that additional drivers of demand are the continuing trend for communications service providers to offer their subscribers multiple service packages, commonly referred to as bundled or convergent services (combinations of voice, broadband, electronic and mobile commerce and IP services), and the ability of our CC&amp;B Systems to improve productivity.</w:t>
      </w:r>
    </w:p>
    <w:p>
      <w:pPr>
        <w:spacing w:after="0" w:line="178"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License and service revenue from the sale of Directory Systems was $114.3 million and $89.9 million in the six months ended March 31, 2004 and 2003, respectively, accounting for 13.1% and 12.9%, respectively, of our total revenue for such periods. License and service revenue from the sale of Directory Systems totaled $61.5 million and $49.2 million in the three months ended March 31, 2004 and 2003, respectively, accounting for 13.9% of our total revenue for such periods.</w:t>
      </w:r>
    </w:p>
    <w:p>
      <w:pPr>
        <w:spacing w:after="0" w:line="177"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We believe that we are a leading provider of Directory Systems in most of the markets that we serve. We expect that our revenue from Directory Systems will remain relatively stable in fiscal 2004.</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License and service revenue from the sale of CC&amp;B Systems and Directory Systems includes revenue from Managed Services arrangements. Managed Services projects are a significant part of our business, and generate substantial, long-term revenue streams, cash flow and operating income.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benefit from the operational efficiencies provided by system modernization and consolidation. We expect that our Managed Services relationships will generate margins comparable to sales of our other products and related license and services over the entire relationships. Revenue related to Managed Services in the three months and six months ended March 31, 2004 was approximately 40% of total revenue for such periods.</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58"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jc w:val="both"/>
        <w:ind w:right="3359" w:firstLine="529"/>
        <w:spacing w:after="0" w:line="237" w:lineRule="auto"/>
        <w:rPr>
          <w:sz w:val="20"/>
          <w:szCs w:val="20"/>
          <w:color w:val="auto"/>
        </w:rPr>
      </w:pPr>
      <w:r>
        <w:rPr>
          <w:rFonts w:ascii="Courier New" w:cs="Courier New" w:eastAsia="Courier New" w:hAnsi="Courier New"/>
          <w:sz w:val="15"/>
          <w:szCs w:val="15"/>
          <w:color w:val="auto"/>
        </w:rPr>
        <w:t>The following table sets forth for the six months and three months ended March 31, 2004 and 2003 certain items in our consolidated statements of income reflected as a percentage of total revenue:</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21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THREE MONTHS ENDED</w:t>
            </w:r>
          </w:p>
        </w:tc>
        <w:tc>
          <w:tcPr>
            <w:tcW w:w="19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3640" w:type="dxa"/>
            <w:vAlign w:val="bottom"/>
          </w:tcPr>
          <w:p>
            <w:pPr>
              <w:spacing w:after="0"/>
              <w:rPr>
                <w:sz w:val="14"/>
                <w:szCs w:val="14"/>
                <w:color w:val="auto"/>
              </w:rPr>
            </w:pPr>
          </w:p>
        </w:tc>
        <w:tc>
          <w:tcPr>
            <w:tcW w:w="21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MARCH 31,</w:t>
            </w:r>
          </w:p>
        </w:tc>
        <w:tc>
          <w:tcPr>
            <w:tcW w:w="1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3640" w:type="dxa"/>
            <w:vAlign w:val="bottom"/>
          </w:tcPr>
          <w:p>
            <w:pPr>
              <w:spacing w:after="0"/>
              <w:rPr>
                <w:sz w:val="14"/>
                <w:szCs w:val="14"/>
                <w:color w:val="auto"/>
              </w:rPr>
            </w:pPr>
          </w:p>
        </w:tc>
        <w:tc>
          <w:tcPr>
            <w:tcW w:w="21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640" w:type="dxa"/>
            <w:vAlign w:val="bottom"/>
          </w:tcPr>
          <w:p>
            <w:pPr>
              <w:spacing w:after="0"/>
              <w:rPr>
                <w:sz w:val="14"/>
                <w:szCs w:val="14"/>
                <w:color w:val="auto"/>
              </w:rPr>
            </w:pP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2004</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2003</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2004</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3640" w:type="dxa"/>
            <w:vAlign w:val="bottom"/>
          </w:tcPr>
          <w:p>
            <w:pPr>
              <w:spacing w:after="0"/>
              <w:rPr>
                <w:sz w:val="14"/>
                <w:szCs w:val="14"/>
                <w:color w:val="auto"/>
              </w:rPr>
            </w:pP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6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License ............................</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0"/>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Service ............................</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95.9</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94.6</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96.0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94.3</w:t>
            </w:r>
          </w:p>
        </w:tc>
      </w:tr>
      <w:tr>
        <w:trPr>
          <w:trHeight w:val="170"/>
        </w:trPr>
        <w:tc>
          <w:tcPr>
            <w:tcW w:w="3640" w:type="dxa"/>
            <w:vAlign w:val="bottom"/>
          </w:tcPr>
          <w:p>
            <w:pPr>
              <w:spacing w:after="0"/>
              <w:rPr>
                <w:sz w:val="14"/>
                <w:szCs w:val="14"/>
                <w:color w:val="auto"/>
              </w:rPr>
            </w:pP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640" w:type="dxa"/>
            <w:vAlign w:val="bottom"/>
          </w:tcPr>
          <w:p>
            <w:pPr>
              <w:spacing w:after="0"/>
              <w:rPr>
                <w:sz w:val="14"/>
                <w:szCs w:val="14"/>
                <w:color w:val="auto"/>
              </w:rPr>
            </w:pP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3640" w:type="dxa"/>
            <w:vAlign w:val="bottom"/>
          </w:tcPr>
          <w:p>
            <w:pPr>
              <w:spacing w:after="0"/>
              <w:rPr>
                <w:sz w:val="14"/>
                <w:szCs w:val="14"/>
                <w:color w:val="auto"/>
              </w:rPr>
            </w:pP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Cost of license ....................</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0.3</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0.4</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0.3</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w:t>
            </w:r>
          </w:p>
        </w:tc>
      </w:tr>
      <w:tr>
        <w:trPr>
          <w:trHeight w:val="170"/>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Cost of service ....................</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62.8</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59.7</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63.1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59.9</w:t>
            </w:r>
          </w:p>
        </w:tc>
      </w:tr>
      <w:tr>
        <w:trPr>
          <w:trHeight w:val="170"/>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Research and development ...........</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6.8</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w:t>
            </w:r>
          </w:p>
        </w:tc>
      </w:tr>
      <w:tr>
        <w:trPr>
          <w:trHeight w:val="170"/>
        </w:trPr>
        <w:tc>
          <w:tcPr>
            <w:tcW w:w="3640" w:type="dxa"/>
            <w:vAlign w:val="bottom"/>
          </w:tcPr>
          <w:p>
            <w:pPr>
              <w:jc w:val="right"/>
              <w:ind w:right="1547"/>
              <w:spacing w:after="0"/>
              <w:rPr>
                <w:sz w:val="20"/>
                <w:szCs w:val="20"/>
                <w:color w:val="auto"/>
              </w:rPr>
            </w:pPr>
            <w:r>
              <w:rPr>
                <w:rFonts w:ascii="Courier New" w:cs="Courier New" w:eastAsia="Courier New" w:hAnsi="Courier New"/>
                <w:sz w:val="15"/>
                <w:szCs w:val="15"/>
                <w:color w:val="auto"/>
              </w:rPr>
              <w:t>Selling, general and</w:t>
            </w: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administrative ..................</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12.2</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14.4</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w:t>
            </w:r>
          </w:p>
        </w:tc>
      </w:tr>
      <w:tr>
        <w:trPr>
          <w:trHeight w:val="170"/>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Amortization of purchased intangible</w:t>
            </w: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assets ..........................</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0.9</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r>
      <w:tr>
        <w:trPr>
          <w:trHeight w:val="170"/>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Restructuring charges ..............</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r>
      <w:tr>
        <w:trPr>
          <w:trHeight w:val="170"/>
        </w:trPr>
        <w:tc>
          <w:tcPr>
            <w:tcW w:w="3640" w:type="dxa"/>
            <w:vAlign w:val="bottom"/>
          </w:tcPr>
          <w:p>
            <w:pPr>
              <w:spacing w:after="0"/>
              <w:rPr>
                <w:sz w:val="14"/>
                <w:szCs w:val="14"/>
                <w:color w:val="auto"/>
              </w:rPr>
            </w:pP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640" w:type="dxa"/>
            <w:vAlign w:val="bottom"/>
          </w:tcPr>
          <w:p>
            <w:pPr>
              <w:spacing w:after="0"/>
              <w:rPr>
                <w:sz w:val="14"/>
                <w:szCs w:val="14"/>
                <w:color w:val="auto"/>
              </w:rPr>
            </w:pP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83.0</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84.1</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86.4</w:t>
            </w:r>
          </w:p>
        </w:tc>
      </w:tr>
      <w:tr>
        <w:trPr>
          <w:trHeight w:val="170"/>
        </w:trPr>
        <w:tc>
          <w:tcPr>
            <w:tcW w:w="3640" w:type="dxa"/>
            <w:vAlign w:val="bottom"/>
          </w:tcPr>
          <w:p>
            <w:pPr>
              <w:spacing w:after="0"/>
              <w:rPr>
                <w:sz w:val="14"/>
                <w:szCs w:val="14"/>
                <w:color w:val="auto"/>
              </w:rPr>
            </w:pP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Operating income ......................</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17.0</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15.9</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16.4</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w:t>
            </w:r>
          </w:p>
        </w:tc>
      </w:tr>
      <w:tr>
        <w:trPr>
          <w:trHeight w:val="170"/>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Interest income and other, net ........</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0.4</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0.3</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w:t>
            </w:r>
          </w:p>
        </w:tc>
      </w:tr>
      <w:tr>
        <w:trPr>
          <w:trHeight w:val="170"/>
        </w:trPr>
        <w:tc>
          <w:tcPr>
            <w:tcW w:w="3640" w:type="dxa"/>
            <w:vAlign w:val="bottom"/>
          </w:tcPr>
          <w:p>
            <w:pPr>
              <w:spacing w:after="0"/>
              <w:rPr>
                <w:sz w:val="14"/>
                <w:szCs w:val="14"/>
                <w:color w:val="auto"/>
              </w:rPr>
            </w:pP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Income before income taxes ............</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17.4</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17.1</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14.9</w:t>
            </w:r>
          </w:p>
        </w:tc>
      </w:tr>
      <w:tr>
        <w:trPr>
          <w:trHeight w:val="170"/>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Income taxes ..........................</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3.8</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w:t>
            </w:r>
          </w:p>
        </w:tc>
      </w:tr>
      <w:tr>
        <w:trPr>
          <w:trHeight w:val="170"/>
        </w:trPr>
        <w:tc>
          <w:tcPr>
            <w:tcW w:w="3640" w:type="dxa"/>
            <w:vAlign w:val="bottom"/>
          </w:tcPr>
          <w:p>
            <w:pPr>
              <w:spacing w:after="0"/>
              <w:rPr>
                <w:sz w:val="14"/>
                <w:szCs w:val="14"/>
                <w:color w:val="auto"/>
              </w:rPr>
            </w:pP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Net income ............................</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13.6%</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r>
      <w:tr>
        <w:trPr>
          <w:trHeight w:val="170"/>
        </w:trPr>
        <w:tc>
          <w:tcPr>
            <w:tcW w:w="3640" w:type="dxa"/>
            <w:vAlign w:val="bottom"/>
          </w:tcPr>
          <w:p>
            <w:pPr>
              <w:spacing w:after="0"/>
              <w:rPr>
                <w:sz w:val="14"/>
                <w:szCs w:val="14"/>
                <w:color w:val="auto"/>
              </w:rPr>
            </w:pP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SIX MONTHS ENDED MARCH 31, 2004 AND 2003</w:t>
      </w:r>
    </w:p>
    <w:p>
      <w:pPr>
        <w:spacing w:after="0" w:line="175" w:lineRule="exact"/>
        <w:rPr>
          <w:sz w:val="20"/>
          <w:szCs w:val="20"/>
          <w:color w:val="auto"/>
        </w:rPr>
      </w:pPr>
    </w:p>
    <w:p>
      <w:pPr>
        <w:ind w:right="3359" w:firstLine="529"/>
        <w:spacing w:after="0" w:line="237" w:lineRule="auto"/>
        <w:rPr>
          <w:sz w:val="20"/>
          <w:szCs w:val="20"/>
          <w:color w:val="auto"/>
        </w:rPr>
      </w:pPr>
      <w:r>
        <w:rPr>
          <w:rFonts w:ascii="Courier New" w:cs="Courier New" w:eastAsia="Courier New" w:hAnsi="Courier New"/>
          <w:sz w:val="15"/>
          <w:szCs w:val="15"/>
          <w:color w:val="auto"/>
        </w:rPr>
        <w:t>The following is a tabular presentation of our results of operations for the six months ended March 31, 2004 compared to the six months ended March 31, 2003. Following the table is a discussion and analysis of our business and results of operations for such periods.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SIX MONTHS ENDED</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8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MARCH 31,</w:t>
            </w:r>
          </w:p>
        </w:tc>
        <w:tc>
          <w:tcPr>
            <w:tcW w:w="360" w:type="dxa"/>
            <w:vAlign w:val="bottom"/>
          </w:tcPr>
          <w:p>
            <w:pPr>
              <w:spacing w:after="0"/>
              <w:rPr>
                <w:sz w:val="14"/>
                <w:szCs w:val="14"/>
                <w:color w:val="auto"/>
              </w:rPr>
            </w:pPr>
          </w:p>
        </w:tc>
        <w:tc>
          <w:tcPr>
            <w:tcW w:w="1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INCREASE (DECREASE)</w:t>
            </w:r>
          </w:p>
        </w:tc>
      </w:tr>
      <w:tr>
        <w:trPr>
          <w:trHeight w:val="170"/>
        </w:trPr>
        <w:tc>
          <w:tcPr>
            <w:tcW w:w="3420" w:type="dxa"/>
            <w:vAlign w:val="bottom"/>
          </w:tcPr>
          <w:p>
            <w:pPr>
              <w:spacing w:after="0"/>
              <w:rPr>
                <w:sz w:val="14"/>
                <w:szCs w:val="14"/>
                <w:color w:val="auto"/>
              </w:rPr>
            </w:pPr>
          </w:p>
        </w:tc>
        <w:tc>
          <w:tcPr>
            <w:tcW w:w="1380" w:type="dxa"/>
            <w:vAlign w:val="bottom"/>
            <w:gridSpan w:val="2"/>
          </w:tcPr>
          <w:p>
            <w:pPr>
              <w:ind w:left="440"/>
              <w:spacing w:after="0"/>
              <w:rPr>
                <w:sz w:val="20"/>
                <w:szCs w:val="20"/>
                <w:color w:val="auto"/>
              </w:rPr>
            </w:pPr>
            <w:r>
              <w:rPr>
                <w:rFonts w:ascii="Courier New" w:cs="Courier New" w:eastAsia="Courier New" w:hAnsi="Courier New"/>
                <w:sz w:val="10"/>
                <w:szCs w:val="10"/>
                <w:color w:val="auto"/>
                <w:w w:val="72"/>
              </w:rPr>
              <w:t>---------------------</w:t>
            </w:r>
          </w:p>
        </w:tc>
        <w:tc>
          <w:tcPr>
            <w:tcW w:w="1140" w:type="dxa"/>
            <w:vAlign w:val="bottom"/>
          </w:tcPr>
          <w:p>
            <w:pPr>
              <w:spacing w:after="0"/>
              <w:rPr>
                <w:sz w:val="14"/>
                <w:szCs w:val="14"/>
                <w:color w:val="auto"/>
              </w:rPr>
            </w:pPr>
          </w:p>
        </w:tc>
        <w:tc>
          <w:tcPr>
            <w:tcW w:w="224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2004</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2003</w:t>
            </w:r>
          </w:p>
        </w:tc>
        <w:tc>
          <w:tcPr>
            <w:tcW w:w="36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AMOUNT</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rPr>
              <w:t>License ............................</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34,728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$ 39,685</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(4,957)</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w:t>
            </w: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rPr>
              <w:t>Service ............................</w:t>
            </w: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836,325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654,715</w:t>
            </w:r>
          </w:p>
        </w:tc>
        <w:tc>
          <w:tcPr>
            <w:tcW w:w="3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181,610</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27.7</w:t>
            </w:r>
          </w:p>
        </w:tc>
      </w:tr>
      <w:tr>
        <w:trPr>
          <w:trHeight w:val="170"/>
        </w:trPr>
        <w:tc>
          <w:tcPr>
            <w:tcW w:w="3420" w:type="dxa"/>
            <w:vAlign w:val="bottom"/>
          </w:tcPr>
          <w:p>
            <w:pPr>
              <w:spacing w:after="0"/>
              <w:rPr>
                <w:sz w:val="14"/>
                <w:szCs w:val="14"/>
                <w:color w:val="auto"/>
              </w:rPr>
            </w:pP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871,053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694,400</w:t>
            </w:r>
          </w:p>
        </w:tc>
        <w:tc>
          <w:tcPr>
            <w:tcW w:w="3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176,653</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25.4</w:t>
            </w:r>
          </w:p>
        </w:tc>
      </w:tr>
      <w:tr>
        <w:trPr>
          <w:trHeight w:val="170"/>
        </w:trPr>
        <w:tc>
          <w:tcPr>
            <w:tcW w:w="3420" w:type="dxa"/>
            <w:vAlign w:val="bottom"/>
          </w:tcPr>
          <w:p>
            <w:pPr>
              <w:spacing w:after="0"/>
              <w:rPr>
                <w:sz w:val="14"/>
                <w:szCs w:val="14"/>
                <w:color w:val="auto"/>
              </w:rPr>
            </w:pP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rPr>
              <w:t>Cost of license ....................</w:t>
            </w: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2,359</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2,682</w:t>
            </w:r>
          </w:p>
        </w:tc>
        <w:tc>
          <w:tcPr>
            <w:tcW w:w="36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(323)</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(12.0)</w:t>
            </w: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rPr>
              <w:t>Cost of service ....................</w:t>
            </w: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550,361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416,066</w:t>
            </w:r>
          </w:p>
        </w:tc>
        <w:tc>
          <w:tcPr>
            <w:tcW w:w="3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134,295</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32.3</w:t>
            </w: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rPr>
              <w:t>Research and development ...........</w:t>
            </w: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60,582</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58,947</w:t>
            </w:r>
          </w:p>
        </w:tc>
        <w:tc>
          <w:tcPr>
            <w:tcW w:w="3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1,635</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w:t>
            </w:r>
          </w:p>
        </w:tc>
      </w:tr>
      <w:tr>
        <w:trPr>
          <w:trHeight w:val="170"/>
        </w:trPr>
        <w:tc>
          <w:tcPr>
            <w:tcW w:w="342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Selling, general and</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rPr>
              <w:t>administrative ..................</w:t>
            </w: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106,333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102,701</w:t>
            </w:r>
          </w:p>
        </w:tc>
        <w:tc>
          <w:tcPr>
            <w:tcW w:w="3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3,632</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w:t>
            </w: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rPr>
              <w:t>Amortization of purchased intangible</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rPr>
              <w:t>assets ..........................</w:t>
            </w: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8,865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9,779</w:t>
            </w:r>
          </w:p>
        </w:tc>
        <w:tc>
          <w:tcPr>
            <w:tcW w:w="36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(914)</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(9.3)</w:t>
            </w: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rPr>
              <w:t>Restructuring charges ............</w:t>
            </w: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9,956</w:t>
            </w:r>
          </w:p>
        </w:tc>
        <w:tc>
          <w:tcPr>
            <w:tcW w:w="36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(9,956)</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3420" w:type="dxa"/>
            <w:vAlign w:val="bottom"/>
          </w:tcPr>
          <w:p>
            <w:pPr>
              <w:spacing w:after="0"/>
              <w:rPr>
                <w:sz w:val="14"/>
                <w:szCs w:val="14"/>
                <w:color w:val="auto"/>
              </w:rPr>
            </w:pP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728,500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600,131</w:t>
            </w:r>
          </w:p>
        </w:tc>
        <w:tc>
          <w:tcPr>
            <w:tcW w:w="3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128,369</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21.4</w:t>
            </w:r>
          </w:p>
        </w:tc>
      </w:tr>
      <w:tr>
        <w:trPr>
          <w:trHeight w:val="170"/>
        </w:trPr>
        <w:tc>
          <w:tcPr>
            <w:tcW w:w="3420" w:type="dxa"/>
            <w:vAlign w:val="bottom"/>
          </w:tcPr>
          <w:p>
            <w:pPr>
              <w:spacing w:after="0"/>
              <w:rPr>
                <w:sz w:val="14"/>
                <w:szCs w:val="14"/>
                <w:color w:val="auto"/>
              </w:rPr>
            </w:pP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339"/>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w w:val="96"/>
              </w:rPr>
              <w:t>Operating income ......................</w:t>
            </w:r>
          </w:p>
        </w:tc>
        <w:tc>
          <w:tcPr>
            <w:tcW w:w="54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142,553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94,269</w:t>
            </w:r>
          </w:p>
        </w:tc>
        <w:tc>
          <w:tcPr>
            <w:tcW w:w="3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48,284</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51.2</w:t>
            </w: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w w:val="96"/>
              </w:rPr>
              <w:t>Interest income and other, net ........</w:t>
            </w: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2,778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9,163</w:t>
            </w:r>
          </w:p>
        </w:tc>
        <w:tc>
          <w:tcPr>
            <w:tcW w:w="36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(6,385)</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(69.7)</w:t>
            </w:r>
          </w:p>
        </w:tc>
      </w:tr>
      <w:tr>
        <w:trPr>
          <w:trHeight w:val="170"/>
        </w:trPr>
        <w:tc>
          <w:tcPr>
            <w:tcW w:w="3420" w:type="dxa"/>
            <w:vAlign w:val="bottom"/>
          </w:tcPr>
          <w:p>
            <w:pPr>
              <w:spacing w:after="0"/>
              <w:rPr>
                <w:sz w:val="14"/>
                <w:szCs w:val="14"/>
                <w:color w:val="auto"/>
              </w:rPr>
            </w:pP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w w:val="96"/>
              </w:rPr>
              <w:t>Income before income taxes ............</w:t>
            </w: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145,331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103,432</w:t>
            </w:r>
          </w:p>
        </w:tc>
        <w:tc>
          <w:tcPr>
            <w:tcW w:w="3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41,899</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40.5</w:t>
            </w: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w w:val="96"/>
              </w:rPr>
              <w:t>Income taxes ..........................</w:t>
            </w: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31,973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25,858</w:t>
            </w:r>
          </w:p>
        </w:tc>
        <w:tc>
          <w:tcPr>
            <w:tcW w:w="3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6,115</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23.6</w:t>
            </w:r>
          </w:p>
        </w:tc>
      </w:tr>
      <w:tr>
        <w:trPr>
          <w:trHeight w:val="170"/>
        </w:trPr>
        <w:tc>
          <w:tcPr>
            <w:tcW w:w="3420" w:type="dxa"/>
            <w:vAlign w:val="bottom"/>
          </w:tcPr>
          <w:p>
            <w:pPr>
              <w:spacing w:after="0"/>
              <w:rPr>
                <w:sz w:val="14"/>
                <w:szCs w:val="14"/>
                <w:color w:val="auto"/>
              </w:rPr>
            </w:pP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w w:val="96"/>
              </w:rPr>
              <w:t>Net income ............................</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113,358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$ 77,574</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35,784</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46.1%</w:t>
            </w:r>
          </w:p>
        </w:tc>
      </w:tr>
      <w:tr>
        <w:trPr>
          <w:trHeight w:val="170"/>
        </w:trPr>
        <w:tc>
          <w:tcPr>
            <w:tcW w:w="3420" w:type="dxa"/>
            <w:vAlign w:val="bottom"/>
          </w:tcPr>
          <w:p>
            <w:pPr>
              <w:spacing w:after="0"/>
              <w:rPr>
                <w:sz w:val="14"/>
                <w:szCs w:val="14"/>
                <w:color w:val="auto"/>
              </w:rPr>
            </w:pP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678"/>
        </w:trPr>
        <w:tc>
          <w:tcPr>
            <w:tcW w:w="3420" w:type="dxa"/>
            <w:vAlign w:val="bottom"/>
          </w:tcPr>
          <w:p>
            <w:pPr>
              <w:spacing w:after="0"/>
              <w:rPr>
                <w:sz w:val="24"/>
                <w:szCs w:val="24"/>
                <w:color w:val="auto"/>
              </w:rPr>
            </w:pPr>
          </w:p>
        </w:tc>
        <w:tc>
          <w:tcPr>
            <w:tcW w:w="540" w:type="dxa"/>
            <w:vAlign w:val="bottom"/>
          </w:tcPr>
          <w:p>
            <w:pPr>
              <w:jc w:val="right"/>
              <w:ind w:right="288"/>
              <w:spacing w:after="0"/>
              <w:rPr>
                <w:sz w:val="20"/>
                <w:szCs w:val="20"/>
                <w:color w:val="auto"/>
              </w:rPr>
            </w:pPr>
            <w:r>
              <w:rPr>
                <w:rFonts w:ascii="Courier New" w:cs="Courier New" w:eastAsia="Courier New" w:hAnsi="Courier New"/>
                <w:sz w:val="15"/>
                <w:szCs w:val="15"/>
                <w:color w:val="auto"/>
                <w:w w:val="88"/>
              </w:rPr>
              <w:t>23</w:t>
            </w: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452" w:right="1440" w:bottom="904" w:gutter="0" w:footer="0" w:header="0"/>
        </w:sectPr>
      </w:pPr>
    </w:p>
    <w:bookmarkStart w:id="24" w:name="page25"/>
    <w:bookmarkEnd w:id="24"/>
    <w:p>
      <w:pPr>
        <w:ind w:right="3359" w:firstLine="529"/>
        <w:spacing w:after="0" w:line="257" w:lineRule="auto"/>
        <w:rPr>
          <w:sz w:val="20"/>
          <w:szCs w:val="20"/>
          <w:color w:val="auto"/>
        </w:rPr>
      </w:pPr>
      <w:r>
        <w:rPr>
          <w:rFonts w:ascii="Courier New" w:cs="Courier New" w:eastAsia="Courier New" w:hAnsi="Courier New"/>
          <w:sz w:val="14"/>
          <w:szCs w:val="14"/>
          <w:color w:val="auto"/>
        </w:rPr>
        <w:t>REVENUE. The increase in total revenue in the six months ended March 31, 2004 is due to an increase in service revenue as a result of new Managed Services agreements signed during fiscal 2003 and additional revenue resulting from our acquisition of Certen in the fourth quarter of fiscal 2003. Revenue related to Managed Services agreements in the six months ended March 31, 2004 was approximately 40% of total revenue. The net impact of the new Managed Services agreements, including the impact of the Certen acquisition, was approximately $150 million in the six months ended March 31, 2004.</w:t>
      </w:r>
    </w:p>
    <w:p>
      <w:pPr>
        <w:spacing w:after="0" w:line="16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The significant new contracts that we obtained during fiscal 2003 were for Managed Services arrangements, which contain only a small license revenue component. In addition, the current communications market environment has resulted in pricing pressure, particularly with respect to license fees. As a result, license revenue in the six months ended March 31, 2004 decreased from the six months ended March 31, 2003.</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Total CC&amp;B Systems revenue was $756.7 million for the six months ended March 31, 2004, an increase of $152.2 million, or 25.2%, over the six months ended March 31, 2003. The increase is attributable primarily to our acquisition of Certen in the fourth quarter of fiscal 2003. The demand for our CC&amp;B Systems is primarily driven by the need for communications companies to continue to upgrade their billing, CRM and order management systems. In fiscal 2003, many communications companies reduced or delayed expenditures on system upgrades as a result of the slowdown in the communications industry. Recently, however, there has been an improvement in market conditions, accounting in part for the increase in revenue in the six months ended March 31, 2004.</w:t>
      </w:r>
    </w:p>
    <w:p>
      <w:pPr>
        <w:spacing w:after="0" w:line="180"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Revenue from Directory Systems was $114.3 million for the six months ended March 31, 2004, an increase of $24.5 million, or 27.2%, over the six months ended March 31, 2003. The increase is attributable primarily to the new Managed Services agreements and was partially offset by the completion of some implementation projects.</w:t>
      </w:r>
    </w:p>
    <w:p>
      <w:pPr>
        <w:spacing w:after="0" w:line="178"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In the six months ended March 31, 2004, revenue from customers in North America, Europe and the rest of the world accounted for 67.2%, 26.6% and 6.2%, respectively, of total revenue compared to 60.1%, 31.3% and 8.6%, respectively, for the six months ended March 31, 2003. The increase in revenue from customers in North America is attributable primarily to the acquisition of Certen, which expanded our activity and revenue from customers in North America, and to the forming of relationships with new customers and the expansion of relationships with existing customers in North America. The decreased contribution to revenue from customers in the rest of the world was attributable primarily to a decrease in the scope of certain projects and completion of other projects.</w:t>
      </w:r>
    </w:p>
    <w:p>
      <w:pPr>
        <w:spacing w:after="0" w:line="16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six months ended March 31, 2004 and 2003, cost of license, as a percentage of license revenue, was 6.8%.</w:t>
      </w:r>
    </w:p>
    <w:p>
      <w:pPr>
        <w:spacing w:after="0" w:line="17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COST OF SERVICE. The increase in cost of service in the six months ended March 31, 2004 was higher than the increase in our revenue in the six months ended March 31, 2004, and resulted in a decrease in our gross margin. Our gross margin was affected by the new Managed Services projects, which we expect to be less profitable in their initial period, and to a lesser extent, by the decrease in our license revenue.</w:t>
      </w:r>
    </w:p>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RESEARCH AND DEVELOPMENT. Research and development expense was primarily</w:t>
      </w:r>
    </w:p>
    <w:p>
      <w:pPr>
        <w:spacing w:after="0"/>
        <w:rPr>
          <w:sz w:val="20"/>
          <w:szCs w:val="20"/>
          <w:color w:val="auto"/>
        </w:rPr>
      </w:pPr>
      <w:r>
        <w:rPr>
          <w:rFonts w:ascii="Courier New" w:cs="Courier New" w:eastAsia="Courier New" w:hAnsi="Courier New"/>
          <w:sz w:val="15"/>
          <w:szCs w:val="15"/>
          <w:color w:val="auto"/>
        </w:rPr>
        <w:t>comprised of compensation expense attributed to research and development</w:t>
      </w:r>
    </w:p>
    <w:p>
      <w:pPr>
        <w:spacing w:after="0"/>
        <w:rPr>
          <w:sz w:val="20"/>
          <w:szCs w:val="20"/>
          <w:color w:val="auto"/>
        </w:rPr>
      </w:pPr>
      <w:r>
        <w:rPr>
          <w:rFonts w:ascii="Courier New" w:cs="Courier New" w:eastAsia="Courier New" w:hAnsi="Courier New"/>
          <w:sz w:val="15"/>
          <w:szCs w:val="15"/>
          <w:color w:val="auto"/>
        </w:rPr>
        <w:t>activities, which involve the development of new software modules and product</w:t>
      </w:r>
    </w:p>
    <w:p>
      <w:pPr>
        <w:spacing w:after="0" w:line="238" w:lineRule="auto"/>
        <w:rPr>
          <w:sz w:val="20"/>
          <w:szCs w:val="20"/>
          <w:color w:val="auto"/>
        </w:rPr>
      </w:pPr>
      <w:r>
        <w:rPr>
          <w:rFonts w:ascii="Courier New" w:cs="Courier New" w:eastAsia="Courier New" w:hAnsi="Courier New"/>
          <w:sz w:val="15"/>
          <w:szCs w:val="15"/>
          <w:color w:val="auto"/>
        </w:rPr>
        <w:t>offerings, either in conjunction with customer projects or as part of our</w:t>
      </w:r>
    </w:p>
    <w:p>
      <w:pPr>
        <w:spacing w:after="0"/>
        <w:rPr>
          <w:sz w:val="20"/>
          <w:szCs w:val="20"/>
          <w:color w:val="auto"/>
        </w:rPr>
      </w:pPr>
      <w:r>
        <w:rPr>
          <w:rFonts w:ascii="Courier New" w:cs="Courier New" w:eastAsia="Courier New" w:hAnsi="Courier New"/>
          <w:sz w:val="15"/>
          <w:szCs w:val="15"/>
          <w:color w:val="auto"/>
        </w:rPr>
        <w:t>internal product development program. We are currently focusing significant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efforts on the integration between our products in order to provide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Integrated Customer Management to our customers, while continuing to upgrade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existing systems. The majority of our research and development expenditures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for our billing and CRM systems, and the remainder for directory, content</w:t>
      </w:r>
    </w:p>
    <w:p>
      <w:pPr>
        <w:spacing w:after="0"/>
        <w:rPr>
          <w:sz w:val="20"/>
          <w:szCs w:val="20"/>
          <w:color w:val="auto"/>
        </w:rPr>
      </w:pPr>
      <w:r>
        <w:rPr>
          <w:rFonts w:ascii="Courier New" w:cs="Courier New" w:eastAsia="Courier New" w:hAnsi="Courier New"/>
          <w:sz w:val="15"/>
          <w:szCs w:val="15"/>
          <w:color w:val="auto"/>
        </w:rPr>
        <w:t>and order management solutions. The increase in research and development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 was proportionally less than the increase in our total revenue. Although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intend to continue to devote resources to research and development, our</w:t>
      </w:r>
    </w:p>
    <w:p>
      <w:pPr>
        <w:spacing w:after="0"/>
        <w:rPr>
          <w:sz w:val="20"/>
          <w:szCs w:val="20"/>
          <w:color w:val="auto"/>
        </w:rPr>
      </w:pPr>
      <w:r>
        <w:rPr>
          <w:rFonts w:ascii="Courier New" w:cs="Courier New" w:eastAsia="Courier New" w:hAnsi="Courier New"/>
          <w:sz w:val="15"/>
          <w:szCs w:val="15"/>
          <w:color w:val="auto"/>
        </w:rPr>
        <w:t>research and development budget, like all of our costs, is sensitive to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overall financial condition but to a lesser extent. We believe that our research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development efforts are a key element of our strategy and are essential to</w:t>
      </w:r>
    </w:p>
    <w:p>
      <w:pPr>
        <w:spacing w:after="0"/>
        <w:rPr>
          <w:sz w:val="20"/>
          <w:szCs w:val="20"/>
          <w:color w:val="auto"/>
        </w:rPr>
      </w:pPr>
      <w:r>
        <w:rPr>
          <w:rFonts w:ascii="Courier New" w:cs="Courier New" w:eastAsia="Courier New" w:hAnsi="Courier New"/>
          <w:sz w:val="15"/>
          <w:szCs w:val="15"/>
          <w:color w:val="auto"/>
        </w:rPr>
        <w:t>our success. However, an increase or a decrease in our total revenue would not</w:t>
      </w:r>
    </w:p>
    <w:p>
      <w:pPr>
        <w:spacing w:after="0"/>
        <w:rPr>
          <w:sz w:val="20"/>
          <w:szCs w:val="20"/>
          <w:color w:val="auto"/>
        </w:rPr>
      </w:pPr>
      <w:r>
        <w:rPr>
          <w:rFonts w:ascii="Courier New" w:cs="Courier New" w:eastAsia="Courier New" w:hAnsi="Courier New"/>
          <w:sz w:val="15"/>
          <w:szCs w:val="15"/>
          <w:color w:val="auto"/>
        </w:rPr>
        <w:t>necessarily result in a proportional increase or decrease in the levels of our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 expenditures, which could affect our operating margin.</w:t>
      </w:r>
    </w:p>
    <w:p>
      <w:pPr>
        <w:spacing w:after="0" w:line="3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58" w:right="1440" w:bottom="1440" w:gutter="0" w:footer="0" w:header="0"/>
        </w:sectPr>
      </w:pPr>
    </w:p>
    <w:bookmarkStart w:id="25" w:name="page26"/>
    <w:bookmarkEnd w:id="25"/>
    <w:p>
      <w:pPr>
        <w:ind w:right="3179" w:firstLine="529"/>
        <w:spacing w:after="0" w:line="238"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is primarily comprised of compensation expense. The increase in selling, general and administrative expense in the six months ended March 31, 2004 was primarily due to the overall increase in our operations and to the increase in our selling and marketing efforts. The increase in selling, general and administrative expense in the six months ended March 31, 2004 was proportionally less than the increase in our total revenue.</w:t>
      </w:r>
    </w:p>
    <w:p>
      <w:pPr>
        <w:spacing w:after="0" w:line="177"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RESTRUCTURING CHARGE. The restructuring charge in the six months ended March 31, 2003 consisted of the cost reduction program we implemented during the first quarter of fiscal 2003.</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OPERATING INCOME. The increase in operating income in the six months ended March 31, 2004 is attributable primarily to the increase in our total revenue, which was partially offset by relative low gross margin of our new Managed Services projects in their early stages of implementation in the six months ended March 31, 2004, and to the effect of the restructuring charge in the six months ended March 31, 2003.</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INTEREST INCOME AND OTHER, NET. The decrease in interest income and other, net, in the six months ended March 31, 2004 is primarily attributable to the decline in interest rates on our short-term interest-bearing investments as a result of our decision to shorten the duration of our investments due to volatility in the interest rate environment, the increase in our interest expense as a result of capital lease obligations acquired in the Certen acquisition and the decrease of interest income on debentures issued by Certen to us and eliminated as a result of the Certen acquisition.</w:t>
      </w:r>
    </w:p>
    <w:p>
      <w:pPr>
        <w:spacing w:after="0" w:line="178"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INCOME TAXES. Our effective tax rate in the six months ended March 31, 2004 was 22% compared to 25% in the six months ended March 31, 2003. Our effective tax rate for fiscal year 2004 is expected to be approximately 22% due to the corporate income tax rates in the various countries in which we operate and the relative magnitude of our business in those countries. The reduction in our effective tax rate is due to our continued expansion into countries with lower effective tax rates.</w:t>
      </w:r>
    </w:p>
    <w:p>
      <w:pPr>
        <w:spacing w:after="0" w:line="177" w:lineRule="exact"/>
        <w:rPr>
          <w:sz w:val="20"/>
          <w:szCs w:val="20"/>
          <w:color w:val="auto"/>
        </w:rPr>
      </w:pPr>
    </w:p>
    <w:p>
      <w:pPr>
        <w:jc w:val="both"/>
        <w:ind w:right="3359" w:firstLine="529"/>
        <w:spacing w:after="0" w:line="237" w:lineRule="auto"/>
        <w:rPr>
          <w:sz w:val="20"/>
          <w:szCs w:val="20"/>
          <w:color w:val="auto"/>
        </w:rPr>
      </w:pPr>
      <w:r>
        <w:rPr>
          <w:rFonts w:ascii="Courier New" w:cs="Courier New" w:eastAsia="Courier New" w:hAnsi="Courier New"/>
          <w:sz w:val="15"/>
          <w:szCs w:val="15"/>
          <w:color w:val="auto"/>
        </w:rPr>
        <w:t>NET INCOME. The increase in net income in the six months ended March 31, 2004 is attributable primarily to the increase in our total revenue and to the effect of the restructuring charge in the six months ended March 31, 2003. The increase was partially offset by relative low gross margin of our new Managed Services projects in their early stages of implementation.</w:t>
      </w:r>
    </w:p>
    <w:p>
      <w:pPr>
        <w:spacing w:after="0" w:line="178"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DILUTED EARNINGS PER SHARE. Diluted earnings per share were $0.52 for the six months ended March 31, 2004, compared to $0.36 in the six months ended March 31, 2003.</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58" w:right="1440" w:bottom="1440" w:gutter="0" w:footer="0" w:header="0"/>
        </w:sectPr>
      </w:pPr>
    </w:p>
    <w:bookmarkStart w:id="26" w:name="page27"/>
    <w:bookmarkEnd w:id="26"/>
    <w:p>
      <w:pPr>
        <w:ind w:left="520"/>
        <w:spacing w:after="0"/>
        <w:rPr>
          <w:sz w:val="20"/>
          <w:szCs w:val="20"/>
          <w:color w:val="auto"/>
        </w:rPr>
      </w:pPr>
      <w:r>
        <w:rPr>
          <w:rFonts w:ascii="Courier New" w:cs="Courier New" w:eastAsia="Courier New" w:hAnsi="Courier New"/>
          <w:sz w:val="15"/>
          <w:szCs w:val="15"/>
          <w:color w:val="auto"/>
        </w:rPr>
        <w:t>THREE MONTHS ENDED MARCH 31, 2004 AND 2003</w:t>
      </w:r>
    </w:p>
    <w:p>
      <w:pPr>
        <w:spacing w:after="0" w:line="175" w:lineRule="exact"/>
        <w:rPr>
          <w:sz w:val="20"/>
          <w:szCs w:val="20"/>
          <w:color w:val="auto"/>
        </w:rPr>
      </w:pPr>
    </w:p>
    <w:p>
      <w:pPr>
        <w:jc w:val="both"/>
        <w:ind w:right="3359" w:firstLine="529"/>
        <w:spacing w:after="0" w:line="237" w:lineRule="auto"/>
        <w:rPr>
          <w:sz w:val="20"/>
          <w:szCs w:val="20"/>
          <w:color w:val="auto"/>
        </w:rPr>
      </w:pPr>
      <w:r>
        <w:rPr>
          <w:rFonts w:ascii="Courier New" w:cs="Courier New" w:eastAsia="Courier New" w:hAnsi="Courier New"/>
          <w:sz w:val="15"/>
          <w:szCs w:val="15"/>
          <w:color w:val="auto"/>
        </w:rPr>
        <w:t>The following is a tabular presentation of our results of operations for the three months ended March 31, 2004 compared to the three months ended March 31, 2003. Following the table is a discussion and analysis of our business and results of operations for such periods.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6"/>
              </w:rPr>
              <w:t>THREE MONTHS ENDED</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MARCH 31,</w:t>
            </w:r>
          </w:p>
        </w:tc>
        <w:tc>
          <w:tcPr>
            <w:tcW w:w="20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INCREASE (DECREASE)</w:t>
            </w:r>
          </w:p>
        </w:tc>
      </w:tr>
      <w:tr>
        <w:trPr>
          <w:trHeight w:val="170"/>
        </w:trPr>
        <w:tc>
          <w:tcPr>
            <w:tcW w:w="364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Courier New" w:cs="Courier New" w:eastAsia="Courier New" w:hAnsi="Courier New"/>
                <w:sz w:val="10"/>
                <w:szCs w:val="10"/>
                <w:color w:val="auto"/>
                <w:w w:val="72"/>
              </w:rPr>
              <w:t>---------------------</w:t>
            </w:r>
          </w:p>
        </w:tc>
        <w:tc>
          <w:tcPr>
            <w:tcW w:w="114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2004</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2003</w:t>
            </w:r>
          </w:p>
        </w:tc>
        <w:tc>
          <w:tcPr>
            <w:tcW w:w="1180" w:type="dxa"/>
            <w:vAlign w:val="bottom"/>
          </w:tcPr>
          <w:p>
            <w:pPr>
              <w:ind w:left="300"/>
              <w:spacing w:after="0"/>
              <w:rPr>
                <w:sz w:val="20"/>
                <w:szCs w:val="20"/>
                <w:color w:val="auto"/>
              </w:rPr>
            </w:pPr>
            <w:r>
              <w:rPr>
                <w:rFonts w:ascii="Courier New" w:cs="Courier New" w:eastAsia="Courier New" w:hAnsi="Courier New"/>
                <w:sz w:val="15"/>
                <w:szCs w:val="15"/>
                <w:color w:val="auto"/>
              </w:rPr>
              <w:t>AMOUNT</w:t>
            </w:r>
          </w:p>
        </w:tc>
        <w:tc>
          <w:tcPr>
            <w:tcW w:w="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640" w:type="dxa"/>
            <w:vAlign w:val="bottom"/>
          </w:tcPr>
          <w:p>
            <w:pPr>
              <w:spacing w:after="0"/>
              <w:rPr>
                <w:sz w:val="14"/>
                <w:szCs w:val="14"/>
                <w:color w:val="auto"/>
              </w:rPr>
            </w:pP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6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License ............................</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18,107</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$ 19,159</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(1,052)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0"/>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Service ............................</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424,651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335,855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88,796</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26.4</w:t>
            </w:r>
          </w:p>
        </w:tc>
      </w:tr>
      <w:tr>
        <w:trPr>
          <w:trHeight w:val="170"/>
        </w:trPr>
        <w:tc>
          <w:tcPr>
            <w:tcW w:w="3640" w:type="dxa"/>
            <w:vAlign w:val="bottom"/>
          </w:tcPr>
          <w:p>
            <w:pPr>
              <w:spacing w:after="0"/>
              <w:rPr>
                <w:sz w:val="14"/>
                <w:szCs w:val="14"/>
                <w:color w:val="auto"/>
              </w:rPr>
            </w:pP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r>
      <w:tr>
        <w:trPr>
          <w:trHeight w:val="170"/>
        </w:trPr>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442,758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355,014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87,744</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24.7</w:t>
            </w:r>
          </w:p>
        </w:tc>
      </w:tr>
      <w:tr>
        <w:trPr>
          <w:trHeight w:val="170"/>
        </w:trPr>
        <w:tc>
          <w:tcPr>
            <w:tcW w:w="3640" w:type="dxa"/>
            <w:vAlign w:val="bottom"/>
          </w:tcPr>
          <w:p>
            <w:pPr>
              <w:spacing w:after="0"/>
              <w:rPr>
                <w:sz w:val="14"/>
                <w:szCs w:val="14"/>
                <w:color w:val="auto"/>
              </w:rPr>
            </w:pP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Cost of license ....................</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1,227</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1,546</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(319)</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(20.6)</w:t>
            </w:r>
          </w:p>
        </w:tc>
      </w:tr>
      <w:tr>
        <w:trPr>
          <w:trHeight w:val="170"/>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Cost of service ....................</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278,258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212,080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66,178</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31.2</w:t>
            </w:r>
          </w:p>
        </w:tc>
      </w:tr>
      <w:tr>
        <w:trPr>
          <w:trHeight w:val="170"/>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Research and development ...........</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30,084</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29,328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756</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w:t>
            </w:r>
          </w:p>
        </w:tc>
      </w:tr>
      <w:tr>
        <w:trPr>
          <w:trHeight w:val="170"/>
        </w:trPr>
        <w:tc>
          <w:tcPr>
            <w:tcW w:w="3640" w:type="dxa"/>
            <w:vAlign w:val="bottom"/>
          </w:tcPr>
          <w:p>
            <w:pPr>
              <w:jc w:val="right"/>
              <w:ind w:right="1547"/>
              <w:spacing w:after="0"/>
              <w:rPr>
                <w:sz w:val="20"/>
                <w:szCs w:val="20"/>
                <w:color w:val="auto"/>
              </w:rPr>
            </w:pPr>
            <w:r>
              <w:rPr>
                <w:rFonts w:ascii="Courier New" w:cs="Courier New" w:eastAsia="Courier New" w:hAnsi="Courier New"/>
                <w:sz w:val="15"/>
                <w:szCs w:val="15"/>
                <w:color w:val="auto"/>
              </w:rPr>
              <w:t>Selling, general and</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administrative ..................</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53,836</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51,121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2,715</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w:t>
            </w:r>
          </w:p>
        </w:tc>
      </w:tr>
      <w:tr>
        <w:trPr>
          <w:trHeight w:val="170"/>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Amortization of purchased intangible</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assets ..........................</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3,769</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4,625</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(856)</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(18.5)</w:t>
            </w:r>
          </w:p>
        </w:tc>
      </w:tr>
      <w:tr>
        <w:trPr>
          <w:trHeight w:val="170"/>
        </w:trPr>
        <w:tc>
          <w:tcPr>
            <w:tcW w:w="3640" w:type="dxa"/>
            <w:vAlign w:val="bottom"/>
          </w:tcPr>
          <w:p>
            <w:pPr>
              <w:spacing w:after="0"/>
              <w:rPr>
                <w:sz w:val="14"/>
                <w:szCs w:val="14"/>
                <w:color w:val="auto"/>
              </w:rPr>
            </w:pP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r>
      <w:tr>
        <w:trPr>
          <w:trHeight w:val="170"/>
        </w:trPr>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367,174</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298,700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68,474</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22.9</w:t>
            </w:r>
          </w:p>
        </w:tc>
      </w:tr>
      <w:tr>
        <w:trPr>
          <w:trHeight w:val="170"/>
        </w:trPr>
        <w:tc>
          <w:tcPr>
            <w:tcW w:w="3640" w:type="dxa"/>
            <w:vAlign w:val="bottom"/>
          </w:tcPr>
          <w:p>
            <w:pPr>
              <w:spacing w:after="0"/>
              <w:rPr>
                <w:sz w:val="14"/>
                <w:szCs w:val="14"/>
                <w:color w:val="auto"/>
              </w:rPr>
            </w:pP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r>
      <w:tr>
        <w:trPr>
          <w:trHeight w:val="339"/>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Operating income ......................</w:t>
            </w:r>
          </w:p>
        </w:tc>
        <w:tc>
          <w:tcPr>
            <w:tcW w:w="3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75,584</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56,314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19,270</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34.2</w:t>
            </w:r>
          </w:p>
        </w:tc>
      </w:tr>
      <w:tr>
        <w:trPr>
          <w:trHeight w:val="170"/>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Interest income and other, net ........</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1,711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4,186</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(2,475)</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(59.1)</w:t>
            </w:r>
          </w:p>
        </w:tc>
      </w:tr>
      <w:tr>
        <w:trPr>
          <w:trHeight w:val="170"/>
        </w:trPr>
        <w:tc>
          <w:tcPr>
            <w:tcW w:w="3640" w:type="dxa"/>
            <w:vAlign w:val="bottom"/>
          </w:tcPr>
          <w:p>
            <w:pPr>
              <w:spacing w:after="0"/>
              <w:rPr>
                <w:sz w:val="14"/>
                <w:szCs w:val="14"/>
                <w:color w:val="auto"/>
              </w:rPr>
            </w:pP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r>
      <w:tr>
        <w:trPr>
          <w:trHeight w:val="170"/>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Income before income taxes ............</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77,295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60,500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16,795</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27.8</w:t>
            </w:r>
          </w:p>
        </w:tc>
      </w:tr>
      <w:tr>
        <w:trPr>
          <w:trHeight w:val="170"/>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Income taxes ..........................</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17,005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15,125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1,880</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w:t>
            </w:r>
          </w:p>
        </w:tc>
      </w:tr>
      <w:tr>
        <w:trPr>
          <w:trHeight w:val="170"/>
        </w:trPr>
        <w:tc>
          <w:tcPr>
            <w:tcW w:w="3640" w:type="dxa"/>
            <w:vAlign w:val="bottom"/>
          </w:tcPr>
          <w:p>
            <w:pPr>
              <w:spacing w:after="0"/>
              <w:rPr>
                <w:sz w:val="14"/>
                <w:szCs w:val="14"/>
                <w:color w:val="auto"/>
              </w:rPr>
            </w:pP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r>
      <w:tr>
        <w:trPr>
          <w:trHeight w:val="170"/>
        </w:trPr>
        <w:tc>
          <w:tcPr>
            <w:tcW w:w="3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Net income ............................</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60,290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$ 45,375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$ 14,915</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32.9%</w:t>
            </w:r>
          </w:p>
        </w:tc>
      </w:tr>
      <w:tr>
        <w:trPr>
          <w:trHeight w:val="170"/>
        </w:trPr>
        <w:tc>
          <w:tcPr>
            <w:tcW w:w="3640" w:type="dxa"/>
            <w:vAlign w:val="bottom"/>
          </w:tcPr>
          <w:p>
            <w:pPr>
              <w:spacing w:after="0"/>
              <w:rPr>
                <w:sz w:val="14"/>
                <w:szCs w:val="14"/>
                <w:color w:val="auto"/>
              </w:rPr>
            </w:pP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r>
    </w:tbl>
    <w:p>
      <w:pPr>
        <w:spacing w:after="0" w:line="344"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REVENUE. The increase in total revenue in the three months ended March 31, 2004 is due to an increase in service revenue as a result of new Managed Services agreements signed during fiscal 2003 and additional revenue resulting from our acquisition of Certen in the fourth quarter of fiscal 2003. Revenue related to Managed Services agreements in the three months ended March 31, 2004 was approximately 40% of total revenue. The net impact of the new Managed Services agreements, including the impact of the Certen acquisition, was approximately $69 million in the three months ended March 31, 2004.</w:t>
      </w:r>
    </w:p>
    <w:p>
      <w:pPr>
        <w:spacing w:after="0" w:line="178"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The significant new contracts that we obtained during fiscal 2003 were for Managed Services arrangements, which contain only a small license revenue component. In addition, the current communications market environment has resulted in pricing pressure, particularly with respect to license fees. As a result, license revenue in the three months ended March 31, 2004 decreased from the three months ended March 31, 2003.</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Total CC&amp;B Systems revenue was $381.3 million for the three months ended March 31, 2004, an increase of $75.5 million, or 24.7%, over the three months ended March 31, 2003. The increase is attributable primarily to our acquisition of Certen in the fourth quarter of fiscal 2003. The demand for our CC&amp;B Systems is primarily driven by the need for communications companies to continue to upgrade their billing, CRM and order management systems. In fiscal 2003, many communications companies reduced or delayed expenditures on system upgrades as a result of the slowdown in the communications industry. Recently, however, there has been an improvement in market conditions, accounting in part for the increase in revenue in the second quarter of fiscal 2004.</w:t>
      </w:r>
    </w:p>
    <w:p>
      <w:pPr>
        <w:spacing w:after="0" w:line="180" w:lineRule="exact"/>
        <w:rPr>
          <w:sz w:val="20"/>
          <w:szCs w:val="20"/>
          <w:color w:val="auto"/>
        </w:rPr>
      </w:pPr>
    </w:p>
    <w:p>
      <w:pPr>
        <w:ind w:right="3359" w:firstLine="617"/>
        <w:spacing w:after="0" w:line="237" w:lineRule="auto"/>
        <w:rPr>
          <w:sz w:val="20"/>
          <w:szCs w:val="20"/>
          <w:color w:val="auto"/>
        </w:rPr>
      </w:pPr>
      <w:r>
        <w:rPr>
          <w:rFonts w:ascii="Courier New" w:cs="Courier New" w:eastAsia="Courier New" w:hAnsi="Courier New"/>
          <w:sz w:val="15"/>
          <w:szCs w:val="15"/>
          <w:color w:val="auto"/>
        </w:rPr>
        <w:t>Revenue from Directory Systems was $61.5 million for the three months ended March 31, 2004, an increase of $12.3 million, or 25.0%, over the three months ended March 31, 2003. The increase is attributable primarily to the new Managed Services agreements, which was partially offset by the completion of some implementation projects.</w:t>
      </w:r>
    </w:p>
    <w:p>
      <w:pPr>
        <w:spacing w:after="0" w:line="178"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In the three months ended March 31, 2004, revenue from customers in North America, Europe and the rest of the world accounted for 68.0%, 26.4% and 5.6%, respectively, of total revenue compared to 58.3%, 32.5% and 9.2%, respectively, for the three months ended March 31, 2003. The increase in revenue from customers in North America is attributable primarily to the acquisition of Certen, which expanded our activity and revenue from customers in North America, and to the forming of relationships with new customers and</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52" w:right="1440" w:bottom="1440" w:gutter="0" w:footer="0" w:header="0"/>
        </w:sectPr>
      </w:pPr>
    </w:p>
    <w:bookmarkStart w:id="27" w:name="page28"/>
    <w:bookmarkEnd w:id="27"/>
    <w:p>
      <w:pPr>
        <w:ind w:right="3439"/>
        <w:spacing w:after="0" w:line="237" w:lineRule="auto"/>
        <w:rPr>
          <w:sz w:val="20"/>
          <w:szCs w:val="20"/>
          <w:color w:val="auto"/>
        </w:rPr>
      </w:pPr>
      <w:r>
        <w:rPr>
          <w:rFonts w:ascii="Courier New" w:cs="Courier New" w:eastAsia="Courier New" w:hAnsi="Courier New"/>
          <w:sz w:val="15"/>
          <w:szCs w:val="15"/>
          <w:color w:val="auto"/>
        </w:rPr>
        <w:t>the expansion of relationships with existing customers in North America. The decreased contribution to revenue from customers in the rest of the world was attributable primarily to a decrease in the scope of certain projects and completion of other projects.</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three months ended March 31, 2004, cost of license, as a percentage of license revenue, was 6.8%, compared to 8.1% in the three months ended March 31, 2004.</w:t>
      </w:r>
    </w:p>
    <w:p>
      <w:pPr>
        <w:spacing w:after="0" w:line="178"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COST OF SERVICE. The increase in cost of service in the three months ended March 31, 2004 was higher than the increase in our revenue in the three months ended March 31, 2004, and resulted in a decrease in our gross margin. Our gross margin was affected by the new Managed Services projects, which we expect to be less profitable in their initial period, and to a lesser extent, by the decrease in our license revenue.</w:t>
      </w:r>
    </w:p>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RESEARCH AND DEVELOPMENT. Research and development expense was primarily</w:t>
      </w:r>
    </w:p>
    <w:p>
      <w:pPr>
        <w:spacing w:after="0"/>
        <w:rPr>
          <w:sz w:val="20"/>
          <w:szCs w:val="20"/>
          <w:color w:val="auto"/>
        </w:rPr>
      </w:pPr>
      <w:r>
        <w:rPr>
          <w:rFonts w:ascii="Courier New" w:cs="Courier New" w:eastAsia="Courier New" w:hAnsi="Courier New"/>
          <w:sz w:val="15"/>
          <w:szCs w:val="15"/>
          <w:color w:val="auto"/>
        </w:rPr>
        <w:t>comprised of compensation expense attributed to research and development</w:t>
      </w:r>
    </w:p>
    <w:p>
      <w:pPr>
        <w:spacing w:after="0"/>
        <w:rPr>
          <w:sz w:val="20"/>
          <w:szCs w:val="20"/>
          <w:color w:val="auto"/>
        </w:rPr>
      </w:pPr>
      <w:r>
        <w:rPr>
          <w:rFonts w:ascii="Courier New" w:cs="Courier New" w:eastAsia="Courier New" w:hAnsi="Courier New"/>
          <w:sz w:val="15"/>
          <w:szCs w:val="15"/>
          <w:color w:val="auto"/>
        </w:rPr>
        <w:t>activities, which involve the development of new software modules and product</w:t>
      </w:r>
    </w:p>
    <w:p>
      <w:pPr>
        <w:spacing w:after="0" w:line="238" w:lineRule="auto"/>
        <w:rPr>
          <w:sz w:val="20"/>
          <w:szCs w:val="20"/>
          <w:color w:val="auto"/>
        </w:rPr>
      </w:pPr>
      <w:r>
        <w:rPr>
          <w:rFonts w:ascii="Courier New" w:cs="Courier New" w:eastAsia="Courier New" w:hAnsi="Courier New"/>
          <w:sz w:val="15"/>
          <w:szCs w:val="15"/>
          <w:color w:val="auto"/>
        </w:rPr>
        <w:t>offerings, either in conjunction with customer projects or as part of our</w:t>
      </w:r>
    </w:p>
    <w:p>
      <w:pPr>
        <w:spacing w:after="0"/>
        <w:rPr>
          <w:sz w:val="20"/>
          <w:szCs w:val="20"/>
          <w:color w:val="auto"/>
        </w:rPr>
      </w:pPr>
      <w:r>
        <w:rPr>
          <w:rFonts w:ascii="Courier New" w:cs="Courier New" w:eastAsia="Courier New" w:hAnsi="Courier New"/>
          <w:sz w:val="15"/>
          <w:szCs w:val="15"/>
          <w:color w:val="auto"/>
        </w:rPr>
        <w:t>internal product development program. We are currently focusing significant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efforts on the integration between our products in order to provide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Integrated Customer Management to our customers, while continuing to upgrade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existing systems. The majority of our research and development expenditures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for our billing and CRM systems, and the remainder for directory, content</w:t>
      </w:r>
    </w:p>
    <w:p>
      <w:pPr>
        <w:spacing w:after="0"/>
        <w:rPr>
          <w:sz w:val="20"/>
          <w:szCs w:val="20"/>
          <w:color w:val="auto"/>
        </w:rPr>
      </w:pPr>
      <w:r>
        <w:rPr>
          <w:rFonts w:ascii="Courier New" w:cs="Courier New" w:eastAsia="Courier New" w:hAnsi="Courier New"/>
          <w:sz w:val="15"/>
          <w:szCs w:val="15"/>
          <w:color w:val="auto"/>
        </w:rPr>
        <w:t>and order management solutions. The increase in research and development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 was proportionally less than the increase in our total revenue. Although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intend to continue to devote resources to research and development, our</w:t>
      </w:r>
    </w:p>
    <w:p>
      <w:pPr>
        <w:spacing w:after="0"/>
        <w:rPr>
          <w:sz w:val="20"/>
          <w:szCs w:val="20"/>
          <w:color w:val="auto"/>
        </w:rPr>
      </w:pPr>
      <w:r>
        <w:rPr>
          <w:rFonts w:ascii="Courier New" w:cs="Courier New" w:eastAsia="Courier New" w:hAnsi="Courier New"/>
          <w:sz w:val="15"/>
          <w:szCs w:val="15"/>
          <w:color w:val="auto"/>
        </w:rPr>
        <w:t>research and development budget, like all of our costs, is sensitive to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overall financial condition but to a lesser extent. We believe that our research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development efforts are a key element of our strategy and are essential to</w:t>
      </w:r>
    </w:p>
    <w:p>
      <w:pPr>
        <w:spacing w:after="0"/>
        <w:rPr>
          <w:sz w:val="20"/>
          <w:szCs w:val="20"/>
          <w:color w:val="auto"/>
        </w:rPr>
      </w:pPr>
      <w:r>
        <w:rPr>
          <w:rFonts w:ascii="Courier New" w:cs="Courier New" w:eastAsia="Courier New" w:hAnsi="Courier New"/>
          <w:sz w:val="15"/>
          <w:szCs w:val="15"/>
          <w:color w:val="auto"/>
        </w:rPr>
        <w:t>our success. However, an increase or a decrease in our total revenue would not</w:t>
      </w:r>
    </w:p>
    <w:p>
      <w:pPr>
        <w:spacing w:after="0"/>
        <w:rPr>
          <w:sz w:val="20"/>
          <w:szCs w:val="20"/>
          <w:color w:val="auto"/>
        </w:rPr>
      </w:pPr>
      <w:r>
        <w:rPr>
          <w:rFonts w:ascii="Courier New" w:cs="Courier New" w:eastAsia="Courier New" w:hAnsi="Courier New"/>
          <w:sz w:val="15"/>
          <w:szCs w:val="15"/>
          <w:color w:val="auto"/>
        </w:rPr>
        <w:t>necessarily result in a proportional increase or decrease in the levels of our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 expenditures, which could affect our operating margin.</w:t>
      </w:r>
    </w:p>
    <w:p>
      <w:pPr>
        <w:spacing w:after="0" w:line="180"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is primarily comprised of compensation expense. The increase in selling, general and administrative expense in the three months ended March 31, 2004 was primarily due to the overall increase in our operations and to the increase in our selling and marketing efforts. The increase in selling, general and administrative expense in the three months ended March 31, 2004 was proportionally less than the increase in our total revenue.</w:t>
      </w:r>
    </w:p>
    <w:p>
      <w:pPr>
        <w:spacing w:after="0" w:line="177" w:lineRule="exact"/>
        <w:rPr>
          <w:sz w:val="20"/>
          <w:szCs w:val="20"/>
          <w:color w:val="auto"/>
        </w:rPr>
      </w:pPr>
    </w:p>
    <w:p>
      <w:pPr>
        <w:ind w:right="3359" w:firstLine="529"/>
        <w:spacing w:after="0" w:line="237" w:lineRule="auto"/>
        <w:rPr>
          <w:sz w:val="20"/>
          <w:szCs w:val="20"/>
          <w:color w:val="auto"/>
        </w:rPr>
      </w:pPr>
      <w:r>
        <w:rPr>
          <w:rFonts w:ascii="Courier New" w:cs="Courier New" w:eastAsia="Courier New" w:hAnsi="Courier New"/>
          <w:sz w:val="15"/>
          <w:szCs w:val="15"/>
          <w:color w:val="auto"/>
        </w:rPr>
        <w:t>OPERATING INCOME. The increase in operating income in the three months ended March 31, 2004 is attributable primarily to the increase in our total revenue, which was partially offset by relative low gross margin of our new Managed Services projects in their early stages of implementation in the three months ended March 31, 2004.</w:t>
      </w:r>
    </w:p>
    <w:p>
      <w:pPr>
        <w:spacing w:after="0" w:line="178"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INTEREST INCOME AND OTHER, NET. The decrease in interest income and other, net, in the three months ended March 31, 2004 is primarily attributable to the decline in interest rates on our short-term interest-bearing investments as a result of our decision to shorten the duration of our investments due to volatility in the interest rate environment, the increase in our interest expenses as a result of capital lease obligations acquired in the Certen acquisition, the decrease of interest income on debentures issued by Certen to us and eliminated as a result of the Certen acquisition, and due to changes in exchange rates of currencies other than the dollar. Although we hedge significant exposures in currencies other than the dollar, currency fluctuations partially affect our interest income and other, net.</w:t>
      </w:r>
    </w:p>
    <w:p>
      <w:pPr>
        <w:spacing w:after="0" w:line="181"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INCOME TAXES. Our effective tax rate in the three months ended March 31, 2004 was 22% compared to 25% in the three months ended March 31, 2003. Our effective tax rate for fiscal year 2004 is expected to be approximately 22% due to the corporate income tax rates in the various countries in which we operate and the relative magnitude of our business in those countries. The reduction in our effective tax rate is due to our continued expansion into countries with lower effective tax rates.</w:t>
      </w:r>
    </w:p>
    <w:p>
      <w:pPr>
        <w:spacing w:after="0" w:line="177"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NET INCOME. The increase in net income is attributable primarily to the increase in our total revenue, which was partially offset by relative low gross margin of our new Managed Services projects in their early stages of implementation in the three months ended March 31, 2004.</w:t>
      </w:r>
    </w:p>
    <w:p>
      <w:pPr>
        <w:spacing w:after="0" w:line="176"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DILUTED EARNINGS PER SHARE. Diluted earnings per share were $0.28 for the three months ended March 31, 2004, compared to $0.21 in the three months ended March 31, 2003.</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58"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179" w:firstLine="529"/>
        <w:spacing w:after="0" w:line="239" w:lineRule="auto"/>
        <w:rPr>
          <w:sz w:val="20"/>
          <w:szCs w:val="20"/>
          <w:color w:val="auto"/>
        </w:rPr>
      </w:pPr>
      <w:r>
        <w:rPr>
          <w:rFonts w:ascii="Courier New" w:cs="Courier New" w:eastAsia="Courier New" w:hAnsi="Courier New"/>
          <w:sz w:val="15"/>
          <w:szCs w:val="15"/>
          <w:color w:val="auto"/>
        </w:rPr>
        <w:t>Cash, cash equivalents and short-term interest-bearing investments totaled $1,567 million as of March 31, 2004, compared to $1,291 million as of September 30, 2003. The increase is attributable primarily to the net proceeds from the issuance of $450.0 million 0.50% Convertible Senior Notes due 2024 (the "0.50% Notes") in March 2004 and positive cash flows from operations, which was partially offset by the use of approximately $170.1 million to repurchase ordinary shares sold short by purchasers of the 0.50% Notes in negotiated transactions concurrently with the sale of the 0.50% Notes, and the use of an additional $137.4 million to repurchase our ordinary shares pursuant to our share repurchase program and in connection with our acquisition of XACCT. Net cash provided by operating activities amounted to $181.9 million and $195.7 million for the six months ended March 31, 2004 and 2003, respectively. Although net income before depreciation and amortization increased in the six months ended March 31, 2004, cash flows from operations decreased, due primarily to increases in accounts receivable resulting from the quarterly sequential increase in our revenue. We currently intend to retain our future operating cash flows to support the further expansion of our business, including investments related to new Managed Services projects and acquisitions. We also may use a portion of our cash balances for future repurchases of our outstanding securities. On June 1, 2004, we used a portion of our cash balances for the redemption of our 2% Convertible Notes due June 1, 2008 (the "2% Notes"), as described below.</w:t>
      </w:r>
    </w:p>
    <w:p>
      <w:pPr>
        <w:spacing w:after="0" w:line="176" w:lineRule="exact"/>
        <w:rPr>
          <w:sz w:val="20"/>
          <w:szCs w:val="20"/>
          <w:color w:val="auto"/>
        </w:rPr>
      </w:pPr>
    </w:p>
    <w:p>
      <w:pPr>
        <w:ind w:right="3179" w:firstLine="529"/>
        <w:spacing w:after="0" w:line="259" w:lineRule="auto"/>
        <w:rPr>
          <w:sz w:val="20"/>
          <w:szCs w:val="20"/>
          <w:color w:val="auto"/>
        </w:rPr>
      </w:pPr>
      <w:r>
        <w:rPr>
          <w:rFonts w:ascii="Courier New" w:cs="Courier New" w:eastAsia="Courier New" w:hAnsi="Courier New"/>
          <w:sz w:val="14"/>
          <w:szCs w:val="14"/>
          <w:color w:val="auto"/>
        </w:rPr>
        <w:t>Our policy is to retain substantial cash balances in order to support the growth of the Company. We believe that our current cash balances, cash generated from operations and our current lines of credit will provide sufficient resources to meet our liquidity needs for at least the next fiscal year.</w:t>
      </w:r>
    </w:p>
    <w:p>
      <w:pPr>
        <w:spacing w:after="0" w:line="163" w:lineRule="exact"/>
        <w:rPr>
          <w:sz w:val="20"/>
          <w:szCs w:val="20"/>
          <w:color w:val="auto"/>
        </w:rPr>
      </w:pPr>
    </w:p>
    <w:p>
      <w:pPr>
        <w:ind w:right="3179" w:firstLine="529"/>
        <w:spacing w:after="0" w:line="256" w:lineRule="auto"/>
        <w:rPr>
          <w:sz w:val="20"/>
          <w:szCs w:val="20"/>
          <w:color w:val="auto"/>
        </w:rPr>
      </w:pPr>
      <w:r>
        <w:rPr>
          <w:rFonts w:ascii="Courier New" w:cs="Courier New" w:eastAsia="Courier New" w:hAnsi="Courier New"/>
          <w:sz w:val="14"/>
          <w:szCs w:val="14"/>
          <w:color w:val="auto"/>
        </w:rPr>
        <w:t>As of March 31, 2004, $395.5 million and $450.0 million aggregate principal amount of our 2% Notes and 0.50% Notes were outstanding, respectively. In July 2002, our board of directors authorized us to repurchase outstanding 2% Notes, in such amounts, at such prices and at such times considered appropriate by us. During the three months ended December 31, 2003, we repurchased $5.0 million aggregate principal amount of the 2% Notes. No repurchases of the 2% Notes were made in the three months ended March 31, 2004. During fiscal 2002 and 2003, the Company repurchased $99.5 million aggregate principal amount of the 2% Notes. We funded these repurchases with available funds. On June 1, 2004, we completed a cash offer for the 2% Notes. Pursuant to the indenture for the 2% Notes, each holder of the 2% Notes had the right to require us to repurchase on June 1, 2004 all or any part of such holder's notes at a price equal to 100% of the principal amount plus accrued and unpaid interest. Under the terms of the 2% Notes, we had the option to pay for the 2% Notes with cash, ordinary shares, or a combination of cash and ordinary shares. We elected to pay for the 2% Notes solely with cash. We accepted for payment $395.1 million principal</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amount of 2% Notes surrendered for repurchase pursuant to the offer. The untendered $344,000 principal amount of 2% Notes will remain as our obligations, due June 1, 2008, in accordance with their terms.</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As of March 31, 2004, we had an available short-term general revolving line of credit totaling $30 million, none of which had been used as of such date. In addition, as of March 31, 2004 we had credit facilities totaling $35.8 million, limited for the use of letters of credit and bank guarantees from various banks. Outstanding letters of credit and bank guarantees as of March 31, 2004 totaled $23.8 million. These were mostly supported by a combination of the credit facilities described above and compensating cash balances that we maintain with the issuing banks.</w:t>
      </w:r>
    </w:p>
    <w:p>
      <w:pPr>
        <w:spacing w:after="0" w:line="178" w:lineRule="exact"/>
        <w:rPr>
          <w:sz w:val="20"/>
          <w:szCs w:val="20"/>
          <w:color w:val="auto"/>
        </w:rPr>
      </w:pPr>
    </w:p>
    <w:p>
      <w:pPr>
        <w:ind w:right="3439" w:firstLine="529"/>
        <w:spacing w:after="0" w:line="235" w:lineRule="auto"/>
        <w:rPr>
          <w:sz w:val="20"/>
          <w:szCs w:val="20"/>
          <w:color w:val="auto"/>
        </w:rPr>
      </w:pPr>
      <w:r>
        <w:rPr>
          <w:rFonts w:ascii="Courier New" w:cs="Courier New" w:eastAsia="Courier New" w:hAnsi="Courier New"/>
          <w:sz w:val="15"/>
          <w:szCs w:val="15"/>
          <w:color w:val="auto"/>
        </w:rPr>
        <w:t>As of March 31, 2004, we had outstanding long-term obligations of $37.0 million in connection with leasing arrangements.</w:t>
      </w:r>
    </w:p>
    <w:p>
      <w:pPr>
        <w:spacing w:after="0" w:line="176"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We have contractual obligations for our convertible notes, financing arrangements, capital leases and non-cancelable operating leases that were summarized in a table of contractual obligations in our Annual Report on Form 20-F for the year ended September 30, 2003. There have been no material changes in</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52" w:right="1440" w:bottom="1440" w:gutter="0" w:footer="0" w:header="0"/>
        </w:sectPr>
      </w:pPr>
    </w:p>
    <w:bookmarkStart w:id="29" w:name="page30"/>
    <w:bookmarkEnd w:id="29"/>
    <w:p>
      <w:pPr>
        <w:ind w:right="3539"/>
        <w:spacing w:after="0" w:line="237" w:lineRule="auto"/>
        <w:rPr>
          <w:sz w:val="20"/>
          <w:szCs w:val="20"/>
          <w:color w:val="auto"/>
        </w:rPr>
      </w:pPr>
      <w:r>
        <w:rPr>
          <w:rFonts w:ascii="Courier New" w:cs="Courier New" w:eastAsia="Courier New" w:hAnsi="Courier New"/>
          <w:sz w:val="15"/>
          <w:szCs w:val="15"/>
          <w:color w:val="auto"/>
        </w:rPr>
        <w:t>contractual obligations outside the ordinary course of our business since September 30, 2003, with the exception of the issuance of our 0.50% Notes in March 2004 and the repurchase of the 2% Notes, as discussed above.</w:t>
      </w:r>
    </w:p>
    <w:p>
      <w:pPr>
        <w:spacing w:after="0" w:line="175" w:lineRule="exact"/>
        <w:rPr>
          <w:sz w:val="20"/>
          <w:szCs w:val="20"/>
          <w:color w:val="auto"/>
        </w:rPr>
      </w:pPr>
    </w:p>
    <w:p>
      <w:pPr>
        <w:ind w:right="3179" w:firstLine="529"/>
        <w:spacing w:after="0" w:line="258" w:lineRule="auto"/>
        <w:rPr>
          <w:sz w:val="20"/>
          <w:szCs w:val="20"/>
          <w:color w:val="auto"/>
        </w:rPr>
      </w:pPr>
      <w:r>
        <w:rPr>
          <w:rFonts w:ascii="Courier New" w:cs="Courier New" w:eastAsia="Courier New" w:hAnsi="Courier New"/>
          <w:sz w:val="14"/>
          <w:szCs w:val="14"/>
          <w:color w:val="auto"/>
        </w:rPr>
        <w:t>Our capital expenditures were approximately $23.4 million in the six months ended March 31, 2004. These expenditures consisted primarily of purchases of computer equipment and, to a lesser degree, leasehold improvements. We funded our capital expenditures principally from operating cash flows. We do not anticipate any changes to this policy in the foreseeable future.</w:t>
      </w:r>
    </w:p>
    <w:p>
      <w:pPr>
        <w:spacing w:after="0" w:line="15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CURRENCY FLUCTUATIONS</w:t>
      </w:r>
    </w:p>
    <w:p>
      <w:pPr>
        <w:spacing w:after="0" w:line="175" w:lineRule="exact"/>
        <w:rPr>
          <w:sz w:val="20"/>
          <w:szCs w:val="20"/>
          <w:color w:val="auto"/>
        </w:rPr>
      </w:pPr>
    </w:p>
    <w:p>
      <w:pPr>
        <w:ind w:right="3179" w:firstLine="529"/>
        <w:spacing w:after="0" w:line="239" w:lineRule="auto"/>
        <w:rPr>
          <w:sz w:val="20"/>
          <w:szCs w:val="20"/>
          <w:color w:val="auto"/>
        </w:rPr>
      </w:pPr>
      <w:r>
        <w:rPr>
          <w:rFonts w:ascii="Courier New" w:cs="Courier New" w:eastAsia="Courier New" w:hAnsi="Courier New"/>
          <w:sz w:val="15"/>
          <w:szCs w:val="15"/>
          <w:color w:val="auto"/>
        </w:rPr>
        <w:t>The U.S. dollar is our functional currency. We manage our foreign subsidiaries as integral direct components of our operations. Our management does not review separately the results of operations of each subsidiary. During the six months ended March 31, 2004, our revenue and operating expenses (excluding acquisition-related charges) in U.S. dollars or linked to the U.S. dollar decreased compared to fiscal 2003, from 80% to 70% and from 60% to 50%, respectively, primarily as a result of the acquisition of Certen Inc., the majority of whose business is in Canadian dollars. As a result of long-term contracts in currencies other than the U.S. dollar and more customers seeking contracts that are denominated in currencies such as the Euro, we expect that the percentage of our revenue and operating expenses in U.S. dollars or linked to the U.S. dollar will decrease slightly over time. Historically, the effect of fluctuations in currency exchange rates has had a minimal impact on our consolidated operations. As more of our customers seek contracts that are denominated in currencies other than the U.S. dollar, our exposure to fluctuations in currency exchange rates could increase.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58" w:right="1440" w:bottom="1440" w:gutter="0" w:footer="0" w:header="0"/>
        </w:sectPr>
      </w:pPr>
    </w:p>
    <w:bookmarkStart w:id="30" w:name="page31"/>
    <w:bookmarkEnd w:id="30"/>
    <w:p>
      <w:pPr>
        <w:ind w:left="10"/>
        <w:spacing w:after="0"/>
        <w:tabs>
          <w:tab w:leader="none" w:pos="769"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 CHANGES IN SECURITIES, USE OF PROCEEDS AND ISSUER PURCHASES OF EQUITY</w:t>
      </w:r>
    </w:p>
    <w:p>
      <w:pPr>
        <w:ind w:left="710"/>
        <w:spacing w:after="0"/>
        <w:rPr>
          <w:sz w:val="20"/>
          <w:szCs w:val="20"/>
          <w:color w:val="auto"/>
        </w:rPr>
      </w:pPr>
      <w:r>
        <w:rPr>
          <w:rFonts w:ascii="Courier New" w:cs="Courier New" w:eastAsia="Courier New" w:hAnsi="Courier New"/>
          <w:sz w:val="15"/>
          <w:szCs w:val="15"/>
          <w:color w:val="auto"/>
        </w:rPr>
        <w:t>SECURITIES.</w:t>
      </w:r>
    </w:p>
    <w:p>
      <w:pPr>
        <w:spacing w:after="0" w:line="169" w:lineRule="exact"/>
        <w:rPr>
          <w:sz w:val="20"/>
          <w:szCs w:val="20"/>
          <w:color w:val="auto"/>
        </w:rPr>
      </w:pPr>
    </w:p>
    <w:p>
      <w:pPr>
        <w:ind w:left="530" w:hanging="530"/>
        <w:spacing w:after="0"/>
        <w:tabs>
          <w:tab w:leader="none" w:pos="53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Sales of Unregistered Securities</w:t>
      </w:r>
    </w:p>
    <w:p>
      <w:pPr>
        <w:spacing w:after="0" w:line="175" w:lineRule="exact"/>
        <w:rPr>
          <w:sz w:val="20"/>
          <w:szCs w:val="20"/>
          <w:color w:val="auto"/>
        </w:rPr>
      </w:pPr>
    </w:p>
    <w:p>
      <w:pPr>
        <w:ind w:left="10" w:right="3960" w:firstLine="529"/>
        <w:spacing w:after="0" w:line="238" w:lineRule="auto"/>
        <w:rPr>
          <w:sz w:val="20"/>
          <w:szCs w:val="20"/>
          <w:color w:val="auto"/>
        </w:rPr>
      </w:pPr>
      <w:r>
        <w:rPr>
          <w:rFonts w:ascii="Courier New" w:cs="Courier New" w:eastAsia="Courier New" w:hAnsi="Courier New"/>
          <w:sz w:val="15"/>
          <w:szCs w:val="15"/>
          <w:color w:val="auto"/>
        </w:rPr>
        <w:t>On February 19, 2004, the Company acquired XACCT Technologies Ltd., a privately-held company organized under the laws of the State of Israel and a provider of mediation software to communications service providers. The Company acquired XACCT's outstanding shares for approximately $28.4 million, of which approximately $13.3 million was paid in cash and the balance in 560,777 of the Company's ordinary shares. The shares were issued in a private placement pursuant to exemptions from registration provided by Section 4(2) and Regulation S of the Securities Act of 1933, as amended.</w:t>
      </w:r>
    </w:p>
    <w:p>
      <w:pPr>
        <w:spacing w:after="0" w:line="178" w:lineRule="exact"/>
        <w:rPr>
          <w:sz w:val="20"/>
          <w:szCs w:val="20"/>
          <w:color w:val="auto"/>
        </w:rPr>
      </w:pPr>
    </w:p>
    <w:p>
      <w:pPr>
        <w:ind w:left="10" w:right="3960" w:firstLine="529"/>
        <w:spacing w:after="0" w:line="256" w:lineRule="auto"/>
        <w:rPr>
          <w:sz w:val="20"/>
          <w:szCs w:val="20"/>
          <w:color w:val="auto"/>
        </w:rPr>
      </w:pPr>
      <w:r>
        <w:rPr>
          <w:rFonts w:ascii="Courier New" w:cs="Courier New" w:eastAsia="Courier New" w:hAnsi="Courier New"/>
          <w:sz w:val="14"/>
          <w:szCs w:val="14"/>
          <w:color w:val="auto"/>
        </w:rPr>
        <w:t>On March 5, 2004 the Company issued $450.0 million aggregate principal amount of 0.50% Senior Notes due 2024 (the "0.50% Notes") in a private placement to Morgan Stanley &amp; Co. Incorporated, Goldman, Sachs &amp; Co. and Merrill Lynch, Pierce, Fenner &amp; Smith Incorporated, as initial purchasers. The initial purchasers resold the 0.50% Notes to qualified institutional buyers in accordance with Rule 144A under the Securities Act of 1933, as amended. The Company received net proceeds of approximately $442.1 million from the sale of the notes, after deducting discounts and commissions and offering expenses. The Company used approximately $170.1 million of the net proceeds to repurchase 6,073,600 ordinary shares sold short by purchasers of the 0.50% Notes in negotiated transactions, concurrently with the sale of the notes, to offset the dilutive effect of 10,435,995 ordinary shares issuable upon conversion of the</w:t>
      </w:r>
    </w:p>
    <w:p>
      <w:pPr>
        <w:spacing w:after="0" w:line="4" w:lineRule="exact"/>
        <w:rPr>
          <w:sz w:val="20"/>
          <w:szCs w:val="20"/>
          <w:color w:val="auto"/>
        </w:rPr>
      </w:pPr>
    </w:p>
    <w:p>
      <w:pPr>
        <w:ind w:left="10" w:right="4140"/>
        <w:spacing w:after="0" w:line="235" w:lineRule="auto"/>
        <w:rPr>
          <w:sz w:val="20"/>
          <w:szCs w:val="20"/>
          <w:color w:val="auto"/>
        </w:rPr>
      </w:pPr>
      <w:r>
        <w:rPr>
          <w:rFonts w:ascii="Courier New" w:cs="Courier New" w:eastAsia="Courier New" w:hAnsi="Courier New"/>
          <w:sz w:val="15"/>
          <w:szCs w:val="15"/>
          <w:color w:val="auto"/>
        </w:rPr>
        <w:t>0.50% Notes, based on a conversion rate of 23.1911 shares per $1,000 principal amount.</w:t>
      </w:r>
    </w:p>
    <w:p>
      <w:pPr>
        <w:spacing w:after="0" w:line="170" w:lineRule="exact"/>
        <w:rPr>
          <w:sz w:val="20"/>
          <w:szCs w:val="20"/>
          <w:color w:val="auto"/>
        </w:rPr>
      </w:pPr>
    </w:p>
    <w:p>
      <w:pPr>
        <w:ind w:left="530" w:hanging="530"/>
        <w:spacing w:after="0"/>
        <w:tabs>
          <w:tab w:leader="none" w:pos="53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Issuer Purchases of Equity Securities</w:t>
      </w:r>
    </w:p>
    <w:p>
      <w:pPr>
        <w:spacing w:after="0" w:line="175" w:lineRule="exact"/>
        <w:rPr>
          <w:sz w:val="20"/>
          <w:szCs w:val="20"/>
          <w:color w:val="auto"/>
        </w:rPr>
      </w:pPr>
    </w:p>
    <w:p>
      <w:pPr>
        <w:ind w:left="10" w:right="4040" w:firstLine="529"/>
        <w:spacing w:after="0" w:line="237" w:lineRule="auto"/>
        <w:rPr>
          <w:sz w:val="20"/>
          <w:szCs w:val="20"/>
          <w:color w:val="auto"/>
        </w:rPr>
      </w:pPr>
      <w:r>
        <w:rPr>
          <w:rFonts w:ascii="Courier New" w:cs="Courier New" w:eastAsia="Courier New" w:hAnsi="Courier New"/>
          <w:sz w:val="15"/>
          <w:szCs w:val="15"/>
          <w:color w:val="auto"/>
        </w:rPr>
        <w:t>The following table provides information about purchases by the Company and its affiliated purchasers during the quarter ended March 31, 2004 of equity securities that are registered by the Company pursuant to Section 12 of the Exchange Act:</w:t>
      </w:r>
    </w:p>
    <w:p>
      <w:pPr>
        <w:spacing w:after="0" w:line="171"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ISSUER PURCHASES OF EQUITY SECURITIES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18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(A)</w:t>
            </w:r>
          </w:p>
        </w:tc>
        <w:tc>
          <w:tcPr>
            <w:tcW w:w="580" w:type="dxa"/>
            <w:vAlign w:val="bottom"/>
          </w:tcPr>
          <w:p>
            <w:pPr>
              <w:spacing w:after="0"/>
              <w:rPr>
                <w:sz w:val="14"/>
                <w:szCs w:val="14"/>
                <w:color w:val="auto"/>
              </w:rPr>
            </w:pPr>
          </w:p>
        </w:tc>
        <w:tc>
          <w:tcPr>
            <w:tcW w:w="19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(B)</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w:t>
            </w: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tcPr>
          <w:p>
            <w:pPr>
              <w:jc w:val="center"/>
              <w:ind w:right="927"/>
              <w:spacing w:after="0"/>
              <w:rPr>
                <w:sz w:val="20"/>
                <w:szCs w:val="20"/>
                <w:color w:val="auto"/>
              </w:rPr>
            </w:pPr>
            <w:r>
              <w:rPr>
                <w:rFonts w:ascii="Courier New" w:cs="Courier New" w:eastAsia="Courier New" w:hAnsi="Courier New"/>
                <w:sz w:val="15"/>
                <w:szCs w:val="15"/>
                <w:color w:val="auto"/>
                <w:w w:val="96"/>
              </w:rPr>
              <w:t>(D)</w:t>
            </w:r>
          </w:p>
        </w:tc>
      </w:tr>
      <w:tr>
        <w:trPr>
          <w:trHeight w:val="170"/>
        </w:trPr>
        <w:tc>
          <w:tcPr>
            <w:tcW w:w="1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MAXIMUM NUMBER (OR</w:t>
            </w:r>
          </w:p>
        </w:tc>
      </w:tr>
      <w:tr>
        <w:trPr>
          <w:trHeight w:val="170"/>
        </w:trPr>
        <w:tc>
          <w:tcPr>
            <w:tcW w:w="1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TOTAL NUMBER OF</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SHARES</w:t>
            </w:r>
          </w:p>
        </w:tc>
        <w:tc>
          <w:tcPr>
            <w:tcW w:w="24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APPROXIMATE DOLLAR</w:t>
            </w:r>
          </w:p>
        </w:tc>
      </w:tr>
      <w:tr>
        <w:trPr>
          <w:trHeight w:val="170"/>
        </w:trPr>
        <w:tc>
          <w:tcPr>
            <w:tcW w:w="1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3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(OR UNITS) PURCHASED AS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VALUE)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OF SHARES (OR</w:t>
            </w:r>
          </w:p>
        </w:tc>
      </w:tr>
      <w:tr>
        <w:trPr>
          <w:trHeight w:val="170"/>
        </w:trPr>
        <w:tc>
          <w:tcPr>
            <w:tcW w:w="1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AVERAGE PRICE</w:t>
            </w:r>
          </w:p>
        </w:tc>
        <w:tc>
          <w:tcPr>
            <w:tcW w:w="23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PART OF PUBLICLY</w:t>
            </w:r>
          </w:p>
        </w:tc>
        <w:tc>
          <w:tcPr>
            <w:tcW w:w="246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7"/>
              </w:rPr>
              <w:t>UNITS)3 THAT MAY YET BE</w:t>
            </w:r>
          </w:p>
        </w:tc>
      </w:tr>
      <w:tr>
        <w:trPr>
          <w:trHeight w:val="170"/>
        </w:trPr>
        <w:tc>
          <w:tcPr>
            <w:tcW w:w="1840" w:type="dxa"/>
            <w:vAlign w:val="bottom"/>
          </w:tcPr>
          <w:p>
            <w:pPr>
              <w:spacing w:after="0"/>
              <w:rPr>
                <w:sz w:val="14"/>
                <w:szCs w:val="14"/>
                <w:color w:val="auto"/>
              </w:rPr>
            </w:pPr>
          </w:p>
        </w:tc>
        <w:tc>
          <w:tcPr>
            <w:tcW w:w="23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TOTAL NUMBER OF SHARES</w:t>
            </w:r>
          </w:p>
        </w:tc>
        <w:tc>
          <w:tcPr>
            <w:tcW w:w="1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PAID PER SHARE (OR</w:t>
            </w:r>
          </w:p>
        </w:tc>
        <w:tc>
          <w:tcPr>
            <w:tcW w:w="2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ANNOUNCED PLANS OR</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PURCHASED</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UNDER THE PLANS</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23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(OR UNITS) PURCHASED</w:t>
            </w:r>
          </w:p>
        </w:tc>
        <w:tc>
          <w:tcPr>
            <w:tcW w:w="19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UNIT)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PROGRAMS</w:t>
            </w:r>
          </w:p>
        </w:tc>
        <w:tc>
          <w:tcPr>
            <w:tcW w:w="840" w:type="dxa"/>
            <w:vAlign w:val="bottom"/>
          </w:tcPr>
          <w:p>
            <w:pPr>
              <w:spacing w:after="0"/>
              <w:rPr>
                <w:sz w:val="14"/>
                <w:szCs w:val="14"/>
                <w:color w:val="auto"/>
              </w:rPr>
            </w:pPr>
          </w:p>
        </w:tc>
        <w:tc>
          <w:tcPr>
            <w:tcW w:w="246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9"/>
              </w:rPr>
              <w:t>OR PROGRAMS (1)</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840" w:type="dxa"/>
            <w:vAlign w:val="bottom"/>
          </w:tcPr>
          <w:p>
            <w:pPr>
              <w:spacing w:after="0"/>
              <w:rPr>
                <w:sz w:val="20"/>
                <w:szCs w:val="20"/>
                <w:color w:val="auto"/>
              </w:rPr>
            </w:pPr>
            <w:r>
              <w:rPr>
                <w:rFonts w:ascii="Courier New" w:cs="Courier New" w:eastAsia="Courier New" w:hAnsi="Courier New"/>
                <w:sz w:val="15"/>
                <w:szCs w:val="15"/>
                <w:color w:val="auto"/>
              </w:rPr>
              <w:t>01/01/04-01/31/04</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19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10,100</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02/01/04-02/29/04</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484,500</w:t>
            </w:r>
          </w:p>
        </w:tc>
        <w:tc>
          <w:tcPr>
            <w:tcW w:w="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c>
          <w:tcPr>
            <w:tcW w:w="19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$27.69</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484,500</w:t>
            </w:r>
          </w:p>
        </w:tc>
        <w:tc>
          <w:tcPr>
            <w:tcW w:w="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w:t>
            </w:r>
          </w:p>
        </w:tc>
        <w:tc>
          <w:tcPr>
            <w:tcW w:w="92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10,100</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03/01/04-03/31/04</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6,073,600</w:t>
            </w:r>
          </w:p>
        </w:tc>
        <w:tc>
          <w:tcPr>
            <w:tcW w:w="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c>
          <w:tcPr>
            <w:tcW w:w="19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$28.00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6,073,600</w:t>
            </w:r>
          </w:p>
        </w:tc>
        <w:tc>
          <w:tcPr>
            <w:tcW w:w="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w:t>
            </w:r>
          </w:p>
        </w:tc>
        <w:tc>
          <w:tcPr>
            <w:tcW w:w="92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10,100</w:t>
            </w:r>
          </w:p>
        </w:tc>
      </w:tr>
      <w:tr>
        <w:trPr>
          <w:trHeight w:val="170"/>
        </w:trPr>
        <w:tc>
          <w:tcPr>
            <w:tcW w:w="184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6,558,100</w:t>
            </w:r>
          </w:p>
        </w:tc>
        <w:tc>
          <w:tcPr>
            <w:tcW w:w="580" w:type="dxa"/>
            <w:vAlign w:val="bottom"/>
          </w:tcPr>
          <w:p>
            <w:pPr>
              <w:spacing w:after="0"/>
              <w:rPr>
                <w:sz w:val="14"/>
                <w:szCs w:val="14"/>
                <w:color w:val="auto"/>
              </w:rPr>
            </w:pPr>
          </w:p>
        </w:tc>
        <w:tc>
          <w:tcPr>
            <w:tcW w:w="19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$27.98</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6,558,100</w:t>
            </w: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10,100</w:t>
            </w:r>
          </w:p>
        </w:tc>
      </w:tr>
    </w:tbl>
    <w:p>
      <w:pPr>
        <w:spacing w:after="0" w:line="344" w:lineRule="exact"/>
        <w:rPr>
          <w:sz w:val="20"/>
          <w:szCs w:val="20"/>
          <w:color w:val="auto"/>
        </w:rPr>
      </w:pPr>
    </w:p>
    <w:p>
      <w:pPr>
        <w:ind w:left="530" w:right="3960" w:hanging="530"/>
        <w:spacing w:after="0" w:line="238" w:lineRule="auto"/>
        <w:tabs>
          <w:tab w:leader="none" w:pos="53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5, 2003, the Company announced that its board of directors had authorized a share repurchase program of up to five million ordinary shares during fiscal 2004. The authorization permits the Company to purchase ordinary shares in open market or privately negotiated transactions and at prices the Company deems appropriate. The Company stated that one of the main purposes of the repurchase program was to offset the dilutive effect of any future share issuances, including issuances pursuant to employee equity plans or in connection with acquisitions. The Company has repurchased through open market purchases 4,989,900 ordinary shares under this repurchase program, with 10,100 shares available for repurchase pursuant to the board authorization for the program. No share repurchases under this program were made in the three months ended March 31, 2004.</w:t>
      </w:r>
    </w:p>
    <w:p>
      <w:pPr>
        <w:spacing w:after="0" w:line="182" w:lineRule="exact"/>
        <w:rPr>
          <w:rFonts w:ascii="Courier New" w:cs="Courier New" w:eastAsia="Courier New" w:hAnsi="Courier New"/>
          <w:sz w:val="15"/>
          <w:szCs w:val="15"/>
          <w:color w:val="auto"/>
        </w:rPr>
      </w:pPr>
    </w:p>
    <w:p>
      <w:pPr>
        <w:ind w:left="530" w:right="4140" w:hanging="530"/>
        <w:spacing w:after="0" w:line="237" w:lineRule="auto"/>
        <w:tabs>
          <w:tab w:leader="none" w:pos="53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Company's acquisition of XACCT Technologies Ltd., the board of directors approved the repurchase of ordinary shares to offset the dilutive effect of share issuances in the acquisition. The closing of the</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1010"/>
          </w:cols>
          <w:pgMar w:left="230" w:top="452" w:right="659" w:bottom="1440" w:gutter="0" w:footer="0" w:header="0"/>
        </w:sectPr>
      </w:pPr>
    </w:p>
    <w:bookmarkStart w:id="31" w:name="page32"/>
    <w:bookmarkEnd w:id="31"/>
    <w:p>
      <w:pPr>
        <w:ind w:left="530" w:right="3179"/>
        <w:spacing w:after="0" w:line="237" w:lineRule="auto"/>
        <w:rPr>
          <w:sz w:val="20"/>
          <w:szCs w:val="20"/>
          <w:color w:val="auto"/>
        </w:rPr>
      </w:pPr>
      <w:r>
        <w:rPr>
          <w:rFonts w:ascii="Courier New" w:cs="Courier New" w:eastAsia="Courier New" w:hAnsi="Courier New"/>
          <w:sz w:val="15"/>
          <w:szCs w:val="15"/>
          <w:color w:val="auto"/>
        </w:rPr>
        <w:t>acquisition occurred in February 2004, and the Company repurchased through open market purchases 484,500 ordinary shares in February 2004. No additional share repurchases are authorized in connection with the acquisition.</w:t>
      </w:r>
    </w:p>
    <w:p>
      <w:pPr>
        <w:spacing w:after="0" w:line="176" w:lineRule="exact"/>
        <w:rPr>
          <w:sz w:val="20"/>
          <w:szCs w:val="20"/>
          <w:color w:val="auto"/>
        </w:rPr>
      </w:pPr>
    </w:p>
    <w:p>
      <w:pPr>
        <w:ind w:left="530" w:right="3179" w:hanging="530"/>
        <w:spacing w:after="0" w:line="238" w:lineRule="auto"/>
        <w:tabs>
          <w:tab w:leader="none" w:pos="53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Company's issuance of the 0.50% Notes, the board of directors approved the repurchase of ordinary shares sold short by purchasers of the 0.50% Notes in negotiated transactions, concurrently with the sale of the notes, to offset the dilutive effect of the ordinary shares issuable upon conversion of the 0.50% Notes. The closing of the sale of the 0.50% Notes occurred in March 2004, and the Company repurchased 6,073,600 ordinary shares, out of the 10,435,995 ordinary shares issuable upon conversion of the 0.50% Notes, based on a conversion rate of 23.1911 shares per $1,000 principal amount.</w:t>
      </w:r>
    </w:p>
    <w:p>
      <w:pPr>
        <w:spacing w:after="0" w:line="34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2. REPORTS ON FORM 6-K</w:t>
      </w:r>
    </w:p>
    <w:p>
      <w:pPr>
        <w:spacing w:after="0" w:line="169" w:lineRule="exact"/>
        <w:rPr>
          <w:sz w:val="20"/>
          <w:szCs w:val="20"/>
          <w:color w:val="auto"/>
        </w:rPr>
      </w:pPr>
    </w:p>
    <w:p>
      <w:pPr>
        <w:ind w:left="530" w:hanging="530"/>
        <w:spacing w:after="0"/>
        <w:tabs>
          <w:tab w:leader="none" w:pos="53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6-K</w:t>
      </w:r>
    </w:p>
    <w:p>
      <w:pPr>
        <w:spacing w:after="0" w:line="175" w:lineRule="exact"/>
        <w:rPr>
          <w:sz w:val="20"/>
          <w:szCs w:val="20"/>
          <w:color w:val="auto"/>
        </w:rPr>
      </w:pPr>
    </w:p>
    <w:p>
      <w:pPr>
        <w:ind w:left="10" w:right="3179" w:firstLine="529"/>
        <w:spacing w:after="0" w:line="235" w:lineRule="auto"/>
        <w:rPr>
          <w:sz w:val="20"/>
          <w:szCs w:val="20"/>
          <w:color w:val="auto"/>
        </w:rPr>
      </w:pPr>
      <w:r>
        <w:rPr>
          <w:rFonts w:ascii="Courier New" w:cs="Courier New" w:eastAsia="Courier New" w:hAnsi="Courier New"/>
          <w:sz w:val="15"/>
          <w:szCs w:val="15"/>
          <w:color w:val="auto"/>
        </w:rPr>
        <w:t>The Company filed the following report on Form 6-K during the three months ended March 31, 2004:</w:t>
      </w:r>
    </w:p>
    <w:p>
      <w:pPr>
        <w:spacing w:after="0" w:line="170" w:lineRule="exact"/>
        <w:rPr>
          <w:sz w:val="20"/>
          <w:szCs w:val="20"/>
          <w:color w:val="auto"/>
        </w:rPr>
      </w:pPr>
    </w:p>
    <w:p>
      <w:pPr>
        <w:ind w:left="530" w:hanging="530"/>
        <w:spacing w:after="0"/>
        <w:tabs>
          <w:tab w:leader="none" w:pos="53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February 17, 2004.</w:t>
      </w:r>
    </w:p>
    <w:p>
      <w:pPr>
        <w:ind w:left="530" w:hanging="530"/>
        <w:spacing w:after="0"/>
        <w:tabs>
          <w:tab w:leader="none" w:pos="53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March 1, 2004.</w:t>
      </w:r>
    </w:p>
    <w:p>
      <w:pPr>
        <w:ind w:left="530" w:hanging="530"/>
        <w:spacing w:after="0"/>
        <w:tabs>
          <w:tab w:leader="none" w:pos="53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March 2, 2004.</w:t>
      </w:r>
    </w:p>
    <w:p>
      <w:pPr>
        <w:ind w:left="530" w:hanging="530"/>
        <w:spacing w:after="0"/>
        <w:tabs>
          <w:tab w:leader="none" w:pos="53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March 5, 2004.</w:t>
      </w:r>
    </w:p>
    <w:p>
      <w:pPr>
        <w:spacing w:after="0" w:line="33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9"/>
          </w:cols>
          <w:pgMar w:left="230" w:top="458" w:right="1440" w:bottom="1440" w:gutter="0" w:footer="0" w:header="0"/>
        </w:sectPr>
      </w:pPr>
    </w:p>
    <w:bookmarkStart w:id="32" w:name="page33"/>
    <w:bookmarkEnd w:id="32"/>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jc w:val="both"/>
        <w:ind w:right="38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AMDOCS LIMITED</w:t>
      </w:r>
    </w:p>
    <w:p>
      <w:pPr>
        <w:spacing w:after="0" w:line="200" w:lineRule="exact"/>
        <w:rPr>
          <w:sz w:val="20"/>
          <w:szCs w:val="20"/>
          <w:color w:val="auto"/>
        </w:rPr>
      </w:pPr>
    </w:p>
    <w:p>
      <w:pPr>
        <w:spacing w:after="0" w:line="30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 Thomas G. O'Brien</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Thomas G. O'Brien</w:t>
      </w:r>
    </w:p>
    <w:p>
      <w:pPr>
        <w:ind w:left="3860"/>
        <w:spacing w:after="0"/>
        <w:rPr>
          <w:sz w:val="20"/>
          <w:szCs w:val="20"/>
          <w:color w:val="auto"/>
        </w:rPr>
      </w:pPr>
      <w:r>
        <w:rPr>
          <w:rFonts w:ascii="Courier New" w:cs="Courier New" w:eastAsia="Courier New" w:hAnsi="Courier New"/>
          <w:sz w:val="15"/>
          <w:szCs w:val="15"/>
          <w:color w:val="auto"/>
        </w:rPr>
        <w:t>Treasurer and Secretary</w:t>
      </w:r>
    </w:p>
    <w:p>
      <w:pPr>
        <w:ind w:left="3860"/>
        <w:spacing w:after="0"/>
        <w:rPr>
          <w:sz w:val="20"/>
          <w:szCs w:val="20"/>
          <w:color w:val="auto"/>
        </w:rPr>
      </w:pPr>
      <w:r>
        <w:rPr>
          <w:rFonts w:ascii="Courier New" w:cs="Courier New" w:eastAsia="Courier New" w:hAnsi="Courier New"/>
          <w:sz w:val="15"/>
          <w:szCs w:val="15"/>
          <w:color w:val="auto"/>
        </w:rPr>
        <w:t>Authorized U.S. Representative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June 10, 2004</w:t>
      </w:r>
    </w:p>
    <w:p>
      <w:pPr>
        <w:sectPr>
          <w:pgSz w:w="11900" w:h="16838" w:orient="portrait"/>
          <w:cols w:equalWidth="0" w:num="1">
            <w:col w:w="10219"/>
          </w:cols>
          <w:pgMar w:left="240" w:top="452" w:right="1440" w:bottom="1440" w:gutter="0" w:footer="0" w:header="0"/>
        </w:sectPr>
      </w:pPr>
    </w:p>
    <w:bookmarkStart w:id="33" w:name="page34"/>
    <w:bookmarkEnd w:id="33"/>
    <w:p>
      <w:pPr>
        <w:ind w:left="298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458" w:right="1440" w:bottom="1440" w:gutter="0" w:footer="0" w:header="0"/>
        </w:sectPr>
      </w:pPr>
    </w:p>
    <w:p>
      <w:pPr>
        <w:spacing w:after="0" w:line="180" w:lineRule="exact"/>
        <w:rPr>
          <w:sz w:val="20"/>
          <w:szCs w:val="20"/>
          <w:color w:val="auto"/>
        </w:rPr>
      </w:pPr>
    </w:p>
    <w:p>
      <w:pPr>
        <w:ind w:right="240"/>
        <w:spacing w:after="0" w:line="265" w:lineRule="auto"/>
        <w:rPr>
          <w:sz w:val="20"/>
          <w:szCs w:val="20"/>
          <w:color w:val="auto"/>
        </w:rPr>
      </w:pPr>
      <w:r>
        <w:rPr>
          <w:rFonts w:ascii="Courier New" w:cs="Courier New" w:eastAsia="Courier New" w:hAnsi="Courier New"/>
          <w:sz w:val="14"/>
          <w:szCs w:val="14"/>
          <w:color w:val="auto"/>
        </w:rPr>
        <w:t>EXHIBIT NO. -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1380" w:space="720"/>
            <w:col w:w="8119"/>
          </w:cols>
          <w:pgMar w:left="240" w:top="45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Amdocs Limited Press Release dated April 21, 2004.</w:t>
      </w:r>
    </w:p>
    <w:p>
      <w:pPr>
        <w:sectPr>
          <w:pgSz w:w="11900" w:h="16838" w:orient="portrait"/>
          <w:cols w:equalWidth="0" w:num="2">
            <w:col w:w="1380" w:space="720"/>
            <w:col w:w="8119"/>
          </w:cols>
          <w:pgMar w:left="240" w:top="458" w:right="1440" w:bottom="1440" w:gutter="0" w:footer="0" w:header="0"/>
          <w:type w:val="continuous"/>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EXHIBIT 99.1</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AMDOCS LIMITED REPORTS REVENUE GROWTH OF 24.7% IN SECOND QUARTER</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COMPANY EXCEEDS GUIDANCE ON SECOND QUARTER REVENUE AND EARNINGS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highlights:</w:t>
      </w:r>
    </w:p>
    <w:p>
      <w:pPr>
        <w:spacing w:after="0" w:line="169" w:lineRule="exact"/>
        <w:rPr>
          <w:sz w:val="20"/>
          <w:szCs w:val="20"/>
          <w:color w:val="auto"/>
        </w:rPr>
      </w:pPr>
    </w:p>
    <w:p>
      <w:pPr>
        <w:ind w:left="1040" w:hanging="521"/>
        <w:spacing w:after="0"/>
        <w:tabs>
          <w:tab w:leader="none" w:pos="10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of $442.8 million, exceeding guidance of $432-$438 million</w:t>
      </w:r>
    </w:p>
    <w:p>
      <w:pPr>
        <w:spacing w:after="0" w:line="169"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Sequential revenue growth of 3.4%</w:t>
      </w:r>
    </w:p>
    <w:p>
      <w:pPr>
        <w:spacing w:after="0" w:line="169"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Proforma EPS increases 31.8% to $0.29, exceeding guidance of $0.27</w:t>
      </w:r>
    </w:p>
    <w:p>
      <w:pPr>
        <w:spacing w:after="0" w:line="169"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Diluted GAAP EPS of $0.28</w:t>
      </w:r>
    </w:p>
    <w:p>
      <w:pPr>
        <w:spacing w:after="0" w:line="174" w:lineRule="exact"/>
        <w:rPr>
          <w:rFonts w:ascii="Courier New" w:cs="Courier New" w:eastAsia="Courier New" w:hAnsi="Courier New"/>
          <w:sz w:val="15"/>
          <w:szCs w:val="15"/>
          <w:color w:val="auto"/>
        </w:rPr>
      </w:pPr>
    </w:p>
    <w:p>
      <w:pPr>
        <w:ind w:left="1040" w:right="3179" w:hanging="521"/>
        <w:spacing w:after="0" w:line="237" w:lineRule="auto"/>
        <w:tabs>
          <w:tab w:leader="none" w:pos="10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quarter fiscal 2004 guidance: Expected revenue of $450 million and proforma EPS of $0.30. Diluted GAAP EPS results expected to be $0.01-$0.02 less than proforma EPS.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St. Louis, MO - April 21, 2004 - Amdocs Limited (NYSE: DOX) today reported that for the second quarter ended March 31, 2004, revenue was $442.8 million, representing sequential growth of 3.4% and an increase of 24.7% from last year's second quarter. Excluding acquisition-related costs and related tax effects, net income was $63.2 million, or $0.29 per diluted share, and increased by $14.4 million, or 29.5%, when compared to net income of $48.8 million, or $0.22 per diluted share, in the second quarter of fiscal 2003. The Company's GAAP net income, which includes acquisition-related charges for amortization of purchased intangible assets and related tax effects, was $60.3 million, or $0.28 per diluted share, compared to net income of $45.4 million, or $0.21 per diluted share, in the second quarter of fiscal 2003.</w:t>
      </w:r>
    </w:p>
    <w:p>
      <w:pPr>
        <w:spacing w:after="0" w:line="18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Dov Baharav, Chief Executive Officer of Amdocs Management Limited, said, "We are pleased with this quarter's excellent results. The overall market, while still challenging, is stronger today than it was a year ago. Many service providers are recognizing a growing need for investments in their billing, CRM and order management systems. This improved environment creates opportunities for Amdocs through our unique integrated customer management offering. Notwithstanding the ongoing challenges, we are confident that we can capitalize on these opportunities to achieve modest sequential growth in the coming quarters."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HIGHLIGHTS</w:t>
      </w:r>
    </w:p>
    <w:p>
      <w:pPr>
        <w:spacing w:after="0" w:line="17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During the second quarter, our new business included 9 new key wins, highlighted below.</w:t>
      </w:r>
    </w:p>
    <w:p>
      <w:pPr>
        <w:spacing w:after="0" w:line="176" w:lineRule="exact"/>
        <w:rPr>
          <w:sz w:val="20"/>
          <w:szCs w:val="20"/>
          <w:color w:val="auto"/>
        </w:rPr>
      </w:pPr>
    </w:p>
    <w:p>
      <w:pPr>
        <w:ind w:left="1040" w:right="3359" w:hanging="521"/>
        <w:spacing w:after="0" w:line="237" w:lineRule="auto"/>
        <w:tabs>
          <w:tab w:leader="none" w:pos="10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major communications provider in Europe has selected Amdocs ClarifyCRM as its strategic service management platform. The platform will support the provisioning and fulfillment processes. This project represents a significant expansion of our cooperation with this leading service provider.</w:t>
      </w:r>
    </w:p>
    <w:p>
      <w:pPr>
        <w:spacing w:after="0" w:line="178" w:lineRule="exact"/>
        <w:rPr>
          <w:rFonts w:ascii="Courier New" w:cs="Courier New" w:eastAsia="Courier New" w:hAnsi="Courier New"/>
          <w:sz w:val="15"/>
          <w:szCs w:val="15"/>
          <w:color w:val="auto"/>
        </w:rPr>
      </w:pPr>
    </w:p>
    <w:p>
      <w:pPr>
        <w:ind w:left="1040" w:right="3179" w:hanging="521"/>
        <w:spacing w:after="0" w:line="237" w:lineRule="auto"/>
        <w:tabs>
          <w:tab w:leader="none" w:pos="10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was chosen by a mobile communications service provider in North America to provide a multi-year managed services solution for integrated customer management. The solution will be based on Amdocs Enabler and Amdocs ClarifyCRM.</w:t>
      </w:r>
    </w:p>
    <w:p>
      <w:pPr>
        <w:spacing w:after="0" w:line="176" w:lineRule="exact"/>
        <w:rPr>
          <w:rFonts w:ascii="Courier New" w:cs="Courier New" w:eastAsia="Courier New" w:hAnsi="Courier New"/>
          <w:sz w:val="15"/>
          <w:szCs w:val="15"/>
          <w:color w:val="auto"/>
        </w:rPr>
      </w:pPr>
    </w:p>
    <w:p>
      <w:pPr>
        <w:ind w:left="1040" w:right="3179" w:hanging="521"/>
        <w:spacing w:after="0" w:line="238" w:lineRule="auto"/>
        <w:tabs>
          <w:tab w:leader="none" w:pos="10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our long-term customer relationships, we have been awarded major expansions in the scope of products and services that we provide at three customers. At a mobile customer in Europe we are providing an online self-care system. For a wireline customer in the United States, we have been asked to provide a broad range of system integration services for the implementation of our billing systems. In addition, a major directory publisher in North America has requested Amdocs to expand the scope of ongoing support services that we currently provide.</w:t>
      </w:r>
    </w:p>
    <w:p>
      <w:pPr>
        <w:spacing w:after="0" w:line="178" w:lineRule="exact"/>
        <w:rPr>
          <w:rFonts w:ascii="Courier New" w:cs="Courier New" w:eastAsia="Courier New" w:hAnsi="Courier New"/>
          <w:sz w:val="15"/>
          <w:szCs w:val="15"/>
          <w:color w:val="auto"/>
        </w:rPr>
      </w:pPr>
    </w:p>
    <w:p>
      <w:pPr>
        <w:ind w:left="1040" w:right="3539" w:hanging="521"/>
        <w:spacing w:after="0" w:line="260" w:lineRule="auto"/>
        <w:tabs>
          <w:tab w:leader="none" w:pos="10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existing customer of Amdocs, a leading mobile communications provider in Europe, has selected Amdocs XACCT Mediation product. This follows the recent acquisition of XACCT by Amdocs.</w:t>
      </w:r>
    </w:p>
    <w:p>
      <w:pPr>
        <w:spacing w:after="0" w:line="162" w:lineRule="exact"/>
        <w:rPr>
          <w:rFonts w:ascii="Courier New" w:cs="Courier New" w:eastAsia="Courier New" w:hAnsi="Courier New"/>
          <w:sz w:val="14"/>
          <w:szCs w:val="14"/>
          <w:color w:val="auto"/>
        </w:rPr>
      </w:pPr>
    </w:p>
    <w:p>
      <w:pPr>
        <w:ind w:left="1040" w:right="3359" w:hanging="521"/>
        <w:spacing w:after="0" w:line="238" w:lineRule="auto"/>
        <w:tabs>
          <w:tab w:leader="none" w:pos="10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was chosen by a major wireline customer in North America to migrate its business internet customers onto the Amdocs billing platform. The project will enable the customer to bundle internet services with other wireline services already billed on the Amdocs system, and achieve operational savings by retiring the legacy business internet services billing system.</w:t>
      </w:r>
    </w:p>
    <w:p>
      <w:pPr>
        <w:sectPr>
          <w:pgSz w:w="11900" w:h="16838" w:orient="portrait"/>
          <w:cols w:equalWidth="0" w:num="1">
            <w:col w:w="10219"/>
          </w:cols>
          <w:pgMar w:left="240" w:top="305" w:right="1440" w:bottom="1440" w:gutter="0" w:footer="0" w:header="0"/>
        </w:sectPr>
      </w:pPr>
    </w:p>
    <w:bookmarkStart w:id="35" w:name="page36"/>
    <w:bookmarkEnd w:id="35"/>
    <w:p>
      <w:pPr>
        <w:ind w:left="1040" w:right="3179" w:hanging="521"/>
        <w:spacing w:after="0" w:line="237" w:lineRule="auto"/>
        <w:tabs>
          <w:tab w:leader="none" w:pos="10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Nextel, which utilizes Amdocs managed services offering for billing, has chosen Amdocs Enabler billing product to support its Flarion broadband data services trial.</w:t>
      </w:r>
    </w:p>
    <w:p>
      <w:pPr>
        <w:spacing w:after="0" w:line="174" w:lineRule="exact"/>
        <w:rPr>
          <w:rFonts w:ascii="Courier New" w:cs="Courier New" w:eastAsia="Courier New" w:hAnsi="Courier New"/>
          <w:sz w:val="15"/>
          <w:szCs w:val="15"/>
          <w:color w:val="auto"/>
        </w:rPr>
      </w:pPr>
    </w:p>
    <w:p>
      <w:pPr>
        <w:ind w:left="1040" w:right="3179" w:hanging="521"/>
        <w:spacing w:after="0" w:line="237" w:lineRule="auto"/>
        <w:tabs>
          <w:tab w:leader="none" w:pos="10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will be implementing a credit risk management system for one of its mobile customers in North America. Through modeling of subscriber payment behavior, the Amdocs system will help the service provider identify and manage credit risks.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AND FINANCIAL HIGHLIGHTS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second quarter:</w:t>
      </w:r>
    </w:p>
    <w:p>
      <w:pPr>
        <w:spacing w:after="0" w:line="175" w:lineRule="exact"/>
        <w:rPr>
          <w:sz w:val="20"/>
          <w:szCs w:val="20"/>
          <w:color w:val="auto"/>
        </w:rPr>
      </w:pPr>
    </w:p>
    <w:p>
      <w:pPr>
        <w:ind w:left="1040" w:right="3259" w:hanging="521"/>
        <w:spacing w:after="0" w:line="237" w:lineRule="auto"/>
        <w:tabs>
          <w:tab w:leader="none" w:pos="10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VimpelCom, a leading provider of telecommunications services in Russia, Amdocs deployed the Amdocs ClarifyCRM system. With Amdocs billing system already operating, VimpelCom achieves an integrated customer management environment.</w:t>
      </w:r>
    </w:p>
    <w:p>
      <w:pPr>
        <w:spacing w:after="0" w:line="176" w:lineRule="exact"/>
        <w:rPr>
          <w:rFonts w:ascii="Courier New" w:cs="Courier New" w:eastAsia="Courier New" w:hAnsi="Courier New"/>
          <w:sz w:val="15"/>
          <w:szCs w:val="15"/>
          <w:color w:val="auto"/>
        </w:rPr>
      </w:pPr>
    </w:p>
    <w:p>
      <w:pPr>
        <w:ind w:left="1040" w:right="3179" w:hanging="521"/>
        <w:spacing w:after="0" w:line="238" w:lineRule="auto"/>
        <w:tabs>
          <w:tab w:leader="none" w:pos="10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issued $450 million of 0.50% Convertible Senior Notes due 2024. The notes are convertible into ordinary shares of Amdocs, if certain conditions are satisfied, at a price of $43.12, subject to adjustment. This represented a conversion premium of 54% to the price of Amdocs ordinary shares at the time the notes were sold. The notes can be put to the Company on March 15 of 2009, 2014 and 2019 and are callable only after March 20, 2009. Concurrently with this offering, we used approximately $170 million of the proceeds of the offering to repurchase approximately 6.1 million of our ordinary shares sold short by purchasers of the notes in negotiated transactions.</w:t>
      </w:r>
    </w:p>
    <w:p>
      <w:pPr>
        <w:spacing w:after="0" w:line="180" w:lineRule="exact"/>
        <w:rPr>
          <w:rFonts w:ascii="Courier New" w:cs="Courier New" w:eastAsia="Courier New" w:hAnsi="Courier New"/>
          <w:sz w:val="15"/>
          <w:szCs w:val="15"/>
          <w:color w:val="auto"/>
        </w:rPr>
      </w:pPr>
    </w:p>
    <w:p>
      <w:pPr>
        <w:ind w:left="1040" w:right="3439" w:hanging="521"/>
        <w:spacing w:after="0" w:line="238" w:lineRule="auto"/>
        <w:tabs>
          <w:tab w:leader="none" w:pos="10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completed the acquisition of XACCT Technologies Ltd., a privately-held provider of industry-leading mediation software to communications services providers, for $13.5 million in cash and 560,777 Amdocs ordinary shares. In conjunction with this transaction, we repurchased approximately 485,000 Amdocs ordinary shares in the open market.</w:t>
      </w:r>
    </w:p>
    <w:p>
      <w:pPr>
        <w:spacing w:after="0" w:line="175" w:lineRule="exact"/>
        <w:rPr>
          <w:rFonts w:ascii="Courier New" w:cs="Courier New" w:eastAsia="Courier New" w:hAnsi="Courier New"/>
          <w:sz w:val="15"/>
          <w:szCs w:val="15"/>
          <w:color w:val="auto"/>
        </w:rPr>
      </w:pPr>
    </w:p>
    <w:p>
      <w:pPr>
        <w:ind w:left="1040" w:right="3179" w:hanging="521"/>
        <w:spacing w:after="0" w:line="237" w:lineRule="auto"/>
        <w:tabs>
          <w:tab w:leader="none" w:pos="10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Amdocs Commerce Payments was implemented for Bell Mobility, Canada's leading wireless provider, to provide subscribers with a simple and secure transaction experience when purchasing new wireless data content services, such downloadable games, ring tones, screen savers and location-based services.</w:t>
      </w:r>
    </w:p>
    <w:p>
      <w:pPr>
        <w:spacing w:after="0" w:line="178" w:lineRule="exact"/>
        <w:rPr>
          <w:rFonts w:ascii="Courier New" w:cs="Courier New" w:eastAsia="Courier New" w:hAnsi="Courier New"/>
          <w:sz w:val="15"/>
          <w:szCs w:val="15"/>
          <w:color w:val="auto"/>
        </w:rPr>
      </w:pPr>
    </w:p>
    <w:p>
      <w:pPr>
        <w:ind w:left="1040" w:right="3179" w:hanging="521"/>
        <w:spacing w:after="0" w:line="237" w:lineRule="auto"/>
        <w:tabs>
          <w:tab w:leader="none" w:pos="10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Free cash flow, defined as cash flow from operations less net capital expenditures and payments on capital leases, was $85 million in the quarter.</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OUTLOOK</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Amdocs expects that revenue for the third quarter ending June 30, 2004, will be approximately $450 million. Proforma earnings per share for the quarter are expected to be $0.30, excluding acquisition-related costs and related tax effects. Diluted GAAP earnings per share, including acquisition-related costs and related tax effects, for the quarter are expected to be between $0.01-$0.02 less than proforma EPS.</w:t>
      </w:r>
    </w:p>
    <w:p>
      <w:pPr>
        <w:spacing w:after="0" w:line="176"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Amdocs will host a conference call on April 21, 2004 at 5 p.m. Eastern Daylight Time to discuss the Company's second quarter results. The call will be carried live on the Internet via www.vcall.com and the Amdocs website, www.amdocs.com.</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AMDOCS</w:t>
      </w:r>
    </w:p>
    <w:p>
      <w:pPr>
        <w:spacing w:after="0" w:line="17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Amdocs combines innovative software products and services with deep business knowledge to deliver true integrated customer management to the world's leading telecommunications services companies. Our best-in-class billing and CRM products seamlessly link all customer-facing business processes - marketing, sales, ordering, delivery, fulfillment, billing, settlement, service, support, and analytics - resulting in stronger, more profitable customer relationships. Amdocs enables its customers to implement their business strategy with rapid return on investment, lower total cost of ownership and improved operational efficiencies. For more information, visit Amdocs at www.amdocs.com.</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CAUTIONARY STATEMENTS</w:t>
      </w:r>
    </w:p>
    <w:p>
      <w:pPr>
        <w:sectPr>
          <w:pgSz w:w="11900" w:h="16838" w:orient="portrait"/>
          <w:cols w:equalWidth="0" w:num="1">
            <w:col w:w="10219"/>
          </w:cols>
          <w:pgMar w:left="240" w:top="458" w:right="1440" w:bottom="1440" w:gutter="0" w:footer="0" w:header="0"/>
        </w:sectPr>
      </w:pPr>
    </w:p>
    <w:bookmarkStart w:id="36" w:name="page37"/>
    <w:bookmarkEnd w:id="36"/>
    <w:p>
      <w:pPr>
        <w:ind w:right="3259"/>
        <w:spacing w:after="0" w:line="238" w:lineRule="auto"/>
        <w:rPr>
          <w:sz w:val="20"/>
          <w:szCs w:val="20"/>
          <w:color w:val="auto"/>
        </w:rPr>
      </w:pPr>
      <w:r>
        <w:rPr>
          <w:rFonts w:ascii="Courier New" w:cs="Courier New" w:eastAsia="Courier New" w:hAnsi="Courier New"/>
          <w:sz w:val="15"/>
          <w:szCs w:val="15"/>
          <w:color w:val="auto"/>
        </w:rPr>
        <w:t>Investors are cautioned that this press release contains proforma information that is not prepared in accordance with GAAP. Investors should not construe the proforma financial measures as being superior to GAAP. The Company's management uses proforma financial information in its internal analysis because it enables the management to consistently analyze the critical components and results of operations and to have a meaningful comparison to prior periods. The Company's management believes that such measures provide useful information to investors for meaningful comparison to prior periods and analysis of the critical components and results of operations.</w:t>
      </w:r>
    </w:p>
    <w:p>
      <w:pPr>
        <w:spacing w:after="0" w:line="179"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mobile, wireline and IP business segments,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These and other risks are discussed at greater length in the Company's filings with the Securities and Exchange Commission, including in our Annual Report on Form 20-F, filed on December 24, 2003 and our Form 6-K filed on February 17, 2004.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CONTACT:</w:t>
      </w:r>
    </w:p>
    <w:p>
      <w:pPr>
        <w:spacing w:after="0"/>
        <w:rPr>
          <w:sz w:val="20"/>
          <w:szCs w:val="20"/>
          <w:color w:val="auto"/>
        </w:rPr>
      </w:pPr>
      <w:r>
        <w:rPr>
          <w:rFonts w:ascii="Courier New" w:cs="Courier New" w:eastAsia="Courier New" w:hAnsi="Courier New"/>
          <w:sz w:val="15"/>
          <w:szCs w:val="15"/>
          <w:color w:val="auto"/>
        </w:rPr>
        <w:t>Thomas G. O'Brien</w:t>
      </w:r>
    </w:p>
    <w:p>
      <w:pPr>
        <w:spacing w:after="0"/>
        <w:rPr>
          <w:sz w:val="20"/>
          <w:szCs w:val="20"/>
          <w:color w:val="auto"/>
        </w:rPr>
      </w:pPr>
      <w:r>
        <w:rPr>
          <w:rFonts w:ascii="Courier New" w:cs="Courier New" w:eastAsia="Courier New" w:hAnsi="Courier New"/>
          <w:sz w:val="15"/>
          <w:szCs w:val="15"/>
          <w:color w:val="auto"/>
        </w:rPr>
        <w:t>Treasurer and Vice President of Investor Relations</w:t>
      </w:r>
    </w:p>
    <w:p>
      <w:pPr>
        <w:spacing w:after="0" w:line="238" w:lineRule="auto"/>
        <w:rPr>
          <w:sz w:val="20"/>
          <w:szCs w:val="20"/>
          <w:color w:val="auto"/>
        </w:rPr>
      </w:pPr>
      <w:r>
        <w:rPr>
          <w:rFonts w:ascii="Courier New" w:cs="Courier New" w:eastAsia="Courier New" w:hAnsi="Courier New"/>
          <w:sz w:val="15"/>
          <w:szCs w:val="15"/>
          <w:color w:val="auto"/>
        </w:rPr>
        <w:t>Amdocs Limited</w:t>
      </w:r>
    </w:p>
    <w:p>
      <w:pPr>
        <w:spacing w:after="0"/>
        <w:rPr>
          <w:sz w:val="20"/>
          <w:szCs w:val="20"/>
          <w:color w:val="auto"/>
        </w:rPr>
      </w:pPr>
      <w:r>
        <w:rPr>
          <w:rFonts w:ascii="Courier New" w:cs="Courier New" w:eastAsia="Courier New" w:hAnsi="Courier New"/>
          <w:sz w:val="15"/>
          <w:szCs w:val="15"/>
          <w:color w:val="auto"/>
        </w:rPr>
        <w:t>314-212-8328</w:t>
      </w:r>
    </w:p>
    <w:p>
      <w:pPr>
        <w:spacing w:after="0"/>
        <w:rPr>
          <w:sz w:val="20"/>
          <w:szCs w:val="20"/>
          <w:color w:val="auto"/>
        </w:rPr>
      </w:pPr>
      <w:r>
        <w:rPr>
          <w:rFonts w:ascii="Courier New" w:cs="Courier New" w:eastAsia="Courier New" w:hAnsi="Courier New"/>
          <w:sz w:val="15"/>
          <w:szCs w:val="15"/>
          <w:color w:val="auto"/>
        </w:rPr>
        <w:t>E-mail: dox_info@amdocs.com</w:t>
      </w:r>
    </w:p>
    <w:p>
      <w:pPr>
        <w:sectPr>
          <w:pgSz w:w="11900" w:h="16838" w:orient="portrait"/>
          <w:cols w:equalWidth="0" w:num="1">
            <w:col w:w="10219"/>
          </w:cols>
          <w:pgMar w:left="240" w:top="458" w:right="1440" w:bottom="1440" w:gutter="0" w:footer="0" w:header="0"/>
        </w:sectPr>
      </w:pPr>
    </w:p>
    <w:bookmarkStart w:id="37" w:name="page38"/>
    <w:bookmarkEnd w:id="37"/>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PRO FORMA CONSOLIDATED STATEMENTS OF INCOME</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EXCLUDING RESTRUCTURING CHARGES,</w:t>
      </w:r>
    </w:p>
    <w:p>
      <w:pPr>
        <w:jc w:val="center"/>
        <w:ind w:right="3099"/>
        <w:spacing w:after="0"/>
        <w:rPr>
          <w:sz w:val="20"/>
          <w:szCs w:val="20"/>
          <w:color w:val="auto"/>
        </w:rPr>
      </w:pPr>
      <w:r>
        <w:rPr>
          <w:rFonts w:ascii="Courier New" w:cs="Courier New" w:eastAsia="Courier New" w:hAnsi="Courier New"/>
          <w:sz w:val="15"/>
          <w:szCs w:val="15"/>
          <w:color w:val="auto"/>
        </w:rPr>
        <w:t>AMORTIZATION OF PURCHASED INTANGIBLE ASSETS AND RELATED TAX EFFECTS</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THREE MONTHS ENDED</w:t>
            </w:r>
          </w:p>
        </w:tc>
        <w:tc>
          <w:tcPr>
            <w:tcW w:w="212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3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MARCH 31,</w:t>
            </w:r>
          </w:p>
        </w:tc>
        <w:tc>
          <w:tcPr>
            <w:tcW w:w="520" w:type="dxa"/>
            <w:vAlign w:val="bottom"/>
          </w:tcPr>
          <w:p>
            <w:pPr>
              <w:spacing w:after="0"/>
              <w:rPr>
                <w:sz w:val="14"/>
                <w:szCs w:val="14"/>
                <w:color w:val="auto"/>
              </w:rPr>
            </w:pPr>
          </w:p>
        </w:tc>
        <w:tc>
          <w:tcPr>
            <w:tcW w:w="11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MARCH 31,</w:t>
            </w:r>
          </w:p>
        </w:tc>
        <w:tc>
          <w:tcPr>
            <w:tcW w:w="440" w:type="dxa"/>
            <w:vAlign w:val="bottom"/>
          </w:tcPr>
          <w:p>
            <w:pPr>
              <w:spacing w:after="0"/>
              <w:rPr>
                <w:sz w:val="14"/>
                <w:szCs w:val="14"/>
                <w:color w:val="auto"/>
              </w:rPr>
            </w:pPr>
          </w:p>
        </w:tc>
      </w:tr>
      <w:tr>
        <w:trPr>
          <w:trHeight w:val="170"/>
        </w:trPr>
        <w:tc>
          <w:tcPr>
            <w:tcW w:w="3820" w:type="dxa"/>
            <w:vAlign w:val="bottom"/>
          </w:tcPr>
          <w:p>
            <w:pPr>
              <w:spacing w:after="0"/>
              <w:rPr>
                <w:sz w:val="14"/>
                <w:szCs w:val="14"/>
                <w:color w:val="auto"/>
              </w:rPr>
            </w:pPr>
          </w:p>
        </w:tc>
        <w:tc>
          <w:tcPr>
            <w:tcW w:w="234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2004(1)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2003(1)</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2004</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w w:val="94"/>
              </w:rPr>
              <w:t>2003</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w:t>
            </w:r>
          </w:p>
        </w:tc>
      </w:tr>
      <w:tr>
        <w:trPr>
          <w:trHeight w:val="170"/>
        </w:trPr>
        <w:tc>
          <w:tcPr>
            <w:tcW w:w="3820" w:type="dxa"/>
            <w:vAlign w:val="bottom"/>
          </w:tcPr>
          <w:p>
            <w:pPr>
              <w:spacing w:after="0"/>
              <w:rPr>
                <w:sz w:val="14"/>
                <w:szCs w:val="14"/>
                <w:color w:val="auto"/>
              </w:rPr>
            </w:pPr>
          </w:p>
        </w:tc>
        <w:tc>
          <w:tcPr>
            <w:tcW w:w="1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License</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$ 18,107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$ 19,159</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$ 34,728</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$ 39,685</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Service</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424,651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335,855</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836,325</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654,715</w:t>
            </w:r>
          </w:p>
        </w:tc>
      </w:tr>
      <w:tr>
        <w:trPr>
          <w:trHeight w:val="170"/>
        </w:trPr>
        <w:tc>
          <w:tcPr>
            <w:tcW w:w="3820" w:type="dxa"/>
            <w:vAlign w:val="bottom"/>
          </w:tcPr>
          <w:p>
            <w:pPr>
              <w:spacing w:after="0"/>
              <w:rPr>
                <w:sz w:val="14"/>
                <w:szCs w:val="14"/>
                <w:color w:val="auto"/>
              </w:rPr>
            </w:pP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442,758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355,014</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871,053</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694,400</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Cost of license</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1,546</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2,359</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2,682</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Cost of service</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278,258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212,080</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550,361</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416,066</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30,084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29,328</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60,582</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58,947</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53,836</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51,121</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106,333</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102,701</w:t>
            </w:r>
          </w:p>
        </w:tc>
      </w:tr>
      <w:tr>
        <w:trPr>
          <w:trHeight w:val="170"/>
        </w:trPr>
        <w:tc>
          <w:tcPr>
            <w:tcW w:w="3820" w:type="dxa"/>
            <w:vAlign w:val="bottom"/>
          </w:tcPr>
          <w:p>
            <w:pPr>
              <w:spacing w:after="0"/>
              <w:rPr>
                <w:sz w:val="14"/>
                <w:szCs w:val="14"/>
                <w:color w:val="auto"/>
              </w:rPr>
            </w:pP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363,405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294,075</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719,635</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580,396</w:t>
            </w:r>
          </w:p>
        </w:tc>
      </w:tr>
      <w:tr>
        <w:trPr>
          <w:trHeight w:val="170"/>
        </w:trPr>
        <w:tc>
          <w:tcPr>
            <w:tcW w:w="3820" w:type="dxa"/>
            <w:vAlign w:val="bottom"/>
          </w:tcPr>
          <w:p>
            <w:pPr>
              <w:spacing w:after="0"/>
              <w:rPr>
                <w:sz w:val="14"/>
                <w:szCs w:val="14"/>
                <w:color w:val="auto"/>
              </w:rPr>
            </w:pP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79,353</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60,939</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151,418</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114,004</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32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4,186</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2,778</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9,163</w:t>
            </w:r>
          </w:p>
        </w:tc>
      </w:tr>
      <w:tr>
        <w:trPr>
          <w:trHeight w:val="170"/>
        </w:trPr>
        <w:tc>
          <w:tcPr>
            <w:tcW w:w="3820" w:type="dxa"/>
            <w:vAlign w:val="bottom"/>
          </w:tcPr>
          <w:p>
            <w:pPr>
              <w:spacing w:after="0"/>
              <w:rPr>
                <w:sz w:val="14"/>
                <w:szCs w:val="14"/>
                <w:color w:val="auto"/>
              </w:rPr>
            </w:pP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81,064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65,125</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154,196</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123,167</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32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17,834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16,282</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33,923</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30,792</w:t>
            </w:r>
          </w:p>
        </w:tc>
      </w:tr>
      <w:tr>
        <w:trPr>
          <w:trHeight w:val="170"/>
        </w:trPr>
        <w:tc>
          <w:tcPr>
            <w:tcW w:w="3820" w:type="dxa"/>
            <w:vAlign w:val="bottom"/>
          </w:tcPr>
          <w:p>
            <w:pPr>
              <w:spacing w:after="0"/>
              <w:rPr>
                <w:sz w:val="14"/>
                <w:szCs w:val="14"/>
                <w:color w:val="auto"/>
              </w:rPr>
            </w:pP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$ 63,230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$ 48,843</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$120,273</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$ 92,375</w:t>
            </w:r>
          </w:p>
        </w:tc>
      </w:tr>
      <w:tr>
        <w:trPr>
          <w:trHeight w:val="170"/>
        </w:trPr>
        <w:tc>
          <w:tcPr>
            <w:tcW w:w="3820" w:type="dxa"/>
            <w:vAlign w:val="bottom"/>
          </w:tcPr>
          <w:p>
            <w:pPr>
              <w:spacing w:after="0"/>
              <w:rPr>
                <w:sz w:val="14"/>
                <w:szCs w:val="14"/>
                <w:color w:val="auto"/>
              </w:rPr>
            </w:pP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0.22</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0.55</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0.42</w:t>
            </w:r>
          </w:p>
        </w:tc>
      </w:tr>
      <w:tr>
        <w:trPr>
          <w:trHeight w:val="170"/>
        </w:trPr>
        <w:tc>
          <w:tcPr>
            <w:tcW w:w="3820" w:type="dxa"/>
            <w:vAlign w:val="bottom"/>
          </w:tcPr>
          <w:p>
            <w:pPr>
              <w:spacing w:after="0"/>
              <w:rPr>
                <w:sz w:val="14"/>
                <w:szCs w:val="14"/>
                <w:color w:val="auto"/>
              </w:rPr>
            </w:pP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3820" w:type="dxa"/>
            <w:vAlign w:val="bottom"/>
          </w:tcPr>
          <w:p>
            <w:pPr>
              <w:ind w:left="340"/>
              <w:spacing w:after="0"/>
              <w:rPr>
                <w:sz w:val="20"/>
                <w:szCs w:val="20"/>
                <w:color w:val="auto"/>
              </w:rPr>
            </w:pPr>
            <w:r>
              <w:rPr>
                <w:rFonts w:ascii="Courier New" w:cs="Courier New" w:eastAsia="Courier New" w:hAnsi="Courier New"/>
                <w:sz w:val="15"/>
                <w:szCs w:val="15"/>
                <w:color w:val="auto"/>
              </w:rPr>
              <w:t>outstanding</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216,164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219,109</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218,379</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218,179</w:t>
            </w:r>
          </w:p>
        </w:tc>
      </w:tr>
      <w:tr>
        <w:trPr>
          <w:trHeight w:val="170"/>
        </w:trPr>
        <w:tc>
          <w:tcPr>
            <w:tcW w:w="3820" w:type="dxa"/>
            <w:vAlign w:val="bottom"/>
          </w:tcPr>
          <w:p>
            <w:pPr>
              <w:spacing w:after="0"/>
              <w:rPr>
                <w:sz w:val="14"/>
                <w:szCs w:val="14"/>
                <w:color w:val="auto"/>
              </w:rPr>
            </w:pP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40" w:right="3179" w:hanging="521"/>
        <w:spacing w:after="0" w:line="258" w:lineRule="auto"/>
        <w:tabs>
          <w:tab w:leader="none" w:pos="10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$3,769 and $4,625 for amortization of purchased intangible assets and tax effects related to the above of $(829) and $(1,157) for the three months ended March 31, 2004 and 2003, respectively. Including the above items, income before income taxes was $77,295 and $60,500, and diluted earnings per share were $0.28 and $0.21 for the three months ended March 31, 2004 and 2003, respectively.</w:t>
      </w:r>
    </w:p>
    <w:p>
      <w:pPr>
        <w:spacing w:after="0" w:line="163" w:lineRule="exact"/>
        <w:rPr>
          <w:rFonts w:ascii="Courier New" w:cs="Courier New" w:eastAsia="Courier New" w:hAnsi="Courier New"/>
          <w:sz w:val="14"/>
          <w:szCs w:val="14"/>
          <w:color w:val="auto"/>
        </w:rPr>
      </w:pPr>
    </w:p>
    <w:p>
      <w:pPr>
        <w:ind w:left="1040" w:right="3179" w:hanging="521"/>
        <w:spacing w:after="0" w:line="238" w:lineRule="auto"/>
        <w:tabs>
          <w:tab w:leader="none" w:pos="10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$8,865 and $9,779 for amortization of purchased intangible assets, $0 and $9,956 of restructuring charges related to cost reduction measures, and tax effects related to the above of $(1,950) and $(4,934) for the six months ended March 31, 2004 and 2003, respectively. Including the above items, income before income taxes was $145,331 and $103,432, and diluted earnings per share were $0.52 and $0.36 for the six months ended March 31, 2004 and 2003, respectively.</w:t>
      </w:r>
    </w:p>
    <w:p>
      <w:pPr>
        <w:sectPr>
          <w:pgSz w:w="11900" w:h="16838" w:orient="portrait"/>
          <w:cols w:equalWidth="0" w:num="1">
            <w:col w:w="10219"/>
          </w:cols>
          <w:pgMar w:left="240" w:top="452" w:right="1440" w:bottom="1440" w:gutter="0" w:footer="0" w:header="0"/>
        </w:sectPr>
      </w:pPr>
    </w:p>
    <w:bookmarkStart w:id="38" w:name="page39"/>
    <w:bookmarkEnd w:id="38"/>
    <w:p>
      <w:pPr>
        <w:ind w:left="290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THREE MONTHS ENDED</w:t>
            </w:r>
          </w:p>
        </w:tc>
        <w:tc>
          <w:tcPr>
            <w:tcW w:w="300" w:type="dxa"/>
            <w:vAlign w:val="bottom"/>
          </w:tcPr>
          <w:p>
            <w:pPr>
              <w:spacing w:after="0"/>
              <w:rPr>
                <w:sz w:val="14"/>
                <w:szCs w:val="14"/>
                <w:color w:val="auto"/>
              </w:rPr>
            </w:pPr>
          </w:p>
        </w:tc>
        <w:tc>
          <w:tcPr>
            <w:tcW w:w="176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3"/>
          </w:tcPr>
          <w:p>
            <w:pPr>
              <w:jc w:val="right"/>
              <w:ind w:right="687"/>
              <w:spacing w:after="0"/>
              <w:rPr>
                <w:sz w:val="20"/>
                <w:szCs w:val="20"/>
                <w:color w:val="auto"/>
              </w:rPr>
            </w:pPr>
            <w:r>
              <w:rPr>
                <w:rFonts w:ascii="Courier New" w:cs="Courier New" w:eastAsia="Courier New" w:hAnsi="Courier New"/>
                <w:sz w:val="15"/>
                <w:szCs w:val="15"/>
                <w:color w:val="auto"/>
              </w:rPr>
              <w:t>MARCH 31,</w:t>
            </w:r>
          </w:p>
        </w:tc>
        <w:tc>
          <w:tcPr>
            <w:tcW w:w="300" w:type="dxa"/>
            <w:vAlign w:val="bottom"/>
          </w:tcPr>
          <w:p>
            <w:pPr>
              <w:spacing w:after="0"/>
              <w:rPr>
                <w:sz w:val="14"/>
                <w:szCs w:val="14"/>
                <w:color w:val="auto"/>
              </w:rPr>
            </w:pPr>
          </w:p>
        </w:tc>
        <w:tc>
          <w:tcPr>
            <w:tcW w:w="176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4260" w:type="dxa"/>
            <w:vAlign w:val="bottom"/>
          </w:tcPr>
          <w:p>
            <w:pPr>
              <w:spacing w:after="0"/>
              <w:rPr>
                <w:sz w:val="14"/>
                <w:szCs w:val="14"/>
                <w:color w:val="auto"/>
              </w:rPr>
            </w:pPr>
          </w:p>
        </w:tc>
        <w:tc>
          <w:tcPr>
            <w:tcW w:w="2300" w:type="dxa"/>
            <w:vAlign w:val="bottom"/>
            <w:gridSpan w:val="4"/>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2004</w:t>
            </w:r>
          </w:p>
        </w:tc>
        <w:tc>
          <w:tcPr>
            <w:tcW w:w="3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4"/>
                <w:szCs w:val="1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4260" w:type="dxa"/>
            <w:vAlign w:val="bottom"/>
          </w:tcPr>
          <w:p>
            <w:pPr>
              <w:spacing w:after="0"/>
              <w:rPr>
                <w:sz w:val="14"/>
                <w:szCs w:val="14"/>
                <w:color w:val="auto"/>
              </w:rPr>
            </w:pP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License</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$ 18,107</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$ 19,159</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$ 34,728</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$ 39,685</w:t>
            </w: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Service</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424,651</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335,855</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836,325</w:t>
            </w: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654,715</w:t>
            </w:r>
          </w:p>
        </w:tc>
      </w:tr>
      <w:tr>
        <w:trPr>
          <w:trHeight w:val="170"/>
        </w:trPr>
        <w:tc>
          <w:tcPr>
            <w:tcW w:w="4260" w:type="dxa"/>
            <w:vAlign w:val="bottom"/>
          </w:tcPr>
          <w:p>
            <w:pPr>
              <w:spacing w:after="0"/>
              <w:rPr>
                <w:sz w:val="14"/>
                <w:szCs w:val="14"/>
                <w:color w:val="auto"/>
              </w:rPr>
            </w:pP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442,758</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355,014</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871,053</w:t>
            </w: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694,400</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Cost of license</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1,227</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1,546</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2,359</w:t>
            </w: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2,682</w:t>
            </w: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Cost of service</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278,258</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212,080</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550,361</w:t>
            </w: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416,066</w:t>
            </w: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Research and development</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30,084</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29,328</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60,582</w:t>
            </w: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58,947</w:t>
            </w: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53,836</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51,121</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106,333</w:t>
            </w: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102,701</w:t>
            </w: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purchased intangible assets</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3,769</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4,625</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8,865</w:t>
            </w: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9,779</w:t>
            </w: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Restructuring charges</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9,956</w:t>
            </w:r>
          </w:p>
        </w:tc>
      </w:tr>
      <w:tr>
        <w:trPr>
          <w:trHeight w:val="170"/>
        </w:trPr>
        <w:tc>
          <w:tcPr>
            <w:tcW w:w="4260" w:type="dxa"/>
            <w:vAlign w:val="bottom"/>
          </w:tcPr>
          <w:p>
            <w:pPr>
              <w:spacing w:after="0"/>
              <w:rPr>
                <w:sz w:val="14"/>
                <w:szCs w:val="14"/>
                <w:color w:val="auto"/>
              </w:rPr>
            </w:pP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367,174</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298,700</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728,500</w:t>
            </w: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600,131</w:t>
            </w:r>
          </w:p>
        </w:tc>
      </w:tr>
      <w:tr>
        <w:trPr>
          <w:trHeight w:val="170"/>
        </w:trPr>
        <w:tc>
          <w:tcPr>
            <w:tcW w:w="4260" w:type="dxa"/>
            <w:vAlign w:val="bottom"/>
          </w:tcPr>
          <w:p>
            <w:pPr>
              <w:spacing w:after="0"/>
              <w:rPr>
                <w:sz w:val="14"/>
                <w:szCs w:val="14"/>
                <w:color w:val="auto"/>
              </w:rPr>
            </w:pP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75,584</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56,314</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142,553</w:t>
            </w: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94,269</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3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1,711</w:t>
            </w:r>
          </w:p>
        </w:tc>
        <w:tc>
          <w:tcPr>
            <w:tcW w:w="30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4,186</w:t>
            </w:r>
          </w:p>
        </w:tc>
        <w:tc>
          <w:tcPr>
            <w:tcW w:w="30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2,778</w:t>
            </w: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9,163</w:t>
            </w:r>
          </w:p>
        </w:tc>
      </w:tr>
      <w:tr>
        <w:trPr>
          <w:trHeight w:val="170"/>
        </w:trPr>
        <w:tc>
          <w:tcPr>
            <w:tcW w:w="4260" w:type="dxa"/>
            <w:vAlign w:val="bottom"/>
          </w:tcPr>
          <w:p>
            <w:pPr>
              <w:spacing w:after="0"/>
              <w:rPr>
                <w:sz w:val="14"/>
                <w:szCs w:val="14"/>
                <w:color w:val="auto"/>
              </w:rPr>
            </w:pP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77,295</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60,500</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145,331</w:t>
            </w: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103,432</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3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17,005</w:t>
            </w:r>
          </w:p>
        </w:tc>
        <w:tc>
          <w:tcPr>
            <w:tcW w:w="30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15,125</w:t>
            </w:r>
          </w:p>
        </w:tc>
        <w:tc>
          <w:tcPr>
            <w:tcW w:w="30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31,973</w:t>
            </w: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25,858</w:t>
            </w:r>
          </w:p>
        </w:tc>
      </w:tr>
      <w:tr>
        <w:trPr>
          <w:trHeight w:val="170"/>
        </w:trPr>
        <w:tc>
          <w:tcPr>
            <w:tcW w:w="4260" w:type="dxa"/>
            <w:vAlign w:val="bottom"/>
          </w:tcPr>
          <w:p>
            <w:pPr>
              <w:spacing w:after="0"/>
              <w:rPr>
                <w:sz w:val="14"/>
                <w:szCs w:val="14"/>
                <w:color w:val="auto"/>
              </w:rPr>
            </w:pP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$ 60,290</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$ 45,375</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$113,358</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$ 77,574</w:t>
            </w:r>
          </w:p>
        </w:tc>
      </w:tr>
      <w:tr>
        <w:trPr>
          <w:trHeight w:val="170"/>
        </w:trPr>
        <w:tc>
          <w:tcPr>
            <w:tcW w:w="4260" w:type="dxa"/>
            <w:vAlign w:val="bottom"/>
          </w:tcPr>
          <w:p>
            <w:pPr>
              <w:spacing w:after="0"/>
              <w:rPr>
                <w:sz w:val="14"/>
                <w:szCs w:val="14"/>
                <w:color w:val="auto"/>
              </w:rPr>
            </w:pP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0.36</w:t>
            </w:r>
          </w:p>
        </w:tc>
      </w:tr>
      <w:tr>
        <w:trPr>
          <w:trHeight w:val="170"/>
        </w:trPr>
        <w:tc>
          <w:tcPr>
            <w:tcW w:w="4260" w:type="dxa"/>
            <w:vAlign w:val="bottom"/>
          </w:tcPr>
          <w:p>
            <w:pPr>
              <w:spacing w:after="0"/>
              <w:rPr>
                <w:sz w:val="14"/>
                <w:szCs w:val="14"/>
                <w:color w:val="auto"/>
              </w:rPr>
            </w:pP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0.36</w:t>
            </w:r>
          </w:p>
        </w:tc>
      </w:tr>
      <w:tr>
        <w:trPr>
          <w:trHeight w:val="170"/>
        </w:trPr>
        <w:tc>
          <w:tcPr>
            <w:tcW w:w="4260" w:type="dxa"/>
            <w:vAlign w:val="bottom"/>
          </w:tcPr>
          <w:p>
            <w:pPr>
              <w:spacing w:after="0"/>
              <w:rPr>
                <w:sz w:val="14"/>
                <w:szCs w:val="14"/>
                <w:color w:val="auto"/>
              </w:rPr>
            </w:pP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outstanding</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209,977</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215,797</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212,556</w:t>
            </w: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215,711</w:t>
            </w:r>
          </w:p>
        </w:tc>
      </w:tr>
      <w:tr>
        <w:trPr>
          <w:trHeight w:val="170"/>
        </w:trPr>
        <w:tc>
          <w:tcPr>
            <w:tcW w:w="4260" w:type="dxa"/>
            <w:vAlign w:val="bottom"/>
          </w:tcPr>
          <w:p>
            <w:pPr>
              <w:spacing w:after="0"/>
              <w:rPr>
                <w:sz w:val="14"/>
                <w:szCs w:val="14"/>
                <w:color w:val="auto"/>
              </w:rPr>
            </w:pP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outstanding</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216,164</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219,109</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218,379</w:t>
            </w: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218,179</w:t>
            </w:r>
          </w:p>
        </w:tc>
      </w:tr>
      <w:tr>
        <w:trPr>
          <w:trHeight w:val="170"/>
        </w:trPr>
        <w:tc>
          <w:tcPr>
            <w:tcW w:w="4260" w:type="dxa"/>
            <w:vAlign w:val="bottom"/>
          </w:tcPr>
          <w:p>
            <w:pPr>
              <w:spacing w:after="0"/>
              <w:rPr>
                <w:sz w:val="14"/>
                <w:szCs w:val="14"/>
                <w:color w:val="auto"/>
              </w:rPr>
            </w:pP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452" w:right="1440" w:bottom="1440" w:gutter="0" w:footer="0" w:header="0"/>
        </w:sectPr>
      </w:pPr>
    </w:p>
    <w:bookmarkStart w:id="39" w:name="page40"/>
    <w:bookmarkEnd w:id="39"/>
    <w:p>
      <w:pPr>
        <w:jc w:val="center"/>
        <w:ind w:right="318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20" w:type="dxa"/>
            <w:vAlign w:val="bottom"/>
          </w:tcPr>
          <w:p>
            <w:pPr>
              <w:ind w:left="2900"/>
              <w:spacing w:after="0"/>
              <w:rPr>
                <w:sz w:val="20"/>
                <w:szCs w:val="20"/>
                <w:color w:val="auto"/>
              </w:rPr>
            </w:pPr>
            <w:r>
              <w:rPr>
                <w:rFonts w:ascii="Courier New" w:cs="Courier New" w:eastAsia="Courier New" w:hAnsi="Courier New"/>
                <w:sz w:val="15"/>
                <w:szCs w:val="15"/>
                <w:color w:val="auto"/>
              </w:rPr>
              <w:t>(IN THOUSANDS)</w:t>
            </w:r>
          </w:p>
        </w:tc>
        <w:tc>
          <w:tcPr>
            <w:tcW w:w="11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678"/>
        </w:trPr>
        <w:tc>
          <w:tcPr>
            <w:tcW w:w="7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tcPr>
          <w:p>
            <w:pPr>
              <w:jc w:val="right"/>
              <w:ind w:right="987"/>
              <w:spacing w:after="0"/>
              <w:rPr>
                <w:sz w:val="20"/>
                <w:szCs w:val="20"/>
                <w:color w:val="auto"/>
              </w:rPr>
            </w:pPr>
            <w:r>
              <w:rPr>
                <w:rFonts w:ascii="Courier New" w:cs="Courier New" w:eastAsia="Courier New" w:hAnsi="Courier New"/>
                <w:sz w:val="15"/>
                <w:szCs w:val="15"/>
                <w:color w:val="auto"/>
                <w:w w:val="93"/>
              </w:rPr>
              <w:t>AS OF</w:t>
            </w:r>
          </w:p>
        </w:tc>
      </w:tr>
      <w:tr>
        <w:trPr>
          <w:trHeight w:val="170"/>
        </w:trPr>
        <w:tc>
          <w:tcPr>
            <w:tcW w:w="7620" w:type="dxa"/>
            <w:vAlign w:val="bottom"/>
          </w:tcPr>
          <w:p>
            <w:pPr>
              <w:spacing w:after="0"/>
              <w:rPr>
                <w:sz w:val="14"/>
                <w:szCs w:val="14"/>
                <w:color w:val="auto"/>
              </w:rPr>
            </w:pPr>
          </w:p>
        </w:tc>
        <w:tc>
          <w:tcPr>
            <w:tcW w:w="2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76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2004</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7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76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0"/>
        </w:trPr>
        <w:tc>
          <w:tcPr>
            <w:tcW w:w="76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Cash, cash equivalents and short-term interest-bearing investments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$1,566,535</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$1,290,892</w:t>
            </w: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 including unbilled of $11,223 and $16,072, respectively</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247,766</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198,274</w:t>
            </w: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75,103</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60,868</w:t>
            </w: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80,275</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85,902</w:t>
            </w:r>
          </w:p>
        </w:tc>
      </w:tr>
      <w:tr>
        <w:trPr>
          <w:trHeight w:val="170"/>
        </w:trPr>
        <w:tc>
          <w:tcPr>
            <w:tcW w:w="7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Total current assets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1,969,679</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1,635,936</w:t>
            </w:r>
          </w:p>
        </w:tc>
      </w:tr>
      <w:tr>
        <w:trPr>
          <w:trHeight w:val="339"/>
        </w:trPr>
        <w:tc>
          <w:tcPr>
            <w:tcW w:w="762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182,937</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203,467</w:t>
            </w:r>
          </w:p>
        </w:tc>
      </w:tr>
      <w:tr>
        <w:trPr>
          <w:trHeight w:val="170"/>
        </w:trPr>
        <w:tc>
          <w:tcPr>
            <w:tcW w:w="762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868,185</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855,975</w:t>
            </w:r>
          </w:p>
        </w:tc>
      </w:tr>
      <w:tr>
        <w:trPr>
          <w:trHeight w:val="170"/>
        </w:trPr>
        <w:tc>
          <w:tcPr>
            <w:tcW w:w="762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218,837</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182,139</w:t>
            </w:r>
          </w:p>
        </w:tc>
      </w:tr>
      <w:tr>
        <w:trPr>
          <w:trHeight w:val="170"/>
        </w:trPr>
        <w:tc>
          <w:tcPr>
            <w:tcW w:w="7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76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$3,239,638</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$2,877,517</w:t>
            </w:r>
          </w:p>
        </w:tc>
      </w:tr>
      <w:tr>
        <w:trPr>
          <w:trHeight w:val="170"/>
        </w:trPr>
        <w:tc>
          <w:tcPr>
            <w:tcW w:w="7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76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0"/>
        </w:trPr>
        <w:tc>
          <w:tcPr>
            <w:tcW w:w="76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accruals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356,827</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331,196</w:t>
            </w: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capital lease obligations and other financing arrangements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25,216</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29,319</w:t>
            </w: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2% Convertible notes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395,454</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400,454</w:t>
            </w: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232,444</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174,616</w:t>
            </w:r>
          </w:p>
        </w:tc>
      </w:tr>
      <w:tr>
        <w:trPr>
          <w:trHeight w:val="170"/>
        </w:trPr>
        <w:tc>
          <w:tcPr>
            <w:tcW w:w="762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payable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146,395</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133,002</w:t>
            </w:r>
          </w:p>
        </w:tc>
      </w:tr>
      <w:tr>
        <w:trPr>
          <w:trHeight w:val="170"/>
        </w:trPr>
        <w:tc>
          <w:tcPr>
            <w:tcW w:w="7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Total current liabilities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1,156,336</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1,068,587</w:t>
            </w:r>
          </w:p>
        </w:tc>
      </w:tr>
      <w:tr>
        <w:trPr>
          <w:trHeight w:val="170"/>
        </w:trPr>
        <w:tc>
          <w:tcPr>
            <w:tcW w:w="7620" w:type="dxa"/>
            <w:vAlign w:val="bottom"/>
          </w:tcPr>
          <w:p>
            <w:pPr>
              <w:spacing w:after="0"/>
              <w:rPr>
                <w:sz w:val="20"/>
                <w:szCs w:val="20"/>
                <w:color w:val="auto"/>
              </w:rPr>
            </w:pPr>
            <w:r>
              <w:rPr>
                <w:rFonts w:ascii="Courier New" w:cs="Courier New" w:eastAsia="Courier New" w:hAnsi="Courier New"/>
                <w:sz w:val="15"/>
                <w:szCs w:val="15"/>
                <w:color w:val="auto"/>
              </w:rPr>
              <w:t>0.50% Convertible notes and other noncurrent liabilities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663,551</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217,330</w:t>
            </w:r>
          </w:p>
        </w:tc>
      </w:tr>
      <w:tr>
        <w:trPr>
          <w:trHeight w:val="170"/>
        </w:trPr>
        <w:tc>
          <w:tcPr>
            <w:tcW w:w="76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1,419,751</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1,591,600</w:t>
            </w:r>
          </w:p>
        </w:tc>
      </w:tr>
      <w:tr>
        <w:trPr>
          <w:trHeight w:val="170"/>
        </w:trPr>
        <w:tc>
          <w:tcPr>
            <w:tcW w:w="7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762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$3,239,638</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$2,877,517</w:t>
            </w:r>
          </w:p>
        </w:tc>
      </w:tr>
      <w:tr>
        <w:trPr>
          <w:trHeight w:val="170"/>
        </w:trPr>
        <w:tc>
          <w:tcPr>
            <w:tcW w:w="7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 #</w:t>
      </w:r>
    </w:p>
    <w:sectPr>
      <w:pgSz w:w="11900" w:h="16838" w:orient="portrait"/>
      <w:cols w:equalWidth="0" w:num="1">
        <w:col w:w="10220"/>
      </w:cols>
      <w:pgMar w:left="240" w:top="452"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decimal"/>
      <w:start w:val="2"/>
    </w:lvl>
  </w:abstractNum>
  <w:abstractNum w:abstractNumId="3">
    <w:nsid w:val="257130A3"/>
    <w:multiLevelType w:val="hybridMultilevel"/>
    <w:lvl w:ilvl="0">
      <w:lvlJc w:val="left"/>
      <w:lvlText w:val="%1."/>
      <w:numFmt w:val="decimal"/>
      <w:start w:val="3"/>
    </w:lvl>
  </w:abstractNum>
  <w:abstractNum w:abstractNumId="4">
    <w:nsid w:val="62BBD95A"/>
    <w:multiLevelType w:val="hybridMultilevel"/>
    <w:lvl w:ilvl="0">
      <w:lvlJc w:val="left"/>
      <w:lvlText w:val="%1."/>
      <w:numFmt w:val="decimal"/>
      <w:start w:val="4"/>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5"/>
    </w:lvl>
  </w:abstractNum>
  <w:abstractNum w:abstractNumId="7">
    <w:nsid w:val="333AB105"/>
    <w:multiLevelType w:val="hybridMultilevel"/>
    <w:lvl w:ilvl="0">
      <w:lvlJc w:val="left"/>
      <w:lvlText w:val="%1."/>
      <w:numFmt w:val="decimal"/>
      <w:start w:val="6"/>
    </w:lvl>
  </w:abstractNum>
  <w:abstractNum w:abstractNumId="8">
    <w:nsid w:val="721DA317"/>
    <w:multiLevelType w:val="hybridMultilevel"/>
    <w:lvl w:ilvl="0">
      <w:lvlJc w:val="left"/>
      <w:lvlText w:val="%1."/>
      <w:numFmt w:val="decimal"/>
      <w:start w:val="7"/>
    </w:lvl>
  </w:abstractNum>
  <w:abstractNum w:abstractNumId="9">
    <w:nsid w:val="2443A858"/>
    <w:multiLevelType w:val="hybridMultilevel"/>
    <w:lvl w:ilvl="0">
      <w:lvlJc w:val="left"/>
      <w:lvlText w:val="%1."/>
      <w:numFmt w:val="decimal"/>
      <w:start w:val="8"/>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9"/>
    </w:lvl>
  </w:abstractNum>
  <w:abstractNum w:abstractNumId="12">
    <w:nsid w:val="75A2A8D4"/>
    <w:multiLevelType w:val="hybridMultilevel"/>
    <w:lvl w:ilvl="0">
      <w:lvlJc w:val="left"/>
      <w:lvlText w:val="%1."/>
      <w:numFmt w:val="decimal"/>
      <w:start w:val="10"/>
    </w:lvl>
  </w:abstractNum>
  <w:abstractNum w:abstractNumId="13">
    <w:nsid w:val="8EDBDAB"/>
    <w:multiLevelType w:val="hybridMultilevel"/>
    <w:lvl w:ilvl="0">
      <w:lvlJc w:val="left"/>
      <w:lvlText w:val="%1."/>
      <w:numFmt w:val="decimal"/>
      <w:start w:val="11"/>
    </w:lvl>
  </w:abstractNum>
  <w:abstractNum w:abstractNumId="14">
    <w:nsid w:val="79838CB2"/>
    <w:multiLevelType w:val="hybridMultilevel"/>
    <w:lvl w:ilvl="0">
      <w:lvlJc w:val="left"/>
      <w:lvlText w:val="%1."/>
      <w:numFmt w:val="decimal"/>
      <w:start w:val="12"/>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decimal"/>
      <w:start w:val="13"/>
    </w:lvl>
  </w:abstractNum>
  <w:abstractNum w:abstractNumId="20">
    <w:nsid w:val="2CA88611"/>
    <w:multiLevelType w:val="hybridMultilevel"/>
    <w:lvl w:ilvl="0">
      <w:lvlJc w:val="left"/>
      <w:lvlText w:val="%1."/>
      <w:numFmt w:val="decimal"/>
      <w:start w:val="14"/>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lowerLetter"/>
      <w:start w:val="2"/>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3"/>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2019-12-14T21:19:12Z</dcterms:created>
  <dcterms:modified xsi:type="dcterms:W3CDTF">2019-12-14T21:19:12Z</dcterms:modified>
</cp:coreProperties>
</file>