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left="344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ind w:left="3380"/>
        <w:spacing w:after="0"/>
        <w:rPr>
          <w:sz w:val="20"/>
          <w:szCs w:val="20"/>
          <w:color w:val="auto"/>
        </w:rPr>
      </w:pPr>
      <w:r>
        <w:rPr>
          <w:rFonts w:ascii="Arial" w:cs="Arial" w:eastAsia="Arial" w:hAnsi="Arial"/>
          <w:sz w:val="22"/>
          <w:szCs w:val="22"/>
          <w:b w:val="1"/>
          <w:bCs w:val="1"/>
          <w:color w:val="auto"/>
        </w:rPr>
        <w:t>PURSUANT TO RULE 13a-16 OR 15d-16 OF</w:t>
      </w:r>
    </w:p>
    <w:p>
      <w:pPr>
        <w:ind w:left="326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For the Quarter Ended June 30, 2020</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52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262255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08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jc w:val="center"/>
        <w:ind w:right="-439"/>
        <w:spacing w:after="0" w:line="207" w:lineRule="exact"/>
        <w:tabs>
          <w:tab w:leader="none" w:pos="520" w:val="left"/>
        </w:tabs>
        <w:rPr>
          <w:sz w:val="20"/>
          <w:szCs w:val="20"/>
          <w:color w:val="auto"/>
        </w:rPr>
      </w:pPr>
      <w:r>
        <w:rPr>
          <w:rFonts w:ascii="Arial" w:cs="Arial" w:eastAsia="Arial" w:hAnsi="Arial"/>
          <w:sz w:val="18"/>
          <w:szCs w:val="18"/>
          <w:color w:val="auto"/>
        </w:rPr>
        <w:t>YES</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-10160</wp:posOffset>
            </wp:positionV>
            <wp:extent cx="457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ectPr>
          <w:pgSz w:w="11900" w:h="16838" w:orient="portrait"/>
          <w:cols w:equalWidth="0" w:num="1">
            <w:col w:w="10560"/>
          </w:cols>
          <w:pgMar w:left="440" w:top="368" w:right="8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9000" w:type="dxa"/>
            <w:vAlign w:val="bottom"/>
          </w:tcPr>
          <w:p>
            <w:pPr>
              <w:jc w:val="center"/>
              <w:ind w:left="1910"/>
              <w:spacing w:after="0"/>
              <w:rPr>
                <w:sz w:val="20"/>
                <w:szCs w:val="20"/>
                <w:color w:val="auto"/>
              </w:rPr>
            </w:pPr>
            <w:r>
              <w:rPr>
                <w:rFonts w:ascii="Arial" w:cs="Arial" w:eastAsia="Arial" w:hAnsi="Arial"/>
                <w:sz w:val="18"/>
                <w:szCs w:val="18"/>
                <w:color w:val="auto"/>
              </w:rPr>
              <w:t>AMDOCS LIMITED</w:t>
            </w:r>
          </w:p>
        </w:tc>
        <w:tc>
          <w:tcPr>
            <w:tcW w:w="1960" w:type="dxa"/>
            <w:vAlign w:val="bottom"/>
          </w:tcPr>
          <w:p>
            <w:pPr>
              <w:spacing w:after="0"/>
              <w:rPr>
                <w:sz w:val="20"/>
                <w:szCs w:val="20"/>
                <w:color w:val="auto"/>
              </w:rPr>
            </w:pPr>
          </w:p>
        </w:tc>
      </w:tr>
      <w:tr>
        <w:trPr>
          <w:trHeight w:val="432"/>
        </w:trPr>
        <w:tc>
          <w:tcPr>
            <w:tcW w:w="9000" w:type="dxa"/>
            <w:vAlign w:val="bottom"/>
          </w:tcPr>
          <w:p>
            <w:pPr>
              <w:jc w:val="center"/>
              <w:ind w:left="1910"/>
              <w:spacing w:after="0"/>
              <w:rPr>
                <w:sz w:val="20"/>
                <w:szCs w:val="20"/>
                <w:color w:val="auto"/>
              </w:rPr>
            </w:pPr>
            <w:r>
              <w:rPr>
                <w:rFonts w:ascii="Arial" w:cs="Arial" w:eastAsia="Arial" w:hAnsi="Arial"/>
                <w:sz w:val="18"/>
                <w:szCs w:val="18"/>
                <w:color w:val="auto"/>
                <w:w w:val="97"/>
              </w:rPr>
              <w:t>FORM 6-K</w:t>
            </w:r>
          </w:p>
        </w:tc>
        <w:tc>
          <w:tcPr>
            <w:tcW w:w="1960" w:type="dxa"/>
            <w:vAlign w:val="bottom"/>
          </w:tcPr>
          <w:p>
            <w:pPr>
              <w:spacing w:after="0"/>
              <w:rPr>
                <w:sz w:val="24"/>
                <w:szCs w:val="24"/>
                <w:color w:val="auto"/>
              </w:rPr>
            </w:pPr>
          </w:p>
        </w:tc>
      </w:tr>
      <w:tr>
        <w:trPr>
          <w:trHeight w:val="432"/>
        </w:trPr>
        <w:tc>
          <w:tcPr>
            <w:tcW w:w="9000" w:type="dxa"/>
            <w:vAlign w:val="bottom"/>
          </w:tcPr>
          <w:p>
            <w:pPr>
              <w:jc w:val="center"/>
              <w:ind w:left="1910"/>
              <w:spacing w:after="0"/>
              <w:rPr>
                <w:sz w:val="20"/>
                <w:szCs w:val="20"/>
                <w:color w:val="auto"/>
              </w:rPr>
            </w:pPr>
            <w:r>
              <w:rPr>
                <w:rFonts w:ascii="Arial" w:cs="Arial" w:eastAsia="Arial" w:hAnsi="Arial"/>
                <w:sz w:val="18"/>
                <w:szCs w:val="18"/>
                <w:color w:val="auto"/>
                <w:w w:val="92"/>
              </w:rPr>
              <w:t>REPORT OF FOREIGN PRIVATE ISSUER</w:t>
            </w:r>
          </w:p>
        </w:tc>
        <w:tc>
          <w:tcPr>
            <w:tcW w:w="1960" w:type="dxa"/>
            <w:vAlign w:val="bottom"/>
          </w:tcPr>
          <w:p>
            <w:pPr>
              <w:spacing w:after="0"/>
              <w:rPr>
                <w:sz w:val="24"/>
                <w:szCs w:val="24"/>
                <w:color w:val="auto"/>
              </w:rPr>
            </w:pPr>
          </w:p>
        </w:tc>
      </w:tr>
      <w:tr>
        <w:trPr>
          <w:trHeight w:val="418"/>
        </w:trPr>
        <w:tc>
          <w:tcPr>
            <w:tcW w:w="9000" w:type="dxa"/>
            <w:vAlign w:val="bottom"/>
          </w:tcPr>
          <w:p>
            <w:pPr>
              <w:jc w:val="center"/>
              <w:ind w:left="1910"/>
              <w:spacing w:after="0"/>
              <w:rPr>
                <w:sz w:val="20"/>
                <w:szCs w:val="20"/>
                <w:color w:val="auto"/>
              </w:rPr>
            </w:pPr>
            <w:r>
              <w:rPr>
                <w:rFonts w:ascii="Arial" w:cs="Arial" w:eastAsia="Arial" w:hAnsi="Arial"/>
                <w:sz w:val="18"/>
                <w:szCs w:val="18"/>
                <w:color w:val="auto"/>
                <w:w w:val="93"/>
              </w:rPr>
              <w:t>FOR THE QUARTER ENDED JUNE 30, 2020</w:t>
            </w:r>
          </w:p>
        </w:tc>
        <w:tc>
          <w:tcPr>
            <w:tcW w:w="1960" w:type="dxa"/>
            <w:vAlign w:val="bottom"/>
          </w:tcPr>
          <w:p>
            <w:pPr>
              <w:spacing w:after="0"/>
              <w:rPr>
                <w:sz w:val="24"/>
                <w:szCs w:val="24"/>
                <w:color w:val="auto"/>
              </w:rPr>
            </w:pPr>
          </w:p>
        </w:tc>
      </w:tr>
      <w:tr>
        <w:trPr>
          <w:trHeight w:val="230"/>
        </w:trPr>
        <w:tc>
          <w:tcPr>
            <w:tcW w:w="9000" w:type="dxa"/>
            <w:vAlign w:val="bottom"/>
          </w:tcPr>
          <w:p>
            <w:pPr>
              <w:jc w:val="center"/>
              <w:ind w:left="1910"/>
              <w:spacing w:after="0"/>
              <w:rPr>
                <w:sz w:val="20"/>
                <w:szCs w:val="20"/>
                <w:color w:val="auto"/>
              </w:rPr>
            </w:pPr>
            <w:r>
              <w:rPr>
                <w:rFonts w:ascii="Arial" w:cs="Arial" w:eastAsia="Arial" w:hAnsi="Arial"/>
                <w:sz w:val="18"/>
                <w:szCs w:val="18"/>
                <w:color w:val="auto"/>
              </w:rPr>
              <w:t>INDEX</w:t>
            </w:r>
          </w:p>
        </w:tc>
        <w:tc>
          <w:tcPr>
            <w:tcW w:w="1960" w:type="dxa"/>
            <w:vAlign w:val="bottom"/>
          </w:tcPr>
          <w:p>
            <w:pPr>
              <w:spacing w:after="0"/>
              <w:rPr>
                <w:sz w:val="20"/>
                <w:szCs w:val="20"/>
                <w:color w:val="auto"/>
              </w:rPr>
            </w:pPr>
          </w:p>
        </w:tc>
      </w:tr>
      <w:tr>
        <w:trPr>
          <w:trHeight w:val="445"/>
        </w:trPr>
        <w:tc>
          <w:tcPr>
            <w:tcW w:w="90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000" w:type="dxa"/>
            <w:vAlign w:val="bottom"/>
          </w:tcPr>
          <w:p>
            <w:pPr>
              <w:ind w:left="3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000" w:type="dxa"/>
            <w:vAlign w:val="bottom"/>
          </w:tcPr>
          <w:p>
            <w:pPr>
              <w:ind w:left="720"/>
              <w:spacing w:after="0"/>
              <w:rPr>
                <w:sz w:val="20"/>
                <w:szCs w:val="20"/>
                <w:color w:val="auto"/>
              </w:rPr>
            </w:pPr>
            <w:r>
              <w:rPr>
                <w:rFonts w:ascii="Arial" w:cs="Arial" w:eastAsia="Arial" w:hAnsi="Arial"/>
                <w:sz w:val="18"/>
                <w:szCs w:val="18"/>
                <w:color w:val="auto"/>
              </w:rPr>
              <w:t>Unaudited Consolidated Financial Statements</w:t>
            </w:r>
          </w:p>
        </w:tc>
        <w:tc>
          <w:tcPr>
            <w:tcW w:w="1960" w:type="dxa"/>
            <w:vAlign w:val="bottom"/>
          </w:tcPr>
          <w:p>
            <w:pPr>
              <w:spacing w:after="0"/>
              <w:rPr>
                <w:sz w:val="18"/>
                <w:szCs w:val="18"/>
                <w:color w:val="auto"/>
              </w:rPr>
            </w:pPr>
          </w:p>
        </w:tc>
      </w:tr>
      <w:tr>
        <w:trPr>
          <w:trHeight w:val="216"/>
        </w:trPr>
        <w:tc>
          <w:tcPr>
            <w:tcW w:w="9000" w:type="dxa"/>
            <w:vAlign w:val="bottom"/>
          </w:tcPr>
          <w:p>
            <w:pPr>
              <w:ind w:left="10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000" w:type="dxa"/>
            <w:vAlign w:val="bottom"/>
          </w:tcPr>
          <w:p>
            <w:pPr>
              <w:ind w:left="10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Income</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000" w:type="dxa"/>
            <w:vAlign w:val="bottom"/>
          </w:tcPr>
          <w:p>
            <w:pPr>
              <w:ind w:left="10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Comprehensive Income</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000" w:type="dxa"/>
            <w:vAlign w:val="bottom"/>
          </w:tcPr>
          <w:p>
            <w:pPr>
              <w:ind w:left="10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Changes in Equity</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000" w:type="dxa"/>
            <w:vAlign w:val="bottom"/>
          </w:tcPr>
          <w:p>
            <w:pPr>
              <w:ind w:left="10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Statements of Cash Flows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000" w:type="dxa"/>
            <w:vAlign w:val="bottom"/>
          </w:tcPr>
          <w:p>
            <w:pPr>
              <w:ind w:left="10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Consolidated Financial Statements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000" w:type="dxa"/>
            <w:vAlign w:val="bottom"/>
          </w:tcPr>
          <w:p>
            <w:pPr>
              <w:ind w:left="3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2. Operating and Financial Review and Prospects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00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PART II OTHER INFORMATION</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000" w:type="dxa"/>
            <w:vAlign w:val="bottom"/>
          </w:tcPr>
          <w:p>
            <w:pPr>
              <w:ind w:left="36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1. Changes in Securities, Use of Proceeds and Issuer Purchases of Equity Securities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000" w:type="dxa"/>
            <w:vAlign w:val="bottom"/>
          </w:tcPr>
          <w:p>
            <w:pPr>
              <w:ind w:left="36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2. Reports on Form 6-K</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000" w:type="dxa"/>
            <w:vAlign w:val="bottom"/>
          </w:tcPr>
          <w:p>
            <w:pPr>
              <w:ind w:left="36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3. Risk Factors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900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SIGNATURES</w:t>
              </w:r>
            </w:hyperlink>
          </w:p>
        </w:tc>
        <w:tc>
          <w:tcPr>
            <w:tcW w:w="196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right="500"/>
        <w:spacing w:after="0" w:line="342" w:lineRule="auto"/>
        <w:rPr>
          <w:sz w:val="20"/>
          <w:szCs w:val="20"/>
          <w:color w:val="auto"/>
        </w:rPr>
      </w:pPr>
      <w:r>
        <w:rPr>
          <w:rFonts w:ascii="Arial" w:cs="Arial" w:eastAsia="Arial" w:hAnsi="Arial"/>
          <w:sz w:val="16"/>
          <w:szCs w:val="16"/>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9"/>
              </w:rPr>
              <w:t>As of</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8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348"/>
              <w:spacing w:after="0" w:line="119" w:lineRule="exact"/>
              <w:rPr>
                <w:sz w:val="20"/>
                <w:szCs w:val="20"/>
                <w:color w:val="auto"/>
              </w:rPr>
            </w:pPr>
            <w:r>
              <w:rPr>
                <w:rFonts w:ascii="Arial" w:cs="Arial" w:eastAsia="Arial" w:hAnsi="Arial"/>
                <w:sz w:val="13"/>
                <w:szCs w:val="13"/>
                <w:b w:val="1"/>
                <w:bCs w:val="1"/>
                <w:color w:val="auto"/>
                <w:w w:val="99"/>
              </w:rPr>
              <w:t>June 30,</w:t>
            </w: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r>
      <w:tr>
        <w:trPr>
          <w:trHeight w:val="171"/>
        </w:trPr>
        <w:tc>
          <w:tcPr>
            <w:tcW w:w="8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42"/>
        </w:trPr>
        <w:tc>
          <w:tcPr>
            <w:tcW w:w="882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3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1,194,043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471,632</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952,543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987,858</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252,711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216,084</w:t>
            </w:r>
          </w:p>
        </w:tc>
      </w:tr>
      <w:tr>
        <w:trPr>
          <w:trHeight w:val="223"/>
        </w:trPr>
        <w:tc>
          <w:tcPr>
            <w:tcW w:w="882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2,399,297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1,675,574</w:t>
            </w:r>
          </w:p>
        </w:tc>
        <w:tc>
          <w:tcPr>
            <w:tcW w:w="120" w:type="dxa"/>
            <w:vAlign w:val="bottom"/>
          </w:tcPr>
          <w:p>
            <w:pPr>
              <w:spacing w:after="0"/>
              <w:rPr>
                <w:sz w:val="19"/>
                <w:szCs w:val="19"/>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573,948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525,314</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Lease assets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304,501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2,466,991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2,462,835</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185,334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205,162</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454,284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423,941</w:t>
            </w:r>
          </w:p>
        </w:tc>
      </w:tr>
      <w:tr>
        <w:trPr>
          <w:trHeight w:val="223"/>
        </w:trPr>
        <w:tc>
          <w:tcPr>
            <w:tcW w:w="882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6,384,355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5,292,826</w:t>
            </w:r>
          </w:p>
        </w:tc>
        <w:tc>
          <w:tcPr>
            <w:tcW w:w="12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181,913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176,508</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629,352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647,657</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personnel costs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209,139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265,583</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Short-term financing arrangements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124,004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118,182</w:t>
            </w: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1,306,957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1,207,930</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Deferred income taxes and taxes payable</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233,147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207,508</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233,699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Long-term debt, net of unamortized debt issuance costs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643,798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319,587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334,922</w:t>
            </w:r>
          </w:p>
        </w:tc>
      </w:tr>
      <w:tr>
        <w:trPr>
          <w:trHeight w:val="230"/>
        </w:trPr>
        <w:tc>
          <w:tcPr>
            <w:tcW w:w="882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2,737,188</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1,750,360</w:t>
            </w:r>
          </w:p>
        </w:tc>
        <w:tc>
          <w:tcPr>
            <w:tcW w:w="120" w:type="dxa"/>
            <w:vAlign w:val="bottom"/>
          </w:tcPr>
          <w:p>
            <w:pPr>
              <w:spacing w:after="0"/>
              <w:rPr>
                <w:sz w:val="20"/>
                <w:szCs w:val="20"/>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b w:val="1"/>
                <w:bCs w:val="1"/>
                <w:color w:val="auto"/>
              </w:rPr>
              <w:t>Amdocs Limited Shareholders’ equity:</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Shares —Authorized 25,000 shares; £0.01 par value; 0 shares issued and outstanding</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8820" w:type="dxa"/>
            <w:vAlign w:val="bottom"/>
          </w:tcPr>
          <w:p>
            <w:pPr>
              <w:ind w:left="360"/>
              <w:spacing w:after="0" w:line="201" w:lineRule="exact"/>
              <w:rPr>
                <w:sz w:val="20"/>
                <w:szCs w:val="20"/>
                <w:color w:val="auto"/>
              </w:rPr>
            </w:pPr>
            <w:r>
              <w:rPr>
                <w:rFonts w:ascii="Arial" w:cs="Arial" w:eastAsia="Arial" w:hAnsi="Arial"/>
                <w:sz w:val="18"/>
                <w:szCs w:val="18"/>
                <w:color w:val="auto"/>
                <w:w w:val="95"/>
              </w:rPr>
              <w:t>Ordinary Shares —Authorized 700,000 shares; £0.01 par value; 279,541 and 277,148 issued and 133,019 and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820" w:type="dxa"/>
            <w:vAlign w:val="bottom"/>
          </w:tcPr>
          <w:p>
            <w:pPr>
              <w:ind w:left="540"/>
              <w:spacing w:after="0"/>
              <w:rPr>
                <w:sz w:val="20"/>
                <w:szCs w:val="20"/>
                <w:color w:val="auto"/>
              </w:rPr>
            </w:pPr>
            <w:r>
              <w:rPr>
                <w:rFonts w:ascii="Arial" w:cs="Arial" w:eastAsia="Arial" w:hAnsi="Arial"/>
                <w:sz w:val="18"/>
                <w:szCs w:val="18"/>
                <w:color w:val="auto"/>
              </w:rPr>
              <w:t>134,773 outstanding, respectively</w:t>
            </w: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4,483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4,452</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3,796,184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3,667,662</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Treasury stock, at cost 146,522 and 142,375 ordinary shares, respectively</w:t>
            </w:r>
          </w:p>
        </w:tc>
        <w:tc>
          <w:tcPr>
            <w:tcW w:w="100" w:type="dxa"/>
            <w:vAlign w:val="bottom"/>
          </w:tcPr>
          <w:p>
            <w:pPr>
              <w:spacing w:after="0"/>
              <w:rPr>
                <w:sz w:val="18"/>
                <w:szCs w:val="18"/>
                <w:color w:val="auto"/>
              </w:rPr>
            </w:pPr>
          </w:p>
        </w:tc>
        <w:tc>
          <w:tcPr>
            <w:tcW w:w="1100" w:type="dxa"/>
            <w:vAlign w:val="bottom"/>
            <w:gridSpan w:val="3"/>
          </w:tcPr>
          <w:p>
            <w:pPr>
              <w:jc w:val="right"/>
              <w:ind w:right="188"/>
              <w:spacing w:after="0"/>
              <w:rPr>
                <w:sz w:val="20"/>
                <w:szCs w:val="20"/>
                <w:color w:val="auto"/>
              </w:rPr>
            </w:pPr>
            <w:r>
              <w:rPr>
                <w:rFonts w:ascii="Arial" w:cs="Arial" w:eastAsia="Arial" w:hAnsi="Arial"/>
                <w:sz w:val="18"/>
                <w:szCs w:val="18"/>
                <w:color w:val="auto"/>
                <w:w w:val="89"/>
              </w:rPr>
              <w:t>(5,452,471)</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(5,182,409)</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(2,547)</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5,250,528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5,012,799</w:t>
            </w: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Amdocs Limited 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3,604,658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3,499,957</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42,509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42,509</w:t>
            </w: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3,647,167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3,542,466</w:t>
            </w:r>
          </w:p>
        </w:tc>
      </w:tr>
      <w:tr>
        <w:trPr>
          <w:trHeight w:val="223"/>
        </w:trPr>
        <w:tc>
          <w:tcPr>
            <w:tcW w:w="882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6,384,355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5,292,826</w:t>
            </w:r>
          </w:p>
        </w:tc>
        <w:tc>
          <w:tcPr>
            <w:tcW w:w="12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8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4"/>
                <w:szCs w:val="14"/>
                <w:color w:val="auto"/>
              </w:rPr>
            </w:pPr>
          </w:p>
        </w:tc>
        <w:tc>
          <w:tcPr>
            <w:tcW w:w="18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6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1,026,201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1,024,704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3,116,091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3,056,416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681,725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664,862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2,052,007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1,986,043</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70,093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68,376</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206,199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203,827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109,612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125,088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352,187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367,411</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57,878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73,543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878,670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2,668,271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2,630,824</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147,531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142,320</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447,820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425,592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3,959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145,114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138,361</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442,761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421,289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6,913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79,384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63,870</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120,407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131,448</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363,377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357,419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ordinary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0.3275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0.820</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4" w:name="page5"/>
    <w:bookmarkEnd w:id="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Three months ended</w:t>
            </w:r>
          </w:p>
        </w:tc>
        <w:tc>
          <w:tcPr>
            <w:tcW w:w="16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12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16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12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210"/>
        </w:trPr>
        <w:tc>
          <w:tcPr>
            <w:tcW w:w="7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$120,407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$ 131,448</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$363,377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$357,419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change in fair value of cash flow hedges(1)</w:t>
            </w: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15,138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7,692</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8,481</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31,430</w:t>
            </w:r>
          </w:p>
        </w:tc>
      </w:tr>
      <w:tr>
        <w:trPr>
          <w:trHeight w:val="223"/>
        </w:trPr>
        <w:tc>
          <w:tcPr>
            <w:tcW w:w="7680" w:type="dxa"/>
            <w:vAlign w:val="bottom"/>
            <w:gridSpan w:val="2"/>
          </w:tcPr>
          <w:p>
            <w:pPr>
              <w:ind w:left="360"/>
              <w:spacing w:after="0"/>
              <w:rPr>
                <w:sz w:val="20"/>
                <w:szCs w:val="20"/>
                <w:color w:val="auto"/>
              </w:rPr>
            </w:pPr>
            <w:r>
              <w:rPr>
                <w:rFonts w:ascii="Arial" w:cs="Arial" w:eastAsia="Arial" w:hAnsi="Arial"/>
                <w:sz w:val="18"/>
                <w:szCs w:val="18"/>
                <w:color w:val="auto"/>
              </w:rPr>
              <w:t>Net change in fair value of available-for-sale securities(2)</w:t>
            </w:r>
          </w:p>
        </w:tc>
        <w:tc>
          <w:tcPr>
            <w:tcW w:w="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60" w:type="dxa"/>
            <w:vAlign w:val="bottom"/>
          </w:tcPr>
          <w:p>
            <w:pPr>
              <w:spacing w:after="0"/>
              <w:rPr>
                <w:sz w:val="19"/>
                <w:szCs w:val="19"/>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15,138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8,481</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32,928</w:t>
            </w:r>
          </w:p>
        </w:tc>
      </w:tr>
      <w:tr>
        <w:trPr>
          <w:trHeight w:val="223"/>
        </w:trPr>
        <w:tc>
          <w:tcPr>
            <w:tcW w:w="76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135,545</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$ 139,448</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371,858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390,347</w:t>
            </w:r>
          </w:p>
        </w:tc>
        <w:tc>
          <w:tcPr>
            <w:tcW w:w="6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148" w:lineRule="exact"/>
        <w:rPr>
          <w:sz w:val="20"/>
          <w:szCs w:val="20"/>
          <w:color w:val="auto"/>
        </w:rPr>
      </w:pPr>
    </w:p>
    <w:p>
      <w:pPr>
        <w:ind w:left="424" w:right="220" w:hanging="424"/>
        <w:spacing w:after="0" w:line="258"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of $1,480 and $1,094 for the three months ended June 30, 2020 and 2019, respectively and of $2,719 and $1,728 for the nine months ended June 30, 2020 and 2019, respectively.</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There is no tax (expense) benefit for the three and nine months ended June 30, 2019.</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0" w:right="439" w:bottom="1440" w:gutter="0" w:footer="0" w:header="0"/>
        </w:sectPr>
      </w:pPr>
    </w:p>
    <w:bookmarkStart w:id="5" w:name="page6"/>
    <w:bookmarkEnd w:id="5"/>
    <w:p>
      <w:pPr>
        <w:jc w:val="center"/>
        <w:ind w:right="15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7" w:lineRule="exact"/>
        <w:rPr>
          <w:sz w:val="20"/>
          <w:szCs w:val="20"/>
          <w:color w:val="auto"/>
        </w:rPr>
      </w:pPr>
    </w:p>
    <w:p>
      <w:pPr>
        <w:jc w:val="center"/>
        <w:ind w:right="156"/>
        <w:spacing w:after="0"/>
        <w:rPr>
          <w:sz w:val="20"/>
          <w:szCs w:val="20"/>
          <w:color w:val="auto"/>
        </w:rPr>
      </w:pPr>
      <w:r>
        <w:rPr>
          <w:rFonts w:ascii="Arial" w:cs="Arial" w:eastAsia="Arial" w:hAnsi="Arial"/>
          <w:sz w:val="18"/>
          <w:szCs w:val="18"/>
          <w:b w:val="1"/>
          <w:bCs w:val="1"/>
          <w:color w:val="auto"/>
        </w:rPr>
        <w:t>CONSOLIDATED STATEMENTS OF CHANGES IN EQUITY (UNAUDITED)</w:t>
      </w:r>
    </w:p>
    <w:p>
      <w:pPr>
        <w:spacing w:after="0" w:line="9" w:lineRule="exact"/>
        <w:rPr>
          <w:sz w:val="20"/>
          <w:szCs w:val="20"/>
          <w:color w:val="auto"/>
        </w:rPr>
      </w:pPr>
    </w:p>
    <w:p>
      <w:pPr>
        <w:jc w:val="center"/>
        <w:ind w:right="156"/>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Amdocs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8"/>
            <w:vMerge w:val="restart"/>
          </w:tcPr>
          <w:p>
            <w:pPr>
              <w:ind w:left="140"/>
              <w:spacing w:after="0"/>
              <w:rPr>
                <w:sz w:val="20"/>
                <w:szCs w:val="20"/>
                <w:color w:val="auto"/>
              </w:rPr>
            </w:pPr>
            <w:r>
              <w:rPr>
                <w:rFonts w:ascii="Arial" w:cs="Arial" w:eastAsia="Arial" w:hAnsi="Arial"/>
                <w:sz w:val="14"/>
                <w:szCs w:val="14"/>
                <w:b w:val="1"/>
                <w:bCs w:val="1"/>
                <w:color w:val="auto"/>
                <w:w w:val="97"/>
              </w:rPr>
              <w:t>Ordinary Shares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41"/>
              <w:spacing w:after="0"/>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Limited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bottom w:val="single" w:sz="8" w:color="auto"/>
            </w:tcBorders>
            <w:gridSpan w:val="8"/>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center"/>
              <w:ind w:right="20"/>
              <w:spacing w:after="0" w:line="158" w:lineRule="exact"/>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3"/>
          </w:tcPr>
          <w:p>
            <w:pPr>
              <w:jc w:val="center"/>
              <w:ind w:right="79"/>
              <w:spacing w:after="0" w:line="158" w:lineRule="exact"/>
              <w:rPr>
                <w:sz w:val="20"/>
                <w:szCs w:val="20"/>
                <w:color w:val="auto"/>
              </w:rPr>
            </w:pPr>
            <w:r>
              <w:rPr>
                <w:rFonts w:ascii="Arial" w:cs="Arial" w:eastAsia="Arial" w:hAnsi="Arial"/>
                <w:sz w:val="14"/>
                <w:szCs w:val="14"/>
                <w:b w:val="1"/>
                <w:bCs w:val="1"/>
                <w:color w:val="auto"/>
                <w:w w:val="92"/>
              </w:rPr>
              <w:t>Shareholders’</w:t>
            </w:r>
          </w:p>
        </w:tc>
        <w:tc>
          <w:tcPr>
            <w:tcW w:w="74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41"/>
              <w:spacing w:after="0" w:line="142" w:lineRule="exact"/>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Income (Loss) (1)</w:t>
            </w:r>
          </w:p>
        </w:tc>
        <w:tc>
          <w:tcPr>
            <w:tcW w:w="100" w:type="dxa"/>
            <w:vAlign w:val="bottom"/>
          </w:tcPr>
          <w:p>
            <w:pPr>
              <w:spacing w:after="0"/>
              <w:rPr>
                <w:sz w:val="12"/>
                <w:szCs w:val="12"/>
                <w:color w:val="auto"/>
              </w:rPr>
            </w:pPr>
          </w:p>
        </w:tc>
        <w:tc>
          <w:tcPr>
            <w:tcW w:w="820" w:type="dxa"/>
            <w:vAlign w:val="bottom"/>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2"/>
                <w:szCs w:val="12"/>
                <w:color w:val="auto"/>
              </w:rPr>
            </w:pPr>
          </w:p>
        </w:tc>
        <w:tc>
          <w:tcPr>
            <w:tcW w:w="900" w:type="dxa"/>
            <w:vAlign w:val="bottom"/>
            <w:gridSpan w:val="4"/>
          </w:tcPr>
          <w:p>
            <w:pPr>
              <w:jc w:val="center"/>
              <w:ind w:right="70"/>
              <w:spacing w:after="0" w:line="142" w:lineRule="exact"/>
              <w:rPr>
                <w:sz w:val="20"/>
                <w:szCs w:val="20"/>
                <w:color w:val="auto"/>
              </w:rPr>
            </w:pPr>
            <w:r>
              <w:rPr>
                <w:rFonts w:ascii="Arial" w:cs="Arial" w:eastAsia="Arial" w:hAnsi="Arial"/>
                <w:sz w:val="14"/>
                <w:szCs w:val="14"/>
                <w:b w:val="1"/>
                <w:bCs w:val="1"/>
                <w:color w:val="auto"/>
                <w:w w:val="93"/>
              </w:rPr>
              <w:t>Interests (2)</w:t>
            </w:r>
          </w:p>
        </w:tc>
        <w:tc>
          <w:tcPr>
            <w:tcW w:w="920" w:type="dxa"/>
            <w:vAlign w:val="bottom"/>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2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w w:val="98"/>
              </w:rPr>
              <w:t>Balance as of March 31, 2020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5"/>
              </w:rPr>
              <w:t>133,500</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$4,477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$3,759,798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(5,392,457)</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(9,204)</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$5,173,689</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$ 3,536,303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right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79"/>
              </w:rPr>
              <w:t>42,509</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$3,578,812</w:t>
            </w: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6"/>
              <w:spacing w:after="0"/>
              <w:rPr>
                <w:sz w:val="20"/>
                <w:szCs w:val="20"/>
                <w:color w:val="auto"/>
              </w:rPr>
            </w:pPr>
            <w:r>
              <w:rPr>
                <w:rFonts w:ascii="Arial" w:cs="Arial" w:eastAsia="Arial" w:hAnsi="Arial"/>
                <w:sz w:val="18"/>
                <w:szCs w:val="18"/>
                <w:color w:val="auto"/>
              </w:rPr>
              <w:t>120,407</w:t>
            </w:r>
          </w:p>
        </w:tc>
        <w:tc>
          <w:tcPr>
            <w:tcW w:w="1080" w:type="dxa"/>
            <w:vAlign w:val="bottom"/>
            <w:gridSpan w:val="4"/>
            <w:shd w:val="clear" w:color="auto" w:fill="CCEEFF"/>
          </w:tcPr>
          <w:p>
            <w:pPr>
              <w:jc w:val="right"/>
              <w:ind w:right="79"/>
              <w:spacing w:after="0"/>
              <w:rPr>
                <w:sz w:val="20"/>
                <w:szCs w:val="20"/>
                <w:color w:val="auto"/>
              </w:rPr>
            </w:pPr>
            <w:r>
              <w:rPr>
                <w:rFonts w:ascii="Arial" w:cs="Arial" w:eastAsia="Arial" w:hAnsi="Arial"/>
                <w:sz w:val="18"/>
                <w:szCs w:val="18"/>
                <w:color w:val="auto"/>
              </w:rPr>
              <w:t>120,407</w:t>
            </w:r>
          </w:p>
        </w:tc>
        <w:tc>
          <w:tcPr>
            <w:tcW w:w="1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120,407</w:t>
            </w:r>
          </w:p>
        </w:tc>
        <w:tc>
          <w:tcPr>
            <w:tcW w:w="0" w:type="dxa"/>
            <w:vAlign w:val="bottom"/>
          </w:tcPr>
          <w:p>
            <w:pPr>
              <w:spacing w:after="0"/>
              <w:rPr>
                <w:sz w:val="1"/>
                <w:szCs w:val="1"/>
                <w:color w:val="auto"/>
              </w:rPr>
            </w:pPr>
          </w:p>
        </w:tc>
      </w:tr>
      <w:tr>
        <w:trPr>
          <w:trHeight w:val="216"/>
        </w:trPr>
        <w:tc>
          <w:tcPr>
            <w:tcW w:w="2480" w:type="dxa"/>
            <w:vAlign w:val="bottom"/>
            <w:gridSpan w:val="3"/>
          </w:tcPr>
          <w:p>
            <w:pPr>
              <w:ind w:left="360"/>
              <w:spacing w:after="0"/>
              <w:rPr>
                <w:sz w:val="20"/>
                <w:szCs w:val="20"/>
                <w:color w:val="auto"/>
              </w:rPr>
            </w:pPr>
            <w:r>
              <w:rPr>
                <w:rFonts w:ascii="Arial" w:cs="Arial" w:eastAsia="Arial" w:hAnsi="Arial"/>
                <w:sz w:val="18"/>
                <w:szCs w:val="18"/>
                <w:color w:val="auto"/>
                <w:w w:val="89"/>
              </w:rPr>
              <w:t>Other comprehensive income</w:t>
            </w:r>
          </w:p>
        </w:tc>
        <w:tc>
          <w:tcPr>
            <w:tcW w:w="100" w:type="dxa"/>
            <w:vAlign w:val="bottom"/>
          </w:tcPr>
          <w:p>
            <w:pPr>
              <w:spacing w:after="0"/>
              <w:rPr>
                <w:sz w:val="18"/>
                <w:szCs w:val="18"/>
                <w:color w:val="auto"/>
              </w:rPr>
            </w:pPr>
          </w:p>
        </w:tc>
        <w:tc>
          <w:tcPr>
            <w:tcW w:w="560" w:type="dxa"/>
            <w:vAlign w:val="bottom"/>
            <w:gridSpan w:val="3"/>
          </w:tcPr>
          <w:p>
            <w:pPr>
              <w:ind w:left="38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ind w:left="480"/>
              <w:spacing w:after="0"/>
              <w:rPr>
                <w:sz w:val="20"/>
                <w:szCs w:val="20"/>
                <w:color w:val="auto"/>
              </w:rPr>
            </w:pPr>
            <w:r>
              <w:rPr>
                <w:rFonts w:ascii="Arial" w:cs="Arial" w:eastAsia="Arial" w:hAnsi="Arial"/>
                <w:sz w:val="18"/>
                <w:szCs w:val="18"/>
                <w:color w:val="auto"/>
                <w:w w:val="98"/>
              </w:rPr>
              <w:t>15,138</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79"/>
              <w:spacing w:after="0"/>
              <w:rPr>
                <w:sz w:val="20"/>
                <w:szCs w:val="20"/>
                <w:color w:val="auto"/>
              </w:rPr>
            </w:pPr>
            <w:r>
              <w:rPr>
                <w:rFonts w:ascii="Arial" w:cs="Arial" w:eastAsia="Arial" w:hAnsi="Arial"/>
                <w:sz w:val="18"/>
                <w:szCs w:val="18"/>
                <w:color w:val="auto"/>
              </w:rPr>
              <w:t>15,138</w:t>
            </w:r>
          </w:p>
        </w:tc>
        <w:tc>
          <w:tcPr>
            <w:tcW w:w="160" w:type="dxa"/>
            <w:vAlign w:val="bottom"/>
          </w:tcPr>
          <w:p>
            <w:pPr>
              <w:spacing w:after="0"/>
              <w:rPr>
                <w:sz w:val="18"/>
                <w:szCs w:val="18"/>
                <w:color w:val="auto"/>
              </w:rPr>
            </w:pP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15,138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135,545</w:t>
            </w:r>
          </w:p>
        </w:tc>
        <w:tc>
          <w:tcPr>
            <w:tcW w:w="1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135,545</w:t>
            </w:r>
          </w:p>
        </w:tc>
        <w:tc>
          <w:tcPr>
            <w:tcW w:w="0" w:type="dxa"/>
            <w:vAlign w:val="bottom"/>
          </w:tcPr>
          <w:p>
            <w:pPr>
              <w:spacing w:after="0"/>
              <w:rPr>
                <w:sz w:val="1"/>
                <w:szCs w:val="1"/>
                <w:color w:val="auto"/>
              </w:rPr>
            </w:pP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w w:val="90"/>
              </w:rPr>
              <w:t>Employee stock options exercised</w:t>
            </w:r>
          </w:p>
        </w:tc>
        <w:tc>
          <w:tcPr>
            <w:tcW w:w="860" w:type="dxa"/>
            <w:vAlign w:val="bottom"/>
            <w:gridSpan w:val="6"/>
          </w:tcPr>
          <w:p>
            <w:pPr>
              <w:ind w:left="480"/>
              <w:spacing w:after="0"/>
              <w:rPr>
                <w:sz w:val="20"/>
                <w:szCs w:val="20"/>
                <w:color w:val="auto"/>
              </w:rPr>
            </w:pPr>
            <w:r>
              <w:rPr>
                <w:rFonts w:ascii="Arial" w:cs="Arial" w:eastAsia="Arial" w:hAnsi="Arial"/>
                <w:sz w:val="18"/>
                <w:szCs w:val="18"/>
                <w:color w:val="auto"/>
              </w:rPr>
              <w:t>492</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6</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25,325</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4"/>
          </w:tcPr>
          <w:p>
            <w:pPr>
              <w:jc w:val="right"/>
              <w:ind w:right="79"/>
              <w:spacing w:after="0"/>
              <w:rPr>
                <w:sz w:val="20"/>
                <w:szCs w:val="20"/>
                <w:color w:val="auto"/>
              </w:rPr>
            </w:pPr>
            <w:r>
              <w:rPr>
                <w:rFonts w:ascii="Arial" w:cs="Arial" w:eastAsia="Arial" w:hAnsi="Arial"/>
                <w:sz w:val="18"/>
                <w:szCs w:val="18"/>
                <w:color w:val="auto"/>
              </w:rPr>
              <w:t>25,331</w:t>
            </w:r>
          </w:p>
        </w:tc>
        <w:tc>
          <w:tcPr>
            <w:tcW w:w="160" w:type="dxa"/>
            <w:vAlign w:val="bottom"/>
          </w:tcPr>
          <w:p>
            <w:pPr>
              <w:spacing w:after="0"/>
              <w:rPr>
                <w:sz w:val="18"/>
                <w:szCs w:val="18"/>
                <w:color w:val="auto"/>
              </w:rPr>
            </w:pP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25,331</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4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(60,014)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9"/>
              <w:spacing w:after="0"/>
              <w:rPr>
                <w:sz w:val="20"/>
                <w:szCs w:val="20"/>
                <w:color w:val="auto"/>
              </w:rPr>
            </w:pPr>
            <w:r>
              <w:rPr>
                <w:rFonts w:ascii="Arial" w:cs="Arial" w:eastAsia="Arial" w:hAnsi="Arial"/>
                <w:sz w:val="18"/>
                <w:szCs w:val="18"/>
                <w:color w:val="auto"/>
              </w:rPr>
              <w:t>(60,014)</w:t>
            </w:r>
          </w:p>
        </w:tc>
        <w:tc>
          <w:tcPr>
            <w:tcW w:w="1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(60,014)</w:t>
            </w:r>
          </w:p>
        </w:tc>
        <w:tc>
          <w:tcPr>
            <w:tcW w:w="0" w:type="dxa"/>
            <w:vAlign w:val="bottom"/>
          </w:tcPr>
          <w:p>
            <w:pPr>
              <w:spacing w:after="0"/>
              <w:rPr>
                <w:sz w:val="1"/>
                <w:szCs w:val="1"/>
                <w:color w:val="auto"/>
              </w:rPr>
            </w:pPr>
          </w:p>
        </w:tc>
      </w:tr>
      <w:tr>
        <w:trPr>
          <w:trHeight w:val="202"/>
        </w:trPr>
        <w:tc>
          <w:tcPr>
            <w:tcW w:w="2340" w:type="dxa"/>
            <w:vAlign w:val="bottom"/>
            <w:gridSpan w:val="2"/>
          </w:tcPr>
          <w:p>
            <w:pPr>
              <w:spacing w:after="0" w:line="201" w:lineRule="exact"/>
              <w:rPr>
                <w:sz w:val="20"/>
                <w:szCs w:val="20"/>
                <w:color w:val="auto"/>
              </w:rPr>
            </w:pPr>
            <w:r>
              <w:rPr>
                <w:rFonts w:ascii="Arial" w:cs="Arial" w:eastAsia="Arial" w:hAnsi="Arial"/>
                <w:sz w:val="18"/>
                <w:szCs w:val="18"/>
                <w:color w:val="auto"/>
              </w:rPr>
              <w:t>Cash dividends declared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ind w:left="180"/>
              <w:spacing w:after="0"/>
              <w:rPr>
                <w:sz w:val="20"/>
                <w:szCs w:val="20"/>
                <w:color w:val="auto"/>
              </w:rPr>
            </w:pPr>
            <w:r>
              <w:rPr>
                <w:rFonts w:ascii="Arial" w:cs="Arial" w:eastAsia="Arial" w:hAnsi="Arial"/>
                <w:sz w:val="18"/>
                <w:szCs w:val="18"/>
                <w:color w:val="auto"/>
                <w:w w:val="93"/>
              </w:rPr>
              <w:t>($0.3275 per ordinary share)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3"/>
          </w:tcPr>
          <w:p>
            <w:pPr>
              <w:ind w:left="38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(43,568)</w:t>
            </w:r>
          </w:p>
        </w:tc>
        <w:tc>
          <w:tcPr>
            <w:tcW w:w="1080" w:type="dxa"/>
            <w:vAlign w:val="bottom"/>
            <w:gridSpan w:val="4"/>
          </w:tcPr>
          <w:p>
            <w:pPr>
              <w:jc w:val="right"/>
              <w:ind w:right="19"/>
              <w:spacing w:after="0"/>
              <w:rPr>
                <w:sz w:val="20"/>
                <w:szCs w:val="20"/>
                <w:color w:val="auto"/>
              </w:rPr>
            </w:pPr>
            <w:r>
              <w:rPr>
                <w:rFonts w:ascii="Arial" w:cs="Arial" w:eastAsia="Arial" w:hAnsi="Arial"/>
                <w:sz w:val="18"/>
                <w:szCs w:val="18"/>
                <w:color w:val="auto"/>
              </w:rPr>
              <w:t>(43,568)</w:t>
            </w:r>
          </w:p>
        </w:tc>
        <w:tc>
          <w:tcPr>
            <w:tcW w:w="160" w:type="dxa"/>
            <w:vAlign w:val="bottom"/>
          </w:tcPr>
          <w:p>
            <w:pPr>
              <w:spacing w:after="0"/>
              <w:rPr>
                <w:sz w:val="20"/>
                <w:szCs w:val="20"/>
                <w:color w:val="auto"/>
              </w:rPr>
            </w:pP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(43,568)</w:t>
            </w:r>
          </w:p>
        </w:tc>
        <w:tc>
          <w:tcPr>
            <w:tcW w:w="0" w:type="dxa"/>
            <w:vAlign w:val="bottom"/>
          </w:tcPr>
          <w:p>
            <w:pPr>
              <w:spacing w:after="0"/>
              <w:rPr>
                <w:sz w:val="1"/>
                <w:szCs w:val="1"/>
                <w:color w:val="auto"/>
              </w:rPr>
            </w:pPr>
          </w:p>
        </w:tc>
      </w:tr>
      <w:tr>
        <w:trPr>
          <w:trHeight w:val="202"/>
        </w:trPr>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Issuance of restricted stock, net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forfeitures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36"/>
              <w:spacing w:after="0"/>
              <w:rPr>
                <w:sz w:val="20"/>
                <w:szCs w:val="20"/>
                <w:color w:val="auto"/>
              </w:rPr>
            </w:pPr>
            <w:r>
              <w:rPr>
                <w:rFonts w:ascii="Arial" w:cs="Arial" w:eastAsia="Arial" w:hAnsi="Arial"/>
                <w:sz w:val="15"/>
                <w:szCs w:val="15"/>
                <w:color w:val="auto"/>
                <w:w w:val="71"/>
              </w:rPr>
              <w:t>3</w:t>
            </w:r>
          </w:p>
        </w:tc>
        <w:tc>
          <w:tcPr>
            <w:tcW w:w="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340" w:type="dxa"/>
            <w:vAlign w:val="bottom"/>
            <w:gridSpan w:val="2"/>
          </w:tcPr>
          <w:p>
            <w:pPr>
              <w:spacing w:after="0" w:line="201" w:lineRule="exact"/>
              <w:rPr>
                <w:sz w:val="20"/>
                <w:szCs w:val="20"/>
                <w:color w:val="auto"/>
              </w:rPr>
            </w:pPr>
            <w:r>
              <w:rPr>
                <w:rFonts w:ascii="Arial" w:cs="Arial" w:eastAsia="Arial" w:hAnsi="Arial"/>
                <w:sz w:val="18"/>
                <w:szCs w:val="18"/>
                <w:color w:val="auto"/>
              </w:rPr>
              <w:t>Equity-based compensation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ind w:left="180"/>
              <w:spacing w:after="0"/>
              <w:rPr>
                <w:sz w:val="20"/>
                <w:szCs w:val="20"/>
                <w:color w:val="auto"/>
              </w:rPr>
            </w:pPr>
            <w:r>
              <w:rPr>
                <w:rFonts w:ascii="Arial" w:cs="Arial" w:eastAsia="Arial" w:hAnsi="Arial"/>
                <w:sz w:val="18"/>
                <w:szCs w:val="18"/>
                <w:color w:val="auto"/>
                <w:w w:val="89"/>
              </w:rPr>
              <w:t>expense related to employees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3"/>
          </w:tcPr>
          <w:p>
            <w:pPr>
              <w:ind w:left="38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11,061</w:t>
            </w:r>
          </w:p>
        </w:tc>
        <w:tc>
          <w:tcPr>
            <w:tcW w:w="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4"/>
          </w:tcPr>
          <w:p>
            <w:pPr>
              <w:jc w:val="right"/>
              <w:ind w:right="79"/>
              <w:spacing w:after="0"/>
              <w:rPr>
                <w:sz w:val="20"/>
                <w:szCs w:val="20"/>
                <w:color w:val="auto"/>
              </w:rPr>
            </w:pPr>
            <w:r>
              <w:rPr>
                <w:rFonts w:ascii="Arial" w:cs="Arial" w:eastAsia="Arial" w:hAnsi="Arial"/>
                <w:sz w:val="18"/>
                <w:szCs w:val="18"/>
                <w:color w:val="auto"/>
              </w:rPr>
              <w:t>11,061</w:t>
            </w:r>
          </w:p>
        </w:tc>
        <w:tc>
          <w:tcPr>
            <w:tcW w:w="160" w:type="dxa"/>
            <w:vAlign w:val="bottom"/>
          </w:tcPr>
          <w:p>
            <w:pPr>
              <w:spacing w:after="0"/>
              <w:rPr>
                <w:sz w:val="20"/>
                <w:szCs w:val="20"/>
                <w:color w:val="auto"/>
              </w:rPr>
            </w:pP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11,061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as of June 30, 2020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36"/>
              <w:spacing w:after="0"/>
              <w:rPr>
                <w:sz w:val="20"/>
                <w:szCs w:val="20"/>
                <w:color w:val="auto"/>
              </w:rPr>
            </w:pPr>
            <w:r>
              <w:rPr>
                <w:rFonts w:ascii="Arial" w:cs="Arial" w:eastAsia="Arial" w:hAnsi="Arial"/>
                <w:sz w:val="18"/>
                <w:szCs w:val="18"/>
                <w:color w:val="auto"/>
                <w:w w:val="95"/>
              </w:rPr>
              <w:t>133,019</w:t>
            </w:r>
          </w:p>
        </w:tc>
        <w:tc>
          <w:tcPr>
            <w:tcW w:w="58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4,483</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3,796,184</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 (5,452,471)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5,934</w:t>
            </w:r>
          </w:p>
        </w:tc>
        <w:tc>
          <w:tcPr>
            <w:tcW w:w="1020" w:type="dxa"/>
            <w:vAlign w:val="bottom"/>
            <w:gridSpan w:val="4"/>
            <w:shd w:val="clear" w:color="auto" w:fill="CCEEFF"/>
          </w:tcPr>
          <w:p>
            <w:pPr>
              <w:jc w:val="right"/>
              <w:ind w:right="16"/>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5,250,528</w:t>
            </w:r>
          </w:p>
        </w:tc>
        <w:tc>
          <w:tcPr>
            <w:tcW w:w="1080" w:type="dxa"/>
            <w:vAlign w:val="bottom"/>
            <w:gridSpan w:val="4"/>
            <w:shd w:val="clear" w:color="auto" w:fill="CCEEFF"/>
          </w:tcPr>
          <w:p>
            <w:pPr>
              <w:jc w:val="right"/>
              <w:ind w:right="79"/>
              <w:spacing w:after="0"/>
              <w:rPr>
                <w:sz w:val="20"/>
                <w:szCs w:val="20"/>
                <w:color w:val="auto"/>
              </w:rPr>
            </w:pPr>
            <w:r>
              <w:rPr>
                <w:rFonts w:ascii="Arial" w:cs="Arial" w:eastAsia="Arial" w:hAnsi="Arial"/>
                <w:sz w:val="18"/>
                <w:szCs w:val="18"/>
                <w:color w:val="auto"/>
                <w:w w:val="94"/>
              </w:rPr>
              <w:t>$ 3,604,658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42,509</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3,647,167</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Amdocs</w:t>
            </w:r>
          </w:p>
        </w:tc>
        <w:tc>
          <w:tcPr>
            <w:tcW w:w="160" w:type="dxa"/>
            <w:vAlign w:val="bottom"/>
          </w:tcPr>
          <w:p>
            <w:pPr>
              <w:spacing w:after="0"/>
              <w:rPr>
                <w:sz w:val="12"/>
                <w:szCs w:val="12"/>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9"/>
            <w:vMerge w:val="restart"/>
          </w:tcPr>
          <w:p>
            <w:pPr>
              <w:jc w:val="right"/>
              <w:ind w:right="280"/>
              <w:spacing w:after="0"/>
              <w:rPr>
                <w:sz w:val="20"/>
                <w:szCs w:val="20"/>
                <w:color w:val="auto"/>
              </w:rPr>
            </w:pPr>
            <w:r>
              <w:rPr>
                <w:rFonts w:ascii="Arial" w:cs="Arial" w:eastAsia="Arial" w:hAnsi="Arial"/>
                <w:sz w:val="14"/>
                <w:szCs w:val="14"/>
                <w:b w:val="1"/>
                <w:bCs w:val="1"/>
                <w:color w:val="auto"/>
                <w:w w:val="93"/>
              </w:rPr>
              <w:t>Ordinary Shares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w w:val="97"/>
              </w:rPr>
              <w:t>Treasury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9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1"/>
              </w:rPr>
              <w:t>Retained</w:t>
            </w:r>
          </w:p>
        </w:tc>
        <w:tc>
          <w:tcPr>
            <w:tcW w:w="100" w:type="dxa"/>
            <w:vAlign w:val="bottom"/>
          </w:tcPr>
          <w:p>
            <w:pPr>
              <w:spacing w:after="0"/>
              <w:rPr>
                <w:sz w:val="12"/>
                <w:szCs w:val="12"/>
                <w:color w:val="auto"/>
              </w:rPr>
            </w:pPr>
          </w:p>
        </w:tc>
        <w:tc>
          <w:tcPr>
            <w:tcW w:w="9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rPr>
              <w:t>Limited</w:t>
            </w:r>
          </w:p>
        </w:tc>
        <w:tc>
          <w:tcPr>
            <w:tcW w:w="1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9"/>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1320" w:type="dxa"/>
            <w:vAlign w:val="bottom"/>
            <w:gridSpan w:val="5"/>
          </w:tcPr>
          <w:p>
            <w:pPr>
              <w:jc w:val="center"/>
              <w:ind w:right="24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1020" w:type="dxa"/>
            <w:vAlign w:val="bottom"/>
            <w:gridSpan w:val="4"/>
          </w:tcPr>
          <w:p>
            <w:pPr>
              <w:jc w:val="center"/>
              <w:ind w:right="200"/>
              <w:spacing w:after="0" w:line="158" w:lineRule="exact"/>
              <w:rPr>
                <w:sz w:val="20"/>
                <w:szCs w:val="20"/>
                <w:color w:val="auto"/>
              </w:rPr>
            </w:pPr>
            <w:r>
              <w:rPr>
                <w:rFonts w:ascii="Arial" w:cs="Arial" w:eastAsia="Arial" w:hAnsi="Arial"/>
                <w:sz w:val="14"/>
                <w:szCs w:val="14"/>
                <w:b w:val="1"/>
                <w:bCs w:val="1"/>
                <w:color w:val="auto"/>
                <w:w w:val="87"/>
              </w:rPr>
              <w:t>Shareholders’</w:t>
            </w:r>
          </w:p>
        </w:tc>
        <w:tc>
          <w:tcPr>
            <w:tcW w:w="900" w:type="dxa"/>
            <w:vAlign w:val="bottom"/>
            <w:gridSpan w:val="4"/>
          </w:tcPr>
          <w:p>
            <w:pPr>
              <w:ind w:left="20"/>
              <w:spacing w:after="0" w:line="158" w:lineRule="exact"/>
              <w:rPr>
                <w:sz w:val="20"/>
                <w:szCs w:val="20"/>
                <w:color w:val="auto"/>
              </w:rPr>
            </w:pPr>
            <w:r>
              <w:rPr>
                <w:rFonts w:ascii="Arial" w:cs="Arial" w:eastAsia="Arial" w:hAnsi="Arial"/>
                <w:sz w:val="14"/>
                <w:szCs w:val="14"/>
                <w:b w:val="1"/>
                <w:bCs w:val="1"/>
                <w:color w:val="auto"/>
              </w:rPr>
              <w:t>controlling</w:t>
            </w:r>
          </w:p>
        </w:tc>
        <w:tc>
          <w:tcPr>
            <w:tcW w:w="16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Borders>
              <w:top w:val="single" w:sz="8" w:color="auto"/>
            </w:tcBorders>
            <w:gridSpan w:val="5"/>
          </w:tcPr>
          <w:p>
            <w:pPr>
              <w:jc w:val="right"/>
              <w:ind w:right="26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3"/>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61"/>
              <w:spacing w:after="0" w:line="142" w:lineRule="exact"/>
              <w:rPr>
                <w:sz w:val="20"/>
                <w:szCs w:val="20"/>
                <w:color w:val="auto"/>
              </w:rPr>
            </w:pPr>
            <w:r>
              <w:rPr>
                <w:rFonts w:ascii="Arial" w:cs="Arial" w:eastAsia="Arial" w:hAnsi="Arial"/>
                <w:sz w:val="14"/>
                <w:szCs w:val="14"/>
                <w:b w:val="1"/>
                <w:bCs w:val="1"/>
                <w:color w:val="auto"/>
              </w:rPr>
              <w:t>Stock</w:t>
            </w:r>
          </w:p>
        </w:tc>
        <w:tc>
          <w:tcPr>
            <w:tcW w:w="1320" w:type="dxa"/>
            <w:vAlign w:val="bottom"/>
            <w:gridSpan w:val="5"/>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Income (Loss) (1)</w:t>
            </w:r>
          </w:p>
        </w:tc>
        <w:tc>
          <w:tcPr>
            <w:tcW w:w="60" w:type="dxa"/>
            <w:vAlign w:val="bottom"/>
          </w:tcPr>
          <w:p>
            <w:pPr>
              <w:spacing w:after="0"/>
              <w:rPr>
                <w:sz w:val="12"/>
                <w:szCs w:val="12"/>
                <w:color w:val="auto"/>
              </w:rPr>
            </w:pPr>
          </w:p>
        </w:tc>
        <w:tc>
          <w:tcPr>
            <w:tcW w:w="92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90"/>
              </w:rPr>
              <w:t>Earnings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8"/>
              </w:rPr>
              <w:t>Equity</w:t>
            </w:r>
          </w:p>
        </w:tc>
        <w:tc>
          <w:tcPr>
            <w:tcW w:w="9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Interests (2)</w:t>
            </w:r>
          </w:p>
        </w:tc>
        <w:tc>
          <w:tcPr>
            <w:tcW w:w="160" w:type="dxa"/>
            <w:vAlign w:val="bottom"/>
          </w:tcPr>
          <w:p>
            <w:pPr>
              <w:spacing w:after="0"/>
              <w:rPr>
                <w:sz w:val="12"/>
                <w:szCs w:val="12"/>
                <w:color w:val="auto"/>
              </w:rPr>
            </w:pPr>
          </w:p>
        </w:tc>
        <w:tc>
          <w:tcPr>
            <w:tcW w:w="92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2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w w:val="98"/>
              </w:rPr>
              <w:t>Balance as of March 31, 2019</w:t>
            </w: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137,131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$4,445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4"/>
              </w:rPr>
              <w:t>$3,620,891</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0"/>
              </w:rPr>
              <w:t>$(5,003,566)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(7,803)</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2"/>
              </w:rPr>
              <w:t>$4,836,467</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$ 3,450,434</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w w:val="87"/>
              </w:rPr>
              <w:t>42,353</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$3,492,787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131,448</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131,448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131,448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Other comprehensive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ind w:left="540"/>
              <w:spacing w:after="0"/>
              <w:rPr>
                <w:sz w:val="20"/>
                <w:szCs w:val="20"/>
                <w:color w:val="auto"/>
              </w:rPr>
            </w:pPr>
            <w:r>
              <w:rPr>
                <w:rFonts w:ascii="Arial" w:cs="Arial" w:eastAsia="Arial" w:hAnsi="Arial"/>
                <w:sz w:val="18"/>
                <w:szCs w:val="18"/>
                <w:color w:val="auto"/>
              </w:rPr>
              <w:t>income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8,000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8,000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139,448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139,448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40" w:type="dxa"/>
            <w:vAlign w:val="bottom"/>
            <w:gridSpan w:val="2"/>
          </w:tcPr>
          <w:p>
            <w:pPr>
              <w:spacing w:after="0" w:line="201" w:lineRule="exact"/>
              <w:rPr>
                <w:sz w:val="20"/>
                <w:szCs w:val="20"/>
                <w:color w:val="auto"/>
              </w:rPr>
            </w:pPr>
            <w:r>
              <w:rPr>
                <w:rFonts w:ascii="Arial" w:cs="Arial" w:eastAsia="Arial" w:hAnsi="Arial"/>
                <w:sz w:val="18"/>
                <w:szCs w:val="18"/>
                <w:color w:val="auto"/>
              </w:rPr>
              <w:t>Employee stock options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ind w:left="180"/>
              <w:spacing w:after="0"/>
              <w:rPr>
                <w:sz w:val="20"/>
                <w:szCs w:val="20"/>
                <w:color w:val="auto"/>
              </w:rPr>
            </w:pPr>
            <w:r>
              <w:rPr>
                <w:rFonts w:ascii="Arial" w:cs="Arial" w:eastAsia="Arial" w:hAnsi="Arial"/>
                <w:sz w:val="18"/>
                <w:szCs w:val="18"/>
                <w:color w:val="auto"/>
              </w:rPr>
              <w:t>exercised</w:t>
            </w:r>
          </w:p>
        </w:tc>
        <w:tc>
          <w:tcPr>
            <w:tcW w:w="140" w:type="dxa"/>
            <w:vAlign w:val="bottom"/>
          </w:tcPr>
          <w:p>
            <w:pPr>
              <w:spacing w:after="0"/>
              <w:rPr>
                <w:sz w:val="20"/>
                <w:szCs w:val="20"/>
                <w:color w:val="auto"/>
              </w:rPr>
            </w:pPr>
          </w:p>
        </w:tc>
        <w:tc>
          <w:tcPr>
            <w:tcW w:w="660" w:type="dxa"/>
            <w:vAlign w:val="bottom"/>
            <w:gridSpan w:val="4"/>
          </w:tcPr>
          <w:p>
            <w:pPr>
              <w:ind w:left="240"/>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14,163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14,167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14,167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8"/>
              </w:rPr>
              <w:t>(1,531)</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(88,822)</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(88,822)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(88,822)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40" w:type="dxa"/>
            <w:vAlign w:val="bottom"/>
            <w:gridSpan w:val="2"/>
          </w:tcPr>
          <w:p>
            <w:pPr>
              <w:spacing w:after="0" w:line="201" w:lineRule="exact"/>
              <w:rPr>
                <w:sz w:val="20"/>
                <w:szCs w:val="20"/>
                <w:color w:val="auto"/>
              </w:rPr>
            </w:pPr>
            <w:r>
              <w:rPr>
                <w:rFonts w:ascii="Arial" w:cs="Arial" w:eastAsia="Arial" w:hAnsi="Arial"/>
                <w:sz w:val="18"/>
                <w:szCs w:val="18"/>
                <w:color w:val="auto"/>
              </w:rPr>
              <w:t>Cash dividends declared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ind w:left="180"/>
              <w:spacing w:after="0"/>
              <w:rPr>
                <w:sz w:val="20"/>
                <w:szCs w:val="20"/>
                <w:color w:val="auto"/>
              </w:rPr>
            </w:pPr>
            <w:r>
              <w:rPr>
                <w:rFonts w:ascii="Arial" w:cs="Arial" w:eastAsia="Arial" w:hAnsi="Arial"/>
                <w:sz w:val="18"/>
                <w:szCs w:val="18"/>
                <w:color w:val="auto"/>
                <w:w w:val="98"/>
              </w:rPr>
              <w:t>($0.285 per ordinary share)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(38,730)</w:t>
            </w:r>
          </w:p>
        </w:tc>
        <w:tc>
          <w:tcPr>
            <w:tcW w:w="100" w:type="dxa"/>
            <w:vAlign w:val="bottom"/>
          </w:tcPr>
          <w:p>
            <w:pPr>
              <w:spacing w:after="0"/>
              <w:rPr>
                <w:sz w:val="20"/>
                <w:szCs w:val="20"/>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(38,730)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(38,730)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restricted stock,</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forfeitures</w:t>
            </w:r>
          </w:p>
        </w:tc>
        <w:tc>
          <w:tcPr>
            <w:tcW w:w="140" w:type="dxa"/>
            <w:vAlign w:val="bottom"/>
            <w:shd w:val="clear" w:color="auto" w:fill="CCEEFF"/>
          </w:tcPr>
          <w:p>
            <w:pPr>
              <w:spacing w:after="0"/>
              <w:rPr>
                <w:sz w:val="20"/>
                <w:szCs w:val="20"/>
                <w:color w:val="auto"/>
              </w:rPr>
            </w:pP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40" w:type="dxa"/>
            <w:vAlign w:val="bottom"/>
            <w:gridSpan w:val="2"/>
          </w:tcPr>
          <w:p>
            <w:pPr>
              <w:spacing w:after="0" w:line="201" w:lineRule="exact"/>
              <w:rPr>
                <w:sz w:val="20"/>
                <w:szCs w:val="20"/>
                <w:color w:val="auto"/>
              </w:rPr>
            </w:pPr>
            <w:r>
              <w:rPr>
                <w:rFonts w:ascii="Arial" w:cs="Arial" w:eastAsia="Arial" w:hAnsi="Arial"/>
                <w:sz w:val="18"/>
                <w:szCs w:val="18"/>
                <w:color w:val="auto"/>
              </w:rPr>
              <w:t>Equity-based compensation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ind w:left="180"/>
              <w:spacing w:after="0"/>
              <w:rPr>
                <w:sz w:val="20"/>
                <w:szCs w:val="20"/>
                <w:color w:val="auto"/>
              </w:rPr>
            </w:pPr>
            <w:r>
              <w:rPr>
                <w:rFonts w:ascii="Arial" w:cs="Arial" w:eastAsia="Arial" w:hAnsi="Arial"/>
                <w:sz w:val="18"/>
                <w:szCs w:val="18"/>
                <w:color w:val="auto"/>
              </w:rPr>
              <w:t>expense related to</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ind w:left="180"/>
              <w:spacing w:after="0"/>
              <w:rPr>
                <w:sz w:val="20"/>
                <w:szCs w:val="20"/>
                <w:color w:val="auto"/>
              </w:rPr>
            </w:pPr>
            <w:r>
              <w:rPr>
                <w:rFonts w:ascii="Arial" w:cs="Arial" w:eastAsia="Arial" w:hAnsi="Arial"/>
                <w:sz w:val="18"/>
                <w:szCs w:val="18"/>
                <w:color w:val="auto"/>
              </w:rPr>
              <w:t>employees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8,835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8,835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8,835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Changes in Noncontrolling</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40" w:type="dxa"/>
            <w:vAlign w:val="bottom"/>
            <w:gridSpan w:val="2"/>
          </w:tcPr>
          <w:p>
            <w:pPr>
              <w:spacing w:after="0"/>
              <w:rPr>
                <w:sz w:val="20"/>
                <w:szCs w:val="20"/>
                <w:color w:val="auto"/>
              </w:rPr>
            </w:pPr>
            <w:r>
              <w:rPr>
                <w:rFonts w:ascii="Arial" w:cs="Arial" w:eastAsia="Arial" w:hAnsi="Arial"/>
                <w:sz w:val="17"/>
                <w:szCs w:val="17"/>
                <w:b w:val="1"/>
                <w:bCs w:val="1"/>
                <w:color w:val="auto"/>
              </w:rPr>
              <w:t>Balance as of June 30, 2019</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135,889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4,449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3,643,889</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(5,092,388</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79"/>
              </w:rPr>
              <w:t>197</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4,929,185</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$ 3,485,332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color w:val="auto"/>
                <w:w w:val="87"/>
              </w:rPr>
              <w:t>42,353</w:t>
            </w:r>
          </w:p>
        </w:tc>
        <w:tc>
          <w:tcPr>
            <w:tcW w:w="18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3,527,685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24" w:right="620" w:hanging="424"/>
        <w:spacing w:after="0" w:line="255"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June 30, 2020 and 2019, accumulated other comprehensive income (loss) is comprised of unrealized gain on derivatives, net of tax, of $12,426 and $4,822, unrealized (loss) on short-term interest-bearing investments, net of tax, of $0 and $(94) and unrealized (loss) on defined benefit plan, net of tax, of $(6,492) and $(4,531).</w:t>
      </w:r>
    </w:p>
    <w:p>
      <w:pPr>
        <w:spacing w:after="0" w:line="2" w:lineRule="exact"/>
        <w:rPr>
          <w:rFonts w:ascii="Arial" w:cs="Arial" w:eastAsia="Arial" w:hAnsi="Arial"/>
          <w:sz w:val="18"/>
          <w:szCs w:val="18"/>
          <w:color w:val="auto"/>
        </w:rPr>
      </w:pPr>
    </w:p>
    <w:p>
      <w:pPr>
        <w:ind w:left="424" w:right="420" w:hanging="424"/>
        <w:spacing w:after="0" w:line="250"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three and nine months ended June 30, 2020, and 2019, all of the Company’s net income is attributable to Amdocs Limited as the net income attributable to the Non-controlling interests is negligible</w:t>
      </w:r>
    </w:p>
    <w:p>
      <w:pPr>
        <w:ind w:left="424" w:right="500" w:hanging="424"/>
        <w:spacing w:after="0" w:line="260"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Cumulative effect adjustments as of October 1, 2018 include an increase of $14,294 to retained earnings due to the impact of adoptions of ASU No. 2014-09 (ASC 606) and decrease of $3,860 to retained earnings due to adoption of ASU No. 2016-16.</w:t>
      </w:r>
    </w:p>
    <w:p>
      <w:pPr>
        <w:spacing w:after="0" w:line="185" w:lineRule="exact"/>
        <w:rPr>
          <w:sz w:val="20"/>
          <w:szCs w:val="20"/>
          <w:color w:val="auto"/>
        </w:rPr>
      </w:pPr>
    </w:p>
    <w:p>
      <w:pPr>
        <w:jc w:val="center"/>
        <w:ind w:right="156"/>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5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4"/>
          </w:cols>
          <w:pgMar w:left="436" w:top="270" w:right="279" w:bottom="1440" w:gutter="0" w:footer="0" w:header="0"/>
        </w:sectPr>
      </w:pPr>
    </w:p>
    <w:bookmarkStart w:id="6" w:name="page7"/>
    <w:bookmarkEnd w:id="6"/>
    <w:p>
      <w:pPr>
        <w:jc w:val="center"/>
        <w:ind w:righ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CONSOLIDATED STATEMENTS OF CHANGES IN EQUITY (UNAUDITED)</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Amdocs</w:t>
            </w:r>
          </w:p>
        </w:tc>
        <w:tc>
          <w:tcPr>
            <w:tcW w:w="140" w:type="dxa"/>
            <w:vAlign w:val="bottom"/>
          </w:tcPr>
          <w:p>
            <w:pPr>
              <w:spacing w:after="0"/>
              <w:rPr>
                <w:sz w:val="12"/>
                <w:szCs w:val="12"/>
                <w:color w:val="auto"/>
              </w:rPr>
            </w:pPr>
          </w:p>
        </w:tc>
        <w:tc>
          <w:tcPr>
            <w:tcW w:w="7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Non-</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46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Ordinary Shares</w:t>
            </w:r>
          </w:p>
        </w:tc>
        <w:tc>
          <w:tcPr>
            <w:tcW w:w="980" w:type="dxa"/>
            <w:vAlign w:val="bottom"/>
            <w:gridSpan w:val="2"/>
            <w:vMerge w:val="continue"/>
          </w:tcPr>
          <w:p>
            <w:pPr>
              <w:spacing w:after="0"/>
              <w:rPr>
                <w:sz w:val="12"/>
                <w:szCs w:val="12"/>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Retained</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Limited</w:t>
            </w: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460" w:type="dxa"/>
            <w:vAlign w:val="bottom"/>
            <w:gridSpan w:val="5"/>
            <w:vMerge w:val="continue"/>
          </w:tcPr>
          <w:p>
            <w:pPr>
              <w:spacing w:after="0"/>
              <w:rPr>
                <w:sz w:val="13"/>
                <w:szCs w:val="13"/>
                <w:color w:val="auto"/>
              </w:rPr>
            </w:pPr>
          </w:p>
        </w:tc>
        <w:tc>
          <w:tcPr>
            <w:tcW w:w="9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Paid-in</w:t>
            </w:r>
          </w:p>
        </w:tc>
        <w:tc>
          <w:tcPr>
            <w:tcW w:w="9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2"/>
              </w:rPr>
              <w:t>Shareholders’</w:t>
            </w:r>
          </w:p>
        </w:tc>
        <w:tc>
          <w:tcPr>
            <w:tcW w:w="900" w:type="dxa"/>
            <w:vAlign w:val="bottom"/>
            <w:gridSpan w:val="3"/>
          </w:tcPr>
          <w:p>
            <w:pPr>
              <w:jc w:val="center"/>
              <w:ind w:right="180"/>
              <w:spacing w:after="0" w:line="158" w:lineRule="exact"/>
              <w:rPr>
                <w:sz w:val="20"/>
                <w:szCs w:val="20"/>
                <w:color w:val="auto"/>
              </w:rPr>
            </w:pPr>
            <w:r>
              <w:rPr>
                <w:rFonts w:ascii="Arial" w:cs="Arial" w:eastAsia="Arial" w:hAnsi="Arial"/>
                <w:sz w:val="14"/>
                <w:szCs w:val="14"/>
                <w:b w:val="1"/>
                <w:bCs w:val="1"/>
                <w:color w:val="auto"/>
                <w:w w:val="93"/>
              </w:rPr>
              <w:t>controlling</w:t>
            </w: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76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9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4"/>
              </w:rPr>
              <w:t>Capital</w:t>
            </w:r>
          </w:p>
        </w:tc>
        <w:tc>
          <w:tcPr>
            <w:tcW w:w="9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2"/>
                <w:szCs w:val="12"/>
                <w:color w:val="auto"/>
              </w:rPr>
            </w:pPr>
          </w:p>
        </w:tc>
        <w:tc>
          <w:tcPr>
            <w:tcW w:w="118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3"/>
              </w:rPr>
              <w:t>Income (Loss) (1)</w:t>
            </w:r>
          </w:p>
        </w:tc>
        <w:tc>
          <w:tcPr>
            <w:tcW w:w="60" w:type="dxa"/>
            <w:vAlign w:val="bottom"/>
          </w:tcPr>
          <w:p>
            <w:pPr>
              <w:spacing w:after="0"/>
              <w:rPr>
                <w:sz w:val="12"/>
                <w:szCs w:val="12"/>
                <w:color w:val="auto"/>
              </w:rPr>
            </w:pPr>
          </w:p>
        </w:tc>
        <w:tc>
          <w:tcPr>
            <w:tcW w:w="98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Earnings</w:t>
            </w:r>
          </w:p>
        </w:tc>
        <w:tc>
          <w:tcPr>
            <w:tcW w:w="10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Equity</w:t>
            </w:r>
          </w:p>
        </w:tc>
        <w:tc>
          <w:tcPr>
            <w:tcW w:w="9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Interests (2)</w:t>
            </w:r>
          </w:p>
        </w:tc>
        <w:tc>
          <w:tcPr>
            <w:tcW w:w="9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w w:val="93"/>
              </w:rPr>
              <w:t>Balance as of September 30, 2019</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134,773</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$4,452</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$3,667,662</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$(5,182,409)</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$5,012,799</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$ 3,499,957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42,509</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$3,542,466</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Comprehensive income: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(2)</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363,377</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363,377</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363,377</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360"/>
              <w:spacing w:after="0"/>
              <w:rPr>
                <w:sz w:val="20"/>
                <w:szCs w:val="20"/>
                <w:color w:val="auto"/>
              </w:rPr>
            </w:pPr>
            <w:r>
              <w:rPr>
                <w:rFonts w:ascii="Arial" w:cs="Arial" w:eastAsia="Arial" w:hAnsi="Arial"/>
                <w:sz w:val="18"/>
                <w:szCs w:val="18"/>
                <w:color w:val="auto"/>
                <w:w w:val="93"/>
              </w:rPr>
              <w:t>Other comprehensive income</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8,481</w:t>
            </w:r>
          </w:p>
        </w:tc>
        <w:tc>
          <w:tcPr>
            <w:tcW w:w="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8,481</w:t>
            </w:r>
          </w:p>
        </w:tc>
        <w:tc>
          <w:tcPr>
            <w:tcW w:w="1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Comprehensive income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371,858</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371,858</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w w:val="94"/>
              </w:rPr>
              <w:t>Employee stock options exercised</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1,836</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24</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95,952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95,976</w:t>
            </w:r>
          </w:p>
        </w:tc>
        <w:tc>
          <w:tcPr>
            <w:tcW w:w="1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95,976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(4,147)</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(270,062)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(270,062)</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(270,062)</w:t>
            </w:r>
          </w:p>
        </w:tc>
        <w:tc>
          <w:tcPr>
            <w:tcW w:w="0" w:type="dxa"/>
            <w:vAlign w:val="bottom"/>
          </w:tcPr>
          <w:p>
            <w:pPr>
              <w:spacing w:after="0"/>
              <w:rPr>
                <w:sz w:val="1"/>
                <w:szCs w:val="1"/>
                <w:color w:val="auto"/>
              </w:rPr>
            </w:pPr>
          </w:p>
        </w:tc>
      </w:tr>
      <w:tr>
        <w:trPr>
          <w:trHeight w:val="202"/>
        </w:trPr>
        <w:tc>
          <w:tcPr>
            <w:tcW w:w="2580" w:type="dxa"/>
            <w:vAlign w:val="bottom"/>
          </w:tcPr>
          <w:p>
            <w:pPr>
              <w:spacing w:after="0" w:line="201" w:lineRule="exact"/>
              <w:rPr>
                <w:sz w:val="20"/>
                <w:szCs w:val="20"/>
                <w:color w:val="auto"/>
              </w:rPr>
            </w:pPr>
            <w:r>
              <w:rPr>
                <w:rFonts w:ascii="Arial" w:cs="Arial" w:eastAsia="Arial" w:hAnsi="Arial"/>
                <w:sz w:val="18"/>
                <w:szCs w:val="18"/>
                <w:color w:val="auto"/>
              </w:rPr>
              <w:t>Cash dividends declared</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180"/>
              <w:spacing w:after="0"/>
              <w:rPr>
                <w:sz w:val="20"/>
                <w:szCs w:val="20"/>
                <w:color w:val="auto"/>
              </w:rPr>
            </w:pPr>
            <w:r>
              <w:rPr>
                <w:rFonts w:ascii="Arial" w:cs="Arial" w:eastAsia="Arial" w:hAnsi="Arial"/>
                <w:sz w:val="18"/>
                <w:szCs w:val="18"/>
                <w:color w:val="auto"/>
              </w:rPr>
              <w:t>($0.94 per ordinary share)</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(125,648)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(125,648)</w:t>
            </w:r>
          </w:p>
        </w:tc>
        <w:tc>
          <w:tcPr>
            <w:tcW w:w="14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(125,648)</w:t>
            </w: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restricted stock, net</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forfeitures</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557</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580" w:type="dxa"/>
            <w:vAlign w:val="bottom"/>
          </w:tcPr>
          <w:p>
            <w:pPr>
              <w:spacing w:after="0" w:line="201" w:lineRule="exact"/>
              <w:rPr>
                <w:sz w:val="20"/>
                <w:szCs w:val="20"/>
                <w:color w:val="auto"/>
              </w:rPr>
            </w:pPr>
            <w:r>
              <w:rPr>
                <w:rFonts w:ascii="Arial" w:cs="Arial" w:eastAsia="Arial" w:hAnsi="Arial"/>
                <w:sz w:val="18"/>
                <w:szCs w:val="18"/>
                <w:color w:val="auto"/>
              </w:rPr>
              <w:t>Equity-based compensation</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180"/>
              <w:spacing w:after="0"/>
              <w:rPr>
                <w:sz w:val="20"/>
                <w:szCs w:val="20"/>
                <w:color w:val="auto"/>
              </w:rPr>
            </w:pPr>
            <w:r>
              <w:rPr>
                <w:rFonts w:ascii="Arial" w:cs="Arial" w:eastAsia="Arial" w:hAnsi="Arial"/>
                <w:sz w:val="18"/>
                <w:szCs w:val="18"/>
                <w:color w:val="auto"/>
                <w:w w:val="99"/>
              </w:rPr>
              <w:t>expense related to employees</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32,570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32,570</w:t>
            </w:r>
          </w:p>
        </w:tc>
        <w:tc>
          <w:tcPr>
            <w:tcW w:w="14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32,570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as of June 30, 2020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133,019</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4,483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3,796,184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(5,452,471)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5,934</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5,250,528</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$ 3,604,658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3,647,167</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Amdocs</w:t>
            </w:r>
          </w:p>
        </w:tc>
        <w:tc>
          <w:tcPr>
            <w:tcW w:w="140" w:type="dxa"/>
            <w:vAlign w:val="bottom"/>
          </w:tcPr>
          <w:p>
            <w:pPr>
              <w:spacing w:after="0"/>
              <w:rPr>
                <w:sz w:val="12"/>
                <w:szCs w:val="12"/>
                <w:color w:val="auto"/>
              </w:rPr>
            </w:pPr>
          </w:p>
        </w:tc>
        <w:tc>
          <w:tcPr>
            <w:tcW w:w="7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Non-</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46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Ordinary Shares</w:t>
            </w:r>
          </w:p>
        </w:tc>
        <w:tc>
          <w:tcPr>
            <w:tcW w:w="980" w:type="dxa"/>
            <w:vAlign w:val="bottom"/>
            <w:gridSpan w:val="2"/>
            <w:vMerge w:val="continue"/>
          </w:tcPr>
          <w:p>
            <w:pPr>
              <w:spacing w:after="0"/>
              <w:rPr>
                <w:sz w:val="12"/>
                <w:szCs w:val="12"/>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Retained</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Limited</w:t>
            </w: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460" w:type="dxa"/>
            <w:vAlign w:val="bottom"/>
            <w:gridSpan w:val="5"/>
            <w:vMerge w:val="continue"/>
          </w:tcPr>
          <w:p>
            <w:pPr>
              <w:spacing w:after="0"/>
              <w:rPr>
                <w:sz w:val="13"/>
                <w:szCs w:val="13"/>
                <w:color w:val="auto"/>
              </w:rPr>
            </w:pPr>
          </w:p>
        </w:tc>
        <w:tc>
          <w:tcPr>
            <w:tcW w:w="9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Paid-in</w:t>
            </w:r>
          </w:p>
        </w:tc>
        <w:tc>
          <w:tcPr>
            <w:tcW w:w="9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2"/>
              </w:rPr>
              <w:t>Shareholders’</w:t>
            </w:r>
          </w:p>
        </w:tc>
        <w:tc>
          <w:tcPr>
            <w:tcW w:w="900" w:type="dxa"/>
            <w:vAlign w:val="bottom"/>
            <w:gridSpan w:val="3"/>
          </w:tcPr>
          <w:p>
            <w:pPr>
              <w:jc w:val="center"/>
              <w:ind w:right="180"/>
              <w:spacing w:after="0" w:line="158" w:lineRule="exact"/>
              <w:rPr>
                <w:sz w:val="20"/>
                <w:szCs w:val="20"/>
                <w:color w:val="auto"/>
              </w:rPr>
            </w:pPr>
            <w:r>
              <w:rPr>
                <w:rFonts w:ascii="Arial" w:cs="Arial" w:eastAsia="Arial" w:hAnsi="Arial"/>
                <w:sz w:val="14"/>
                <w:szCs w:val="14"/>
                <w:b w:val="1"/>
                <w:bCs w:val="1"/>
                <w:color w:val="auto"/>
                <w:w w:val="93"/>
              </w:rPr>
              <w:t>controlling</w:t>
            </w: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76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9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4"/>
              </w:rPr>
              <w:t>Capital</w:t>
            </w:r>
          </w:p>
        </w:tc>
        <w:tc>
          <w:tcPr>
            <w:tcW w:w="9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2"/>
                <w:szCs w:val="12"/>
                <w:color w:val="auto"/>
              </w:rPr>
            </w:pPr>
          </w:p>
        </w:tc>
        <w:tc>
          <w:tcPr>
            <w:tcW w:w="118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3"/>
              </w:rPr>
              <w:t>Income (Loss) (1)</w:t>
            </w:r>
          </w:p>
        </w:tc>
        <w:tc>
          <w:tcPr>
            <w:tcW w:w="60" w:type="dxa"/>
            <w:vAlign w:val="bottom"/>
          </w:tcPr>
          <w:p>
            <w:pPr>
              <w:spacing w:after="0"/>
              <w:rPr>
                <w:sz w:val="12"/>
                <w:szCs w:val="12"/>
                <w:color w:val="auto"/>
              </w:rPr>
            </w:pPr>
          </w:p>
        </w:tc>
        <w:tc>
          <w:tcPr>
            <w:tcW w:w="98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Earnings</w:t>
            </w:r>
          </w:p>
        </w:tc>
        <w:tc>
          <w:tcPr>
            <w:tcW w:w="10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Equity</w:t>
            </w:r>
          </w:p>
        </w:tc>
        <w:tc>
          <w:tcPr>
            <w:tcW w:w="9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Interests (2)</w:t>
            </w:r>
          </w:p>
        </w:tc>
        <w:tc>
          <w:tcPr>
            <w:tcW w:w="9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w w:val="93"/>
              </w:rPr>
              <w:t>Balance as of September 30, 2018</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140,177</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$4,436</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$3,587,625</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$(4,784,352)</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(32,731)</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$4,673,901</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$ 3,448,879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43,163</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$3,492,042</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w w:val="98"/>
              </w:rPr>
              <w:t>Cumulative effect adjustment (3)</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10,434</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10,434</w:t>
            </w:r>
          </w:p>
        </w:tc>
        <w:tc>
          <w:tcPr>
            <w:tcW w:w="1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10,434</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360"/>
              <w:spacing w:after="0"/>
              <w:rPr>
                <w:sz w:val="20"/>
                <w:szCs w:val="20"/>
                <w:color w:val="auto"/>
              </w:rPr>
            </w:pPr>
            <w:r>
              <w:rPr>
                <w:rFonts w:ascii="Arial" w:cs="Arial" w:eastAsia="Arial" w:hAnsi="Arial"/>
                <w:sz w:val="18"/>
                <w:szCs w:val="18"/>
                <w:color w:val="auto"/>
              </w:rPr>
              <w:t>Net income (2)</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357,419</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357,419</w:t>
            </w:r>
          </w:p>
        </w:tc>
        <w:tc>
          <w:tcPr>
            <w:tcW w:w="1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357,419</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Other comprehensive income</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32,928</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32,928</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32,928</w:t>
            </w:r>
          </w:p>
        </w:tc>
        <w:tc>
          <w:tcPr>
            <w:tcW w:w="0" w:type="dxa"/>
            <w:vAlign w:val="bottom"/>
          </w:tcPr>
          <w:p>
            <w:pPr>
              <w:spacing w:after="0"/>
              <w:rPr>
                <w:sz w:val="1"/>
                <w:szCs w:val="1"/>
                <w:color w:val="auto"/>
              </w:rPr>
            </w:pPr>
          </w:p>
        </w:tc>
      </w:tr>
      <w:tr>
        <w:trPr>
          <w:trHeight w:val="223"/>
        </w:trPr>
        <w:tc>
          <w:tcPr>
            <w:tcW w:w="2580" w:type="dxa"/>
            <w:vAlign w:val="bottom"/>
          </w:tcPr>
          <w:p>
            <w:pPr>
              <w:ind w:left="360"/>
              <w:spacing w:after="0"/>
              <w:rPr>
                <w:sz w:val="20"/>
                <w:szCs w:val="20"/>
                <w:color w:val="auto"/>
              </w:rPr>
            </w:pPr>
            <w:r>
              <w:rPr>
                <w:rFonts w:ascii="Arial" w:cs="Arial" w:eastAsia="Arial" w:hAnsi="Arial"/>
                <w:sz w:val="18"/>
                <w:szCs w:val="18"/>
                <w:color w:val="auto"/>
              </w:rPr>
              <w:t>Comprehensive income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390,347</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4"/>
              </w:rPr>
              <w:t>Employee stock options exercised</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574</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25,698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25,706</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25,706</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Repurchase of shares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(5,257)</w:t>
            </w:r>
          </w:p>
        </w:tc>
        <w:tc>
          <w:tcPr>
            <w:tcW w:w="4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(308,036)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(308,036)</w:t>
            </w:r>
          </w:p>
        </w:tc>
        <w:tc>
          <w:tcPr>
            <w:tcW w:w="1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(308,036)</w:t>
            </w: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dividends declared</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($0.82 per ordinary share)</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(112,569)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(112,569)</w:t>
            </w:r>
          </w:p>
        </w:tc>
        <w:tc>
          <w:tcPr>
            <w:tcW w:w="14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(112,569)</w:t>
            </w:r>
          </w:p>
        </w:tc>
        <w:tc>
          <w:tcPr>
            <w:tcW w:w="0" w:type="dxa"/>
            <w:vAlign w:val="bottom"/>
          </w:tcPr>
          <w:p>
            <w:pPr>
              <w:spacing w:after="0"/>
              <w:rPr>
                <w:sz w:val="1"/>
                <w:szCs w:val="1"/>
                <w:color w:val="auto"/>
              </w:rPr>
            </w:pPr>
          </w:p>
        </w:tc>
      </w:tr>
      <w:tr>
        <w:trPr>
          <w:trHeight w:val="202"/>
        </w:trPr>
        <w:tc>
          <w:tcPr>
            <w:tcW w:w="2580" w:type="dxa"/>
            <w:vAlign w:val="bottom"/>
          </w:tcPr>
          <w:p>
            <w:pPr>
              <w:spacing w:after="0" w:line="201" w:lineRule="exact"/>
              <w:rPr>
                <w:sz w:val="20"/>
                <w:szCs w:val="20"/>
                <w:color w:val="auto"/>
              </w:rPr>
            </w:pPr>
            <w:r>
              <w:rPr>
                <w:rFonts w:ascii="Arial" w:cs="Arial" w:eastAsia="Arial" w:hAnsi="Arial"/>
                <w:sz w:val="18"/>
                <w:szCs w:val="18"/>
                <w:color w:val="auto"/>
              </w:rPr>
              <w:t>Issuance of restricted stock, net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180"/>
              <w:spacing w:after="0"/>
              <w:rPr>
                <w:sz w:val="20"/>
                <w:szCs w:val="20"/>
                <w:color w:val="auto"/>
              </w:rPr>
            </w:pPr>
            <w:r>
              <w:rPr>
                <w:rFonts w:ascii="Arial" w:cs="Arial" w:eastAsia="Arial" w:hAnsi="Arial"/>
                <w:sz w:val="18"/>
                <w:szCs w:val="18"/>
                <w:color w:val="auto"/>
              </w:rPr>
              <w:t>of forfeitures</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395</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Equity-based compensation</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expense related to employees</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30,566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30,566</w:t>
            </w:r>
          </w:p>
        </w:tc>
        <w:tc>
          <w:tcPr>
            <w:tcW w:w="14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30,566</w:t>
            </w:r>
          </w:p>
        </w:tc>
        <w:tc>
          <w:tcPr>
            <w:tcW w:w="0" w:type="dxa"/>
            <w:vAlign w:val="bottom"/>
          </w:tcPr>
          <w:p>
            <w:pPr>
              <w:spacing w:after="0"/>
              <w:rPr>
                <w:sz w:val="1"/>
                <w:szCs w:val="1"/>
                <w:color w:val="auto"/>
              </w:rPr>
            </w:pPr>
          </w:p>
        </w:tc>
      </w:tr>
      <w:tr>
        <w:trPr>
          <w:trHeight w:val="202"/>
        </w:trPr>
        <w:tc>
          <w:tcPr>
            <w:tcW w:w="2580" w:type="dxa"/>
            <w:vAlign w:val="bottom"/>
          </w:tcPr>
          <w:p>
            <w:pPr>
              <w:spacing w:after="0" w:line="201" w:lineRule="exact"/>
              <w:rPr>
                <w:sz w:val="20"/>
                <w:szCs w:val="20"/>
                <w:color w:val="auto"/>
              </w:rPr>
            </w:pPr>
            <w:r>
              <w:rPr>
                <w:rFonts w:ascii="Arial" w:cs="Arial" w:eastAsia="Arial" w:hAnsi="Arial"/>
                <w:sz w:val="18"/>
                <w:szCs w:val="18"/>
                <w:color w:val="auto"/>
              </w:rPr>
              <w:t>Changes in Noncontrolling</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as of June 30, 2019</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135,889</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4,449</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3,643,889</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(5,092,388)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197</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4,929,185</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$ 3,485,332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42,353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3,527,685</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440" w:top="270" w:right="319" w:bottom="1440" w:gutter="0" w:footer="0" w:header="0"/>
        </w:sectPr>
      </w:pPr>
    </w:p>
    <w:bookmarkStart w:id="7" w:name="page8"/>
    <w:bookmarkEnd w:id="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7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18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Net income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363,377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357,419</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144,715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155,258</w:t>
            </w:r>
          </w:p>
        </w:tc>
      </w:tr>
      <w:tr>
        <w:trPr>
          <w:trHeight w:val="216"/>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ind w:left="360"/>
              <w:spacing w:after="0"/>
              <w:rPr>
                <w:sz w:val="20"/>
                <w:szCs w:val="20"/>
                <w:color w:val="auto"/>
              </w:rPr>
            </w:pPr>
            <w:r>
              <w:rPr>
                <w:rFonts w:ascii="Arial" w:cs="Arial" w:eastAsia="Arial" w:hAnsi="Arial"/>
                <w:sz w:val="18"/>
                <w:szCs w:val="18"/>
                <w:color w:val="auto"/>
              </w:rPr>
              <w:t>Equity-based compensation expense</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32,570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30,566</w:t>
            </w:r>
          </w:p>
        </w:tc>
      </w:tr>
      <w:tr>
        <w:trPr>
          <w:trHeight w:val="216"/>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(9,455)</w:t>
            </w:r>
          </w:p>
        </w:tc>
      </w:tr>
      <w:tr>
        <w:trPr>
          <w:trHeight w:val="216"/>
        </w:trPr>
        <w:tc>
          <w:tcPr>
            <w:tcW w:w="7180" w:type="dxa"/>
            <w:vAlign w:val="bottom"/>
          </w:tcPr>
          <w:p>
            <w:pPr>
              <w:ind w:left="360"/>
              <w:spacing w:after="0"/>
              <w:rPr>
                <w:sz w:val="20"/>
                <w:szCs w:val="20"/>
                <w:color w:val="auto"/>
              </w:rPr>
            </w:pPr>
            <w:r>
              <w:rPr>
                <w:rFonts w:ascii="Arial" w:cs="Arial" w:eastAsia="Arial" w:hAnsi="Arial"/>
                <w:sz w:val="18"/>
                <w:szCs w:val="18"/>
                <w:color w:val="auto"/>
              </w:rPr>
              <w:t>Loss from short-term interest-bearing investments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538</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8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18,522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22,721</w:t>
            </w:r>
          </w:p>
        </w:tc>
      </w:tr>
      <w:tr>
        <w:trPr>
          <w:trHeight w:val="216"/>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4,655</w:t>
            </w:r>
          </w:p>
        </w:tc>
      </w:tr>
      <w:tr>
        <w:trPr>
          <w:trHeight w:val="216"/>
        </w:trPr>
        <w:tc>
          <w:tcPr>
            <w:tcW w:w="718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(14,110)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3,370</w:t>
            </w:r>
          </w:p>
        </w:tc>
      </w:tr>
      <w:tr>
        <w:trPr>
          <w:trHeight w:val="216"/>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assets and liabilities, net</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ind w:left="360"/>
              <w:spacing w:after="0"/>
              <w:rPr>
                <w:sz w:val="20"/>
                <w:szCs w:val="20"/>
                <w:color w:val="auto"/>
              </w:rPr>
            </w:pPr>
            <w:r>
              <w:rPr>
                <w:rFonts w:ascii="Arial" w:cs="Arial" w:eastAsia="Arial" w:hAnsi="Arial"/>
                <w:sz w:val="18"/>
                <w:szCs w:val="18"/>
                <w:color w:val="auto"/>
              </w:rPr>
              <w:t>Accounts payable, accrued expenses and accrued personnel</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(98,670)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(79,232)</w:t>
            </w:r>
          </w:p>
        </w:tc>
      </w:tr>
      <w:tr>
        <w:trPr>
          <w:trHeight w:val="216"/>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(36,192)</w:t>
            </w:r>
          </w:p>
        </w:tc>
      </w:tr>
      <w:tr>
        <w:trPr>
          <w:trHeight w:val="216"/>
        </w:trPr>
        <w:tc>
          <w:tcPr>
            <w:tcW w:w="7180" w:type="dxa"/>
            <w:vAlign w:val="bottom"/>
          </w:tcPr>
          <w:p>
            <w:pPr>
              <w:ind w:left="360"/>
              <w:spacing w:after="0"/>
              <w:rPr>
                <w:sz w:val="20"/>
                <w:szCs w:val="20"/>
                <w:color w:val="auto"/>
              </w:rPr>
            </w:pPr>
            <w:r>
              <w:rPr>
                <w:rFonts w:ascii="Arial" w:cs="Arial" w:eastAsia="Arial" w:hAnsi="Arial"/>
                <w:sz w:val="18"/>
                <w:szCs w:val="18"/>
                <w:color w:val="auto"/>
              </w:rPr>
              <w:t>Income taxes payable, net</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(13,752)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(4,605)</w:t>
            </w:r>
          </w:p>
        </w:tc>
      </w:tr>
      <w:tr>
        <w:trPr>
          <w:trHeight w:val="216"/>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(2,291)</w:t>
            </w: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9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453,456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442,752</w:t>
            </w:r>
          </w:p>
        </w:tc>
        <w:tc>
          <w:tcPr>
            <w:tcW w:w="120" w:type="dxa"/>
            <w:vAlign w:val="bottom"/>
          </w:tcPr>
          <w:p>
            <w:pPr>
              <w:spacing w:after="0"/>
              <w:rPr>
                <w:sz w:val="20"/>
                <w:szCs w:val="20"/>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Purchase of property and equipment, net (1)</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(145,955)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(93,761)</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51,473</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Net cash paid for business and intangible assets acquisitions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(29,258)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(8,782)</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1,116</w:t>
            </w: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9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(180,503)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(49,954)</w:t>
            </w:r>
          </w:p>
        </w:tc>
        <w:tc>
          <w:tcPr>
            <w:tcW w:w="120" w:type="dxa"/>
            <w:vAlign w:val="bottom"/>
          </w:tcPr>
          <w:p>
            <w:pPr>
              <w:spacing w:after="0"/>
              <w:rPr>
                <w:sz w:val="20"/>
                <w:szCs w:val="20"/>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Borrowings under financing arrangements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450,000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Payments of financing arrangements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Proceeds from issuance of debt, net</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645,685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(270,062)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(308,036)</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Proceeds from employee stock option exercises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95,979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25,706</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(120,493)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(108,886)</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Investment by noncontrolling interests, net (1)</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(4,776)</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Payment of contingent consideration from a business acquisition</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(7,470)</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(331)</w:t>
            </w:r>
          </w:p>
        </w:tc>
      </w:tr>
      <w:tr>
        <w:trPr>
          <w:trHeight w:val="27"/>
        </w:trPr>
        <w:tc>
          <w:tcPr>
            <w:tcW w:w="7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449,458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(403,793)</w:t>
            </w: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722,411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(10,995)</w:t>
            </w:r>
          </w:p>
        </w:tc>
        <w:tc>
          <w:tcPr>
            <w:tcW w:w="120" w:type="dxa"/>
            <w:vAlign w:val="bottom"/>
          </w:tcPr>
          <w:p>
            <w:pPr>
              <w:spacing w:after="0"/>
              <w:rPr>
                <w:sz w:val="19"/>
                <w:szCs w:val="19"/>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471,632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418,783</w:t>
            </w: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9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1,194,043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407,788</w:t>
            </w:r>
          </w:p>
        </w:tc>
        <w:tc>
          <w:tcPr>
            <w:tcW w:w="120" w:type="dxa"/>
            <w:vAlign w:val="bottom"/>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Cash paid for:</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net of refunds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33,829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61,709</w:t>
            </w:r>
          </w:p>
        </w:tc>
      </w:tr>
      <w:tr>
        <w:trPr>
          <w:trHeight w:val="230"/>
        </w:trPr>
        <w:tc>
          <w:tcPr>
            <w:tcW w:w="7180" w:type="dxa"/>
            <w:vAlign w:val="bottom"/>
          </w:tcPr>
          <w:p>
            <w:pPr>
              <w:ind w:left="360"/>
              <w:spacing w:after="0"/>
              <w:rPr>
                <w:sz w:val="20"/>
                <w:szCs w:val="20"/>
                <w:color w:val="auto"/>
              </w:rPr>
            </w:pPr>
            <w:r>
              <w:rPr>
                <w:rFonts w:ascii="Arial" w:cs="Arial" w:eastAsia="Arial" w:hAnsi="Arial"/>
                <w:sz w:val="18"/>
                <w:szCs w:val="18"/>
                <w:color w:val="auto"/>
              </w:rPr>
              <w:t>Interest (2)</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4,295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6,905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jc w:val="both"/>
        <w:ind w:left="424" w:right="360" w:hanging="424"/>
        <w:spacing w:after="0" w:line="255"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amounts under “Purchase of property and equipment, net”, include proceeds from sale of property and equipment of $133 and $74 for the nine months ended June 30, 2020 and 2019, respectively, and proceeds of $9,676 relating to the refund of betterment levy for the nine months ended June 30, 2019 ($4,776 of which was a refund to the noncontrolling interests).</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amounts under “Interest” include payments of interest to financial institution, tax authorities and other.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0" w:right="4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21"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7"/>
          <w:szCs w:val="17"/>
          <w:color w:val="auto"/>
        </w:rPr>
        <w:t>Amdocs Limited (the “Company”) is a leading provider of software and services to communications, cable and satellite, entertainment and media industry service providers of all sizes throughout the world. The Company and its consolidated subsidiaries operate in one segment and design, develop, market, support, implement and operate its open and modular amdocsONE cloud-native portfolio.</w:t>
      </w:r>
    </w:p>
    <w:p>
      <w:pPr>
        <w:spacing w:after="0" w:line="16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Company is a Guernsey corporation, which directly or indirectly holds numerous subsidiaries around the world, the vast majority of which are wholly-owned. The majority of the Company’s customers are in North America, Europe, Asia-Pacific and the Latin America region. The Company’s main development facilities are located in Brazil, Canada, Cyprus, India, Ireland, Israel, Mexico, the Philippines, the United Kingdom and the United States.</w:t>
      </w:r>
    </w:p>
    <w:p>
      <w:pPr>
        <w:spacing w:after="0" w:line="79"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and are denominated in U.S. dollars.</w:t>
      </w:r>
    </w:p>
    <w:p>
      <w:pPr>
        <w:spacing w:after="0" w:line="170"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In the opinion of the Company’s management, all adjustments considered necessary for a fair presentation of the unaudited interim consolidated financial statements have been included herein and are of a normal recurring nature. 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8"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2019, set forth in the Company’s Annual Report on Form 20-F filed on December 16, 2019 with the U.S. Securities and Exchange Commission, or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From time to time, certain immaterial amounts in prior year financial statements may be reclassified to conform to the current year presentation.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Standards</w:t>
      </w:r>
    </w:p>
    <w:p>
      <w:pPr>
        <w:spacing w:after="0" w:line="12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In March 2020, the Financial Accounting Standards Board, or FASB, issued Accounting Standard Update, or ASU No. 2020-04: “</w:t>
      </w:r>
      <w:r>
        <w:rPr>
          <w:rFonts w:ascii="Arial" w:cs="Arial" w:eastAsia="Arial" w:hAnsi="Arial"/>
          <w:sz w:val="17"/>
          <w:szCs w:val="17"/>
          <w:i w:val="1"/>
          <w:iCs w:val="1"/>
          <w:color w:val="auto"/>
        </w:rPr>
        <w:t>Reference Rate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Reform: Facilitation of the Effects of Reference Rate Reform on Financial Reporting”. </w:t>
      </w:r>
      <w:r>
        <w:rPr>
          <w:rFonts w:ascii="Arial" w:cs="Arial" w:eastAsia="Arial" w:hAnsi="Arial"/>
          <w:sz w:val="17"/>
          <w:szCs w:val="17"/>
          <w:color w:val="auto"/>
        </w:rPr>
        <w:t>The ASU provides temporary optional expedients and exceptions</w:t>
      </w:r>
      <w:r>
        <w:rPr>
          <w:rFonts w:ascii="Arial" w:cs="Arial" w:eastAsia="Arial" w:hAnsi="Arial"/>
          <w:sz w:val="17"/>
          <w:szCs w:val="17"/>
          <w:i w:val="1"/>
          <w:iCs w:val="1"/>
          <w:color w:val="auto"/>
        </w:rPr>
        <w:t xml:space="preserve"> </w:t>
      </w:r>
      <w:r>
        <w:rPr>
          <w:rFonts w:ascii="Arial" w:cs="Arial" w:eastAsia="Arial" w:hAnsi="Arial"/>
          <w:sz w:val="17"/>
          <w:szCs w:val="17"/>
          <w:color w:val="auto"/>
        </w:rPr>
        <w:t>on certain contract modifications, hedge relationships and other transactions that reference London Inter-bank Offered Rate (“LIBOR”) or other reference rates expected to be discontinued due to the reference rate reform. This ASU is effective as of March 12, 2020 through December 31, 2022. The Company is currently evaluating the impact of adoption of this ASU on its consolidated financial statements.</w:t>
      </w:r>
    </w:p>
    <w:p>
      <w:pPr>
        <w:spacing w:after="0" w:line="176" w:lineRule="exact"/>
        <w:rPr>
          <w:sz w:val="20"/>
          <w:szCs w:val="20"/>
          <w:color w:val="auto"/>
        </w:rPr>
      </w:pPr>
    </w:p>
    <w:p>
      <w:pPr>
        <w:ind w:right="220" w:firstLine="440"/>
        <w:spacing w:after="0" w:line="275" w:lineRule="auto"/>
        <w:rPr>
          <w:sz w:val="20"/>
          <w:szCs w:val="20"/>
          <w:color w:val="auto"/>
        </w:rPr>
      </w:pPr>
      <w:r>
        <w:rPr>
          <w:rFonts w:ascii="Arial" w:cs="Arial" w:eastAsia="Arial" w:hAnsi="Arial"/>
          <w:sz w:val="17"/>
          <w:szCs w:val="17"/>
          <w:color w:val="auto"/>
        </w:rPr>
        <w:t>In December 2019, the FASB issued Accounting Standard Update, or ASU No.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The ASU simplifies the accounting for income taxes by eliminating certain exceptions to the guidance in ASC 740 related to the approach for intra period tax allocation, the methodology for calculating income taxes in an interim period and the recognition of deferred tax liabilities for outside basis differences. This ASU will be effective for the Company on October 1, 2021, and early adoption is permitted. The Company currently expects that adoption of this ASU will not have a material impact on its consolidated financial statements.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43"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In November 2018, the FASB, issued ASU No. 2018-18</w:t>
      </w:r>
      <w:r>
        <w:rPr>
          <w:rFonts w:ascii="Arial" w:cs="Arial" w:eastAsia="Arial" w:hAnsi="Arial"/>
          <w:sz w:val="17"/>
          <w:szCs w:val="17"/>
          <w:i w:val="1"/>
          <w:iCs w:val="1"/>
          <w:color w:val="auto"/>
        </w:rPr>
        <w:t>, “Collaborative Arrangements</w:t>
      </w:r>
      <w:r>
        <w:rPr>
          <w:rFonts w:ascii="Arial" w:cs="Arial" w:eastAsia="Arial" w:hAnsi="Arial"/>
          <w:sz w:val="17"/>
          <w:szCs w:val="17"/>
          <w:color w:val="auto"/>
        </w:rPr>
        <w:t>”. The ASU clarifies the interaction between collaborative arrangements and the new revenue standards. This ASU will be effective for the Company on October 1, 2020, and early adoption is permitted. The Company currently expects that adoption of this ASU will not have a material impact on its consolidated financial statements.</w:t>
      </w:r>
    </w:p>
    <w:p>
      <w:pPr>
        <w:spacing w:after="0" w:line="16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In August 2018, the FASB issued ASU No. 2018-15</w:t>
      </w:r>
      <w:r>
        <w:rPr>
          <w:rFonts w:ascii="Arial" w:cs="Arial" w:eastAsia="Arial" w:hAnsi="Arial"/>
          <w:sz w:val="18"/>
          <w:szCs w:val="18"/>
          <w:i w:val="1"/>
          <w:iCs w:val="1"/>
          <w:color w:val="auto"/>
        </w:rPr>
        <w:t>, “Customer’s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 That Is a Service Contract”. </w:t>
      </w:r>
      <w:r>
        <w:rPr>
          <w:rFonts w:ascii="Arial" w:cs="Arial" w:eastAsia="Arial" w:hAnsi="Arial"/>
          <w:sz w:val="18"/>
          <w:szCs w:val="18"/>
          <w:color w:val="auto"/>
        </w:rPr>
        <w:t>The ASU amends the definition of hosting arrangement and requires a customer in a hosting arrangement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a service contract to capitalize certain implementation costs as if the arrangement was an internal-use software project. This ASU will be effective for the Company on October 1, 2020, and early adoption is permitted. The Company currently expects that adoption of this ASU will not have a material impact on its consolidated financial statements.</w:t>
      </w:r>
    </w:p>
    <w:p>
      <w:pPr>
        <w:spacing w:after="0" w:line="188"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In August 2018, the FASB issued ASU No. 2018-13</w:t>
      </w:r>
      <w:r>
        <w:rPr>
          <w:rFonts w:ascii="Arial" w:cs="Arial" w:eastAsia="Arial" w:hAnsi="Arial"/>
          <w:sz w:val="18"/>
          <w:szCs w:val="18"/>
          <w:i w:val="1"/>
          <w:iCs w:val="1"/>
          <w:color w:val="auto"/>
        </w:rPr>
        <w:t>, “Fair Value Measurement”.</w:t>
      </w:r>
      <w:r>
        <w:rPr>
          <w:rFonts w:ascii="Arial" w:cs="Arial" w:eastAsia="Arial" w:hAnsi="Arial"/>
          <w:sz w:val="18"/>
          <w:szCs w:val="18"/>
          <w:color w:val="auto"/>
        </w:rPr>
        <w:t xml:space="preserve"> The ASU eliminates, adds and modifies certain disclosure requirements for fair value measurements. This ASU will be effective for the Company on October 1, 2020, and early adoption is permitted with specific limitations. The Company currently expects that adoption of this ASU may result in changes to its financial statements disclosure but will not have a material impact on its consolidated financial statements.</w:t>
      </w:r>
    </w:p>
    <w:p>
      <w:pPr>
        <w:spacing w:after="0" w:line="187"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In August 2018, the FASB issued ASU No. 2018-14, “</w:t>
      </w:r>
      <w:r>
        <w:rPr>
          <w:rFonts w:ascii="Arial" w:cs="Arial" w:eastAsia="Arial" w:hAnsi="Arial"/>
          <w:sz w:val="18"/>
          <w:szCs w:val="18"/>
          <w:i w:val="1"/>
          <w:iCs w:val="1"/>
          <w:color w:val="auto"/>
        </w:rPr>
        <w:t>Changes to the Disclosure Requirements for Defined Benefit Plans”</w:t>
      </w:r>
      <w:r>
        <w:rPr>
          <w:rFonts w:ascii="Arial" w:cs="Arial" w:eastAsia="Arial" w:hAnsi="Arial"/>
          <w:sz w:val="18"/>
          <w:szCs w:val="18"/>
          <w:color w:val="auto"/>
        </w:rPr>
        <w:t>. The ASU makes minor changes to the disclosure requirement for employers that sponsor defined pension and/or other post-retirement benefit plans. This ASU will be effective for the Company on October 1, 2020, and early adoption is permitted. The Company expects that the adoption of this ASU will not have a material impact on its consolidated financial statements.</w:t>
      </w:r>
    </w:p>
    <w:p>
      <w:pPr>
        <w:spacing w:after="0" w:line="187"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In August 2017, the FASB issued ASU No. 2017-12, “</w:t>
      </w:r>
      <w:r>
        <w:rPr>
          <w:rFonts w:ascii="Arial" w:cs="Arial" w:eastAsia="Arial" w:hAnsi="Arial"/>
          <w:sz w:val="17"/>
          <w:szCs w:val="17"/>
          <w:i w:val="1"/>
          <w:iCs w:val="1"/>
          <w:color w:val="auto"/>
        </w:rPr>
        <w:t>Targeted Improvements to Accounting for Hedging Activities”</w:t>
      </w:r>
      <w:r>
        <w:rPr>
          <w:rFonts w:ascii="Arial" w:cs="Arial" w:eastAsia="Arial" w:hAnsi="Arial"/>
          <w:sz w:val="17"/>
          <w:szCs w:val="17"/>
          <w:color w:val="auto"/>
        </w:rPr>
        <w:t>. The ASU amends existing guidance to simplify the application of hedge accounting in certain situations and allows companies to better align their hedge accounting with their risk management activities. This ASU will be effective for the Company on October 1, 2020, and earlier adoption by one year is permitted. The Company currently expects that adoption of this ASU will not have a material impact on its consolidated financial statements.</w:t>
      </w:r>
    </w:p>
    <w:p>
      <w:pPr>
        <w:spacing w:after="0" w:line="171"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In June 2016, the FASB issued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The ASU which introduces an impairment model that is based on expected losses rather than incurred losses and will apply to financial assets subject to credit losses and measured at amortized cost, and certain off-balance sheet credit exposures. This ASU will be effective for the Company on October 1, 2020, and earlier adoption by one year is permitted. The Company currently expects that the adoption of this ASU will not have a material impact on its consolidated financial statements.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0" w:right="4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Adoption of New Accounting Standards</w:t>
      </w:r>
    </w:p>
    <w:p>
      <w:pPr>
        <w:spacing w:after="0" w:line="121"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In February 2016, the FASB issued ASU No. 2016-02, “Leases”. The ASU increases transparency and comparability by providing additional information to users of financial statements regarding an entity’s leasing activities. The ASU requires reporting entities to recognize lease assets and lease liabilities on the balance sheet for most leases, including operating leases, with a term greater than twelve months. As of October 1, 2019, the Company adopted this ASU using the modified retrospective transition approach. Prior period amounts were not adjusted. The Company elected the package of practical expedients which does not require reassessment of prior conclusions related to identifying leases, lease classification or initial direct costs. The Company also elected the practical expedient not to separate non-lease components from lease components and instead to account for each separate lease component and the non-lease components associated with that lease component as a single lease component for its real estate and vehicle leases. The adoption of this ASU did not have a material impact on its consolidated statement of income and on its consolidated statement of cash flow.</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impact of adopting this ASU on its Consolidated Balance Sheets was as follows:</w:t>
      </w:r>
    </w:p>
    <w:p>
      <w:pPr>
        <w:spacing w:after="0" w:line="23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100" w:type="dxa"/>
            <w:vAlign w:val="bottom"/>
            <w:gridSpan w:val="4"/>
          </w:tcPr>
          <w:p>
            <w:pPr>
              <w:ind w:left="160"/>
              <w:spacing w:after="0"/>
              <w:rPr>
                <w:sz w:val="20"/>
                <w:szCs w:val="20"/>
                <w:color w:val="auto"/>
              </w:rPr>
            </w:pPr>
            <w:r>
              <w:rPr>
                <w:rFonts w:ascii="Arial" w:cs="Arial" w:eastAsia="Arial" w:hAnsi="Arial"/>
                <w:sz w:val="14"/>
                <w:szCs w:val="14"/>
                <w:b w:val="1"/>
                <w:bCs w:val="1"/>
                <w:color w:val="auto"/>
              </w:rPr>
              <w:t>Balance as of September 30,</w:t>
            </w:r>
          </w:p>
        </w:tc>
        <w:tc>
          <w:tcPr>
            <w:tcW w:w="1580" w:type="dxa"/>
            <w:vAlign w:val="bottom"/>
            <w:gridSpan w:val="4"/>
          </w:tcPr>
          <w:p>
            <w:pPr>
              <w:ind w:left="160"/>
              <w:spacing w:after="0"/>
              <w:rPr>
                <w:sz w:val="20"/>
                <w:szCs w:val="20"/>
                <w:color w:val="auto"/>
              </w:rPr>
            </w:pPr>
            <w:r>
              <w:rPr>
                <w:rFonts w:ascii="Arial" w:cs="Arial" w:eastAsia="Arial" w:hAnsi="Arial"/>
                <w:sz w:val="14"/>
                <w:szCs w:val="14"/>
                <w:b w:val="1"/>
                <w:bCs w:val="1"/>
                <w:color w:val="auto"/>
              </w:rPr>
              <w:t>Adjustments due to</w:t>
            </w:r>
          </w:p>
        </w:tc>
        <w:tc>
          <w:tcPr>
            <w:tcW w:w="1780" w:type="dxa"/>
            <w:vAlign w:val="bottom"/>
            <w:gridSpan w:val="4"/>
          </w:tcPr>
          <w:p>
            <w:pPr>
              <w:ind w:left="160"/>
              <w:spacing w:after="0"/>
              <w:rPr>
                <w:sz w:val="20"/>
                <w:szCs w:val="20"/>
                <w:color w:val="auto"/>
              </w:rPr>
            </w:pPr>
            <w:r>
              <w:rPr>
                <w:rFonts w:ascii="Arial" w:cs="Arial" w:eastAsia="Arial" w:hAnsi="Arial"/>
                <w:sz w:val="14"/>
                <w:szCs w:val="14"/>
                <w:b w:val="1"/>
                <w:bCs w:val="1"/>
                <w:color w:val="auto"/>
                <w:w w:val="97"/>
              </w:rPr>
              <w:t>Balance as of October 1,</w:t>
            </w:r>
          </w:p>
        </w:tc>
      </w:tr>
      <w:tr>
        <w:trPr>
          <w:trHeight w:val="171"/>
        </w:trPr>
        <w:tc>
          <w:tcPr>
            <w:tcW w:w="11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ind w:right="65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ASC 842</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76"/>
        </w:trPr>
        <w:tc>
          <w:tcPr>
            <w:tcW w:w="11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6"/>
              </w:rPr>
              <w:t>Balance Sheet:</w:t>
            </w:r>
          </w:p>
        </w:tc>
        <w:tc>
          <w:tcPr>
            <w:tcW w:w="26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134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3800" w:type="dxa"/>
            <w:vAlign w:val="bottom"/>
            <w:gridSpan w:val="2"/>
          </w:tcPr>
          <w:p>
            <w:pPr>
              <w:ind w:left="360"/>
              <w:spacing w:after="0"/>
              <w:rPr>
                <w:sz w:val="20"/>
                <w:szCs w:val="20"/>
                <w:color w:val="auto"/>
              </w:rPr>
            </w:pPr>
            <w:r>
              <w:rPr>
                <w:rFonts w:ascii="Arial" w:cs="Arial" w:eastAsia="Arial" w:hAnsi="Arial"/>
                <w:sz w:val="18"/>
                <w:szCs w:val="18"/>
                <w:color w:val="auto"/>
                <w:w w:val="99"/>
              </w:rPr>
              <w:t>Prepaid expenses and other current assets</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216,084</w:t>
            </w:r>
          </w:p>
        </w:tc>
        <w:tc>
          <w:tcPr>
            <w:tcW w:w="200" w:type="dxa"/>
            <w:vAlign w:val="bottom"/>
          </w:tcPr>
          <w:p>
            <w:pPr>
              <w:spacing w:after="0"/>
              <w:rPr>
                <w:sz w:val="18"/>
                <w:szCs w:val="18"/>
                <w:color w:val="auto"/>
              </w:rPr>
            </w:pP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(6,697)</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209,387</w:t>
            </w:r>
          </w:p>
        </w:tc>
        <w:tc>
          <w:tcPr>
            <w:tcW w:w="120" w:type="dxa"/>
            <w:vAlign w:val="bottom"/>
          </w:tcPr>
          <w:p>
            <w:pPr>
              <w:spacing w:after="0"/>
              <w:rPr>
                <w:sz w:val="18"/>
                <w:szCs w:val="18"/>
                <w:color w:val="auto"/>
              </w:rPr>
            </w:pPr>
          </w:p>
        </w:tc>
      </w:tr>
      <w:tr>
        <w:trPr>
          <w:trHeight w:val="216"/>
        </w:trPr>
        <w:tc>
          <w:tcPr>
            <w:tcW w:w="3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Lease assets</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281,785</w:t>
            </w:r>
          </w:p>
        </w:tc>
        <w:tc>
          <w:tcPr>
            <w:tcW w:w="120" w:type="dxa"/>
            <w:vAlign w:val="bottom"/>
            <w:shd w:val="clear" w:color="auto" w:fill="CCEEFF"/>
          </w:tcPr>
          <w:p>
            <w:pPr>
              <w:spacing w:after="0"/>
              <w:rPr>
                <w:sz w:val="18"/>
                <w:szCs w:val="18"/>
                <w:color w:val="auto"/>
              </w:rPr>
            </w:pPr>
          </w:p>
        </w:tc>
      </w:tr>
      <w:tr>
        <w:trPr>
          <w:trHeight w:val="216"/>
        </w:trPr>
        <w:tc>
          <w:tcPr>
            <w:tcW w:w="3800" w:type="dxa"/>
            <w:vAlign w:val="bottom"/>
            <w:gridSpan w:val="2"/>
          </w:tcPr>
          <w:p>
            <w:pPr>
              <w:ind w:left="36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423,941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(2,755)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421,186</w:t>
            </w:r>
          </w:p>
        </w:tc>
        <w:tc>
          <w:tcPr>
            <w:tcW w:w="120" w:type="dxa"/>
            <w:vAlign w:val="bottom"/>
          </w:tcPr>
          <w:p>
            <w:pPr>
              <w:spacing w:after="0"/>
              <w:rPr>
                <w:sz w:val="18"/>
                <w:szCs w:val="18"/>
                <w:color w:val="auto"/>
              </w:rPr>
            </w:pPr>
          </w:p>
        </w:tc>
      </w:tr>
      <w:tr>
        <w:trPr>
          <w:trHeight w:val="216"/>
        </w:trPr>
        <w:tc>
          <w:tcPr>
            <w:tcW w:w="3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4"/>
              </w:rPr>
              <w:t>Accrued expenses and other current liabilities</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(647,657)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(644,104)</w:t>
            </w:r>
          </w:p>
        </w:tc>
      </w:tr>
      <w:tr>
        <w:trPr>
          <w:trHeight w:val="216"/>
        </w:trPr>
        <w:tc>
          <w:tcPr>
            <w:tcW w:w="3800" w:type="dxa"/>
            <w:vAlign w:val="bottom"/>
            <w:gridSpan w:val="2"/>
          </w:tcPr>
          <w:p>
            <w:pPr>
              <w:ind w:left="360"/>
              <w:spacing w:after="0"/>
              <w:rPr>
                <w:sz w:val="20"/>
                <w:szCs w:val="20"/>
                <w:color w:val="auto"/>
              </w:rPr>
            </w:pPr>
            <w:r>
              <w:rPr>
                <w:rFonts w:ascii="Arial" w:cs="Arial" w:eastAsia="Arial" w:hAnsi="Arial"/>
                <w:sz w:val="18"/>
                <w:szCs w:val="18"/>
                <w:color w:val="auto"/>
              </w:rPr>
              <w:t>Lease liabilities (current)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(63,351)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(63,351)</w:t>
            </w:r>
          </w:p>
        </w:tc>
      </w:tr>
      <w:tr>
        <w:trPr>
          <w:trHeight w:val="216"/>
        </w:trPr>
        <w:tc>
          <w:tcPr>
            <w:tcW w:w="3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Lease liabilities (non-current)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(221,050)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(221,050)</w:t>
            </w:r>
          </w:p>
        </w:tc>
      </w:tr>
      <w:tr>
        <w:trPr>
          <w:trHeight w:val="230"/>
        </w:trPr>
        <w:tc>
          <w:tcPr>
            <w:tcW w:w="3800" w:type="dxa"/>
            <w:vAlign w:val="bottom"/>
            <w:gridSpan w:val="2"/>
          </w:tcPr>
          <w:p>
            <w:pPr>
              <w:ind w:left="36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(334,922)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(326,407)</w:t>
            </w:r>
          </w:p>
        </w:tc>
      </w:tr>
    </w:tbl>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15 to the consolidated financial statements for further details.</w:t>
      </w:r>
    </w:p>
    <w:p>
      <w:pPr>
        <w:spacing w:after="0" w:line="225" w:lineRule="exact"/>
        <w:rPr>
          <w:sz w:val="20"/>
          <w:szCs w:val="20"/>
          <w:color w:val="auto"/>
        </w:rPr>
      </w:pPr>
    </w:p>
    <w:p>
      <w:pPr>
        <w:ind w:right="440" w:firstLine="440"/>
        <w:spacing w:after="0" w:line="259" w:lineRule="auto"/>
        <w:rPr>
          <w:sz w:val="20"/>
          <w:szCs w:val="20"/>
          <w:color w:val="auto"/>
        </w:rPr>
      </w:pPr>
      <w:r>
        <w:rPr>
          <w:rFonts w:ascii="Arial" w:cs="Arial" w:eastAsia="Arial" w:hAnsi="Arial"/>
          <w:sz w:val="18"/>
          <w:szCs w:val="18"/>
          <w:color w:val="auto"/>
        </w:rPr>
        <w:t>In June 2018, the FASB issued ASU No.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The ASU aligns the measurement and classification for share-based payments to nonemployees with the guidance for share-based payments to employees, with certain exceptions. The Company prospectively adopted this ASU effective October 1, 2019. As of the date of the adoption there was no impact on the Company’s consolidated financial statements.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11" w:name="page12"/>
    <w:bookmarkEnd w:id="11"/>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39" w:lineRule="exact"/>
        <w:rPr>
          <w:sz w:val="20"/>
          <w:szCs w:val="20"/>
          <w:color w:val="auto"/>
        </w:rPr>
      </w:pPr>
    </w:p>
    <w:p>
      <w:pPr>
        <w:ind w:left="224" w:right="9160" w:hanging="224"/>
        <w:spacing w:after="0" w:line="453" w:lineRule="auto"/>
        <w:tabs>
          <w:tab w:leader="none" w:pos="184"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Revenue Recognition Contract Balances</w:t>
      </w:r>
    </w:p>
    <w:p>
      <w:pPr>
        <w:ind w:left="444"/>
        <w:spacing w:after="0"/>
        <w:rPr>
          <w:rFonts w:ascii="Arial" w:cs="Arial" w:eastAsia="Arial" w:hAnsi="Arial"/>
          <w:sz w:val="15"/>
          <w:szCs w:val="15"/>
          <w:b w:val="1"/>
          <w:bCs w:val="1"/>
          <w:color w:val="auto"/>
        </w:rPr>
      </w:pPr>
      <w:r>
        <w:rPr>
          <w:rFonts w:ascii="Arial" w:cs="Arial" w:eastAsia="Arial" w:hAnsi="Arial"/>
          <w:sz w:val="18"/>
          <w:szCs w:val="18"/>
          <w:color w:val="auto"/>
        </w:rPr>
        <w:t>The following table provides information about Accounts receivable, both billed and unbilled and deferred revenue:</w:t>
      </w:r>
    </w:p>
    <w:p>
      <w:pPr>
        <w:spacing w:after="0" w:line="244"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9"/>
              </w:rPr>
              <w:t>June 30,</w:t>
            </w:r>
          </w:p>
        </w:tc>
        <w:tc>
          <w:tcPr>
            <w:tcW w:w="34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6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182"/>
        </w:trPr>
        <w:tc>
          <w:tcPr>
            <w:tcW w:w="62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7"/>
              </w:rPr>
              <w:t>Accounts receivable - billed (net of allowances for doubtful accounts of $28,931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$36,121 as of June 30, 2020 and September 30, 2019,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769,696</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760,797</w:t>
            </w:r>
          </w:p>
        </w:tc>
      </w:tr>
      <w:tr>
        <w:trPr>
          <w:trHeight w:val="324"/>
        </w:trPr>
        <w:tc>
          <w:tcPr>
            <w:tcW w:w="6200" w:type="dxa"/>
            <w:vAlign w:val="bottom"/>
          </w:tcPr>
          <w:p>
            <w:pPr>
              <w:spacing w:after="0"/>
              <w:rPr>
                <w:sz w:val="20"/>
                <w:szCs w:val="20"/>
                <w:color w:val="auto"/>
              </w:rPr>
            </w:pPr>
            <w:r>
              <w:rPr>
                <w:rFonts w:ascii="Arial" w:cs="Arial" w:eastAsia="Arial" w:hAnsi="Arial"/>
                <w:sz w:val="18"/>
                <w:szCs w:val="18"/>
                <w:color w:val="auto"/>
              </w:rPr>
              <w:t>Accounts receivable – unbilled (current)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182,847</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227,061</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unbilled (non-current)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36,718</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16,987</w:t>
            </w:r>
          </w:p>
        </w:tc>
      </w:tr>
      <w:tr>
        <w:trPr>
          <w:trHeight w:val="224"/>
        </w:trPr>
        <w:tc>
          <w:tcPr>
            <w:tcW w:w="6200" w:type="dxa"/>
            <w:vAlign w:val="bottom"/>
          </w:tcPr>
          <w:p>
            <w:pPr>
              <w:spacing w:after="0"/>
              <w:rPr>
                <w:sz w:val="20"/>
                <w:szCs w:val="20"/>
                <w:color w:val="auto"/>
              </w:rPr>
            </w:pPr>
            <w:r>
              <w:rPr>
                <w:rFonts w:ascii="Arial" w:cs="Arial" w:eastAsia="Arial" w:hAnsi="Arial"/>
                <w:sz w:val="18"/>
                <w:szCs w:val="18"/>
                <w:color w:val="auto"/>
              </w:rPr>
              <w:t>Total Accounts receivable - unbilled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219,565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244,048</w:t>
            </w:r>
          </w:p>
        </w:tc>
        <w:tc>
          <w:tcPr>
            <w:tcW w:w="100" w:type="dxa"/>
            <w:vAlign w:val="bottom"/>
          </w:tcPr>
          <w:p>
            <w:pPr>
              <w:spacing w:after="0"/>
              <w:rPr>
                <w:sz w:val="19"/>
                <w:szCs w:val="19"/>
                <w:color w:val="auto"/>
              </w:rPr>
            </w:pPr>
          </w:p>
        </w:tc>
      </w:tr>
      <w:tr>
        <w:trPr>
          <w:trHeight w:val="107"/>
        </w:trPr>
        <w:tc>
          <w:tcPr>
            <w:tcW w:w="6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(124,004)</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(118,182)</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(18,967)</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(23,785)</w:t>
            </w:r>
          </w:p>
        </w:tc>
      </w:tr>
      <w:tr>
        <w:trPr>
          <w:trHeight w:val="27"/>
        </w:trPr>
        <w:tc>
          <w:tcPr>
            <w:tcW w:w="6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(142,971)</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(141,967)</w:t>
            </w:r>
          </w:p>
        </w:tc>
      </w:tr>
    </w:tbl>
    <w:p>
      <w:pPr>
        <w:spacing w:after="0" w:line="202"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Revenue recognized during the three and nine months ended June 30, 2020, which was included in deferred revenue (current) as of September 30, 2019 was $14,747 and $92,856 respectively.</w:t>
      </w:r>
    </w:p>
    <w:p>
      <w:pPr>
        <w:spacing w:after="0" w:line="274" w:lineRule="exact"/>
        <w:rPr>
          <w:sz w:val="20"/>
          <w:szCs w:val="20"/>
          <w:color w:val="auto"/>
        </w:rPr>
      </w:pPr>
    </w:p>
    <w:p>
      <w:pPr>
        <w:ind w:left="224"/>
        <w:spacing w:after="0"/>
        <w:rPr>
          <w:sz w:val="20"/>
          <w:szCs w:val="20"/>
          <w:color w:val="auto"/>
        </w:rPr>
      </w:pPr>
      <w:r>
        <w:rPr>
          <w:rFonts w:ascii="Arial" w:cs="Arial" w:eastAsia="Arial" w:hAnsi="Arial"/>
          <w:sz w:val="18"/>
          <w:szCs w:val="18"/>
          <w:b w:val="1"/>
          <w:bCs w:val="1"/>
          <w:color w:val="auto"/>
        </w:rPr>
        <w:t>Remaining Performance Obligations from Contracts with Customer</w:t>
      </w:r>
    </w:p>
    <w:p>
      <w:pPr>
        <w:spacing w:after="0" w:line="121" w:lineRule="exact"/>
        <w:rPr>
          <w:sz w:val="20"/>
          <w:szCs w:val="20"/>
          <w:color w:val="auto"/>
        </w:rPr>
      </w:pPr>
    </w:p>
    <w:p>
      <w:pPr>
        <w:ind w:left="4" w:right="40" w:firstLine="440"/>
        <w:spacing w:after="0" w:line="279" w:lineRule="auto"/>
        <w:rPr>
          <w:sz w:val="20"/>
          <w:szCs w:val="20"/>
          <w:color w:val="auto"/>
        </w:rPr>
      </w:pPr>
      <w:r>
        <w:rPr>
          <w:rFonts w:ascii="Arial" w:cs="Arial" w:eastAsia="Arial" w:hAnsi="Arial"/>
          <w:sz w:val="17"/>
          <w:szCs w:val="17"/>
          <w:color w:val="auto"/>
        </w:rPr>
        <w:t>As of June 30, 2020, the aggregate amount of the transaction price allocated to remaining performance obligations that are unsatisfied or partially unsatisfied was approximately $5.1 billion. Remaining performance obligations include the remaining non-cancelable, committed and fixed portion of these contracts for their entire duration and therefore it is not comparable to what the Company considers to be next 12 months backlog. Given the profile of contract terms, the majority of this amount is expected to be recognized as revenue over the next three years.</w:t>
      </w:r>
    </w:p>
    <w:p>
      <w:pPr>
        <w:spacing w:after="0" w:line="275" w:lineRule="exact"/>
        <w:rPr>
          <w:sz w:val="20"/>
          <w:szCs w:val="20"/>
          <w:color w:val="auto"/>
        </w:rPr>
      </w:pPr>
    </w:p>
    <w:p>
      <w:pPr>
        <w:ind w:left="224"/>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left="4" w:right="440" w:firstLine="440"/>
        <w:spacing w:after="0" w:line="277" w:lineRule="auto"/>
        <w:rPr>
          <w:sz w:val="20"/>
          <w:szCs w:val="20"/>
          <w:color w:val="auto"/>
        </w:rPr>
      </w:pPr>
      <w:r>
        <w:rPr>
          <w:rFonts w:ascii="Arial" w:cs="Arial" w:eastAsia="Arial" w:hAnsi="Arial"/>
          <w:sz w:val="18"/>
          <w:szCs w:val="18"/>
          <w:color w:val="auto"/>
        </w:rPr>
        <w:t>The Company considers information that is regularly reviewed by its chief operating decision makers in evaluating financial performance to disaggregate revenue.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tables provide details of revenue by nature of activities and by geography:</w:t>
      </w:r>
    </w:p>
    <w:p>
      <w:pPr>
        <w:spacing w:after="0" w:line="333" w:lineRule="exact"/>
        <w:rPr>
          <w:sz w:val="20"/>
          <w:szCs w:val="20"/>
          <w:color w:val="auto"/>
        </w:rPr>
      </w:pPr>
    </w:p>
    <w:p>
      <w:pPr>
        <w:ind w:left="224"/>
        <w:spacing w:after="0"/>
        <w:rPr>
          <w:sz w:val="20"/>
          <w:szCs w:val="20"/>
          <w:color w:val="auto"/>
        </w:rPr>
      </w:pPr>
      <w:r>
        <w:rPr>
          <w:rFonts w:ascii="Arial" w:cs="Arial" w:eastAsia="Arial" w:hAnsi="Arial"/>
          <w:sz w:val="18"/>
          <w:szCs w:val="18"/>
          <w:b w:val="1"/>
          <w:bCs w:val="1"/>
          <w:i w:val="1"/>
          <w:iCs w:val="1"/>
          <w:color w:val="auto"/>
        </w:rPr>
        <w:t>Revenue by nature of activities</w:t>
      </w:r>
    </w:p>
    <w:p>
      <w:pPr>
        <w:spacing w:after="0" w:line="110"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1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2"/>
                <w:szCs w:val="12"/>
                <w:color w:val="auto"/>
              </w:rPr>
            </w:pPr>
          </w:p>
        </w:tc>
        <w:tc>
          <w:tcPr>
            <w:tcW w:w="8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Managed services arrangement</w:t>
            </w:r>
          </w:p>
        </w:tc>
        <w:tc>
          <w:tcPr>
            <w:tcW w:w="2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6"/>
              </w:rPr>
              <w:t>604,457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578,072</w:t>
            </w:r>
          </w:p>
        </w:tc>
        <w:tc>
          <w:tcPr>
            <w:tcW w:w="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$ 1,788,161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$ 1,663,025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421,744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446,632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1,327,930</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1,393,391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1,026,201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1,024,704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$ 3,116,091</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$ 3,056,416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00" w:type="dxa"/>
            <w:vAlign w:val="bottom"/>
            <w:vMerge w:val="restart"/>
          </w:tcPr>
          <w:p>
            <w:pPr>
              <w:jc w:val="right"/>
              <w:ind w:right="350"/>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4"/>
          </w:cols>
          <w:pgMar w:left="436" w:top="270" w:right="499" w:bottom="1440" w:gutter="0" w:footer="0" w:header="0"/>
        </w:sectPr>
      </w:pPr>
    </w:p>
    <w:bookmarkStart w:id="12" w:name="page13"/>
    <w:bookmarkEnd w:id="1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5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09"/>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North America (mainly United States)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685,949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643,899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$2,039,308</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$1,938,498</w:t>
            </w:r>
          </w:p>
        </w:tc>
        <w:tc>
          <w:tcPr>
            <w:tcW w:w="4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145,401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145,518</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448,404</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442,687</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194,851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235,287</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628,379</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675,231</w:t>
            </w: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1,026,201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1,024,704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3,116,091</w:t>
            </w:r>
          </w:p>
        </w:tc>
        <w:tc>
          <w:tcPr>
            <w:tcW w:w="3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3,056,416</w:t>
            </w:r>
          </w:p>
        </w:tc>
        <w:tc>
          <w:tcPr>
            <w:tcW w:w="4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w:t>
      </w:r>
    </w:p>
    <w:p>
      <w:pPr>
        <w:spacing w:after="0" w:line="121" w:lineRule="exact"/>
        <w:rPr>
          <w:sz w:val="20"/>
          <w:szCs w:val="20"/>
          <w:color w:val="auto"/>
        </w:rPr>
      </w:pPr>
    </w:p>
    <w:p>
      <w:pPr>
        <w:jc w:val="both"/>
        <w:ind w:right="160" w:firstLine="440"/>
        <w:spacing w:after="0" w:line="301"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5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760" w:right="8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Level 3: Unobservable inputs that are supported by little or no market activity that is significant to the fair value of the assets or liabilities.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present the Company’s assets and liabilities measured at fair value on a recurring basis as of June 30,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w:t>
      </w:r>
    </w:p>
    <w:p>
      <w:pPr>
        <w:spacing w:after="0" w:line="229"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As of June 30, 2020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8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94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70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6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26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647,309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647,309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647,309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647,309</w:t>
            </w:r>
          </w:p>
        </w:tc>
        <w:tc>
          <w:tcPr>
            <w:tcW w:w="0" w:type="dxa"/>
            <w:vAlign w:val="bottom"/>
          </w:tcPr>
          <w:p>
            <w:pPr>
              <w:spacing w:after="0"/>
              <w:rPr>
                <w:sz w:val="1"/>
                <w:szCs w:val="1"/>
                <w:color w:val="auto"/>
              </w:rPr>
            </w:pP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600" w:type="dxa"/>
            <w:vAlign w:val="bottom"/>
          </w:tcPr>
          <w:p>
            <w:pPr>
              <w:spacing w:after="0"/>
              <w:rPr>
                <w:sz w:val="19"/>
                <w:szCs w:val="19"/>
                <w:color w:val="auto"/>
              </w:rPr>
            </w:pPr>
          </w:p>
        </w:tc>
        <w:tc>
          <w:tcPr>
            <w:tcW w:w="6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22,185</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2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12,422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12,422</w:t>
            </w:r>
          </w:p>
        </w:tc>
        <w:tc>
          <w:tcPr>
            <w:tcW w:w="0" w:type="dxa"/>
            <w:vAlign w:val="bottom"/>
          </w:tcPr>
          <w:p>
            <w:pPr>
              <w:spacing w:after="0"/>
              <w:rPr>
                <w:sz w:val="1"/>
                <w:szCs w:val="1"/>
                <w:color w:val="auto"/>
              </w:rPr>
            </w:pP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600" w:type="dxa"/>
            <w:vAlign w:val="bottom"/>
          </w:tcPr>
          <w:p>
            <w:pPr>
              <w:spacing w:after="0"/>
              <w:rPr>
                <w:sz w:val="20"/>
                <w:szCs w:val="20"/>
                <w:color w:val="auto"/>
              </w:rPr>
            </w:pPr>
          </w:p>
        </w:tc>
        <w:tc>
          <w:tcPr>
            <w:tcW w:w="6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(15,620)</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647,309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12,422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6,565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666,296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600" w:type="dxa"/>
            <w:vAlign w:val="bottom"/>
            <w:vMerge w:val="restart"/>
          </w:tcPr>
          <w:p>
            <w:pPr>
              <w:jc w:val="right"/>
              <w:ind w:right="1150"/>
              <w:spacing w:after="0"/>
              <w:rPr>
                <w:sz w:val="20"/>
                <w:szCs w:val="20"/>
                <w:color w:val="auto"/>
              </w:rPr>
            </w:pPr>
            <w:r>
              <w:rPr>
                <w:rFonts w:ascii="Arial" w:cs="Arial" w:eastAsia="Arial" w:hAnsi="Arial"/>
                <w:sz w:val="18"/>
                <w:szCs w:val="18"/>
                <w:color w:val="auto"/>
              </w:rPr>
              <w:t>13</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440" w:top="270" w:right="619" w:bottom="1440" w:gutter="0" w:footer="0" w:header="0"/>
        </w:sectPr>
      </w:pPr>
    </w:p>
    <w:bookmarkStart w:id="13" w:name="page14"/>
    <w:bookmarkEnd w:id="13"/>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35"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rPr>
              <w:t>As of September 30, 2019</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84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88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2"/>
              </w:rPr>
              <w:t>Level 3</w:t>
            </w:r>
          </w:p>
        </w:tc>
        <w:tc>
          <w:tcPr>
            <w:tcW w:w="66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0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276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69,370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$ 69,370</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00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69,370</w:t>
            </w:r>
          </w:p>
        </w:tc>
        <w:tc>
          <w:tcPr>
            <w:tcW w:w="100" w:type="dxa"/>
            <w:vAlign w:val="bottom"/>
            <w:shd w:val="clear" w:color="auto" w:fill="CCEEFF"/>
          </w:tcPr>
          <w:p>
            <w:pPr>
              <w:spacing w:after="0"/>
              <w:rPr>
                <w:sz w:val="18"/>
                <w:szCs w:val="18"/>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000" w:type="dxa"/>
            <w:vAlign w:val="bottom"/>
          </w:tcPr>
          <w:p>
            <w:pPr>
              <w:spacing w:after="0"/>
              <w:rPr>
                <w:sz w:val="19"/>
                <w:szCs w:val="19"/>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18,008</w:t>
            </w: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18,008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2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7,890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7,890</w:t>
            </w: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0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(29,805)</w:t>
            </w: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(29,805)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69,370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7,890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(11,797)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$ 65,463</w:t>
            </w: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 w:right="80" w:firstLine="440"/>
        <w:spacing w:after="0" w:line="293" w:lineRule="auto"/>
        <w:rPr>
          <w:sz w:val="20"/>
          <w:szCs w:val="20"/>
          <w:color w:val="auto"/>
        </w:rPr>
      </w:pPr>
      <w:r>
        <w:rPr>
          <w:rFonts w:ascii="Arial" w:cs="Arial" w:eastAsia="Arial" w:hAnsi="Arial"/>
          <w:sz w:val="16"/>
          <w:szCs w:val="16"/>
          <w:color w:val="auto"/>
        </w:rPr>
        <w:t>The Company’s derivative instruments are classified as Level 2 as they represent foreign currency forward and option contracts valued primarily based on observable inputs including forward rates and yield curves. Level 3 liabilities relate to certain acquisition-related liabilities, which were generally valued using a Monte-Carlo simulation model. These liabilities were included in both accrued expenses and other current liabilities and other noncurrent liabilities as of June 30, 2020 and September 30, 2019. The decrease in Level 3 liabilities is mainly a result of net decrease in expense recorded in the consolidated statements of income and payments of certain acquisition-related liabilities during the nine months ended June 30, 2020. Level 3 assets relate to equity investments, which were valued based on price changes in orderly transactions for similar investments of the same issuer.</w:t>
      </w:r>
    </w:p>
    <w:p>
      <w:pPr>
        <w:spacing w:after="0" w:line="27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ind w:left="4" w:right="260" w:firstLine="440"/>
        <w:spacing w:after="0" w:line="263" w:lineRule="auto"/>
        <w:rPr>
          <w:sz w:val="20"/>
          <w:szCs w:val="20"/>
          <w:color w:val="auto"/>
        </w:rPr>
      </w:pPr>
      <w:r>
        <w:rPr>
          <w:rFonts w:ascii="Arial" w:cs="Arial" w:eastAsia="Arial" w:hAnsi="Arial"/>
          <w:sz w:val="18"/>
          <w:szCs w:val="18"/>
          <w:color w:val="auto"/>
        </w:rPr>
        <w:t>The carrying amounts of the Company’s cash and cash equivalents, accounts receivable, accounts payable, accrued expenses and other current liabilities, accrued personnel costs and short-term financing arrangement approximate their fair value because of the relatively short maturity of these items.</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 Available-For-Sale Securities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8"/>
          </w:tcPr>
          <w:p>
            <w:pPr>
              <w:ind w:left="120"/>
              <w:spacing w:after="0"/>
              <w:rPr>
                <w:sz w:val="20"/>
                <w:szCs w:val="20"/>
                <w:color w:val="auto"/>
              </w:rPr>
            </w:pPr>
            <w:r>
              <w:rPr>
                <w:rFonts w:ascii="Arial" w:cs="Arial" w:eastAsia="Arial" w:hAnsi="Arial"/>
                <w:sz w:val="14"/>
                <w:szCs w:val="14"/>
                <w:b w:val="1"/>
                <w:bCs w:val="1"/>
                <w:color w:val="auto"/>
              </w:rPr>
              <w:t>As of June 30, 2020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200" w:type="dxa"/>
            <w:vAlign w:val="bottom"/>
            <w:gridSpan w:val="6"/>
            <w:vMerge w:val="restart"/>
          </w:tcPr>
          <w:p>
            <w:pPr>
              <w:jc w:val="center"/>
              <w:ind w:right="500"/>
              <w:spacing w:after="0"/>
              <w:rPr>
                <w:sz w:val="20"/>
                <w:szCs w:val="20"/>
                <w:color w:val="auto"/>
              </w:rPr>
            </w:pPr>
            <w:r>
              <w:rPr>
                <w:rFonts w:ascii="Arial" w:cs="Arial" w:eastAsia="Arial" w:hAnsi="Arial"/>
                <w:sz w:val="14"/>
                <w:szCs w:val="14"/>
                <w:b w:val="1"/>
                <w:bCs w:val="1"/>
                <w:color w:val="auto"/>
                <w:w w:val="96"/>
              </w:rPr>
              <w:t>Amortized</w:t>
            </w:r>
          </w:p>
        </w:tc>
        <w:tc>
          <w:tcPr>
            <w:tcW w:w="80" w:type="dxa"/>
            <w:vAlign w:val="bottom"/>
          </w:tcPr>
          <w:p>
            <w:pPr>
              <w:spacing w:after="0"/>
              <w:rPr>
                <w:sz w:val="10"/>
                <w:szCs w:val="10"/>
                <w:color w:val="auto"/>
              </w:rPr>
            </w:pPr>
          </w:p>
        </w:tc>
        <w:tc>
          <w:tcPr>
            <w:tcW w:w="68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Gross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0" w:type="dxa"/>
            <w:vAlign w:val="bottom"/>
            <w:gridSpan w:val="6"/>
            <w:vMerge w:val="continue"/>
          </w:tcPr>
          <w:p>
            <w:pPr>
              <w:spacing w:after="0"/>
              <w:rPr>
                <w:sz w:val="12"/>
                <w:szCs w:val="12"/>
                <w:color w:val="auto"/>
              </w:rPr>
            </w:pPr>
          </w:p>
        </w:tc>
        <w:tc>
          <w:tcPr>
            <w:tcW w:w="7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400" w:type="dxa"/>
            <w:vAlign w:val="bottom"/>
          </w:tcPr>
          <w:p>
            <w:pPr>
              <w:spacing w:after="0"/>
              <w:rPr>
                <w:sz w:val="12"/>
                <w:szCs w:val="12"/>
                <w:color w:val="auto"/>
              </w:rPr>
            </w:pPr>
          </w:p>
        </w:tc>
        <w:tc>
          <w:tcPr>
            <w:tcW w:w="118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9"/>
              </w:rPr>
              <w:t>Cost</w:t>
            </w:r>
          </w:p>
        </w:tc>
        <w:tc>
          <w:tcPr>
            <w:tcW w:w="8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Gains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ind w:left="40"/>
              <w:spacing w:after="0"/>
              <w:rPr>
                <w:sz w:val="20"/>
                <w:szCs w:val="20"/>
                <w:color w:val="auto"/>
              </w:rPr>
            </w:pPr>
            <w:r>
              <w:rPr>
                <w:rFonts w:ascii="Arial" w:cs="Arial" w:eastAsia="Arial" w:hAnsi="Arial"/>
                <w:sz w:val="14"/>
                <w:szCs w:val="14"/>
                <w:b w:val="1"/>
                <w:bCs w:val="1"/>
                <w:color w:val="auto"/>
              </w:rPr>
              <w:t>Losses</w:t>
            </w: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70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647,309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647,309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gridSpan w:val="3"/>
          </w:tcPr>
          <w:p>
            <w:pPr>
              <w:ind w:left="440"/>
              <w:spacing w:after="0"/>
              <w:rPr>
                <w:sz w:val="20"/>
                <w:szCs w:val="20"/>
                <w:color w:val="auto"/>
              </w:rPr>
            </w:pPr>
            <w:r>
              <w:rPr>
                <w:rFonts w:ascii="Arial" w:cs="Arial" w:eastAsia="Arial" w:hAnsi="Arial"/>
                <w:sz w:val="18"/>
                <w:szCs w:val="18"/>
                <w:color w:val="auto"/>
              </w:rPr>
              <w:t>Total(1)</w:t>
            </w: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647,309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647,309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8"/>
          </w:tcPr>
          <w:p>
            <w:pPr>
              <w:jc w:val="right"/>
              <w:ind w:right="580"/>
              <w:spacing w:after="0"/>
              <w:rPr>
                <w:sz w:val="20"/>
                <w:szCs w:val="20"/>
                <w:color w:val="auto"/>
              </w:rPr>
            </w:pPr>
            <w:r>
              <w:rPr>
                <w:rFonts w:ascii="Arial" w:cs="Arial" w:eastAsia="Arial" w:hAnsi="Arial"/>
                <w:sz w:val="14"/>
                <w:szCs w:val="14"/>
                <w:b w:val="1"/>
                <w:bCs w:val="1"/>
                <w:color w:val="auto"/>
                <w:w w:val="90"/>
              </w:rPr>
              <w:t>As of September 30, 2019</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w w:val="93"/>
              </w:rPr>
              <w:t>Amortized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0"/>
                <w:szCs w:val="10"/>
                <w:color w:val="auto"/>
              </w:rPr>
            </w:pPr>
          </w:p>
        </w:tc>
        <w:tc>
          <w:tcPr>
            <w:tcW w:w="6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$ 69,370</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69,370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gridSpan w:val="3"/>
          </w:tcPr>
          <w:p>
            <w:pPr>
              <w:ind w:left="440"/>
              <w:spacing w:after="0"/>
              <w:rPr>
                <w:sz w:val="20"/>
                <w:szCs w:val="20"/>
                <w:color w:val="auto"/>
              </w:rPr>
            </w:pPr>
            <w:r>
              <w:rPr>
                <w:rFonts w:ascii="Arial" w:cs="Arial" w:eastAsia="Arial" w:hAnsi="Arial"/>
                <w:sz w:val="18"/>
                <w:szCs w:val="18"/>
                <w:color w:val="auto"/>
              </w:rPr>
              <w:t>Total(1)</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$ 69,370</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w:t>
            </w:r>
          </w:p>
        </w:tc>
        <w:tc>
          <w:tcPr>
            <w:tcW w:w="50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69,370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24" w:right="460" w:hanging="424"/>
        <w:spacing w:after="0" w:line="342" w:lineRule="auto"/>
        <w:tabs>
          <w:tab w:leader="none" w:pos="424" w:val="left"/>
        </w:tabs>
        <w:numPr>
          <w:ilvl w:val="0"/>
          <w:numId w:val="5"/>
        </w:numPr>
        <w:rPr>
          <w:rFonts w:ascii="Arial" w:cs="Arial" w:eastAsia="Arial" w:hAnsi="Arial"/>
          <w:sz w:val="16"/>
          <w:szCs w:val="16"/>
          <w:color w:val="auto"/>
        </w:rPr>
      </w:pPr>
      <w:r>
        <w:rPr>
          <w:rFonts w:ascii="Arial" w:cs="Arial" w:eastAsia="Arial" w:hAnsi="Arial"/>
          <w:sz w:val="16"/>
          <w:szCs w:val="16"/>
          <w:color w:val="auto"/>
        </w:rPr>
        <w:t>Available-for-sale securities with maturities of 90 days or less from the date of acquisition were included in cash and cash equivalents on the Company’s balance sheet. As of June 30, 2020, and September 30, 2019, all the securities were classified as cash and cash equivalents.</w:t>
      </w:r>
    </w:p>
    <w:p>
      <w:pPr>
        <w:spacing w:after="0" w:line="124" w:lineRule="exact"/>
        <w:rPr>
          <w:sz w:val="20"/>
          <w:szCs w:val="20"/>
          <w:color w:val="auto"/>
        </w:rPr>
      </w:pPr>
    </w:p>
    <w:p>
      <w:pPr>
        <w:ind w:left="4" w:firstLine="440"/>
        <w:spacing w:after="0" w:line="311" w:lineRule="auto"/>
        <w:rPr>
          <w:sz w:val="20"/>
          <w:szCs w:val="20"/>
          <w:color w:val="auto"/>
        </w:rPr>
      </w:pPr>
      <w:r>
        <w:rPr>
          <w:rFonts w:ascii="Arial" w:cs="Arial" w:eastAsia="Arial" w:hAnsi="Arial"/>
          <w:sz w:val="16"/>
          <w:szCs w:val="16"/>
          <w:color w:val="auto"/>
        </w:rPr>
        <w:t>The Company assessed whether unrealized losses for the investments in its portfolio were other-than-temporary. Based on this assessment, the Company did not recognize any credit losses in the three and nine months ended June 30, 2020 and 2019. Realized gains and losses on available-for-sale securities were included in earnings and are derived using the first-in-first-out (FIFO) method for determining the cost of securities.</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0" w:right="459" w:bottom="1440" w:gutter="0" w:footer="0" w:header="0"/>
        </w:sectPr>
      </w:pPr>
    </w:p>
    <w:bookmarkStart w:id="14" w:name="page15"/>
    <w:bookmarkEnd w:id="14"/>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 Derivative Financial Instruments</w:t>
      </w:r>
    </w:p>
    <w:p>
      <w:pPr>
        <w:spacing w:after="0" w:line="121" w:lineRule="exact"/>
        <w:rPr>
          <w:sz w:val="20"/>
          <w:szCs w:val="20"/>
          <w:color w:val="auto"/>
        </w:rPr>
      </w:pPr>
    </w:p>
    <w:p>
      <w:pPr>
        <w:ind w:left="4" w:right="180" w:firstLine="440"/>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left="4" w:firstLine="440"/>
        <w:spacing w:after="0" w:line="253" w:lineRule="auto"/>
        <w:rPr>
          <w:sz w:val="20"/>
          <w:szCs w:val="20"/>
          <w:color w:val="auto"/>
        </w:rPr>
      </w:pPr>
      <w:r>
        <w:rPr>
          <w:rFonts w:ascii="Arial" w:cs="Arial" w:eastAsia="Arial" w:hAnsi="Arial"/>
          <w:sz w:val="18"/>
          <w:szCs w:val="18"/>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$23,714 as of June 30, 2020. The Company has limited its credit risk by entering into derivative transactions exclusively with investment-grade rated financial institutions and monitors the creditworthiness of these financial institutions on an ongoing basis.</w:t>
      </w:r>
    </w:p>
    <w:p>
      <w:pPr>
        <w:spacing w:after="0" w:line="19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flow.</w:t>
      </w:r>
    </w:p>
    <w:p>
      <w:pPr>
        <w:spacing w:after="0" w:line="211" w:lineRule="exact"/>
        <w:rPr>
          <w:sz w:val="20"/>
          <w:szCs w:val="20"/>
          <w:color w:val="auto"/>
        </w:rPr>
      </w:pPr>
    </w:p>
    <w:p>
      <w:pPr>
        <w:jc w:val="both"/>
        <w:ind w:left="4" w:right="100" w:firstLine="440"/>
        <w:spacing w:after="0" w:line="263"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June 30, 2020. Notional values are in U.S. dollars and are translated and calculated based on forward rates as of June 30, 2020 for forward contracts, and based on spot rates as of June 30, 2020 for options.</w:t>
      </w:r>
    </w:p>
    <w:p>
      <w:pPr>
        <w:spacing w:after="0" w:line="202"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99"/>
              </w:rPr>
              <w:t>Notional Value*</w:t>
            </w:r>
          </w:p>
        </w:tc>
      </w:tr>
      <w:tr>
        <w:trPr>
          <w:trHeight w:val="209"/>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1,181,285</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224" w:right="180" w:hanging="224"/>
        <w:spacing w:after="0" w:line="277" w:lineRule="auto"/>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0" w:right="4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43"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5 to the consolidated financial statements. The fair value of the open foreign exchange contracts recorded as an asset or a liability by the Company on its consolidated balance sheets as of June 30, 2020 and September 30, 2019, is as follows:</w:t>
      </w:r>
    </w:p>
    <w:p>
      <w:pPr>
        <w:spacing w:after="0" w:line="202"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280" w:type="dxa"/>
            <w:vAlign w:val="bottom"/>
          </w:tcPr>
          <w:p>
            <w:pPr>
              <w:spacing w:after="0"/>
              <w:rPr>
                <w:sz w:val="10"/>
                <w:szCs w:val="10"/>
                <w:color w:val="auto"/>
              </w:rPr>
            </w:pPr>
          </w:p>
        </w:tc>
        <w:tc>
          <w:tcPr>
            <w:tcW w:w="76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June 30,</w:t>
            </w:r>
          </w:p>
        </w:tc>
        <w:tc>
          <w:tcPr>
            <w:tcW w:w="34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62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$22,701</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9,344</w:t>
            </w: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w:t>
            </w: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(6,708)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(2,977)</w:t>
            </w: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(2,072)</w:t>
            </w:r>
          </w:p>
        </w:tc>
      </w:tr>
      <w:tr>
        <w:trPr>
          <w:trHeight w:val="223"/>
        </w:trPr>
        <w:tc>
          <w:tcPr>
            <w:tcW w:w="62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15,616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4,880</w:t>
            </w:r>
          </w:p>
        </w:tc>
        <w:tc>
          <w:tcPr>
            <w:tcW w:w="100" w:type="dxa"/>
            <w:vAlign w:val="bottom"/>
          </w:tcPr>
          <w:p>
            <w:pPr>
              <w:spacing w:after="0"/>
              <w:rPr>
                <w:sz w:val="19"/>
                <w:szCs w:val="19"/>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5,086</w:t>
            </w: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(2,076)</w:t>
            </w:r>
          </w:p>
        </w:tc>
      </w:tr>
      <w:tr>
        <w:trPr>
          <w:trHeight w:val="230"/>
        </w:trPr>
        <w:tc>
          <w:tcPr>
            <w:tcW w:w="62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(3,194)</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20"/>
                <w:szCs w:val="20"/>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12,422</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7,890</w:t>
            </w:r>
          </w:p>
        </w:tc>
      </w:tr>
      <w:tr>
        <w:trPr>
          <w:trHeight w:val="20"/>
        </w:trPr>
        <w:tc>
          <w:tcPr>
            <w:tcW w:w="6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and option contracts outstanding as of June 30, 2020 is scheduled to mature within the next 12 months.</w:t>
      </w:r>
    </w:p>
    <w:p>
      <w:pPr>
        <w:spacing w:after="0" w:line="161"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income,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43"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The effect of the Company’s cash flow hedging instruments in the consolidated statements of income for the three and nine months ended June 30, 2020 and 2019, respectively, which partially offsets the foreign currency impact from the underlying exposures, is summarized as follows:</w:t>
      </w:r>
    </w:p>
    <w:p>
      <w:pPr>
        <w:spacing w:after="0" w:line="15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92"/>
              </w:rPr>
              <w:t>Gains (Losses) Reclassified from</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00" w:type="dxa"/>
            <w:vAlign w:val="bottom"/>
            <w:gridSpan w:val="12"/>
          </w:tcPr>
          <w:p>
            <w:pPr>
              <w:jc w:val="right"/>
              <w:spacing w:after="0" w:line="149" w:lineRule="exact"/>
              <w:rPr>
                <w:sz w:val="20"/>
                <w:szCs w:val="20"/>
                <w:color w:val="auto"/>
              </w:rPr>
            </w:pPr>
            <w:r>
              <w:rPr>
                <w:rFonts w:ascii="Arial" w:cs="Arial" w:eastAsia="Arial" w:hAnsi="Arial"/>
                <w:sz w:val="14"/>
                <w:szCs w:val="14"/>
                <w:b w:val="1"/>
                <w:bCs w:val="1"/>
                <w:color w:val="auto"/>
              </w:rPr>
              <w:t>Other Comprehensive Income (Effective Portion)</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Pr>
          <w:p>
            <w:pPr>
              <w:spacing w:after="0"/>
              <w:rPr>
                <w:sz w:val="14"/>
                <w:szCs w:val="14"/>
                <w:color w:val="auto"/>
              </w:rPr>
            </w:pPr>
          </w:p>
        </w:tc>
        <w:tc>
          <w:tcPr>
            <w:tcW w:w="1960" w:type="dxa"/>
            <w:vAlign w:val="bottom"/>
            <w:gridSpan w:val="6"/>
          </w:tcPr>
          <w:p>
            <w:pPr>
              <w:jc w:val="right"/>
              <w:ind w:right="141"/>
              <w:spacing w:after="0"/>
              <w:rPr>
                <w:sz w:val="20"/>
                <w:szCs w:val="20"/>
                <w:color w:val="auto"/>
              </w:rPr>
            </w:pPr>
            <w:r>
              <w:rPr>
                <w:rFonts w:ascii="Arial" w:cs="Arial" w:eastAsia="Arial" w:hAnsi="Arial"/>
                <w:sz w:val="14"/>
                <w:szCs w:val="14"/>
                <w:b w:val="1"/>
                <w:bCs w:val="1"/>
                <w:color w:val="auto"/>
                <w:w w:val="90"/>
              </w:rPr>
              <w:t>Nine months ended June 30,</w:t>
            </w:r>
          </w:p>
        </w:tc>
      </w:tr>
      <w:tr>
        <w:trPr>
          <w:trHeight w:val="142"/>
        </w:trPr>
        <w:tc>
          <w:tcPr>
            <w:tcW w:w="57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2020</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2"/>
                <w:szCs w:val="12"/>
                <w:color w:val="auto"/>
              </w:rPr>
            </w:pPr>
          </w:p>
        </w:tc>
      </w:tr>
      <w:tr>
        <w:trPr>
          <w:trHeight w:val="196"/>
        </w:trPr>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Revenue</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665</w:t>
            </w:r>
          </w:p>
        </w:tc>
        <w:tc>
          <w:tcPr>
            <w:tcW w:w="220" w:type="dxa"/>
            <w:vAlign w:val="bottom"/>
          </w:tcPr>
          <w:p>
            <w:pPr>
              <w:spacing w:after="0"/>
              <w:rPr>
                <w:sz w:val="18"/>
                <w:szCs w:val="18"/>
                <w:color w:val="auto"/>
              </w:rPr>
            </w:pP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771</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(9,943)</w:t>
            </w: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(2,402)</w:t>
            </w: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(2,656)</w:t>
            </w: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(15,001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The activity related to the changes in net unrealized gains (losses) on cash flow hedges recorded in accumulated other comprehensive income (loss), net of tax, is as follows:</w:t>
      </w:r>
    </w:p>
    <w:p>
      <w:pPr>
        <w:spacing w:after="0" w:line="189"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Nine months ended</w:t>
      </w:r>
    </w:p>
    <w:p>
      <w:pPr>
        <w:jc w:val="center"/>
        <w:ind w:left="65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320" w:type="dxa"/>
        <w:tblCellMar>
          <w:top w:w="0" w:type="dxa"/>
          <w:left w:w="0" w:type="dxa"/>
          <w:bottom w:w="0" w:type="dxa"/>
          <w:right w:w="0" w:type="dxa"/>
        </w:tblCellMar>
      </w:tblPr>
      <w:tr>
        <w:trPr>
          <w:trHeight w:val="142"/>
        </w:trPr>
        <w:tc>
          <w:tcPr>
            <w:tcW w:w="6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09"/>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(losses) on cash flow hedges, net of tax, beginning of period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(26,608)</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11,169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18,419</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net (gains) losses into earnings, net of tax</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(2,688)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13,011</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Net unrealized gains on cash flow hedges, net of tax, end of period</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12,426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4,822</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Net gains from cash flow hedges recognized in other comprehensive income were $14,937 and $18,159, or $11,169 and $18,419 net of taxes, during the nine months ended June 30, 2020 and 2019, respectively.</w:t>
      </w:r>
    </w:p>
    <w:p>
      <w:pPr>
        <w:spacing w:after="0" w:line="170"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Of the net unrealized gains (losses) related to derivatives designated as cash flow hedges and recorded in accumulated other comprehensive income (loss) as of June 30, 2020, a net gain of $12,424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8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and nine months ended June 30, 2020 and 2019, was not material.</w:t>
      </w:r>
    </w:p>
    <w:p>
      <w:pPr>
        <w:spacing w:after="0" w:line="170" w:lineRule="exact"/>
        <w:rPr>
          <w:sz w:val="20"/>
          <w:szCs w:val="20"/>
          <w:color w:val="auto"/>
        </w:rPr>
      </w:pPr>
    </w:p>
    <w:p>
      <w:pPr>
        <w:ind w:right="440" w:firstLine="440"/>
        <w:spacing w:after="0" w:line="263"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4"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These instruments are generally short-term in nature, with typical maturities of less than 12 months, and are subject to fluctuations in foreign exchange rates.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17" w:name="page18"/>
    <w:bookmarkEnd w:id="17"/>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43"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three and nine months ended June 30, 2020 and 2019, respectively, which partially offsets the foreign currency impact from the underlying exposure, is summarized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11"/>
          </w:tcPr>
          <w:p>
            <w:pPr>
              <w:jc w:val="right"/>
              <w:ind w:right="180"/>
              <w:spacing w:after="0"/>
              <w:rPr>
                <w:sz w:val="20"/>
                <w:szCs w:val="20"/>
                <w:color w:val="auto"/>
              </w:rPr>
            </w:pPr>
            <w:r>
              <w:rPr>
                <w:rFonts w:ascii="Arial" w:cs="Arial" w:eastAsia="Arial" w:hAnsi="Arial"/>
                <w:sz w:val="14"/>
                <w:szCs w:val="14"/>
                <w:b w:val="1"/>
                <w:bCs w:val="1"/>
                <w:color w:val="auto"/>
                <w:w w:val="92"/>
              </w:rPr>
              <w:t>Gains (Losses) Recognized in Income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00" w:type="dxa"/>
            <w:vAlign w:val="bottom"/>
            <w:gridSpan w:val="9"/>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1980" w:type="dxa"/>
            <w:vAlign w:val="bottom"/>
            <w:gridSpan w:val="8"/>
          </w:tcPr>
          <w:p>
            <w:pPr>
              <w:jc w:val="right"/>
              <w:ind w:right="180"/>
              <w:spacing w:after="0"/>
              <w:rPr>
                <w:sz w:val="20"/>
                <w:szCs w:val="20"/>
                <w:color w:val="auto"/>
              </w:rPr>
            </w:pPr>
            <w:r>
              <w:rPr>
                <w:rFonts w:ascii="Arial" w:cs="Arial" w:eastAsia="Arial" w:hAnsi="Arial"/>
                <w:sz w:val="14"/>
                <w:szCs w:val="14"/>
                <w:b w:val="1"/>
                <w:bCs w:val="1"/>
                <w:color w:val="auto"/>
                <w:w w:val="93"/>
              </w:rPr>
              <w:t>Nine months ended June 30,</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4"/>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tcBorders>
            <w:gridSpan w:val="3"/>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4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60" w:type="dxa"/>
            <w:vAlign w:val="bottom"/>
            <w:gridSpan w:val="2"/>
          </w:tcPr>
          <w:p>
            <w:pPr>
              <w:ind w:left="360"/>
              <w:spacing w:after="0"/>
              <w:rPr>
                <w:sz w:val="20"/>
                <w:szCs w:val="20"/>
                <w:color w:val="auto"/>
              </w:rPr>
            </w:pPr>
            <w:r>
              <w:rPr>
                <w:rFonts w:ascii="Arial" w:cs="Arial" w:eastAsia="Arial" w:hAnsi="Arial"/>
                <w:sz w:val="18"/>
                <w:szCs w:val="18"/>
                <w:color w:val="auto"/>
              </w:rPr>
              <w:t>Cost of revenue</w:t>
            </w:r>
          </w:p>
        </w:tc>
        <w:tc>
          <w:tcPr>
            <w:tcW w:w="5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2,783</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(1,496)</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6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361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and other expense, net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(2,891)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60" w:type="dxa"/>
            <w:vAlign w:val="bottom"/>
            <w:gridSpan w:val="2"/>
          </w:tcPr>
          <w:p>
            <w:pPr>
              <w:ind w:left="360"/>
              <w:spacing w:after="0"/>
              <w:rPr>
                <w:sz w:val="20"/>
                <w:szCs w:val="20"/>
                <w:color w:val="auto"/>
              </w:rPr>
            </w:pPr>
            <w:r>
              <w:rPr>
                <w:rFonts w:ascii="Arial" w:cs="Arial" w:eastAsia="Arial" w:hAnsi="Arial"/>
                <w:sz w:val="18"/>
                <w:szCs w:val="18"/>
                <w:color w:val="auto"/>
              </w:rPr>
              <w:t>Income taxes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(643)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(1,886)</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(2,364)</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590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00" w:type="dxa"/>
            <w:vAlign w:val="bottom"/>
            <w:gridSpan w:val="3"/>
          </w:tcPr>
          <w:p>
            <w:pPr>
              <w:ind w:left="440"/>
              <w:spacing w:after="0"/>
              <w:rPr>
                <w:sz w:val="20"/>
                <w:szCs w:val="20"/>
                <w:color w:val="auto"/>
              </w:rPr>
            </w:pPr>
            <w:r>
              <w:rPr>
                <w:rFonts w:ascii="Arial" w:cs="Arial" w:eastAsia="Arial" w:hAnsi="Arial"/>
                <w:sz w:val="18"/>
                <w:szCs w:val="18"/>
                <w:color w:val="auto"/>
                <w:w w:val="98"/>
              </w:rPr>
              <w:t>Accrued expenses and other current liabilities consist of the following:</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As of</w:t>
            </w: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June 30,</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5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Ongoing accrued expenses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233,162</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259,661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Project-related provisions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132,602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140,701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43,817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28,335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Dividends payable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43,568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38,413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11,922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164,281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175,494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9"/>
              </w:rPr>
              <w:t>629,352</w:t>
            </w:r>
          </w:p>
        </w:tc>
        <w:tc>
          <w:tcPr>
            <w:tcW w:w="460" w:type="dxa"/>
            <w:vAlign w:val="bottom"/>
            <w:gridSpan w:val="3"/>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647,657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(benefit) for income taxes for the following periods consisted of:</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Three months</w:t>
            </w:r>
          </w:p>
        </w:tc>
        <w:tc>
          <w:tcPr>
            <w:tcW w:w="16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80" w:type="dxa"/>
            <w:vAlign w:val="bottom"/>
            <w:gridSpan w:val="3"/>
          </w:tcPr>
          <w:p>
            <w:pPr>
              <w:jc w:val="center"/>
              <w:ind w:left="480"/>
              <w:spacing w:after="0" w:line="149" w:lineRule="exact"/>
              <w:rPr>
                <w:sz w:val="20"/>
                <w:szCs w:val="20"/>
                <w:color w:val="auto"/>
              </w:rPr>
            </w:pPr>
            <w:r>
              <w:rPr>
                <w:rFonts w:ascii="Arial" w:cs="Arial" w:eastAsia="Arial" w:hAnsi="Arial"/>
                <w:sz w:val="14"/>
                <w:szCs w:val="14"/>
                <w:b w:val="1"/>
                <w:bCs w:val="1"/>
                <w:color w:val="auto"/>
                <w:w w:val="87"/>
              </w:rPr>
              <w:t>ended</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80" w:type="dxa"/>
            <w:vAlign w:val="bottom"/>
            <w:gridSpan w:val="3"/>
          </w:tcPr>
          <w:p>
            <w:pPr>
              <w:jc w:val="center"/>
              <w:ind w:left="480"/>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68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58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3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$(10,059)</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20,763</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$35,468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$73,325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Deferred</w:t>
            </w:r>
          </w:p>
        </w:tc>
        <w:tc>
          <w:tcPr>
            <w:tcW w:w="3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34,766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(13,850)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43,916</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(9,455)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$ 24,707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6,913</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79,384</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63,870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580" w:type="dxa"/>
            <w:vAlign w:val="bottom"/>
            <w:vMerge w:val="restart"/>
          </w:tcPr>
          <w:p>
            <w:pPr>
              <w:jc w:val="right"/>
              <w:ind w:right="1290"/>
              <w:spacing w:after="0"/>
              <w:rPr>
                <w:sz w:val="20"/>
                <w:szCs w:val="20"/>
                <w:color w:val="auto"/>
              </w:rPr>
            </w:pPr>
            <w:r>
              <w:rPr>
                <w:rFonts w:ascii="Arial" w:cs="Arial" w:eastAsia="Arial" w:hAnsi="Arial"/>
                <w:sz w:val="18"/>
                <w:szCs w:val="18"/>
                <w:color w:val="auto"/>
              </w:rPr>
              <w:t>18</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440" w:top="270" w:right="61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16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11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Foreign taxes (1)</w:t>
            </w:r>
          </w:p>
        </w:tc>
        <w:tc>
          <w:tcPr>
            <w:tcW w:w="500" w:type="dxa"/>
            <w:vAlign w:val="bottom"/>
          </w:tcPr>
          <w:p>
            <w:pPr>
              <w:jc w:val="right"/>
              <w:spacing w:after="0"/>
              <w:rPr>
                <w:sz w:val="20"/>
                <w:szCs w:val="20"/>
                <w:color w:val="auto"/>
              </w:rPr>
            </w:pPr>
            <w:r>
              <w:rPr>
                <w:rFonts w:ascii="Arial" w:cs="Arial" w:eastAsia="Arial" w:hAnsi="Arial"/>
                <w:sz w:val="18"/>
                <w:szCs w:val="18"/>
                <w:color w:val="auto"/>
              </w:rPr>
              <w:t>17.0</w:t>
            </w:r>
          </w:p>
        </w:tc>
        <w:tc>
          <w:tcPr>
            <w:tcW w:w="6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540" w:type="dxa"/>
            <w:vAlign w:val="bottom"/>
          </w:tcPr>
          <w:p>
            <w:pPr>
              <w:spacing w:after="0"/>
              <w:rPr>
                <w:sz w:val="18"/>
                <w:szCs w:val="18"/>
                <w:color w:val="auto"/>
              </w:rPr>
            </w:pPr>
          </w:p>
        </w:tc>
        <w:tc>
          <w:tcPr>
            <w:tcW w:w="1000" w:type="dxa"/>
            <w:vAlign w:val="bottom"/>
            <w:gridSpan w:val="2"/>
          </w:tcPr>
          <w:p>
            <w:pPr>
              <w:jc w:val="right"/>
              <w:ind w:right="508"/>
              <w:spacing w:after="0"/>
              <w:rPr>
                <w:sz w:val="20"/>
                <w:szCs w:val="20"/>
                <w:color w:val="auto"/>
              </w:rPr>
            </w:pPr>
            <w:r>
              <w:rPr>
                <w:rFonts w:ascii="Arial" w:cs="Arial" w:eastAsia="Arial" w:hAnsi="Arial"/>
                <w:sz w:val="18"/>
                <w:szCs w:val="18"/>
                <w:color w:val="auto"/>
              </w:rPr>
              <w:t>17.9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1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17.0%</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17.9%</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a Guernsey company subject to a corporate tax rate of zero percent, the Company’s overall effective tax rate is attributable to foreign taxes.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rate is primarily driven by discrete items in the respective period presented as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77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(1) Foreign taxes:</w:t>
      </w:r>
    </w:p>
    <w:p>
      <w:pPr>
        <w:spacing w:after="0" w:line="117" w:lineRule="exact"/>
        <w:rPr>
          <w:sz w:val="20"/>
          <w:szCs w:val="20"/>
          <w:color w:val="auto"/>
        </w:rPr>
      </w:pPr>
    </w:p>
    <w:p>
      <w:pPr>
        <w:ind w:left="440" w:right="120" w:firstLine="423"/>
        <w:spacing w:after="0" w:line="259" w:lineRule="auto"/>
        <w:rPr>
          <w:sz w:val="20"/>
          <w:szCs w:val="20"/>
          <w:color w:val="auto"/>
        </w:rPr>
      </w:pPr>
      <w:r>
        <w:rPr>
          <w:rFonts w:ascii="Arial" w:cs="Arial" w:eastAsia="Arial" w:hAnsi="Arial"/>
          <w:sz w:val="18"/>
          <w:szCs w:val="18"/>
          <w:color w:val="auto"/>
        </w:rPr>
        <w:t>On March 27, 2020, the U.S. government enacted the Coronavirus Aid, Relief, and Economic Security Act (“CARES Act”) to provide certain relief as a result of the COVID-19 outbreak. Some of the key income tax-related provisions of the CARES Act include, modification the usage of net operating losses, interest deductions and payroll benefits. Furthermore, other governments have and may continue to offer support to companies who operate in those countries.</w:t>
      </w:r>
    </w:p>
    <w:p>
      <w:pPr>
        <w:spacing w:after="0" w:line="79" w:lineRule="exact"/>
        <w:rPr>
          <w:sz w:val="20"/>
          <w:szCs w:val="20"/>
          <w:color w:val="auto"/>
        </w:rPr>
      </w:pPr>
    </w:p>
    <w:p>
      <w:pPr>
        <w:ind w:left="440" w:right="180" w:firstLine="423"/>
        <w:spacing w:after="0" w:line="277" w:lineRule="auto"/>
        <w:rPr>
          <w:sz w:val="20"/>
          <w:szCs w:val="20"/>
          <w:color w:val="auto"/>
        </w:rPr>
      </w:pPr>
      <w:r>
        <w:rPr>
          <w:rFonts w:ascii="Arial" w:cs="Arial" w:eastAsia="Arial" w:hAnsi="Arial"/>
          <w:sz w:val="18"/>
          <w:szCs w:val="18"/>
          <w:color w:val="auto"/>
        </w:rPr>
        <w:t>Foreign taxes in the nine months ended June 30, 2020 included a tax benefit of $4,964 resulting from tax enactments related to COVID-19 in certain jurisdictions.</w:t>
      </w:r>
    </w:p>
    <w:p>
      <w:pPr>
        <w:spacing w:after="0" w:line="62"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color w:val="auto"/>
        </w:rPr>
        <w:t>Foreign taxes in the nine months ended June 30, 2020 also included a benefit of $37,828 relating to release of gross unrecognized tax benefits relating to effectively settled arrangements with tax authorities, changes in facts and circumstances resulting in a change in measurement of certain positions and expiration of the periods set forth in statutes of limitations in certain jurisdictions. The majority of the benefit was offset by decrease in tax assets and increase in tax liabilities and as a result a net benefit of $11,877 and $13,294 was included within income tax expense for the three and the nine months ended June 30, 2020, respectively.</w:t>
      </w:r>
    </w:p>
    <w:p>
      <w:pPr>
        <w:spacing w:after="0" w:line="80" w:lineRule="exact"/>
        <w:rPr>
          <w:sz w:val="20"/>
          <w:szCs w:val="20"/>
          <w:color w:val="auto"/>
        </w:rPr>
      </w:pPr>
    </w:p>
    <w:p>
      <w:pPr>
        <w:ind w:left="440" w:right="300" w:firstLine="423"/>
        <w:spacing w:after="0" w:line="277" w:lineRule="auto"/>
        <w:rPr>
          <w:sz w:val="20"/>
          <w:szCs w:val="20"/>
          <w:color w:val="auto"/>
        </w:rPr>
      </w:pPr>
      <w:r>
        <w:rPr>
          <w:rFonts w:ascii="Arial" w:cs="Arial" w:eastAsia="Arial" w:hAnsi="Arial"/>
          <w:sz w:val="18"/>
          <w:szCs w:val="18"/>
          <w:color w:val="auto"/>
        </w:rPr>
        <w:t>Foreign taxes in the nine months ended June 30, 2019 included a tax expense of $4,497 resulting from an internal restructuring in certain jurisdictions in which the Company operates.</w:t>
      </w:r>
    </w:p>
    <w:p>
      <w:pPr>
        <w:spacing w:after="0" w:line="62" w:lineRule="exact"/>
        <w:rPr>
          <w:sz w:val="20"/>
          <w:szCs w:val="20"/>
          <w:color w:val="auto"/>
        </w:rPr>
      </w:pPr>
    </w:p>
    <w:p>
      <w:pPr>
        <w:ind w:left="440" w:right="180" w:firstLine="423"/>
        <w:spacing w:after="0" w:line="279" w:lineRule="auto"/>
        <w:rPr>
          <w:sz w:val="20"/>
          <w:szCs w:val="20"/>
          <w:color w:val="auto"/>
        </w:rPr>
      </w:pPr>
      <w:r>
        <w:rPr>
          <w:rFonts w:ascii="Arial" w:cs="Arial" w:eastAsia="Arial" w:hAnsi="Arial"/>
          <w:sz w:val="17"/>
          <w:szCs w:val="17"/>
          <w:color w:val="auto"/>
        </w:rPr>
        <w:t>Foreign taxes in the nine months ended June 30, 2019 also included a benefit of $63,143 relating to release of a provision for gross unrecognized tax benefits due to conclusions of tax audits and expiration of the periods set forth in statutes of limitations in certain jurisdictions, the vast majority of which was offset by income tax payments and an increase in Tax Payables. As a result, a net benefit of $22,284 and $25,772 was included within income tax expense for three and nine months ended June 30, 2019, respectively.</w:t>
      </w:r>
    </w:p>
    <w:p>
      <w:pPr>
        <w:spacing w:after="0" w:line="171"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As of June 30, 2020, deferred tax assets of $84,415, derived primarily from tax credits, net capital and operating loss carry forwards related to some of the Company’s subsidiaries, were offset by valuation allowances due to the uncertainty of realizing tax benefit for such credits and losses.</w:t>
      </w:r>
    </w:p>
    <w:p>
      <w:pPr>
        <w:spacing w:after="0" w:line="12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$146,073 as of June 30, 2020, all of which would affect the effective tax rate if realized.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June 30, 2020, the Company had accrued $14,468 in income taxes payable for interest and penalties relating to unrecognized tax benefits.</w:t>
      </w:r>
    </w:p>
    <w:p>
      <w:pPr>
        <w:spacing w:after="0" w:line="248"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0" w:right="4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7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120,407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131,448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363,377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357,419</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Less-net income and dividends attributable to participating restricted shares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23"/>
        </w:trPr>
        <w:tc>
          <w:tcPr>
            <w:tcW w:w="6340" w:type="dxa"/>
            <w:vAlign w:val="bottom"/>
          </w:tcPr>
          <w:p>
            <w:pPr>
              <w:ind w:left="360"/>
              <w:spacing w:after="0"/>
              <w:rPr>
                <w:sz w:val="20"/>
                <w:szCs w:val="20"/>
                <w:color w:val="auto"/>
              </w:rPr>
            </w:pPr>
            <w:r>
              <w:rPr>
                <w:rFonts w:ascii="Arial" w:cs="Arial" w:eastAsia="Arial" w:hAnsi="Arial"/>
                <w:sz w:val="18"/>
                <w:szCs w:val="18"/>
                <w:color w:val="auto"/>
              </w:rPr>
              <w:t>Numerator for basic earnings per common share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119,480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130,537</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360,735</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354,946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Add-undistributed income allocated to participating restricted shares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Less-undistributed income reallocated to participating restricted shares</w:t>
            </w: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(638)</w:t>
            </w: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(1,716)</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Numerator for diluted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119,482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130,540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360,745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354,953</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 outstanding - basic</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133,150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136,541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134,013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138,126</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Less- weighted average number of participating restricted shares</w:t>
            </w: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(946)</w:t>
            </w: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basic</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132,125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135,595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133,039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137,170</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360"/>
              <w:spacing w:after="0"/>
              <w:rPr>
                <w:sz w:val="20"/>
                <w:szCs w:val="20"/>
                <w:color w:val="auto"/>
              </w:rPr>
            </w:pPr>
            <w:r>
              <w:rPr>
                <w:rFonts w:ascii="Arial" w:cs="Arial" w:eastAsia="Arial" w:hAnsi="Arial"/>
                <w:sz w:val="18"/>
                <w:szCs w:val="18"/>
                <w:color w:val="auto"/>
              </w:rPr>
              <w:t>Effect of dilutive stock options granted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4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diluted</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132,568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136,136</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133,784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137,813</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360"/>
              <w:spacing w:after="0"/>
              <w:rPr>
                <w:sz w:val="20"/>
                <w:szCs w:val="20"/>
                <w:color w:val="auto"/>
              </w:rPr>
            </w:pPr>
            <w:r>
              <w:rPr>
                <w:rFonts w:ascii="Arial" w:cs="Arial" w:eastAsia="Arial" w:hAnsi="Arial"/>
                <w:sz w:val="18"/>
                <w:szCs w:val="18"/>
                <w:color w:val="auto"/>
              </w:rPr>
              <w:t>Basic earnings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For the three and nine months ended June 30, 2020, 3,056 and 2,493 shares, respectively, on a weighted average basis, were attributable to antidilutive outstanding stock options. For the three and nine months ended June 30, 2019, 4,807 and 3,968 shares, respectively, on a weighted average basis, were attributable to antidilutive outstanding stock options. Shares attributable to antidilutive outstanding stock options were not included in the calculation of diluted earnings per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Repurchase of Shares</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From time to time, the Company’s Board of Directors can adopt share repurchase plans authorizing the repurchase of the Company’s outstanding ordinary shares. On November 8, 2017, the Company’s Board of Directors adopted a share repurchase plan for the repurchase of up to an additional $800,000 of the Company’s outstanding ordinary shares with no expiration date. On November 12, 2019, the Company’s Board of Directors adopted another share repurchase plan authorizing the repurchase of up to an additional $800,000 of the Company’s outstanding ordinary shares with no expiration date. In May 2020, the Company completed the repurchase of the remaining authorized amount of ordinary shares under the November 2017 plan and initiated repurchases of the Company’s outstanding ordinary shares pursuant to the November 2019 plan. In the nine months ended June 30, 2020, the Company repurchased 4,147 ordinary shares at an average price of $65.11 per share (excluding broker and transaction fees). The November 2019 plan permits the Company to purchase its ordinary shares in the open market or through privately negotiated transactions at times and prices that it considers appropriate. As of June 30, 2020, the Company had remaining authority to repurchase up to $769,171 of its outstanding ordinary shares under the November 2019 plan.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0" w:right="49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Arrangements</w:t>
      </w:r>
    </w:p>
    <w:p>
      <w:pPr>
        <w:spacing w:after="0" w:line="121"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In December 2011, the Company entered into a $500,000 five-year revolving credit facility with a syndicate of banks (the “Revolving Credit Facility”). In December 2014, the Revolving Credit Facility was amended and restated to, among other things, extend the maturity date of the facility to December 2019. In December 2017, the Revolving Credit Facility was amended and restated again to, among other things, extend the maturity date of the facility to December 2022. In March 2020, the Company drew an aggregate of $300,000 under the Revolving Credit Facility and repaid it in full in June 2020 in connection with the issuance of our Senior Notes. As of June 30, 2020, the Company was in compliance with the financial covenants and had no outstanding borrowings under the Revolving Credit Facility.</w:t>
      </w:r>
    </w:p>
    <w:p>
      <w:pPr>
        <w:spacing w:after="0" w:line="192"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In addition, unassociated with the Revolving Credit Facility discussed above, in the three months ended March 31, 2020, the Company entered into a $50,000 short-term loan and repaid it in full in June 2020 in connection with the issuance of our Senior Notes. In May 2020 the Company entered into an additional $100,000 short-term loan and which remains outstanding as of June 30, 2020.</w:t>
      </w:r>
    </w:p>
    <w:p>
      <w:pPr>
        <w:spacing w:after="0" w:line="184" w:lineRule="exact"/>
        <w:rPr>
          <w:sz w:val="20"/>
          <w:szCs w:val="20"/>
          <w:color w:val="auto"/>
        </w:rPr>
      </w:pPr>
    </w:p>
    <w:p>
      <w:pPr>
        <w:ind w:left="220" w:firstLine="216"/>
        <w:spacing w:after="0" w:line="255" w:lineRule="auto"/>
        <w:rPr>
          <w:sz w:val="20"/>
          <w:szCs w:val="20"/>
          <w:color w:val="auto"/>
        </w:rPr>
      </w:pPr>
      <w:r>
        <w:rPr>
          <w:rFonts w:ascii="Arial" w:cs="Arial" w:eastAsia="Arial" w:hAnsi="Arial"/>
          <w:sz w:val="18"/>
          <w:szCs w:val="18"/>
          <w:color w:val="auto"/>
        </w:rPr>
        <w:t>In June 2020, the Company issued an aggregate principal amount of $650,000 in Senior Notes that will mature in June 2030 and bear interest at a fixed rate of 2.538 percent per annum (the “Senior Notes”). The interest is payable semi-annually in June and December of each year, commencing in December 2020. The Company incurred issuance costs of $6,210 which are being amortized to interest expenses over the term of the Senior Notes using the effective interest rate. The Senior Notes are senior unsecured obligations of the Company and will rank equally in right of payment with all existing and future senior indebtedness of the Company, including any indebtedness the Company may incur from time to time under the Revolving Credit Facility.</w:t>
      </w:r>
    </w:p>
    <w:p>
      <w:pPr>
        <w:spacing w:after="0" w:line="192" w:lineRule="exact"/>
        <w:rPr>
          <w:sz w:val="20"/>
          <w:szCs w:val="20"/>
          <w:color w:val="auto"/>
        </w:rPr>
      </w:pPr>
    </w:p>
    <w:p>
      <w:pPr>
        <w:ind w:left="220" w:right="240" w:firstLine="216"/>
        <w:spacing w:after="0" w:line="263" w:lineRule="auto"/>
        <w:rPr>
          <w:sz w:val="20"/>
          <w:szCs w:val="20"/>
          <w:color w:val="auto"/>
        </w:rPr>
      </w:pPr>
      <w:r>
        <w:rPr>
          <w:rFonts w:ascii="Arial" w:cs="Arial" w:eastAsia="Arial" w:hAnsi="Arial"/>
          <w:sz w:val="18"/>
          <w:szCs w:val="18"/>
          <w:color w:val="auto"/>
        </w:rPr>
        <w:t>The total interest expenses for the three and nine months ended June 30, 2020, were immaterial. The accrued interest on the Senior Notes is included in accrued expenses and other current liabilities and was immaterial as of June 30, 2020. As of June 30, 2020, the noncurrent outstanding principal portion was $650,000.</w:t>
      </w:r>
    </w:p>
    <w:p>
      <w:pPr>
        <w:spacing w:after="0" w:line="184"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As of June 30, 2020, the Company had additional uncommitted lines of credit available for general corporate and other specific purposes and had outstanding letters of credit and bank guarantees from various banks totaling $92,708. These were supported by a combination of the uncommitted lines of credit that the Company maintains with various banks.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and Incentive Plan</w:t>
      </w:r>
    </w:p>
    <w:p>
      <w:pPr>
        <w:spacing w:after="0" w:line="121" w:lineRule="exact"/>
        <w:rPr>
          <w:sz w:val="20"/>
          <w:szCs w:val="20"/>
          <w:color w:val="auto"/>
        </w:rPr>
      </w:pPr>
    </w:p>
    <w:p>
      <w:pPr>
        <w:ind w:right="140" w:firstLine="440"/>
        <w:spacing w:after="0" w:line="271" w:lineRule="auto"/>
        <w:rPr>
          <w:sz w:val="20"/>
          <w:szCs w:val="20"/>
          <w:color w:val="auto"/>
        </w:rPr>
      </w:pPr>
      <w:r>
        <w:rPr>
          <w:rFonts w:ascii="Arial" w:cs="Arial" w:eastAsia="Arial" w:hAnsi="Arial"/>
          <w:sz w:val="17"/>
          <w:szCs w:val="17"/>
          <w:color w:val="auto"/>
        </w:rPr>
        <w:t>In January 1998, the Company adopted the 1998 Stock Option and Incentive Plan, or Equity Incentive Plan, which provides for the grant of restricted stock awards,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2017, the maximum number of ordinary shares authorized to be granted under the Equity Incentive Plan was increased from 62,300 to 67,550. The issuance of such additional shares was registered with the SEC in February 2018. In January 2020, the maximum number of ordinary shares authorized to be granted under the Equity Incentive Plan was increased from 67,550 to 70,550. Awards granted under the Equity Incentive Plan generally vest over a period of three to four years and stock options have a term of ten years. Also, in accordance with the Equity Incentive Plan, options are issued at or above the market price at the time of grant.</w:t>
      </w:r>
    </w:p>
    <w:p>
      <w:pPr>
        <w:spacing w:after="0" w:line="178" w:lineRule="exact"/>
        <w:rPr>
          <w:sz w:val="20"/>
          <w:szCs w:val="20"/>
          <w:color w:val="auto"/>
        </w:rPr>
      </w:pPr>
    </w:p>
    <w:p>
      <w:pPr>
        <w:ind w:right="460" w:firstLine="440"/>
        <w:spacing w:after="0" w:line="308" w:lineRule="auto"/>
        <w:rPr>
          <w:sz w:val="20"/>
          <w:szCs w:val="20"/>
          <w:color w:val="auto"/>
        </w:rPr>
      </w:pPr>
      <w:r>
        <w:rPr>
          <w:rFonts w:ascii="Arial" w:cs="Arial" w:eastAsia="Arial" w:hAnsi="Arial"/>
          <w:sz w:val="17"/>
          <w:szCs w:val="17"/>
          <w:color w:val="auto"/>
        </w:rPr>
        <w:t>During the nine months ended June 30, 2020, the Company granted 630 restricted shares and options to purchase 1,108 ordinary shares. The weighted average fair values associated with these grants were $70.43 per restricted share and $8.85 per option.</w:t>
      </w:r>
    </w:p>
    <w:p>
      <w:pPr>
        <w:spacing w:after="0" w:line="146"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Equity-based payments to employees, including grants of employee stock options, are recognized in the statements of income based on their fair values.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Employee equity-based compensation pre-tax expense for the three and nine months ended June 30, 2020 and 2019 was as follows:</w:t>
      </w:r>
    </w:p>
    <w:p>
      <w:pPr>
        <w:spacing w:after="0" w:line="24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4"/>
              </w:rPr>
              <w:t>Three months ended</w:t>
            </w:r>
          </w:p>
        </w:tc>
        <w:tc>
          <w:tcPr>
            <w:tcW w:w="15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15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340" w:type="dxa"/>
            <w:vAlign w:val="bottom"/>
          </w:tcPr>
          <w:p>
            <w:pPr>
              <w:spacing w:after="0"/>
              <w:rPr>
                <w:sz w:val="12"/>
                <w:szCs w:val="12"/>
                <w:color w:val="auto"/>
              </w:rPr>
            </w:pPr>
          </w:p>
        </w:tc>
        <w:tc>
          <w:tcPr>
            <w:tcW w:w="6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$5,080</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$15,024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$15,261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711</w:t>
            </w:r>
          </w:p>
        </w:tc>
        <w:tc>
          <w:tcPr>
            <w:tcW w:w="3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608</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2,237</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1,957</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5,365</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3,147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15,309</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13,348</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11,061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8,835</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32,570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30,566</w:t>
            </w:r>
          </w:p>
        </w:tc>
        <w:tc>
          <w:tcPr>
            <w:tcW w:w="4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60" w:firstLine="440"/>
        <w:spacing w:after="0" w:line="286" w:lineRule="auto"/>
        <w:rPr>
          <w:sz w:val="20"/>
          <w:szCs w:val="20"/>
          <w:color w:val="auto"/>
        </w:rPr>
      </w:pPr>
      <w:r>
        <w:rPr>
          <w:rFonts w:ascii="Arial" w:cs="Arial" w:eastAsia="Arial" w:hAnsi="Arial"/>
          <w:sz w:val="17"/>
          <w:szCs w:val="17"/>
          <w:color w:val="auto"/>
        </w:rPr>
        <w:t>The Company recognizes compensation costs for its equity incentive grants using the graded vesting attribution method. As of June 30, 2020, there was $50,916 of unrecognized compensation expense related to unvested stock options and unvested restricted shares which is expected to be recognized over a weighted average period of approximately one year, based on the vesting periods of the grants.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Dividends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Board of Directors declared the following dividends during the nine months ended June 30, 2020 and 2019:</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4"/>
              </w:rPr>
              <w:t>Declaration Date</w:t>
            </w:r>
          </w:p>
        </w:tc>
        <w:tc>
          <w:tcPr>
            <w:tcW w:w="2200" w:type="dxa"/>
            <w:vAlign w:val="bottom"/>
            <w:vMerge w:val="restart"/>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420" w:type="dxa"/>
            <w:vAlign w:val="bottom"/>
          </w:tcPr>
          <w:p>
            <w:pPr>
              <w:spacing w:after="0"/>
              <w:rPr>
                <w:sz w:val="14"/>
                <w:szCs w:val="14"/>
                <w:color w:val="auto"/>
              </w:rPr>
            </w:pPr>
          </w:p>
        </w:tc>
        <w:tc>
          <w:tcPr>
            <w:tcW w:w="2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Record Date</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Amount</w:t>
            </w:r>
          </w:p>
        </w:tc>
        <w:tc>
          <w:tcPr>
            <w:tcW w:w="400" w:type="dxa"/>
            <w:vAlign w:val="bottom"/>
          </w:tcPr>
          <w:p>
            <w:pPr>
              <w:spacing w:after="0"/>
              <w:rPr>
                <w:sz w:val="14"/>
                <w:szCs w:val="14"/>
                <w:color w:val="auto"/>
              </w:rPr>
            </w:pPr>
          </w:p>
        </w:tc>
        <w:tc>
          <w:tcPr>
            <w:tcW w:w="12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8"/>
        </w:trPr>
        <w:tc>
          <w:tcPr>
            <w:tcW w:w="1060" w:type="dxa"/>
            <w:vAlign w:val="bottom"/>
            <w:tcBorders>
              <w:bottom w:val="single" w:sz="8" w:color="auto"/>
            </w:tcBorders>
            <w:vMerge w:val="continue"/>
          </w:tcPr>
          <w:p>
            <w:pPr>
              <w:spacing w:after="0"/>
              <w:rPr>
                <w:sz w:val="15"/>
                <w:szCs w:val="15"/>
                <w:color w:val="auto"/>
              </w:rPr>
            </w:pPr>
          </w:p>
        </w:tc>
        <w:tc>
          <w:tcPr>
            <w:tcW w:w="2200" w:type="dxa"/>
            <w:vAlign w:val="bottom"/>
            <w:vMerge w:val="continue"/>
          </w:tcPr>
          <w:p>
            <w:pPr>
              <w:spacing w:after="0"/>
              <w:rPr>
                <w:sz w:val="15"/>
                <w:szCs w:val="15"/>
                <w:color w:val="auto"/>
              </w:rPr>
            </w:pPr>
          </w:p>
        </w:tc>
        <w:tc>
          <w:tcPr>
            <w:tcW w:w="13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Ordinary Share</w:t>
            </w:r>
          </w:p>
        </w:tc>
        <w:tc>
          <w:tcPr>
            <w:tcW w:w="42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May 7, 2020</w:t>
            </w: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0.3275</w:t>
            </w: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June 30, 2020</w:t>
            </w:r>
          </w:p>
        </w:tc>
        <w:tc>
          <w:tcPr>
            <w:tcW w:w="7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43,568</w:t>
            </w: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July 24, 2020</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February 4, 2020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0.3275</w:t>
            </w:r>
          </w:p>
        </w:tc>
        <w:tc>
          <w:tcPr>
            <w:tcW w:w="2580" w:type="dxa"/>
            <w:vAlign w:val="bottom"/>
            <w:gridSpan w:val="3"/>
          </w:tcPr>
          <w:p>
            <w:pPr>
              <w:ind w:left="420"/>
              <w:spacing w:after="0"/>
              <w:rPr>
                <w:sz w:val="20"/>
                <w:szCs w:val="20"/>
                <w:color w:val="auto"/>
              </w:rPr>
            </w:pPr>
            <w:r>
              <w:rPr>
                <w:rFonts w:ascii="Arial" w:cs="Arial" w:eastAsia="Arial" w:hAnsi="Arial"/>
                <w:sz w:val="18"/>
                <w:szCs w:val="18"/>
                <w:color w:val="auto"/>
              </w:rPr>
              <w:t>March 31, 2020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43,723</w:t>
            </w:r>
          </w:p>
        </w:tc>
        <w:tc>
          <w:tcPr>
            <w:tcW w:w="1640" w:type="dxa"/>
            <w:vAlign w:val="bottom"/>
            <w:gridSpan w:val="2"/>
          </w:tcPr>
          <w:p>
            <w:pPr>
              <w:ind w:left="400"/>
              <w:spacing w:after="0"/>
              <w:rPr>
                <w:sz w:val="20"/>
                <w:szCs w:val="20"/>
                <w:color w:val="auto"/>
              </w:rPr>
            </w:pPr>
            <w:r>
              <w:rPr>
                <w:rFonts w:ascii="Arial" w:cs="Arial" w:eastAsia="Arial" w:hAnsi="Arial"/>
                <w:sz w:val="18"/>
                <w:szCs w:val="18"/>
                <w:color w:val="auto"/>
              </w:rPr>
              <w:t>April 24, 2020</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12, 2019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0.285</w:t>
            </w:r>
          </w:p>
        </w:tc>
        <w:tc>
          <w:tcPr>
            <w:tcW w:w="25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December 31, 2019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38,357</w:t>
            </w:r>
          </w:p>
        </w:tc>
        <w:tc>
          <w:tcPr>
            <w:tcW w:w="1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7"/>
              </w:rPr>
              <w:t>January 24, 2020</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May 14, 2019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0.285</w:t>
            </w:r>
          </w:p>
        </w:tc>
        <w:tc>
          <w:tcPr>
            <w:tcW w:w="2580" w:type="dxa"/>
            <w:vAlign w:val="bottom"/>
            <w:gridSpan w:val="3"/>
          </w:tcPr>
          <w:p>
            <w:pPr>
              <w:ind w:left="420"/>
              <w:spacing w:after="0"/>
              <w:rPr>
                <w:sz w:val="20"/>
                <w:szCs w:val="20"/>
                <w:color w:val="auto"/>
              </w:rPr>
            </w:pPr>
            <w:r>
              <w:rPr>
                <w:rFonts w:ascii="Arial" w:cs="Arial" w:eastAsia="Arial" w:hAnsi="Arial"/>
                <w:sz w:val="18"/>
                <w:szCs w:val="18"/>
                <w:color w:val="auto"/>
              </w:rPr>
              <w:t>June 28, 2019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38,730</w:t>
            </w:r>
          </w:p>
        </w:tc>
        <w:tc>
          <w:tcPr>
            <w:tcW w:w="1640" w:type="dxa"/>
            <w:vAlign w:val="bottom"/>
            <w:gridSpan w:val="2"/>
          </w:tcPr>
          <w:p>
            <w:pPr>
              <w:ind w:left="400"/>
              <w:spacing w:after="0"/>
              <w:rPr>
                <w:sz w:val="20"/>
                <w:szCs w:val="20"/>
                <w:color w:val="auto"/>
              </w:rPr>
            </w:pPr>
            <w:r>
              <w:rPr>
                <w:rFonts w:ascii="Arial" w:cs="Arial" w:eastAsia="Arial" w:hAnsi="Arial"/>
                <w:sz w:val="18"/>
                <w:szCs w:val="18"/>
                <w:color w:val="auto"/>
              </w:rPr>
              <w:t>July 19, 2019</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5, 2019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0.285</w:t>
            </w:r>
          </w:p>
        </w:tc>
        <w:tc>
          <w:tcPr>
            <w:tcW w:w="25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March 29, 2019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39,084</w:t>
            </w:r>
          </w:p>
        </w:tc>
        <w:tc>
          <w:tcPr>
            <w:tcW w:w="1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April 19, 2019</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November 8, 2018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0.250</w:t>
            </w:r>
          </w:p>
        </w:tc>
        <w:tc>
          <w:tcPr>
            <w:tcW w:w="2580" w:type="dxa"/>
            <w:vAlign w:val="bottom"/>
            <w:gridSpan w:val="3"/>
          </w:tcPr>
          <w:p>
            <w:pPr>
              <w:ind w:left="420"/>
              <w:spacing w:after="0"/>
              <w:rPr>
                <w:sz w:val="20"/>
                <w:szCs w:val="20"/>
                <w:color w:val="auto"/>
              </w:rPr>
            </w:pPr>
            <w:r>
              <w:rPr>
                <w:rFonts w:ascii="Arial" w:cs="Arial" w:eastAsia="Arial" w:hAnsi="Arial"/>
                <w:sz w:val="18"/>
                <w:szCs w:val="18"/>
                <w:color w:val="auto"/>
              </w:rPr>
              <w:t>December 31, 2018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34,755</w:t>
            </w:r>
          </w:p>
        </w:tc>
        <w:tc>
          <w:tcPr>
            <w:tcW w:w="1640" w:type="dxa"/>
            <w:vAlign w:val="bottom"/>
            <w:gridSpan w:val="2"/>
          </w:tcPr>
          <w:p>
            <w:pPr>
              <w:ind w:left="400"/>
              <w:spacing w:after="0"/>
              <w:rPr>
                <w:sz w:val="20"/>
                <w:szCs w:val="20"/>
                <w:color w:val="auto"/>
              </w:rPr>
            </w:pPr>
            <w:r>
              <w:rPr>
                <w:rFonts w:ascii="Arial" w:cs="Arial" w:eastAsia="Arial" w:hAnsi="Arial"/>
                <w:sz w:val="18"/>
                <w:szCs w:val="18"/>
                <w:color w:val="auto"/>
                <w:w w:val="87"/>
              </w:rPr>
              <w:t>January 18, 2019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amounts payable as a result of the May 7, 2020 and May 14, 2019 declarations were included in accrued expenses and other current liabilities as of June 30, 2020 and 2019, respectively.</w:t>
      </w:r>
    </w:p>
    <w:p>
      <w:pPr>
        <w:spacing w:after="0" w:line="170" w:lineRule="exact"/>
        <w:rPr>
          <w:sz w:val="20"/>
          <w:szCs w:val="20"/>
          <w:color w:val="auto"/>
        </w:rPr>
      </w:pPr>
    </w:p>
    <w:p>
      <w:pPr>
        <w:ind w:right="140" w:firstLine="440"/>
        <w:spacing w:after="0" w:line="308" w:lineRule="auto"/>
        <w:rPr>
          <w:sz w:val="20"/>
          <w:szCs w:val="20"/>
          <w:color w:val="auto"/>
        </w:rPr>
      </w:pPr>
      <w:r>
        <w:rPr>
          <w:rFonts w:ascii="Arial" w:cs="Arial" w:eastAsia="Arial" w:hAnsi="Arial"/>
          <w:sz w:val="17"/>
          <w:szCs w:val="17"/>
          <w:color w:val="auto"/>
        </w:rPr>
        <w:t>On August 5, 2020 the Company’s Board of Directors approved the next quarterly dividend payment of $0.3275 per share and set September 30, 2020 as the record date for determining the shareholders entitled to receive the dividend, which is payable on October 23, 2020.</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12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As discussed in Note 3, the Company adopted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a lessee, substantially all of the Company’s lease obligation is for office real estate. The significant judgments used in determining its lease obligation include whether a contract is or contains a lease and the determination of the discount rate used to calculate the lease liability.</w:t>
      </w:r>
    </w:p>
    <w:p>
      <w:pPr>
        <w:spacing w:after="0" w:line="184"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The Company’s leases may include the option to extend or terminate before the end of the contractual term and are often non-cancelable or cancelable only by the payment of penalties. The lease assets and liabilities include these options in the lease term when it is reasonably certain that they will be exercised. In certain cases, the Company subleases excess office real estate to third-party tenants in immaterial amounts.</w:t>
      </w:r>
    </w:p>
    <w:p>
      <w:pPr>
        <w:spacing w:after="0" w:line="16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Lease assets and liabilities recognized at the lease commencement date are determined predominantly as the present value of the payments due over the lease term. Unless the implicit rate can be determined, the Company uses its incremental borrowing rate on that date to calculate the present value. The incremental borrowing rate approximates the rate at which the Company could borrow, on a secured basis for a similar term, an amount equal to its lease payments in a similar economic environment.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22" w:name="page23"/>
    <w:bookmarkEnd w:id="2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43"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Effective October 1, 2019, when the Company is the lessee, all leases are recognized as lease liabilities and associated lease assets on the Consolidated Balance Sheet. Lease liabilities represent the Company’s obligation to make payments arising from the lease. Lease assets represent the Company’s right to use an underlying asset for the lease term and may also include advance payments, initial direct costs or lease incentives. Fixed and variable payments that depend upon an index or rate, such as the Consumer Price Index (CPI), are included in the recognition of lease assets and liabilities at the commencement-date rate. Other variable payments, such as common area maintenance, property and other taxes, utilities and insurance that are based on the lessor’s cost, are recognized in the Consolidated Income Statement in the period incurred.</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June 30, 2020, the Company had no material finance leases. Operating lease expense is recorded on a straight-line basis over the lease term.</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Lease costs were as follows</w:t>
      </w:r>
      <w:r>
        <w:rPr>
          <w:rFonts w:ascii="Arial" w:cs="Arial" w:eastAsia="Arial" w:hAnsi="Arial"/>
          <w:sz w:val="18"/>
          <w:szCs w:val="18"/>
          <w:b w:val="1"/>
          <w:bCs w:val="1"/>
          <w:color w:val="auto"/>
        </w:rPr>
        <w:t>:</w:t>
      </w: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16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1"/>
              </w:rPr>
              <w:t>Three months ended</w:t>
            </w:r>
          </w:p>
        </w:tc>
        <w:tc>
          <w:tcPr>
            <w:tcW w:w="12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Nine months ended</w:t>
            </w:r>
          </w:p>
        </w:tc>
      </w:tr>
      <w:tr>
        <w:trPr>
          <w:trHeight w:val="148"/>
        </w:trPr>
        <w:tc>
          <w:tcPr>
            <w:tcW w:w="4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71"/>
        </w:trPr>
        <w:tc>
          <w:tcPr>
            <w:tcW w:w="49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6"/>
              </w:rPr>
              <w:t>2020</w:t>
            </w:r>
          </w:p>
        </w:tc>
        <w:tc>
          <w:tcPr>
            <w:tcW w:w="9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CCEEFF"/>
            </w:tcBorders>
          </w:tcPr>
          <w:p>
            <w:pPr>
              <w:spacing w:after="0"/>
              <w:rPr>
                <w:sz w:val="14"/>
                <w:szCs w:val="14"/>
                <w:color w:val="auto"/>
              </w:rPr>
            </w:pPr>
          </w:p>
        </w:tc>
      </w:tr>
      <w:tr>
        <w:trPr>
          <w:trHeight w:val="209"/>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net lease cost (*)</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22,909</w:t>
            </w:r>
          </w:p>
        </w:tc>
        <w:tc>
          <w:tcPr>
            <w:tcW w:w="9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68,011</w:t>
            </w:r>
          </w:p>
        </w:tc>
        <w:tc>
          <w:tcPr>
            <w:tcW w:w="40" w:type="dxa"/>
            <w:vAlign w:val="bottom"/>
            <w:shd w:val="clear" w:color="auto" w:fill="CCEEFF"/>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7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Variable lease cost is immaterial</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440" w:top="270" w:right="519" w:bottom="1440" w:gutter="0" w:footer="0" w:header="0"/>
        </w:sectPr>
      </w:pPr>
    </w:p>
    <w:bookmarkStart w:id="23" w:name="page24"/>
    <w:bookmarkEnd w:id="23"/>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Supplemental information related to operating lease transactions was as follows:</w:t>
      </w:r>
    </w:p>
    <w:p>
      <w:pPr>
        <w:spacing w:after="0" w:line="231"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w w:val="93"/>
              </w:rPr>
              <w:t>Nine months ended</w:t>
            </w:r>
          </w:p>
        </w:tc>
      </w:tr>
      <w:tr>
        <w:trPr>
          <w:trHeight w:val="148"/>
        </w:trPr>
        <w:tc>
          <w:tcPr>
            <w:tcW w:w="5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71"/>
        </w:trPr>
        <w:tc>
          <w:tcPr>
            <w:tcW w:w="524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r>
      <w:tr>
        <w:trPr>
          <w:trHeight w:val="209"/>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payments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83"/>
              </w:rPr>
              <w:t>66,682</w:t>
            </w:r>
          </w:p>
        </w:tc>
        <w:tc>
          <w:tcPr>
            <w:tcW w:w="60" w:type="dxa"/>
            <w:vAlign w:val="bottom"/>
            <w:shd w:val="clear" w:color="auto" w:fill="CCEEFF"/>
          </w:tcPr>
          <w:p>
            <w:pPr>
              <w:spacing w:after="0"/>
              <w:rPr>
                <w:sz w:val="18"/>
                <w:szCs w:val="18"/>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Lease assets obtained in exchange for liabilities</w:t>
            </w:r>
          </w:p>
        </w:tc>
        <w:tc>
          <w:tcPr>
            <w:tcW w:w="12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480"/>
              <w:spacing w:after="0"/>
              <w:rPr>
                <w:sz w:val="20"/>
                <w:szCs w:val="20"/>
                <w:color w:val="auto"/>
              </w:rPr>
            </w:pPr>
            <w:r>
              <w:rPr>
                <w:rFonts w:ascii="Arial" w:cs="Arial" w:eastAsia="Arial" w:hAnsi="Arial"/>
                <w:sz w:val="18"/>
                <w:szCs w:val="18"/>
                <w:color w:val="auto"/>
                <w:w w:val="94"/>
              </w:rPr>
              <w:t>79,472</w:t>
            </w:r>
          </w:p>
        </w:tc>
      </w:tr>
      <w:tr>
        <w:trPr>
          <w:trHeight w:val="354"/>
        </w:trPr>
        <w:tc>
          <w:tcPr>
            <w:tcW w:w="5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 of June 30,</w:t>
            </w:r>
          </w:p>
        </w:tc>
      </w:tr>
      <w:tr>
        <w:trPr>
          <w:trHeight w:val="171"/>
        </w:trPr>
        <w:tc>
          <w:tcPr>
            <w:tcW w:w="5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209"/>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remaining lease term – Operating leases</w:t>
            </w:r>
          </w:p>
        </w:tc>
        <w:tc>
          <w:tcPr>
            <w:tcW w:w="1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5"/>
              </w:rPr>
              <w:t>7.7 Years</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Weighted average discount rate – Operating leases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99"/>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maturity analysis presents future undiscounted cash outflows for operating leases as of June 30, 2020</w:t>
      </w:r>
    </w:p>
    <w:p>
      <w:pPr>
        <w:spacing w:after="0" w:line="244" w:lineRule="exact"/>
        <w:rPr>
          <w:sz w:val="20"/>
          <w:szCs w:val="20"/>
          <w:color w:val="auto"/>
        </w:rPr>
      </w:pPr>
    </w:p>
    <w:tbl>
      <w:tblPr>
        <w:tblLayout w:type="fixed"/>
        <w:tblInd w:w="176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9"/>
              </w:rPr>
              <w:t>For the year ended June 30,</w:t>
            </w:r>
          </w:p>
        </w:tc>
        <w:tc>
          <w:tcPr>
            <w:tcW w:w="4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2020 (Remainder)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17,744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69,905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2022</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61,093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39,724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2024</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31,259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133,343</w:t>
            </w:r>
          </w:p>
        </w:tc>
        <w:tc>
          <w:tcPr>
            <w:tcW w:w="80" w:type="dxa"/>
            <w:vAlign w:val="bottom"/>
            <w:shd w:val="clear" w:color="auto" w:fill="CCEEFF"/>
          </w:tcPr>
          <w:p>
            <w:pPr>
              <w:spacing w:after="0"/>
              <w:rPr>
                <w:sz w:val="18"/>
                <w:szCs w:val="18"/>
                <w:color w:val="auto"/>
              </w:rPr>
            </w:pPr>
          </w:p>
        </w:tc>
      </w:tr>
      <w:tr>
        <w:trPr>
          <w:trHeight w:val="223"/>
        </w:trPr>
        <w:tc>
          <w:tcPr>
            <w:tcW w:w="6680" w:type="dxa"/>
            <w:vAlign w:val="bottom"/>
            <w:gridSpan w:val="3"/>
          </w:tcPr>
          <w:p>
            <w:pPr>
              <w:spacing w:after="0"/>
              <w:rPr>
                <w:sz w:val="20"/>
                <w:szCs w:val="20"/>
                <w:color w:val="auto"/>
              </w:rPr>
            </w:pPr>
            <w:r>
              <w:rPr>
                <w:rFonts w:ascii="Arial" w:cs="Arial" w:eastAsia="Arial" w:hAnsi="Arial"/>
                <w:sz w:val="18"/>
                <w:szCs w:val="18"/>
                <w:color w:val="auto"/>
              </w:rPr>
              <w:t>Total lease payments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353,068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(56,820)</w:t>
            </w:r>
          </w:p>
        </w:tc>
      </w:tr>
      <w:tr>
        <w:trPr>
          <w:trHeight w:val="223"/>
        </w:trPr>
        <w:tc>
          <w:tcPr>
            <w:tcW w:w="6680" w:type="dxa"/>
            <w:vAlign w:val="bottom"/>
            <w:gridSpan w:val="3"/>
          </w:tcPr>
          <w:p>
            <w:pPr>
              <w:spacing w:after="0"/>
              <w:rPr>
                <w:sz w:val="20"/>
                <w:szCs w:val="20"/>
                <w:color w:val="auto"/>
              </w:rPr>
            </w:pPr>
            <w:r>
              <w:rPr>
                <w:rFonts w:ascii="Arial" w:cs="Arial" w:eastAsia="Arial" w:hAnsi="Arial"/>
                <w:sz w:val="18"/>
                <w:szCs w:val="18"/>
                <w:color w:val="auto"/>
              </w:rPr>
              <w:t>Present value of lease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296,248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Future minimum rental commitments under non-cancelable operating leases as of September 30, 2019, which were accounted for per prior lease accounting (ASC 840), were as follows:</w:t>
      </w:r>
    </w:p>
    <w:p>
      <w:pPr>
        <w:spacing w:after="0" w:line="190" w:lineRule="exact"/>
        <w:rPr>
          <w:sz w:val="20"/>
          <w:szCs w:val="20"/>
          <w:color w:val="auto"/>
        </w:rPr>
      </w:pPr>
    </w:p>
    <w:tbl>
      <w:tblPr>
        <w:tblLayout w:type="fixed"/>
        <w:tblInd w:w="1760" w:type="dxa"/>
        <w:tblCellMar>
          <w:top w:w="0" w:type="dxa"/>
          <w:left w:w="0" w:type="dxa"/>
          <w:bottom w:w="0" w:type="dxa"/>
          <w:right w:w="0" w:type="dxa"/>
        </w:tblCellMar>
      </w:tblPr>
      <w:tr>
        <w:trPr>
          <w:trHeight w:val="223"/>
        </w:trPr>
        <w:tc>
          <w:tcPr>
            <w:tcW w:w="20" w:type="dxa"/>
            <w:vAlign w:val="bottom"/>
          </w:tcPr>
          <w:p>
            <w:pPr>
              <w:spacing w:after="0"/>
              <w:rPr>
                <w:sz w:val="18"/>
                <w:szCs w:val="18"/>
                <w:color w:val="auto"/>
              </w:rPr>
            </w:pPr>
          </w:p>
        </w:tc>
        <w:tc>
          <w:tcPr>
            <w:tcW w:w="2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9"/>
              </w:rPr>
              <w:t>For the year ended September 30,</w:t>
            </w:r>
          </w:p>
        </w:tc>
        <w:tc>
          <w:tcPr>
            <w:tcW w:w="4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2020</w:t>
            </w:r>
          </w:p>
        </w:tc>
        <w:tc>
          <w:tcPr>
            <w:tcW w:w="45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69,043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2022</w:t>
            </w: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51,863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2024</w:t>
            </w: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24,350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4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93,845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331,596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400" w:type="dxa"/>
            <w:vAlign w:val="bottom"/>
            <w:vMerge w:val="restart"/>
          </w:tcPr>
          <w:p>
            <w:pPr>
              <w:jc w:val="right"/>
              <w:ind w:right="28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440" w:top="270" w:right="639" w:bottom="1440" w:gutter="0" w:footer="0" w:header="0"/>
        </w:sectPr>
      </w:pPr>
    </w:p>
    <w:bookmarkStart w:id="24" w:name="page25"/>
    <w:bookmarkEnd w:id="24"/>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39" w:lineRule="exact"/>
        <w:rPr>
          <w:sz w:val="20"/>
          <w:szCs w:val="20"/>
          <w:color w:val="auto"/>
        </w:rPr>
      </w:pPr>
    </w:p>
    <w:p>
      <w:pPr>
        <w:ind w:left="444" w:right="9200" w:hanging="444"/>
        <w:spacing w:after="0" w:line="425" w:lineRule="auto"/>
        <w:tabs>
          <w:tab w:leader="none" w:pos="278"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i w:val="1"/>
          <w:iCs w:val="1"/>
          <w:color w:val="auto"/>
        </w:rPr>
        <w:t>Legal Proceedings</w:t>
      </w:r>
    </w:p>
    <w:p>
      <w:pPr>
        <w:ind w:left="4" w:firstLine="440"/>
        <w:spacing w:after="0" w:line="279"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71"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Certain of the Company’s subsidiaries are currently in a dispute with a state-owned telecom enterprise in Ecuador, which appears to have political aspects. The Company’s counterparty has claimed monetary damages. The dispute is over contracts, under which the Company was providing certain services, which have been terminated by the counterparty in connection with such dispute and which are under scrutiny by certain local governmental authorities. The Company believes it has solid arguments and is vigorously defending its rights. To date, however, the Ecuadorian Courts have responded to such defense efforts, including motions alleging constitutional defects, in an inconsistent manner. While we have achieved some successes, the majority of the procedures are still ongoing. The Company is unable to reasonably estimate the ultimate outcome of the above dispute.</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17. Subsequent Event</w:t>
      </w:r>
    </w:p>
    <w:p>
      <w:pPr>
        <w:spacing w:after="0" w:line="121"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As previously announced, in July 2020, the Company entered into a definitive agreement to acquire Openet Telecom Limited (“Openet)” for approximately $180,000 in cash. The Company completed the acquisition on August 11, 2020. Openet offers cloud-native capabilities, network pedigree, and deep 5G charging, policy and data management expertise and its solutions complement the Amdocs portfolio. Openet is headquartered in Ireland, with offices in the U.S., Malaysia and Brazil and a global customer base.</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4"/>
          </w:cols>
          <w:pgMar w:left="436" w:top="270" w:right="4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2. Operating and Financial Review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jc w:val="both"/>
        <w:ind w:right="200" w:firstLine="440"/>
        <w:spacing w:after="0" w:line="287"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92"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Important factors that may affect these projections or expectations include, but are not limited to: changes in the overall economy; the duration and severity of the COVID-19 (coronavirus) pandemic, and its impact on the global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year 2019, filed on December 16, 2019 with the U.S. Securities and Exchange Commission and Part II—Item 3—“Risk Factors” of this report.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Amdocs is a leading provider of software and services for more than 350 communications, Pay TV, entertainment and media industry and other service providers in developed countries and emerging markets. Amdocs also has technology and distribution ties to more than 1,400 content owners to bring premium content to over 800 video service providers. Our software and services, which we develop, implement and manage, are designed to meet the business imperatives of our customers and help them modernize, automate and digitize their business in the cloud. These imperatives address service provider needs around consumer experience and monetization; media and digital services; enterprise and connected society; open cloud and 5G networks; new domains and disruptions, and services and hybrid operations.</w:t>
      </w:r>
    </w:p>
    <w:p>
      <w:pPr>
        <w:spacing w:after="0" w:line="178"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We believe the demand for our solutions is driven by our clients’ continued transformation into digital service providers to provide wireless access services, content and applications (apps) on any device through digital and non-digital channels.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engagement and across all channels.</w:t>
      </w:r>
    </w:p>
    <w:p>
      <w:pPr>
        <w:spacing w:after="0" w:line="188"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Our open and dynamic amdocsONE portfolio is designed to meet the challenges facing our customers as they transform into digital service providers within the framework of a hybrid IT environment, which requires them to rapidly introduce new cloud-native applications while still operating legacy systems. amdocsONE enables modular expansion as a service provider evolves, ensuring low-cost and reduced-risk implementations, while its microservices-based architecture enables the rapid deployment of complex applications as suites of independently deployable services that can be frequently upgraded via DevOps. Our comprehensive line of services is designed to address every stage of a service provider’s lifecycle. They include consulting services, managed services, digital business operations, quality engineering services, cloud services, integration services and data and intelligence services.</w:t>
      </w:r>
    </w:p>
    <w:p>
      <w:pPr>
        <w:spacing w:after="0" w:line="195"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We conduct our business globally, and as a result we are subject to the effects of global economic conditions and, in particular, market conditions in the communications and media industry. In the nine months ended June 30, 2020, customers in North America accounted for 65.4% of our revenue, while customers in Europe and the rest of the world accounted for 14.4% and 20.2%, respectively. We maintain and support development facilities in Brazil, Canada, Cyprus, India, Ireland, Israel, Mexico, the Philippines, the UK and the United States.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derive our revenue principally from:</w:t>
      </w:r>
    </w:p>
    <w:p>
      <w:pPr>
        <w:spacing w:after="0" w:line="131" w:lineRule="exact"/>
        <w:rPr>
          <w:sz w:val="20"/>
          <w:szCs w:val="20"/>
          <w:color w:val="auto"/>
        </w:rPr>
      </w:pPr>
    </w:p>
    <w:p>
      <w:pPr>
        <w:ind w:left="960" w:right="10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0" w:right="439" w:bottom="1440" w:gutter="0" w:footer="0" w:header="0"/>
        </w:sectPr>
      </w:pPr>
    </w:p>
    <w:bookmarkStart w:id="26" w:name="page27"/>
    <w:bookmarkEnd w:id="26"/>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providing managed services in our domain expertise and other related services, and</w:t>
      </w:r>
    </w:p>
    <w:p>
      <w:pPr>
        <w:spacing w:after="0" w:line="130" w:lineRule="exact"/>
        <w:rPr>
          <w:rFonts w:ascii="Arial" w:cs="Arial" w:eastAsia="Arial" w:hAnsi="Arial"/>
          <w:sz w:val="18"/>
          <w:szCs w:val="18"/>
          <w:color w:val="auto"/>
        </w:rPr>
      </w:pPr>
    </w:p>
    <w:p>
      <w:pPr>
        <w:ind w:left="960" w:right="300" w:hanging="4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0"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Our results of operations are affected by general economic conditions and the level of economic activity in the industries and markets that we serve. The current COVID-19 pandemic has increased that level of volatility and uncertainty globally and has created economic disruption. See “Part II —Item 3—Risk Factors” of this report. While the extent of the impact of the COVID-19 pandemic on our business remains uncertain, we are currently performing on our obligations to our customers while implementing some modifications, including, among others, travel restrictions, moving almost all of our employees to work from home or hybrid home-office arrangements and establishing clear guidelines for working on-premise. Despite operating under the pandemic global restrictions, we were able to continue during the third quarter to seamlessly operate our customers’ mission-critical systems without interruption. In addition, while the COVID-19 pandemic has presented headwinds at the end of the second quarter of our fiscal year, we have seen improvement in the pace of deal signings accelerated as our third quarter progressed, which we see as an early but encouraging sign of business stabilization following the disruption of March and April resulted from the COVID-19 pandemic.</w:t>
      </w:r>
    </w:p>
    <w:p>
      <w:pPr>
        <w:spacing w:after="0" w:line="16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In addition, as a result of the business disruption caused by the COVID-19 pandemic, we cannot predict all possible scenarios and our outlook maybe impacted materially as our customers continue to evaluate their strategic business priorities and future pace of investments. We are actively monitoring the pandemic and managing our business to respond to the impact of the COVID-19. In addition, foreign exchange rates fluctuation may continue to present challenges in future periods should significant increases in volatility in foreign exchange markets occur. Although we try to mitigate the foreign currency exchange rates impact on our results through our hedging policy, we cannot assure that we will be able to effectively limit all of our exposure.</w:t>
      </w:r>
    </w:p>
    <w:p>
      <w:pPr>
        <w:spacing w:after="0" w:line="192"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recognize revenue under the five-step methodology required under ASC 606, which requires us to identify the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84" w:lineRule="exact"/>
        <w:rPr>
          <w:sz w:val="20"/>
          <w:szCs w:val="20"/>
          <w:color w:val="auto"/>
        </w:rPr>
      </w:pPr>
    </w:p>
    <w:p>
      <w:pPr>
        <w:jc w:val="both"/>
        <w:ind w:right="40" w:firstLine="440"/>
        <w:spacing w:after="0" w:line="277" w:lineRule="auto"/>
        <w:rPr>
          <w:sz w:val="20"/>
          <w:szCs w:val="20"/>
          <w:color w:val="auto"/>
        </w:rPr>
      </w:pPr>
      <w:r>
        <w:rPr>
          <w:rFonts w:ascii="Arial" w:cs="Arial" w:eastAsia="Arial" w:hAnsi="Arial"/>
          <w:sz w:val="18"/>
          <w:szCs w:val="18"/>
          <w:color w:val="auto"/>
        </w:rPr>
        <w:t>As a significant portion of our revenue is satisfied over time as work progresses, the annual and quarterly operating results may be affected by the size and timing of the initiation of customer projects as well as our progress in completing such projects.</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For our primary revenue categories, related performance obligations, and associated recognition patterns please see Note 4 to our consolidated financial statements.</w:t>
      </w:r>
    </w:p>
    <w:p>
      <w:pPr>
        <w:spacing w:after="0" w:line="170"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Revenue generated in connection with managed services arrangements is a significant part of our business, generating substantial, long-term recurring revenue streams and cash flow. Managed services arrangements include management of data center operations and IT infrastructure, application management and ongoing support, management of end-to-end business processes, and managed transformation that includes both a transformation project as well as taking over managed services responsibility. Revenue from managed services arrangements accounted for approximately $604.5 million and $578.1 million in the three months ended June 30, 2020 and 2019, respectively, and $1.79 billion and $1.66 billion in the nine months ended June 30, 2020 and 2019, respectively. Managed services engagements can be less profitable in their early stages; however, margins tend to improve over time, and this improvement is seen more rapidly in the initial period of an engagement, as we derive benefit from the operational efficiencies and from changes in the geographical mix of our resources.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Please see Note 2 to our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Results of Operations</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following table sets forth for the three and nine months ended June 30, 2020 and 2019, certain items in our consolidated statements of income reflected as a percentage of revenue (figures may not sum because of rounding):</w:t>
      </w:r>
    </w:p>
    <w:p>
      <w:pPr>
        <w:spacing w:after="0" w:line="17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5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2"/>
              </w:rPr>
              <w:t>Three months</w:t>
            </w:r>
          </w:p>
        </w:tc>
        <w:tc>
          <w:tcPr>
            <w:tcW w:w="13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5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13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4600" w:type="dxa"/>
            <w:vAlign w:val="bottom"/>
            <w:tcBorders>
              <w:bottom w:val="single" w:sz="8" w:color="CCEEFF"/>
            </w:tcBorders>
          </w:tcPr>
          <w:p>
            <w:pPr>
              <w:spacing w:after="0"/>
              <w:rPr>
                <w:sz w:val="12"/>
                <w:szCs w:val="12"/>
                <w:color w:val="auto"/>
              </w:rPr>
            </w:pPr>
          </w:p>
        </w:tc>
        <w:tc>
          <w:tcPr>
            <w:tcW w:w="264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2020</w:t>
            </w:r>
          </w:p>
        </w:tc>
        <w:tc>
          <w:tcPr>
            <w:tcW w:w="3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100%</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7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Operating expenses:</w:t>
            </w:r>
          </w:p>
        </w:tc>
        <w:tc>
          <w:tcPr>
            <w:tcW w:w="2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340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66.4</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64.9</w:t>
            </w:r>
          </w:p>
        </w:tc>
        <w:tc>
          <w:tcPr>
            <w:tcW w:w="7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65.9</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400" w:type="dxa"/>
            <w:vAlign w:val="bottom"/>
            <w:gridSpan w:val="3"/>
          </w:tcPr>
          <w:p>
            <w:pPr>
              <w:jc w:val="right"/>
              <w:ind w:right="308"/>
              <w:spacing w:after="0"/>
              <w:rPr>
                <w:sz w:val="20"/>
                <w:szCs w:val="20"/>
                <w:color w:val="auto"/>
              </w:rPr>
            </w:pPr>
            <w:r>
              <w:rPr>
                <w:rFonts w:ascii="Arial" w:cs="Arial" w:eastAsia="Arial" w:hAnsi="Arial"/>
                <w:sz w:val="18"/>
                <w:szCs w:val="18"/>
                <w:color w:val="auto"/>
              </w:rPr>
              <w:t>6.8</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6.7</w:t>
            </w:r>
          </w:p>
        </w:tc>
        <w:tc>
          <w:tcPr>
            <w:tcW w:w="760" w:type="dxa"/>
            <w:vAlign w:val="bottom"/>
            <w:gridSpan w:val="2"/>
          </w:tcPr>
          <w:p>
            <w:pPr>
              <w:jc w:val="right"/>
              <w:ind w:right="308"/>
              <w:spacing w:after="0"/>
              <w:rPr>
                <w:sz w:val="20"/>
                <w:szCs w:val="20"/>
                <w:color w:val="auto"/>
              </w:rPr>
            </w:pPr>
            <w:r>
              <w:rPr>
                <w:rFonts w:ascii="Arial" w:cs="Arial" w:eastAsia="Arial" w:hAnsi="Arial"/>
                <w:sz w:val="18"/>
                <w:szCs w:val="18"/>
                <w:color w:val="auto"/>
              </w:rPr>
              <w:t>6.6</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340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10.7</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w:t>
            </w:r>
          </w:p>
        </w:tc>
        <w:tc>
          <w:tcPr>
            <w:tcW w:w="7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11.3</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w w:val="98"/>
              </w:rPr>
              <w:t>Amortization of purchased intangible assets and other</w:t>
            </w:r>
          </w:p>
        </w:tc>
        <w:tc>
          <w:tcPr>
            <w:tcW w:w="26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2.3</w:t>
            </w:r>
          </w:p>
        </w:tc>
        <w:tc>
          <w:tcPr>
            <w:tcW w:w="760" w:type="dxa"/>
            <w:vAlign w:val="bottom"/>
            <w:gridSpan w:val="2"/>
          </w:tcPr>
          <w:p>
            <w:pPr>
              <w:jc w:val="right"/>
              <w:ind w:right="308"/>
              <w:spacing w:after="0"/>
              <w:rPr>
                <w:sz w:val="20"/>
                <w:szCs w:val="20"/>
                <w:color w:val="auto"/>
              </w:rPr>
            </w:pPr>
            <w:r>
              <w:rPr>
                <w:rFonts w:ascii="Arial" w:cs="Arial" w:eastAsia="Arial" w:hAnsi="Arial"/>
                <w:sz w:val="18"/>
                <w:szCs w:val="18"/>
                <w:color w:val="auto"/>
              </w:rPr>
              <w:t>1.9</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86.1</w:t>
            </w:r>
          </w:p>
        </w:tc>
        <w:tc>
          <w:tcPr>
            <w:tcW w:w="7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85.6</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Operating income</w:t>
            </w:r>
          </w:p>
        </w:tc>
        <w:tc>
          <w:tcPr>
            <w:tcW w:w="264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3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40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3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340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0.2</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w:t>
            </w:r>
          </w:p>
        </w:tc>
        <w:tc>
          <w:tcPr>
            <w:tcW w:w="7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0.2</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64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3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40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3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6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w:t>
            </w:r>
          </w:p>
        </w:tc>
        <w:tc>
          <w:tcPr>
            <w:tcW w:w="7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2.5</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6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vMerge w:val="continue"/>
          </w:tcPr>
          <w:p>
            <w:pPr>
              <w:spacing w:after="0"/>
              <w:rPr>
                <w:sz w:val="19"/>
                <w:szCs w:val="19"/>
                <w:color w:val="auto"/>
              </w:rPr>
            </w:pPr>
          </w:p>
        </w:tc>
        <w:tc>
          <w:tcPr>
            <w:tcW w:w="2640" w:type="dxa"/>
            <w:vAlign w:val="bottom"/>
            <w:vMerge w:val="continue"/>
          </w:tcPr>
          <w:p>
            <w:pPr>
              <w:spacing w:after="0"/>
              <w:rPr>
                <w:sz w:val="19"/>
                <w:szCs w:val="19"/>
                <w:color w:val="auto"/>
              </w:rPr>
            </w:pPr>
          </w:p>
        </w:tc>
        <w:tc>
          <w:tcPr>
            <w:tcW w:w="760" w:type="dxa"/>
            <w:vAlign w:val="bottom"/>
            <w:gridSpan w:val="2"/>
          </w:tcPr>
          <w:p>
            <w:pPr>
              <w:jc w:val="right"/>
              <w:ind w:right="168"/>
              <w:spacing w:after="0"/>
              <w:rPr>
                <w:sz w:val="20"/>
                <w:szCs w:val="20"/>
                <w:color w:val="auto"/>
              </w:rPr>
            </w:pPr>
            <w:r>
              <w:rPr>
                <w:rFonts w:ascii="Arial" w:cs="Arial" w:eastAsia="Arial" w:hAnsi="Arial"/>
                <w:sz w:val="18"/>
                <w:szCs w:val="18"/>
                <w:color w:val="auto"/>
                <w:w w:val="97"/>
              </w:rPr>
              <w:t>11.7%</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12.8%</w:t>
            </w:r>
          </w:p>
        </w:tc>
        <w:tc>
          <w:tcPr>
            <w:tcW w:w="760" w:type="dxa"/>
            <w:vAlign w:val="bottom"/>
            <w:gridSpan w:val="2"/>
          </w:tcPr>
          <w:p>
            <w:pPr>
              <w:jc w:val="right"/>
              <w:ind w:right="168"/>
              <w:spacing w:after="0"/>
              <w:rPr>
                <w:sz w:val="20"/>
                <w:szCs w:val="20"/>
                <w:color w:val="auto"/>
              </w:rPr>
            </w:pPr>
            <w:r>
              <w:rPr>
                <w:rFonts w:ascii="Arial" w:cs="Arial" w:eastAsia="Arial" w:hAnsi="Arial"/>
                <w:sz w:val="18"/>
                <w:szCs w:val="18"/>
                <w:color w:val="auto"/>
                <w:w w:val="97"/>
              </w:rPr>
              <w:t>11.7%</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640" w:type="dxa"/>
            <w:vAlign w:val="bottom"/>
            <w:vMerge w:val="restart"/>
          </w:tcPr>
          <w:p>
            <w:pPr>
              <w:jc w:val="right"/>
              <w:ind w:right="1990"/>
              <w:spacing w:after="0"/>
              <w:rPr>
                <w:sz w:val="20"/>
                <w:szCs w:val="20"/>
                <w:color w:val="auto"/>
              </w:rPr>
            </w:pPr>
            <w:r>
              <w:rPr>
                <w:rFonts w:ascii="Arial" w:cs="Arial" w:eastAsia="Arial" w:hAnsi="Arial"/>
                <w:sz w:val="18"/>
                <w:szCs w:val="18"/>
                <w:color w:val="auto"/>
              </w:rPr>
              <w:t>28</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Nine Months Ended June 30, 2020 and 2019</w:t>
      </w:r>
    </w:p>
    <w:p>
      <w:pPr>
        <w:spacing w:after="0" w:line="121" w:lineRule="exact"/>
        <w:rPr>
          <w:sz w:val="20"/>
          <w:szCs w:val="20"/>
          <w:color w:val="auto"/>
        </w:rPr>
      </w:pPr>
    </w:p>
    <w:p>
      <w:pPr>
        <w:ind w:right="220" w:firstLine="440"/>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nine months ended June 30, 2020 compared to the nine months ended June 30, 2019. Following the table is a discussion and analysis of our business and results of operations for such periods.</w:t>
      </w:r>
    </w:p>
    <w:p>
      <w:pPr>
        <w:spacing w:after="0" w:line="15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50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w w:val="89"/>
              </w:rPr>
              <w:t>Increase (Decrease)</w:t>
            </w: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2"/>
                <w:szCs w:val="12"/>
                <w:color w:val="auto"/>
              </w:rPr>
            </w:pPr>
          </w:p>
        </w:tc>
        <w:tc>
          <w:tcPr>
            <w:tcW w:w="980" w:type="dxa"/>
            <w:vAlign w:val="bottom"/>
            <w:tcBorders>
              <w:top w:val="single" w:sz="8" w:color="auto"/>
            </w:tcBorders>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3,116,091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3,056,416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59,675</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2,052,007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1,986,043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65,964</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206,199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203,827</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2,372</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352,187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367,411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(15,224)</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57,878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73,543</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(15,665)</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(21.3)</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2,668,271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2,630,824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37,447</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447,820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425,592</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22,228</w:t>
            </w:r>
          </w:p>
        </w:tc>
        <w:tc>
          <w:tcPr>
            <w:tcW w:w="3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4,303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756</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442,761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421,289</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21,472</w:t>
            </w:r>
          </w:p>
        </w:tc>
        <w:tc>
          <w:tcPr>
            <w:tcW w:w="3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79,384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63,870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15,514</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363,377</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357,419</w:t>
            </w:r>
          </w:p>
        </w:tc>
        <w:tc>
          <w:tcPr>
            <w:tcW w:w="3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5,958</w:t>
            </w:r>
          </w:p>
        </w:tc>
        <w:tc>
          <w:tcPr>
            <w:tcW w:w="320" w:type="dxa"/>
            <w:vAlign w:val="bottom"/>
            <w:vMerge w:val="continue"/>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80" w:firstLine="440"/>
        <w:spacing w:after="0" w:line="301"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increased by $59.7 million, or 2.0%, to $3,116.1 million in the nine months ended June 30, 2020, from $3,056.4 million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nine months ended June 30, 2019. The increase in revenue was attributable to increased managed services including managed transformation activities. Revenue for the nine months ended June 30, 2020 increased by 2.6% compared to the nine months ended June 30, 2019, excluding approximately 0.6% negative foreign exchange fluctuations impact, and was also positively affected by activities related to acquisitions completed in fiscal year 2019.</w:t>
      </w:r>
    </w:p>
    <w:p>
      <w:pPr>
        <w:spacing w:after="0" w:line="15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In the nine months ended June 30, 2020, revenue from customers in North America, Europe and the rest of the world accounted for 65.4%, 14.4% and 20.2%, respectively, of total revenue, compared to 63.4%, 14.5% and 22.1%, respectively, the nine months ended June 30, 2019. Revenue from customers in North America increased during the nine months ended June 30, 2020, the increase was primarily attributable to higher revenue from managed services activities relating in North America and to activities related to fiscal year 2019 acquisitions. Having said that, we note that in addition to the global uncertainties, including those resulting from the COVID-19 pandemic, the recently completed T-Mobile and Sprint merger remains a source of uncertainty in the North America region.</w:t>
      </w:r>
    </w:p>
    <w:p>
      <w:pPr>
        <w:spacing w:after="0" w:line="192"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Revenue from customers in Europe increased during the nine months ended June 30, 2020, despite the impact of negative foreign exchange fluctuations while total revenue increased at a higher rate, which resulted in a slight decrease of revenue from customers in Europe as a percentage of total revenue. The increase in revenue from customers in Europe in absolute amount was primarily attributable to higher revenue from development and modernization activities while we expand our presence in this region.</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Revenue from customers in the rest of the world decreased during the nine months ended June 30, 2020. Revenue from customers in the rest of the world in Asia-Pacific increased during the nine months ended June 30, 2020, as a result of our expansion and progress of managed transformations activities for customers and was offset by lower revenue from other regions within the rest of the world.</w:t>
      </w:r>
    </w:p>
    <w:p>
      <w:pPr>
        <w:spacing w:after="0" w:line="184"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b w:val="1"/>
          <w:bCs w:val="1"/>
          <w:i w:val="1"/>
          <w:iCs w:val="1"/>
          <w:color w:val="auto"/>
        </w:rPr>
        <w:t>Cost of Revenue</w:t>
      </w:r>
      <w:r>
        <w:rPr>
          <w:rFonts w:ascii="Arial" w:cs="Arial" w:eastAsia="Arial" w:hAnsi="Arial"/>
          <w:sz w:val="18"/>
          <w:szCs w:val="18"/>
          <w:color w:val="auto"/>
        </w:rPr>
        <w:t>. Cost of revenue consists primarily of costs associated with providing services to customers, including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costs of third-party products, as well as fee and royalty payments to software suppliers. Cost of revenue increased by $66.0 million, or 3.3%, to $2,052.0 million in the nine months ended June 30, 2020, from $1,986.0 million in the nine months ended June 30, 2019. The Cost of revenue increase, in the nine months ended June 30, 2020, was mainly due to investments required to support ramp-up of new deals and was also commensurate with revenue growth.</w:t>
      </w:r>
    </w:p>
    <w:p>
      <w:pPr>
        <w:spacing w:after="0" w:line="188"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increased by $2.4 million, or 1.2%, to $206.2 million in the nine months ended June 30, 2020, from $203.8 million in the nine months ended June 30, 2019. Research and development expense slightly decreased as a percentage of revenue from 6.7% in the nine months ended June 30, 2019, to 6.6% in the nine months ended June 30, 2020. We continue to invest in our digital offering as well as our media offering, invest in our network related innovation and in developing cloud native offering. Our research and development efforts are a key element of our strategy and are essential to our success, and we intend to maintain our commitment to research and development. An increase or decrease in our revenue would not necessarily result in a proportional increase or decrease in the levels of our research and development expenditures, which could affect our operating margin.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0" w:right="459" w:bottom="1440" w:gutter="0" w:footer="0" w:header="0"/>
        </w:sectPr>
      </w:pPr>
    </w:p>
    <w:bookmarkStart w:id="29" w:name="page30"/>
    <w:bookmarkEnd w:id="29"/>
    <w:p>
      <w:pPr>
        <w:ind w:firstLine="440"/>
        <w:spacing w:after="0" w:line="286"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Selling, General and Administrative</w:t>
      </w:r>
      <w:r>
        <w:rPr>
          <w:rFonts w:ascii="Arial" w:cs="Arial" w:eastAsia="Arial" w:hAnsi="Arial"/>
          <w:sz w:val="16"/>
          <w:szCs w:val="16"/>
          <w:color w:val="auto"/>
        </w:rPr>
        <w:t>. Selling, general and administrative expense, which is primarily comprised of compensation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decreased by $15.2 million, or 4.1%, to $352.2 million in the nine months ended June 30, 2020, from $367.4 million in the nine months ended June 30, 2019. Selling, general and administrative expense decreased as a percentage of revenue from 12.0% in the nine months ended June 30, 2019, to 11.3% in the nine months ended June 30, 2020. The decrease is mainly due to lower selling and marketing and travel costs in the nine months ended June 30,</w:t>
      </w:r>
    </w:p>
    <w:p>
      <w:pPr>
        <w:spacing w:after="0" w:line="1"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2020 compared to the nine months ended June 30, 2019 as a result of the COVID-19 restrictions and was also attributable to positive changes in the account receivable allowances. Selling, general and administrative expense may fluctuate from time to time, depending upon such factors as changes in our workforce and sales efforts and the results of any operational efficiency programs that we may undertake.</w:t>
      </w:r>
    </w:p>
    <w:p>
      <w:pPr>
        <w:spacing w:after="0" w:line="173" w:lineRule="exact"/>
        <w:rPr>
          <w:sz w:val="20"/>
          <w:szCs w:val="20"/>
          <w:color w:val="auto"/>
        </w:rPr>
      </w:pPr>
    </w:p>
    <w:p>
      <w:pPr>
        <w:ind w:right="440" w:firstLine="440"/>
        <w:spacing w:after="0" w:line="301" w:lineRule="auto"/>
        <w:rPr>
          <w:sz w:val="20"/>
          <w:szCs w:val="20"/>
          <w:color w:val="auto"/>
        </w:rPr>
      </w:pPr>
      <w:r>
        <w:rPr>
          <w:rFonts w:ascii="Arial" w:cs="Arial" w:eastAsia="Arial" w:hAnsi="Arial"/>
          <w:sz w:val="16"/>
          <w:szCs w:val="16"/>
          <w:b w:val="1"/>
          <w:bCs w:val="1"/>
          <w:i w:val="1"/>
          <w:iCs w:val="1"/>
          <w:color w:val="auto"/>
        </w:rPr>
        <w:t>Amortization of Purchased Intangible Assets and Other</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Amortization of purchased intangible assets and other in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2020, decreased by $15.7 million, or 21.3% to $57.9 million from $73.5 million in the nine months ended June 30, 2019. The decrease in amortization of purchased intangible assets and other was primarily attributable to a completion of amortization of previously purchased intangible assets, partially offset by an increase in amortization of intangible assets due to acquisitions completed in fiscal year 2019.</w:t>
      </w:r>
    </w:p>
    <w:p>
      <w:pPr>
        <w:spacing w:after="0" w:line="157"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b w:val="1"/>
          <w:bCs w:val="1"/>
          <w:i w:val="1"/>
          <w:iCs w:val="1"/>
          <w:color w:val="auto"/>
        </w:rPr>
        <w:t>Operating Income</w:t>
      </w:r>
      <w:r>
        <w:rPr>
          <w:rFonts w:ascii="Arial" w:cs="Arial" w:eastAsia="Arial" w:hAnsi="Arial"/>
          <w:sz w:val="16"/>
          <w:szCs w:val="16"/>
          <w:color w:val="auto"/>
        </w:rPr>
        <w:t>. Operating income increased by $22.2 million, or 5.2%, in the nine months ended June 30, 2020, to $447.8 million, or 14.4%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revenue, from $425.6 million, or 13.9% of revenue, in the nine months ended June 30, 2019. The increase in operating income was attributable primarily to the increase in revenue offset by the increase in cost of service and to the decrease in selling, general and administrative and amortization of purchased intangible assets and other during the nine months ended June 30, 2020. Positive foreign exchange impacts on our operating expenses were partially offset by the negative foreign exchange impacts on our revenue, resulting in a slight positive impact on our operating income.</w:t>
      </w:r>
    </w:p>
    <w:p>
      <w:pPr>
        <w:spacing w:after="0" w:line="16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b w:val="1"/>
          <w:bCs w:val="1"/>
          <w:i w:val="1"/>
          <w:iCs w:val="1"/>
          <w:color w:val="auto"/>
        </w:rPr>
        <w:t>Interest and Other Expense, Net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and other expense, net, changed from a net loss of $4.3 million in the nine months ended June 30,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 net loss of $5.1 million in the nine months ended June 30, 2020. The increase in interest and other expense, net, was primarily attributable to the changes of minority equity investments recorded in the nine months ended June 30, 2019 and an increase of interest expenses related to financing activity partially offset by foreign exchange impacts.</w:t>
      </w:r>
    </w:p>
    <w:p>
      <w:pPr>
        <w:spacing w:after="0" w:line="187"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nine months ended June 30, 2020 were $79.4 million on pre-tax income of $442.8 million, resulting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tax rate of 17.9%, compared to 15.2% in the nine months ended June 30, 2019. Our effective tax rate may fluctuate between periods as a result of discrete items that may affect a particular period. Please see Note 9 to our consolidated financial statements.</w:t>
      </w:r>
    </w:p>
    <w:p>
      <w:pPr>
        <w:spacing w:after="0" w:line="16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$6.0 million, or 1.7%, to $363.4 million in the nine months ended June 30, 2020, from $357.4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June 30, 2019. The increase in net income was attributable to the increase in operating income partially offset by an increase in income taxes.</w:t>
      </w:r>
    </w:p>
    <w:p>
      <w:pPr>
        <w:spacing w:after="0" w:line="184"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b w:val="1"/>
          <w:bCs w:val="1"/>
          <w:i w:val="1"/>
          <w:iCs w:val="1"/>
          <w:color w:val="auto"/>
        </w:rPr>
        <w:t>Diluted Earnings Per Share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Diluted earnings per share increased by $0.12, or 4.7%, to $2.70 in the nine months ended June 30, 2020,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$2.58 in the nine months ended June 30, 2019. The increase in diluted earnings per share was primarily attributable to the increase in net income as well as to the decrease in the diluted weighted average number of shares outstanding which resulted from share repurchases. Please see also Note 10 to our consolidated financial statements.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Three Months Ended June 30, 2020 and 2019</w:t>
      </w:r>
    </w:p>
    <w:p>
      <w:pPr>
        <w:spacing w:after="0" w:line="12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following is a tabular presentation of our results of operations for the three months ended June 30, 2020 compared to the three months ended June 30, 2019. Following the table is a discussion and analysis of our business and results of operations for such periods.</w:t>
      </w:r>
    </w:p>
    <w:p>
      <w:pPr>
        <w:spacing w:after="0" w:line="17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58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w w:val="90"/>
              </w:rPr>
              <w:t>Increase (Decrease)</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2"/>
                <w:szCs w:val="12"/>
                <w:color w:val="auto"/>
              </w:rPr>
            </w:pPr>
          </w:p>
        </w:tc>
        <w:tc>
          <w:tcPr>
            <w:tcW w:w="980" w:type="dxa"/>
            <w:vAlign w:val="bottom"/>
            <w:tcBorders>
              <w:top w:val="single" w:sz="8" w:color="auto"/>
            </w:tcBorders>
            <w:gridSpan w:val="3"/>
          </w:tcPr>
          <w:p>
            <w:pPr>
              <w:jc w:val="right"/>
              <w:ind w:right="321"/>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1,026,201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1,024,704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681,725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664,862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8"/>
              </w:rPr>
              <w:t>16,863</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70,093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68,376</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1,717</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109,612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125,088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9"/>
              </w:rPr>
              <w:t>(15,476)</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17,240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24,058</w:t>
            </w:r>
          </w:p>
        </w:tc>
        <w:tc>
          <w:tcPr>
            <w:tcW w:w="10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Arial" w:cs="Arial" w:eastAsia="Arial" w:hAnsi="Arial"/>
                <w:sz w:val="18"/>
                <w:szCs w:val="18"/>
                <w:color w:val="auto"/>
              </w:rPr>
              <w:t>(6,818)</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878,670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882,384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(3,714)</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147,531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142,320</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5,211</w:t>
            </w:r>
          </w:p>
        </w:tc>
        <w:tc>
          <w:tcPr>
            <w:tcW w:w="3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3,959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(1,542)</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145,114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138,361</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6,753</w:t>
            </w:r>
          </w:p>
        </w:tc>
        <w:tc>
          <w:tcPr>
            <w:tcW w:w="3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6,913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8"/>
              </w:rPr>
              <w:t>17,794</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257.4</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120,407</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131,448</w:t>
            </w:r>
          </w:p>
        </w:tc>
        <w:tc>
          <w:tcPr>
            <w:tcW w:w="3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8"/>
              </w:rPr>
              <w:t>(11,041</w:t>
            </w:r>
          </w:p>
        </w:tc>
        <w:tc>
          <w:tcPr>
            <w:tcW w:w="32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slightly increased by $1.5 million, or 0.1%, to $1,026.2 million in the three months ended June 30, 2020, from</w:t>
      </w:r>
    </w:p>
    <w:p>
      <w:pPr>
        <w:spacing w:after="0" w:line="2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$1,024.7 million in the three months ended June 30, 2019. Revenue for the three months ended June 30, 2020 increased by 1.0% compared to the three months ended June 30, 2019, excluding approximately 0.9% negative foreign exchange fluctuations impact, and was also positively affected by activities related to acquisitions completed in fiscal year 2019.</w:t>
      </w:r>
    </w:p>
    <w:p>
      <w:pPr>
        <w:spacing w:after="0" w:line="19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In the three months ended June 30, 2020, revenue from customers in North America, Europe and the rest of the world accounted for 66.8%, 14.2% and 19.0%, respectively, of total revenue, compared to 62.8%, 14.2% and 23.0%, respectively, in the three months ended June 30, 2019. Revenue from customers in North America increased during the three months ended June 30, 2020, the increase was primarily attributable to higher revenue from managed services activities in North America and to activities related to fiscal year 2019 acquisitions. Having said that, we note that in addition to the global uncertainties, including those resulting from the COVID-19 pandemic, the recently completed T-Mobile and Sprint merger remains a source of uncertainty in the North America region.</w:t>
      </w:r>
    </w:p>
    <w:p>
      <w:pPr>
        <w:spacing w:after="0" w:line="192" w:lineRule="exact"/>
        <w:rPr>
          <w:sz w:val="20"/>
          <w:szCs w:val="20"/>
          <w:color w:val="auto"/>
        </w:rPr>
      </w:pPr>
    </w:p>
    <w:p>
      <w:pPr>
        <w:ind w:right="820" w:firstLine="440"/>
        <w:spacing w:after="0" w:line="277" w:lineRule="auto"/>
        <w:rPr>
          <w:sz w:val="20"/>
          <w:szCs w:val="20"/>
          <w:color w:val="auto"/>
        </w:rPr>
      </w:pPr>
      <w:r>
        <w:rPr>
          <w:rFonts w:ascii="Arial" w:cs="Arial" w:eastAsia="Arial" w:hAnsi="Arial"/>
          <w:sz w:val="18"/>
          <w:szCs w:val="18"/>
          <w:color w:val="auto"/>
        </w:rPr>
        <w:t>Revenue from customers in Europe remained stable during the three months ended June 30, 2020, despite of negative foreign exchange fluctuations.</w:t>
      </w:r>
    </w:p>
    <w:p>
      <w:pPr>
        <w:spacing w:after="0" w:line="170"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Revenue from customers in the rest of the world decreased during the three months ended June 30, 2020. Revenue from customers in the rest of the world in Asia-Pacific remained stable during the three months ended June 30, 2020, while revenue from other regions within the rest of the world decreased.</w:t>
      </w:r>
    </w:p>
    <w:p>
      <w:pPr>
        <w:spacing w:after="0" w:line="184"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b w:val="1"/>
          <w:bCs w:val="1"/>
          <w:i w:val="1"/>
          <w:iCs w:val="1"/>
          <w:color w:val="auto"/>
        </w:rPr>
        <w:t>Cost of Revenue</w:t>
      </w:r>
      <w:r>
        <w:rPr>
          <w:rFonts w:ascii="Arial" w:cs="Arial" w:eastAsia="Arial" w:hAnsi="Arial"/>
          <w:sz w:val="18"/>
          <w:szCs w:val="18"/>
          <w:color w:val="auto"/>
        </w:rPr>
        <w:t>. Cost of revenue consists primarily of costs associated with providing services to customers, including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costs of third-party products, as well as fee and royalty payments to software suppliers. Cost of revenue increased by $16.9 million, or 2.5%, to $681.7 million in the three months ended June 30, 2020, from $664.9 million in the three months ended June 30, 2019. The Cost of revenue increase, in the three months ended June 30, 2020, was mainly due to investments required to support ramp-up of new deals and was also commensurate with revenue growth.</w:t>
      </w:r>
    </w:p>
    <w:p>
      <w:pPr>
        <w:spacing w:after="0" w:line="188"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increased by $1.7 million, or 2.5%, to $70.1 million in the three months ended June 30, 2020, from $68.4 million in the three months ended June 30, 2019. Research and development expense slightly increased as a percentage of revenue from 6.7% in the three months ended June 30, 2019, to 6.8% in the three months ended June 30, 2020. We continue to invest in our digital offering as well as our media offering, invest in our network-related innovation and in developing cloud-native offering. Our research and development efforts are a key element of our strategy and are essential to our success, and we intend to maintain our commitment to research and development. An increase or decrease in our revenue would not necessarily result in a proportional increase or decrease in the levels of our research and development expenditures, which could affect our operating margin.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0" w:right="459" w:bottom="1440" w:gutter="0" w:footer="0" w:header="0"/>
        </w:sectPr>
      </w:pPr>
    </w:p>
    <w:bookmarkStart w:id="31" w:name="page32"/>
    <w:bookmarkEnd w:id="31"/>
    <w:p>
      <w:pPr>
        <w:ind w:right="40" w:firstLine="440"/>
        <w:spacing w:after="0" w:line="291"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Selling, General and Administrative</w:t>
      </w:r>
      <w:r>
        <w:rPr>
          <w:rFonts w:ascii="Arial" w:cs="Arial" w:eastAsia="Arial" w:hAnsi="Arial"/>
          <w:sz w:val="16"/>
          <w:szCs w:val="16"/>
          <w:color w:val="auto"/>
        </w:rPr>
        <w:t>. Selling, general and administrative expense, which is primarily comprised of compensation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decreased by $15.5 million, or 12.4%, to $109.6 million in the three months ended June 30, 2020, from $125.1 million in the three months ended June 30, 2019. Selling, general and administrative expense decreased as a percentage of revenue from 12.2% in the three months ended June 30, 2019, to 10.7% in the three months ended June 30, 2020. The decrease is mainly due to lower selling and marketing and travel costs in the three months ended June 30, 2020 compared to the three months ended June 30, 2019 as a result of the COVID-19 restrictions and was also attributable to positive changes in the account receivable allowances. Selling, general and administrative expense may fluctuate from time to time, depending upon such factors as changes in our workforce and sales efforts and the results of any operational efficiency programs that we may undertake.</w:t>
      </w:r>
    </w:p>
    <w:p>
      <w:pPr>
        <w:spacing w:after="0" w:line="166" w:lineRule="exact"/>
        <w:rPr>
          <w:sz w:val="20"/>
          <w:szCs w:val="20"/>
          <w:color w:val="auto"/>
        </w:rPr>
      </w:pPr>
    </w:p>
    <w:p>
      <w:pPr>
        <w:ind w:right="420" w:firstLine="440"/>
        <w:spacing w:after="0" w:line="301" w:lineRule="auto"/>
        <w:rPr>
          <w:sz w:val="20"/>
          <w:szCs w:val="20"/>
          <w:color w:val="auto"/>
        </w:rPr>
      </w:pPr>
      <w:r>
        <w:rPr>
          <w:rFonts w:ascii="Arial" w:cs="Arial" w:eastAsia="Arial" w:hAnsi="Arial"/>
          <w:sz w:val="16"/>
          <w:szCs w:val="16"/>
          <w:b w:val="1"/>
          <w:bCs w:val="1"/>
          <w:i w:val="1"/>
          <w:iCs w:val="1"/>
          <w:color w:val="auto"/>
        </w:rPr>
        <w:t>Amortization of Purchased Intangible Assets and Other</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Amortization of purchased intangible assets and other in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2020, decreased by $6.8 million, or 28.3% to $17.2 million from $24.1 million in the three months ended June 30, 2019. The decrease in amortization of purchased intangible assets and other was primarily attributable to a completion of amortization of previously purchased intangible assets partially offset by an increase in amortization of intangible assets due to acquisitions completed in fiscal year 2019.</w:t>
      </w:r>
    </w:p>
    <w:p>
      <w:pPr>
        <w:spacing w:after="0" w:line="157"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b w:val="1"/>
          <w:bCs w:val="1"/>
          <w:i w:val="1"/>
          <w:iCs w:val="1"/>
          <w:color w:val="auto"/>
        </w:rPr>
        <w:t>Operating Income</w:t>
      </w:r>
      <w:r>
        <w:rPr>
          <w:rFonts w:ascii="Arial" w:cs="Arial" w:eastAsia="Arial" w:hAnsi="Arial"/>
          <w:sz w:val="16"/>
          <w:szCs w:val="16"/>
          <w:color w:val="auto"/>
        </w:rPr>
        <w:t>. Operating income increased by $5.2 million, or 3.7%, in the three months ended June 30, 2020, to $147.5 million, or 14.4%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from $142.3 million, or 13.9% of revenue, in the three months ended June 30, 2019. Positive foreign exchange impacts on our operating expenses were partially offset by the negative foreign exchange impacts on our revenue, resulting in a positive impact on our operating income.</w:t>
      </w:r>
    </w:p>
    <w:p>
      <w:pPr>
        <w:spacing w:after="0" w:line="14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b w:val="1"/>
          <w:bCs w:val="1"/>
          <w:i w:val="1"/>
          <w:iCs w:val="1"/>
          <w:color w:val="auto"/>
        </w:rPr>
        <w:t>Interest and Other Expense, Net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and other expense, net, changed from a net loss of $4.0 million in the three months ended June 30,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 net loss of $2.4 million in the three months ended June 30, 2020. The decrease in interest and other expense, net, was primarily attributable to changes of minority equity investments recorded in the three months ended June 30, 2019 and foreign exchange impacts partially offset by increase of interest expenses related to financing activity.</w:t>
      </w:r>
    </w:p>
    <w:p>
      <w:pPr>
        <w:spacing w:after="0" w:line="187"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three months ended June 30, 2020 were $24.7 million on pre-tax income of $145.1 million, resulting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tax rate of 17.0%, compared to 5.0% in the three months ended June 30, 2019. Our effective tax rate may fluctuate between periods as a result of discrete items that may affect a particular period. Please see Note 9 to our consolidated financial statements.</w:t>
      </w:r>
    </w:p>
    <w:p>
      <w:pPr>
        <w:spacing w:after="0" w:line="16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decreased by $11.0 million, or 8.4%, to $120.4 million in the three months ended June 30, 2020, from $131.4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June 30, 2019. The decrease in net income during the three months ended June 30, 2020 was primarily attributable to the increase in income taxes partially offset by increase in operating income.</w:t>
      </w:r>
    </w:p>
    <w:p>
      <w:pPr>
        <w:spacing w:after="0" w:line="184" w:lineRule="exact"/>
        <w:rPr>
          <w:sz w:val="20"/>
          <w:szCs w:val="20"/>
          <w:color w:val="auto"/>
        </w:rPr>
      </w:pPr>
    </w:p>
    <w:p>
      <w:pPr>
        <w:ind w:right="340" w:firstLine="440"/>
        <w:spacing w:after="0" w:line="259" w:lineRule="auto"/>
        <w:rPr>
          <w:sz w:val="20"/>
          <w:szCs w:val="20"/>
          <w:color w:val="auto"/>
        </w:rPr>
      </w:pPr>
      <w:r>
        <w:rPr>
          <w:rFonts w:ascii="Arial" w:cs="Arial" w:eastAsia="Arial" w:hAnsi="Arial"/>
          <w:sz w:val="18"/>
          <w:szCs w:val="18"/>
          <w:b w:val="1"/>
          <w:bCs w:val="1"/>
          <w:i w:val="1"/>
          <w:iCs w:val="1"/>
          <w:color w:val="auto"/>
        </w:rPr>
        <w:t>Diluted Earnings Per Share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Diluted earnings per share decreased by $0.06, or 6.2%, to $0.90 in the three months ended June 30, 2020,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$0.96 in the three months ended June 30, 2019. The decrease in diluted earnings per share was primarily attributable to the decrease in net income, partially offset by the decrease in the diluted weighted average number of shares outstanding which resulted from share repurchases. Please see also Note 10 to our consolidated financial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i w:val="1"/>
          <w:iCs w:val="1"/>
          <w:color w:val="auto"/>
        </w:rPr>
        <w:t xml:space="preserve">Cash, Cash Equivalents and Short-Term Interest-Bearing Investments. </w:t>
      </w:r>
      <w:r>
        <w:rPr>
          <w:rFonts w:ascii="Arial" w:cs="Arial" w:eastAsia="Arial" w:hAnsi="Arial"/>
          <w:sz w:val="16"/>
          <w:szCs w:val="16"/>
          <w:color w:val="auto"/>
        </w:rPr>
        <w:t>Cash, cash equivalents and short-term interest-bearing investments, net of a</w:t>
      </w:r>
      <w:r>
        <w:rPr>
          <w:rFonts w:ascii="Arial" w:cs="Arial" w:eastAsia="Arial" w:hAnsi="Arial"/>
          <w:sz w:val="16"/>
          <w:szCs w:val="16"/>
          <w:i w:val="1"/>
          <w:iCs w:val="1"/>
          <w:color w:val="auto"/>
        </w:rPr>
        <w:t xml:space="preserve"> </w:t>
      </w:r>
      <w:r>
        <w:rPr>
          <w:rFonts w:ascii="Arial" w:cs="Arial" w:eastAsia="Arial" w:hAnsi="Arial"/>
          <w:sz w:val="16"/>
          <w:szCs w:val="16"/>
          <w:color w:val="auto"/>
        </w:rPr>
        <w:t>short-term loan and the Senior Notes, totaled $444.0 million as of June 30, 2020, compared to $471.6 million as of September 30, 2019. The decrease was mainly attributable to $270.1 million repurchase of our ordinary shares, $146.0 million for capital expenditures, net, $120.5 million of cash dividend payment, $29.3 million for payments for business and intangible assets acquisitions and $1.4 million contingent consideration payment from a business acquisition, partially offset by $453.5 million in positive cash flow from operations and $96.0 million of proceeds from stock option exercises. Net cash provided by operating activities amounted to $453.5 million and $442.8 million in the nine months ended June 30, 2020 and 2019, respectively.</w:t>
      </w:r>
    </w:p>
    <w:p>
      <w:pPr>
        <w:spacing w:after="0" w:line="16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Our free cash flow for the nine months ended June 30, 2020 was $307.5 million and is calculated as net cash provided by operating activities of $453.5 million for the period less $146.0 million for capital expenditures, net.</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Free cash flow is a non-GAAP financial measure and is not prepared in accordance with, and is not an alternative for, generally accepted accounting principles and may be different from non-GAAP financial measures with similar names used by other companies. Non-GAAP measures such as free cash should only be reviewed in conjunction with the corresponding GAAP measures. We believe that free cash flow, when used in conjunction with the corresponding GAAP measure provides useful information to investors and management relating to the amount of cash generated by the Company’s business operations.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32" w:name="page33"/>
    <w:bookmarkEnd w:id="32"/>
    <w:p>
      <w:pPr>
        <w:ind w:right="1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Our policy is to retain sufficient cash balances in order to support our growth. We believe that our current cash balances, cash generated from operations, our current lines of credit, loans, Senior Notes and our ability to access capital markets will provide sufficient resources to meet our operational needs, fund the construction of the new campus in Israel, loans and debt repayment needs, fund share repurchases and the payment of cash dividends for at least the next twelve months.</w:t>
      </w:r>
    </w:p>
    <w:p>
      <w:pPr>
        <w:spacing w:after="0" w:line="187" w:lineRule="exact"/>
        <w:rPr>
          <w:sz w:val="20"/>
          <w:szCs w:val="20"/>
          <w:color w:val="auto"/>
        </w:rPr>
      </w:pPr>
    </w:p>
    <w:p>
      <w:pPr>
        <w:jc w:val="both"/>
        <w:ind w:right="160" w:firstLine="440"/>
        <w:spacing w:after="0" w:line="301" w:lineRule="auto"/>
        <w:rPr>
          <w:sz w:val="20"/>
          <w:szCs w:val="20"/>
          <w:color w:val="auto"/>
        </w:rPr>
      </w:pPr>
      <w:r>
        <w:rPr>
          <w:rFonts w:ascii="Arial" w:cs="Arial" w:eastAsia="Arial" w:hAnsi="Arial"/>
          <w:sz w:val="16"/>
          <w:szCs w:val="16"/>
          <w:color w:val="auto"/>
        </w:rPr>
        <w:t>Our interest-bearing investments are classified as available-for-sale securities. Such short-term interest-bearing investments, consist primarily of bank deposits and money market funds. We believe we have conservative investment policy guidelines. Our interest-bearing investments are priced by pricing vendors and are classified as Level 1, since these vendors provide a quoted market price in an active market. During the three and nine months ended June 30, 2020 and 2019, we did not recognize any credit losses. Please see Notes 5 and 6 to the consolidated financial statements.</w:t>
      </w:r>
    </w:p>
    <w:p>
      <w:pPr>
        <w:spacing w:after="0" w:line="15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i w:val="1"/>
          <w:iCs w:val="1"/>
          <w:color w:val="auto"/>
        </w:rPr>
        <w:t xml:space="preserve">Revolving Credit Facility, Loans, Senior Notes, Letters of Credit, Guarantees and Contractual Obligations. </w:t>
      </w:r>
      <w:r>
        <w:rPr>
          <w:rFonts w:ascii="Arial" w:cs="Arial" w:eastAsia="Arial" w:hAnsi="Arial"/>
          <w:sz w:val="17"/>
          <w:szCs w:val="17"/>
          <w:color w:val="auto"/>
        </w:rPr>
        <w:t>In December 2011, we entered into the</w:t>
      </w:r>
      <w:r>
        <w:rPr>
          <w:rFonts w:ascii="Arial" w:cs="Arial" w:eastAsia="Arial" w:hAnsi="Arial"/>
          <w:sz w:val="17"/>
          <w:szCs w:val="17"/>
          <w:i w:val="1"/>
          <w:iCs w:val="1"/>
          <w:color w:val="auto"/>
        </w:rPr>
        <w:t xml:space="preserve"> </w:t>
      </w:r>
      <w:r>
        <w:rPr>
          <w:rFonts w:ascii="Arial" w:cs="Arial" w:eastAsia="Arial" w:hAnsi="Arial"/>
          <w:sz w:val="17"/>
          <w:szCs w:val="17"/>
          <w:color w:val="auto"/>
        </w:rPr>
        <w:t>unsecured $500.0 million Revolving Credit Facility. In December 2014, the Revolving Credit Facility was amended and restated to, among other things, extend the maturity date of the facility to December 2019. In December 2017, the Revolving Credit Facility was amended and restated again to, among other things, extend the maturity date of the facility to December 2022. Given the uncertain magnitude and duration of the COVID-19 economic crisis, we took the precaution of increasing our cash balance and in March 2020, we drew an aggregate of $300.0 million under the Revolving Credit Facility and repaid it in full in June 2020 in connection with the issuance of our Senior Notes. As of June 30, 2020, we were in compliance with the financial covenants and had no outstanding borrowing under the Revolving Credit Facility.</w:t>
      </w:r>
    </w:p>
    <w:p>
      <w:pPr>
        <w:spacing w:after="0" w:line="17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In addition, unassociated with the Revolving Credit Facility discussed above, in March, 2020 we entered into a $50.0 million short-term loan and repaid it in June 2020 in connection with the issuance of our Senior Notes, and in May, 2020 we entered into an additional $100.0 million short-term loan which remains outstanding as of June 30, 2020.</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In June 2020, we issued an aggregate principal amount of $650.0 million in Senior Notes that will mature in June 2030 and bear interest at a fixed rate of 2.538 percent per annum (the Senior Notes). The interest is payable semi-annually in June and December of each year, commencing in December 2020. We incurred issuance costs of $6.2 million, which are being amortized to interest expenses over the term of the Senior Notes using the effective interest rate. The Senior Notes are our senior unsecured obligations and will rank equally in right of payment with all of our existing and future senior indebtedness, including any indebtedness we may incur from time to time under the Revolving Credit Facility. As of June 30, 2020, the noncurrent outstanding principal portion was $650.0 million.</w:t>
      </w:r>
    </w:p>
    <w:p>
      <w:pPr>
        <w:spacing w:after="0" w:line="192"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As of June 30, 2020, we had additional uncommitted lines of credit available for general corporate and other specific purposes and had outstanding letters of credit and bank guarantees from various banks totaling $92.7 million. These were supported by a combination of the uncommitted lines of credit that we maintain with various banks.</w:t>
      </w:r>
    </w:p>
    <w:p>
      <w:pPr>
        <w:spacing w:after="0" w:line="184"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We have contractual obligations for our non-cancelable operating leases, purchase obligations, pension funding and unrecognized tax benefits, the total net investment related to the construction of the new campus in Israel, summarized in the disclosure of contractual obligations set forth in our Annual Report on Form 20-F for the fiscal year ended September 30, 2019, filed on December 16, 2019 with the SEC. Since September 30, 2019, there have been no material changes in our aggregate contractual obligations mentioned above other than relating to our Senior Notes and short - term loan as set forth in Note 11 “</w:t>
      </w:r>
      <w:r>
        <w:rPr>
          <w:rFonts w:ascii="Arial" w:cs="Arial" w:eastAsia="Arial" w:hAnsi="Arial"/>
          <w:sz w:val="17"/>
          <w:szCs w:val="17"/>
          <w:i w:val="1"/>
          <w:iCs w:val="1"/>
          <w:color w:val="auto"/>
        </w:rPr>
        <w:t>Financing arrangement</w:t>
      </w:r>
      <w:r>
        <w:rPr>
          <w:rFonts w:ascii="Arial" w:cs="Arial" w:eastAsia="Arial" w:hAnsi="Arial"/>
          <w:sz w:val="17"/>
          <w:szCs w:val="17"/>
          <w:color w:val="auto"/>
        </w:rPr>
        <w:t>” to our consolidated financial statements.</w:t>
      </w:r>
    </w:p>
    <w:p>
      <w:pPr>
        <w:spacing w:after="0" w:line="176"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Generally, 80% to 90% of our capital expenditures (excluding the investment in our new campus in Israel) consist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computer equipment, and the remainder is attributable mainly to leasehold improvements. Our capital expenditures were approximately $146.0 million in the nine months ended June 30, 2020 and were mainly attributable to investments in our operating facilities and our development centers around the world (including the investment in our new campus in Israel).</w:t>
      </w:r>
    </w:p>
    <w:p>
      <w:pPr>
        <w:spacing w:after="0" w:line="18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The total net investment we expect to make in connection with the construction of the new campus is estimated to be up to $350 million over a period of four to five years, starting with fiscal year 2018, out of which approximately $96 million was incurred in fiscal years 2018 by both us and our partner Union at equal portions (i.e. our net investment was approximately $48 million) and $7 million was incurred by us in fiscal year 2019. We expect to incur up to $70 million in fiscal year 2020.</w:t>
      </w:r>
    </w:p>
    <w:p>
      <w:pPr>
        <w:spacing w:after="0" w:line="187"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i w:val="1"/>
          <w:iCs w:val="1"/>
          <w:color w:val="auto"/>
        </w:rPr>
        <w:t>Share Repurchases</w:t>
      </w:r>
      <w:r>
        <w:rPr>
          <w:rFonts w:ascii="Arial" w:cs="Arial" w:eastAsia="Arial" w:hAnsi="Arial"/>
          <w:sz w:val="16"/>
          <w:szCs w:val="16"/>
          <w:color w:val="auto"/>
        </w:rPr>
        <w:t>. From time to time, our Board of Directors can adopt share repurchase plans authorizing the repurchase of our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shares. On November 8, 2017, our Board of Directors adopted a share repurchase plan for the repurchase of up to an additional $800.0 million of our outstanding ordinary shares with no expiration date. On November 12, 2019, our Board of Directors adopted another share repurchase plan authorizing the repurchase of up to an additional $800.0 million of our outstanding ordinary shares with no expiration date. In May 2020, we completed the repurchase of the remaining authorized amount of ordinary shares under the November 2017 plan and initiated repurchases of our outstanding ordinary shares pursuant to the November 2019 plan. In the nine months ended June 30, 2020, we repurchased 4.1 million ordinary shares at an average price of $65.11 per share (excluding broker and transaction fees). The November 2019 plan permits us to purchase our ordinary shares in the open market or through privately negotiated transactions at times and prices that we consider appropriate. As of June 30, 2020, we had remaining authority to repurchase up to $769.2 million of our outstanding ordinary shares under the November 2019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33" w:name="page34"/>
    <w:bookmarkEnd w:id="33"/>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Cash Dividends. </w:t>
      </w:r>
      <w:r>
        <w:rPr>
          <w:rFonts w:ascii="Arial" w:cs="Arial" w:eastAsia="Arial" w:hAnsi="Arial"/>
          <w:sz w:val="18"/>
          <w:szCs w:val="18"/>
          <w:color w:val="auto"/>
        </w:rPr>
        <w:t>Our Board of Directors declared the following dividends during the nine months ended June 30, 2020 and 2019:</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4"/>
              </w:rPr>
              <w:t>Declaration Date</w:t>
            </w:r>
          </w:p>
        </w:tc>
        <w:tc>
          <w:tcPr>
            <w:tcW w:w="1060" w:type="dxa"/>
            <w:vAlign w:val="bottom"/>
            <w:vMerge w:val="restart"/>
          </w:tcPr>
          <w:p>
            <w:pPr>
              <w:spacing w:after="0"/>
              <w:rPr>
                <w:sz w:val="14"/>
                <w:szCs w:val="14"/>
                <w:color w:val="auto"/>
              </w:rPr>
            </w:pPr>
          </w:p>
        </w:tc>
        <w:tc>
          <w:tcPr>
            <w:tcW w:w="680" w:type="dxa"/>
            <w:vAlign w:val="bottom"/>
          </w:tcPr>
          <w:p>
            <w:pPr>
              <w:spacing w:after="0"/>
              <w:rPr>
                <w:sz w:val="14"/>
                <w:szCs w:val="14"/>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218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Record Date</w:t>
            </w:r>
          </w:p>
        </w:tc>
        <w:tc>
          <w:tcPr>
            <w:tcW w:w="3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214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8"/>
        </w:trPr>
        <w:tc>
          <w:tcPr>
            <w:tcW w:w="1060" w:type="dxa"/>
            <w:vAlign w:val="bottom"/>
            <w:tcBorders>
              <w:bottom w:val="single" w:sz="8" w:color="auto"/>
            </w:tcBorders>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Ordinary Share</w:t>
            </w:r>
          </w:p>
        </w:tc>
        <w:tc>
          <w:tcPr>
            <w:tcW w:w="21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in millions</w:t>
            </w:r>
          </w:p>
        </w:tc>
        <w:tc>
          <w:tcPr>
            <w:tcW w:w="2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May 7, 2020</w:t>
            </w:r>
          </w:p>
        </w:tc>
        <w:tc>
          <w:tcPr>
            <w:tcW w:w="6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0.3275</w:t>
            </w:r>
          </w:p>
        </w:tc>
        <w:tc>
          <w:tcPr>
            <w:tcW w:w="40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June 30, 2020</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43.6</w:t>
            </w:r>
          </w:p>
        </w:tc>
        <w:tc>
          <w:tcPr>
            <w:tcW w:w="40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July 24, 2020</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February 4, 2020</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0.3275</w:t>
            </w:r>
          </w:p>
        </w:tc>
        <w:tc>
          <w:tcPr>
            <w:tcW w:w="2180" w:type="dxa"/>
            <w:vAlign w:val="bottom"/>
          </w:tcPr>
          <w:p>
            <w:pPr>
              <w:spacing w:after="0"/>
              <w:rPr>
                <w:sz w:val="20"/>
                <w:szCs w:val="20"/>
                <w:color w:val="auto"/>
              </w:rPr>
            </w:pPr>
            <w:r>
              <w:rPr>
                <w:rFonts w:ascii="Arial" w:cs="Arial" w:eastAsia="Arial" w:hAnsi="Arial"/>
                <w:sz w:val="18"/>
                <w:szCs w:val="18"/>
                <w:color w:val="auto"/>
              </w:rPr>
              <w:t>March 31, 2020</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43.7</w:t>
            </w:r>
          </w:p>
        </w:tc>
        <w:tc>
          <w:tcPr>
            <w:tcW w:w="2140" w:type="dxa"/>
            <w:vAlign w:val="bottom"/>
          </w:tcPr>
          <w:p>
            <w:pPr>
              <w:spacing w:after="0"/>
              <w:rPr>
                <w:sz w:val="20"/>
                <w:szCs w:val="20"/>
                <w:color w:val="auto"/>
              </w:rPr>
            </w:pPr>
            <w:r>
              <w:rPr>
                <w:rFonts w:ascii="Arial" w:cs="Arial" w:eastAsia="Arial" w:hAnsi="Arial"/>
                <w:sz w:val="18"/>
                <w:szCs w:val="18"/>
                <w:color w:val="auto"/>
              </w:rPr>
              <w:t>April 24, 2020</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12, 2019</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0.285</w:t>
            </w: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38.4</w:t>
            </w: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January 24, 2020</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May 14, 2019</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0.285</w:t>
            </w:r>
          </w:p>
        </w:tc>
        <w:tc>
          <w:tcPr>
            <w:tcW w:w="2180" w:type="dxa"/>
            <w:vAlign w:val="bottom"/>
          </w:tcPr>
          <w:p>
            <w:pPr>
              <w:spacing w:after="0"/>
              <w:rPr>
                <w:sz w:val="20"/>
                <w:szCs w:val="20"/>
                <w:color w:val="auto"/>
              </w:rPr>
            </w:pPr>
            <w:r>
              <w:rPr>
                <w:rFonts w:ascii="Arial" w:cs="Arial" w:eastAsia="Arial" w:hAnsi="Arial"/>
                <w:sz w:val="18"/>
                <w:szCs w:val="18"/>
                <w:color w:val="auto"/>
              </w:rPr>
              <w:t>June 28, 2019</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38.7</w:t>
            </w:r>
          </w:p>
        </w:tc>
        <w:tc>
          <w:tcPr>
            <w:tcW w:w="2140" w:type="dxa"/>
            <w:vAlign w:val="bottom"/>
          </w:tcPr>
          <w:p>
            <w:pPr>
              <w:spacing w:after="0"/>
              <w:rPr>
                <w:sz w:val="20"/>
                <w:szCs w:val="20"/>
                <w:color w:val="auto"/>
              </w:rPr>
            </w:pPr>
            <w:r>
              <w:rPr>
                <w:rFonts w:ascii="Arial" w:cs="Arial" w:eastAsia="Arial" w:hAnsi="Arial"/>
                <w:sz w:val="18"/>
                <w:szCs w:val="18"/>
                <w:color w:val="auto"/>
              </w:rPr>
              <w:t>July 19, 2019</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5, 2019</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0.285</w:t>
            </w: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March 29, 2019</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39.1</w:t>
            </w: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April 19, 2019</w:t>
            </w:r>
          </w:p>
        </w:tc>
        <w:tc>
          <w:tcPr>
            <w:tcW w:w="0" w:type="dxa"/>
            <w:vAlign w:val="bottom"/>
          </w:tcPr>
          <w:p>
            <w:pPr>
              <w:spacing w:after="0"/>
              <w:rPr>
                <w:sz w:val="1"/>
                <w:szCs w:val="1"/>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November 8, 2018</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0.250</w:t>
            </w:r>
          </w:p>
        </w:tc>
        <w:tc>
          <w:tcPr>
            <w:tcW w:w="2180" w:type="dxa"/>
            <w:vAlign w:val="bottom"/>
          </w:tcPr>
          <w:p>
            <w:pPr>
              <w:spacing w:after="0"/>
              <w:rPr>
                <w:sz w:val="20"/>
                <w:szCs w:val="20"/>
                <w:color w:val="auto"/>
              </w:rPr>
            </w:pPr>
            <w:r>
              <w:rPr>
                <w:rFonts w:ascii="Arial" w:cs="Arial" w:eastAsia="Arial" w:hAnsi="Arial"/>
                <w:sz w:val="18"/>
                <w:szCs w:val="18"/>
                <w:color w:val="auto"/>
              </w:rPr>
              <w:t>December 31, 2018</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34.8</w:t>
            </w:r>
          </w:p>
        </w:tc>
        <w:tc>
          <w:tcPr>
            <w:tcW w:w="2140" w:type="dxa"/>
            <w:vAlign w:val="bottom"/>
          </w:tcPr>
          <w:p>
            <w:pPr>
              <w:spacing w:after="0"/>
              <w:rPr>
                <w:sz w:val="20"/>
                <w:szCs w:val="20"/>
                <w:color w:val="auto"/>
              </w:rPr>
            </w:pPr>
            <w:r>
              <w:rPr>
                <w:rFonts w:ascii="Arial" w:cs="Arial" w:eastAsia="Arial" w:hAnsi="Arial"/>
                <w:sz w:val="18"/>
                <w:szCs w:val="18"/>
                <w:color w:val="auto"/>
              </w:rPr>
              <w:t>January 18, 2019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On August 5, 2020, our Board of Directors approved the next quarterly dividend payment of $0.3275 per share and set September 30, 2020 as the record date for determining the shareholders entitled to receive the dividend, which is payable on October 23, 2020.</w:t>
      </w:r>
    </w:p>
    <w:p>
      <w:pPr>
        <w:spacing w:after="0" w:line="170"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considers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spacing w:after="0" w:line="18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During the nine months ended June 30, 2020 and 2019,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34" w:name="page35"/>
    <w:bookmarkEnd w:id="3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II OTHER INFORMATION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Ordinary Shares</w:t>
      </w:r>
    </w:p>
    <w:p>
      <w:pPr>
        <w:spacing w:after="0" w:line="117"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June 30, 2020 of equity securities that are registered by us pursuant to Section 12 of the Exchange Act:</w:t>
      </w:r>
    </w:p>
    <w:p>
      <w:pPr>
        <w:spacing w:after="0" w:line="176"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(or Approximate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4"/>
              </w:rPr>
              <w:t>Total Number of</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Purchased as Part</w:t>
            </w:r>
          </w:p>
        </w:tc>
        <w:tc>
          <w:tcPr>
            <w:tcW w:w="28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of Shares that May</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28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40" w:type="dxa"/>
            <w:vAlign w:val="bottom"/>
            <w:vMerge w:val="restart"/>
          </w:tcPr>
          <w:p>
            <w:pPr>
              <w:spacing w:after="0"/>
              <w:rPr>
                <w:sz w:val="12"/>
                <w:szCs w:val="12"/>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560" w:type="dxa"/>
            <w:vAlign w:val="bottom"/>
            <w:gridSpan w:val="2"/>
            <w:vMerge w:val="restart"/>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3560" w:type="dxa"/>
            <w:vAlign w:val="bottom"/>
            <w:gridSpan w:val="2"/>
            <w:vMerge w:val="continue"/>
          </w:tcPr>
          <w:p>
            <w:pPr>
              <w:spacing w:after="0"/>
              <w:rPr>
                <w:sz w:val="15"/>
                <w:szCs w:val="15"/>
                <w:color w:val="auto"/>
              </w:rPr>
            </w:pPr>
          </w:p>
        </w:tc>
        <w:tc>
          <w:tcPr>
            <w:tcW w:w="10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9"/>
              </w:rPr>
              <w:t>Purchased</w:t>
            </w:r>
          </w:p>
        </w:tc>
        <w:tc>
          <w:tcPr>
            <w:tcW w:w="540" w:type="dxa"/>
            <w:vAlign w:val="bottom"/>
          </w:tcPr>
          <w:p>
            <w:pPr>
              <w:spacing w:after="0"/>
              <w:rPr>
                <w:sz w:val="15"/>
                <w:szCs w:val="15"/>
                <w:color w:val="auto"/>
              </w:rPr>
            </w:pPr>
          </w:p>
        </w:tc>
        <w:tc>
          <w:tcPr>
            <w:tcW w:w="16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Paid per Share(1)</w:t>
            </w:r>
          </w:p>
        </w:tc>
        <w:tc>
          <w:tcPr>
            <w:tcW w:w="13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or Programs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5"/>
              </w:rPr>
              <w:t>or Programs(2)</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9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04/01/20-04/30/20</w:t>
            </w:r>
          </w:p>
        </w:tc>
        <w:tc>
          <w:tcPr>
            <w:tcW w:w="102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w w:val="86"/>
              </w:rPr>
              <w:t>355,694</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59.04</w:t>
            </w:r>
          </w:p>
        </w:tc>
        <w:tc>
          <w:tcPr>
            <w:tcW w:w="5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355,694</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808,171,772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05/01/20-05/31/20</w:t>
            </w:r>
          </w:p>
        </w:tc>
        <w:tc>
          <w:tcPr>
            <w:tcW w:w="1040" w:type="dxa"/>
            <w:vAlign w:val="bottom"/>
            <w:gridSpan w:val="2"/>
          </w:tcPr>
          <w:p>
            <w:pPr>
              <w:ind w:left="440"/>
              <w:spacing w:after="0"/>
              <w:rPr>
                <w:sz w:val="20"/>
                <w:szCs w:val="20"/>
                <w:color w:val="auto"/>
              </w:rPr>
            </w:pPr>
            <w:r>
              <w:rPr>
                <w:rFonts w:ascii="Arial" w:cs="Arial" w:eastAsia="Arial" w:hAnsi="Arial"/>
                <w:sz w:val="18"/>
                <w:szCs w:val="18"/>
                <w:color w:val="auto"/>
                <w:w w:val="89"/>
              </w:rPr>
              <w:t>318,639</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62.76</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318,639</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788,172,482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06/01/20-06/30/20</w:t>
            </w: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89"/>
              </w:rPr>
              <w:t>301,222</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63.08</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301,222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769,171,166</w:t>
            </w:r>
          </w:p>
        </w:tc>
        <w:tc>
          <w:tcPr>
            <w:tcW w:w="0" w:type="dxa"/>
            <w:vAlign w:val="bottom"/>
          </w:tcPr>
          <w:p>
            <w:pPr>
              <w:spacing w:after="0"/>
              <w:rPr>
                <w:sz w:val="1"/>
                <w:szCs w:val="1"/>
                <w:color w:val="auto"/>
              </w:rPr>
            </w:pPr>
          </w:p>
        </w:tc>
      </w:tr>
      <w:tr>
        <w:trPr>
          <w:trHeight w:val="223"/>
        </w:trPr>
        <w:tc>
          <w:tcPr>
            <w:tcW w:w="4420" w:type="dxa"/>
            <w:vAlign w:val="bottom"/>
            <w:gridSpan w:val="4"/>
          </w:tcPr>
          <w:p>
            <w:pPr>
              <w:ind w:left="44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6"/>
              </w:rPr>
              <w:t>975,555</w:t>
            </w:r>
          </w:p>
        </w:tc>
        <w:tc>
          <w:tcPr>
            <w:tcW w:w="20" w:type="dxa"/>
            <w:vAlign w:val="bottom"/>
            <w:tcBorders>
              <w:bottom w:val="single" w:sz="8" w:color="auto"/>
            </w:tcBorders>
          </w:tcPr>
          <w:p>
            <w:pPr>
              <w:spacing w:after="0"/>
              <w:rPr>
                <w:sz w:val="19"/>
                <w:szCs w:val="19"/>
                <w:color w:val="auto"/>
              </w:rPr>
            </w:pP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61.50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975,555</w:t>
            </w:r>
          </w:p>
        </w:tc>
        <w:tc>
          <w:tcPr>
            <w:tcW w:w="26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769,171,166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23" w:lineRule="exact"/>
        <w:rPr>
          <w:rFonts w:ascii="Arial" w:cs="Arial" w:eastAsia="Arial" w:hAnsi="Arial"/>
          <w:sz w:val="18"/>
          <w:szCs w:val="18"/>
          <w:color w:val="auto"/>
        </w:rPr>
      </w:pPr>
    </w:p>
    <w:p>
      <w:pPr>
        <w:ind w:left="424" w:right="120" w:hanging="424"/>
        <w:spacing w:after="0" w:line="255"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November 12, 2019, our Board of Directors adopted another share repurchase plan for the repurchase of up to an additional $800.0 million of our outstanding ordinary shares. The authorizations have no expiration date and permit us to purchase our ordinary shares in open market or privately negotiated transactions at times and prices we consider appropriate.</w:t>
      </w:r>
    </w:p>
    <w:p>
      <w:pPr>
        <w:spacing w:after="0" w:line="29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 Reports on Form 6-K</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Company furnished or filed the following reports on Form 6-K during the three months ended June 30, 2020:</w:t>
      </w:r>
    </w:p>
    <w:p>
      <w:pPr>
        <w:spacing w:after="0" w:line="131" w:lineRule="exact"/>
        <w:rPr>
          <w:sz w:val="20"/>
          <w:szCs w:val="20"/>
          <w:color w:val="auto"/>
        </w:rPr>
      </w:pPr>
    </w:p>
    <w:p>
      <w:pPr>
        <w:ind w:left="964" w:hanging="532"/>
        <w:spacing w:after="0"/>
        <w:tabs>
          <w:tab w:leader="none" w:pos="9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6-K dated May 08, 2020</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6-K dated May 18, 2020</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6-K dated June 24, 2020</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3. Risk Factors</w:t>
      </w:r>
    </w:p>
    <w:p>
      <w:pPr>
        <w:spacing w:after="0" w:line="121"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For a discussion of our potential risks and uncertainties, see the information set forth under the caption “Risk Factors” in our Annual Report on Form 20-F for fiscal year 2019, filed on December 16, 2019 with the U.S. Securities and Exchange Commission.</w:t>
      </w:r>
    </w:p>
    <w:p>
      <w:pPr>
        <w:spacing w:after="0" w:line="170"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b w:val="1"/>
          <w:bCs w:val="1"/>
          <w:i w:val="1"/>
          <w:iCs w:val="1"/>
          <w:color w:val="auto"/>
        </w:rPr>
        <w:t>The global outbreak of the COVID-19 pandemic may negatively impact the global economy in a significant manner for an extended period of time, and also could materially adversely affect our business and operating results.</w:t>
      </w:r>
    </w:p>
    <w:p>
      <w:pPr>
        <w:spacing w:after="0" w:line="170"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On March 11, 2020 the World Health Organization characterized the outbreak as a ‘‘pandemic’’. This outbreak of COVID-19 has resulted in a widespread health crisis that has and may continue to adversely affect the economies and financial markets worldwide. The COVID-19 pandemic could materially adversely impact our business, results of operations and financial results, depending on numerous evolving factors that we may not be able to accurately predict, including: the duration and severity of the pandemic; governmental, business and individuals’ actions that have been and continue to be taken in response to the pandemic; the impact of COVID-19 on economic activity and actions taken in response; the effect on our clients and client demand for our services and products; our ability to sell and provide our services and products, including as a result of travel restrictions and working directives; the effect of COVID-19 on our employees’ health and their effectiveness; the ability of our clients to pay for our services and products; and any closures of our and our clients’ offices and facilities. Negative economic conditions may cause customers generally to reduce their spending, delay or cancel projects, choose to focus on in-house development efforts or seek to lower their costs by renegotiating or terminating existing agreements. Any of these events could cause or contribute to the risks and uncertainties enumerated in our Annual Report on Form 20-F for fiscal year 2019, and could materially adversely affect our business, financial condition, results of operations and/or stock price.</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70" w:right="459" w:bottom="1440" w:gutter="0" w:footer="0" w:header="0"/>
        </w:sectPr>
      </w:pPr>
    </w:p>
    <w:bookmarkStart w:id="35" w:name="page36"/>
    <w:bookmarkEnd w:id="35"/>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17, 2020</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36</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4"/>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6"/>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2020-08-17T15:32:24Z</dcterms:created>
  <dcterms:modified xsi:type="dcterms:W3CDTF">2020-08-17T15:32:24Z</dcterms:modified>
</cp:coreProperties>
</file>