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FORM 6-K/A</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AMENDMENT NO. 1 TO</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REPORT OF FOREIGN PRIVATE ISSUER</w:t>
      </w:r>
    </w:p>
    <w:p>
      <w:pPr>
        <w:jc w:val="center"/>
        <w:ind w:right="3239"/>
        <w:spacing w:after="0" w:line="238" w:lineRule="auto"/>
        <w:rPr>
          <w:sz w:val="20"/>
          <w:szCs w:val="20"/>
          <w:color w:val="auto"/>
        </w:rPr>
      </w:pPr>
      <w:r>
        <w:rPr>
          <w:rFonts w:ascii="Courier New" w:cs="Courier New" w:eastAsia="Courier New" w:hAnsi="Courier New"/>
          <w:sz w:val="15"/>
          <w:szCs w:val="15"/>
          <w:color w:val="auto"/>
        </w:rPr>
        <w:t>PURSUANT TO RULE 13A-16 OR 15D-16 OF</w:t>
      </w:r>
    </w:p>
    <w:p>
      <w:pPr>
        <w:jc w:val="center"/>
        <w:ind w:right="3139"/>
        <w:spacing w:after="0" w:line="237" w:lineRule="auto"/>
        <w:rPr>
          <w:sz w:val="20"/>
          <w:szCs w:val="20"/>
          <w:color w:val="auto"/>
        </w:rPr>
      </w:pPr>
      <w:r>
        <w:rPr>
          <w:rFonts w:ascii="Courier New" w:cs="Courier New" w:eastAsia="Courier New" w:hAnsi="Courier New"/>
          <w:sz w:val="15"/>
          <w:szCs w:val="15"/>
          <w:color w:val="auto"/>
        </w:rPr>
        <w:t>THE SECURITIES EXCHANGE ACT OF 1934</w:t>
      </w:r>
    </w:p>
    <w:p>
      <w:pPr>
        <w:spacing w:after="0" w:line="167"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For the Month of November, 2001</w:t>
      </w:r>
    </w:p>
    <w:p>
      <w:pPr>
        <w:spacing w:after="0" w:line="166"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Suite 5, Tower Hill House Le Bordage</w:t>
      </w:r>
    </w:p>
    <w:p>
      <w:pPr>
        <w:ind w:left="980"/>
        <w:spacing w:after="0" w:line="237" w:lineRule="auto"/>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Amdocs,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3" w:lineRule="exact"/>
        <w:rPr>
          <w:sz w:val="24"/>
          <w:szCs w:val="24"/>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pacing w:after="0" w:line="167" w:lineRule="exact"/>
        <w:rPr>
          <w:sz w:val="24"/>
          <w:szCs w:val="24"/>
          <w:color w:val="auto"/>
        </w:rPr>
      </w:pPr>
    </w:p>
    <w:p>
      <w:pPr>
        <w:ind w:left="1500"/>
        <w:spacing w:after="0"/>
        <w:tabs>
          <w:tab w:leader="none" w:pos="2520" w:val="left"/>
          <w:tab w:leader="none" w:pos="4540" w:val="left"/>
        </w:tabs>
        <w:rPr>
          <w:sz w:val="20"/>
          <w:szCs w:val="20"/>
          <w:color w:val="auto"/>
        </w:rPr>
      </w:pPr>
      <w:r>
        <w:rPr>
          <w:rFonts w:ascii="Courier New" w:cs="Courier New" w:eastAsia="Courier New" w:hAnsi="Courier New"/>
          <w:sz w:val="15"/>
          <w:szCs w:val="15"/>
          <w:color w:val="auto"/>
        </w:rPr>
        <w:t>FORM 20-F</w:t>
        <w:tab/>
        <w:t>X</w:t>
      </w:r>
      <w:r>
        <w:rPr>
          <w:sz w:val="20"/>
          <w:szCs w:val="20"/>
          <w:color w:val="auto"/>
        </w:rPr>
        <w:tab/>
      </w:r>
      <w:r>
        <w:rPr>
          <w:rFonts w:ascii="Courier New" w:cs="Courier New" w:eastAsia="Courier New" w:hAnsi="Courier New"/>
          <w:sz w:val="14"/>
          <w:szCs w:val="14"/>
          <w:color w:val="auto"/>
        </w:rPr>
        <w:t>FORM 40-F</w:t>
      </w:r>
    </w:p>
    <w:p>
      <w:pPr>
        <w:spacing w:after="0" w:line="173" w:lineRule="exact"/>
        <w:rPr>
          <w:sz w:val="24"/>
          <w:szCs w:val="24"/>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5" w:lineRule="exact"/>
        <w:rPr>
          <w:sz w:val="24"/>
          <w:szCs w:val="24"/>
          <w:color w:val="auto"/>
        </w:rPr>
      </w:pPr>
    </w:p>
    <w:p>
      <w:pPr>
        <w:ind w:left="2280"/>
        <w:spacing w:after="0"/>
        <w:tabs>
          <w:tab w:leader="none" w:pos="4620" w:val="left"/>
          <w:tab w:leader="none" w:pos="4980"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2"/>
          <w:szCs w:val="12"/>
          <w:color w:val="auto"/>
        </w:rPr>
        <w:t>X</w:t>
      </w:r>
    </w:p>
    <w:p>
      <w:pPr>
        <w:sectPr>
          <w:pgSz w:w="11900" w:h="16838" w:orient="portrait"/>
          <w:cols w:equalWidth="0" w:num="1">
            <w:col w:w="10239"/>
          </w:cols>
          <w:pgMar w:left="220" w:top="393" w:right="1440" w:bottom="1440" w:gutter="0" w:footer="0" w:header="0"/>
        </w:sectPr>
      </w:pPr>
    </w:p>
    <w:bookmarkStart w:id="1" w:name="page2"/>
    <w:bookmarkEnd w:id="1"/>
    <w:p>
      <w:pPr>
        <w:ind w:left="800"/>
        <w:spacing w:after="0"/>
        <w:rPr>
          <w:sz w:val="20"/>
          <w:szCs w:val="20"/>
          <w:color w:val="auto"/>
        </w:rPr>
      </w:pPr>
      <w:r>
        <w:rPr>
          <w:rFonts w:ascii="Courier New" w:cs="Courier New" w:eastAsia="Courier New" w:hAnsi="Courier New"/>
          <w:sz w:val="14"/>
          <w:szCs w:val="14"/>
          <w:color w:val="auto"/>
        </w:rPr>
        <w:t>This Amendment No. 1 to Report on Form 6-K is being filed in order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w:t>
      </w:r>
    </w:p>
    <w:p>
      <w:pPr>
        <w:spacing w:after="0" w:line="341" w:lineRule="exact"/>
        <w:rPr>
          <w:sz w:val="20"/>
          <w:szCs w:val="20"/>
          <w:color w:val="auto"/>
        </w:rPr>
      </w:pPr>
    </w:p>
    <w:p>
      <w:pPr>
        <w:ind w:left="1580" w:right="3319" w:hanging="783"/>
        <w:spacing w:after="0" w:line="236" w:lineRule="auto"/>
        <w:tabs>
          <w:tab w:leader="none" w:pos="15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pro forma condensed combined statements of operations for the twelve months ended September 30, 2001 and for the three months ended December 31, 2001, in each case reflecting the acquisition by Amdocs Limited ("Amdocs") from Nortel Networks Corporation ("Nortel"), on November 28, 2001, of substantially all of the assets of Nortel's Clarify business ("Clarify"); and</w:t>
      </w:r>
    </w:p>
    <w:p>
      <w:pPr>
        <w:spacing w:after="0" w:line="175" w:lineRule="exact"/>
        <w:rPr>
          <w:rFonts w:ascii="Courier New" w:cs="Courier New" w:eastAsia="Courier New" w:hAnsi="Courier New"/>
          <w:sz w:val="15"/>
          <w:szCs w:val="15"/>
          <w:color w:val="auto"/>
        </w:rPr>
      </w:pPr>
    </w:p>
    <w:p>
      <w:pPr>
        <w:ind w:left="1580" w:right="3239" w:hanging="783"/>
        <w:spacing w:after="0" w:line="236" w:lineRule="auto"/>
        <w:tabs>
          <w:tab w:leader="none" w:pos="15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financial statements of Clarify Inc. (the predecessor of Clarify) for the years ended December 31, 1998 and 1999 and the period from January 1, 2000 through March 16, 2000, the audited financial statements of Clarify for the period from March 17, 2000 through December 31, 2000, and the unaudited condensed financial statements of Clarify for the nine months ended September 30, 2001.</w:t>
      </w:r>
    </w:p>
    <w:p>
      <w:pPr>
        <w:spacing w:after="0" w:line="176" w:lineRule="exact"/>
        <w:rPr>
          <w:sz w:val="20"/>
          <w:szCs w:val="20"/>
          <w:color w:val="auto"/>
        </w:rPr>
      </w:pPr>
    </w:p>
    <w:p>
      <w:pPr>
        <w:ind w:right="3239" w:firstLine="612"/>
        <w:spacing w:after="0" w:line="235" w:lineRule="auto"/>
        <w:rPr>
          <w:sz w:val="20"/>
          <w:szCs w:val="20"/>
          <w:color w:val="auto"/>
        </w:rPr>
      </w:pPr>
      <w:r>
        <w:rPr>
          <w:rFonts w:ascii="Courier New" w:cs="Courier New" w:eastAsia="Courier New" w:hAnsi="Courier New"/>
          <w:sz w:val="15"/>
          <w:szCs w:val="15"/>
          <w:color w:val="auto"/>
        </w:rPr>
        <w:t>The Report on Form 6-K of Amdocs filed on December 12, 2001 is amended by substituting the text below each of the following headers for the text that appeared below each such header in the original report on Form 6-K.</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 AND PRO FORMA FINANCIAL INFORMATION</w:t>
      </w:r>
    </w:p>
    <w:p>
      <w:pPr>
        <w:spacing w:after="0" w:line="166" w:lineRule="exact"/>
        <w:rPr>
          <w:sz w:val="20"/>
          <w:szCs w:val="20"/>
          <w:color w:val="auto"/>
        </w:rPr>
      </w:pPr>
    </w:p>
    <w:p>
      <w:pPr>
        <w:ind w:left="800" w:hanging="790"/>
        <w:spacing w:after="0"/>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w:t>
      </w:r>
    </w:p>
    <w:p>
      <w:pPr>
        <w:spacing w:after="0" w:line="17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The unaudited pro forma condensed combined statements of operations for the twelve months ended September 30, 2001 and for the three months ended December 31, 2001 are set forth below.</w:t>
      </w:r>
    </w:p>
    <w:p>
      <w:pPr>
        <w:spacing w:after="0" w:line="335" w:lineRule="exact"/>
        <w:rPr>
          <w:sz w:val="20"/>
          <w:szCs w:val="20"/>
          <w:color w:val="auto"/>
        </w:rPr>
      </w:pPr>
    </w:p>
    <w:p>
      <w:pPr>
        <w:ind w:left="800" w:hanging="790"/>
        <w:spacing w:after="0"/>
        <w:tabs>
          <w:tab w:leader="none" w:pos="8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of Business Acquired.</w:t>
      </w:r>
    </w:p>
    <w:p>
      <w:pPr>
        <w:spacing w:after="0" w:line="173" w:lineRule="exact"/>
        <w:rPr>
          <w:sz w:val="20"/>
          <w:szCs w:val="20"/>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The financial statements of Clarify Inc. (the predecessor of Clarify) for the years ended December 31, 1998 and 1999 and the period from January 1, 2000 through March 16, 2000 and the financial statements of Clarify for the period from March 17, 2000 through December 31, 2000 and for the nine months ended September 30, 2001 are set forth below.</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1220" w:type="dxa"/>
            <w:vAlign w:val="bottom"/>
          </w:tcPr>
          <w:p>
            <w:pPr>
              <w:spacing w:after="0"/>
              <w:rPr>
                <w:sz w:val="14"/>
                <w:szCs w:val="14"/>
                <w:color w:val="auto"/>
              </w:rPr>
            </w:pPr>
          </w:p>
        </w:tc>
        <w:tc>
          <w:tcPr>
            <w:tcW w:w="3020" w:type="dxa"/>
            <w:vAlign w:val="bottom"/>
          </w:tcPr>
          <w:p>
            <w:pPr>
              <w:spacing w:after="0"/>
              <w:rPr>
                <w:sz w:val="14"/>
                <w:szCs w:val="14"/>
                <w:color w:val="auto"/>
              </w:rPr>
            </w:pPr>
          </w:p>
        </w:tc>
      </w:tr>
      <w:tr>
        <w:trPr>
          <w:trHeight w:val="505"/>
        </w:trPr>
        <w:tc>
          <w:tcPr>
            <w:tcW w:w="128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42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DESCRIPTION</w:t>
            </w: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1220" w:type="dxa"/>
            <w:vAlign w:val="bottom"/>
          </w:tcPr>
          <w:p>
            <w:pPr>
              <w:ind w:left="300"/>
              <w:spacing w:after="0"/>
              <w:rPr>
                <w:sz w:val="20"/>
                <w:szCs w:val="20"/>
                <w:color w:val="auto"/>
              </w:rPr>
            </w:pPr>
            <w:r>
              <w:rPr>
                <w:rFonts w:ascii="Courier New" w:cs="Courier New" w:eastAsia="Courier New" w:hAnsi="Courier New"/>
                <w:sz w:val="15"/>
                <w:szCs w:val="15"/>
                <w:color w:val="auto"/>
                <w:w w:val="99"/>
              </w:rPr>
              <w:t>Consent of</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PricewaterhouseCoopers LLP.</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23.2</w:t>
            </w:r>
          </w:p>
        </w:tc>
        <w:tc>
          <w:tcPr>
            <w:tcW w:w="12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Consent of</w:t>
            </w:r>
          </w:p>
        </w:tc>
        <w:tc>
          <w:tcPr>
            <w:tcW w:w="3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Deloitte &amp; Touche LLP.</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99.1*</w:t>
            </w:r>
          </w:p>
        </w:tc>
        <w:tc>
          <w:tcPr>
            <w:tcW w:w="42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6"/>
              </w:rPr>
              <w:t>Amdocs Press Release dated November 28, 2001.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Previously filed.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55" w:right="1440" w:bottom="1440" w:gutter="0" w:footer="0" w:header="0"/>
        </w:sectPr>
      </w:pPr>
    </w:p>
    <w:bookmarkStart w:id="2" w:name="page3"/>
    <w:bookmarkEnd w:id="2"/>
    <w:p>
      <w:pPr>
        <w:ind w:left="880"/>
        <w:spacing w:after="0"/>
        <w:rPr>
          <w:sz w:val="20"/>
          <w:szCs w:val="20"/>
          <w:color w:val="auto"/>
        </w:rPr>
      </w:pPr>
      <w:r>
        <w:rPr>
          <w:rFonts w:ascii="Courier New" w:cs="Courier New" w:eastAsia="Courier New" w:hAnsi="Courier New"/>
          <w:sz w:val="15"/>
          <w:szCs w:val="15"/>
          <w:color w:val="auto"/>
        </w:rPr>
        <w:t>UNAUDITED PRO FORMA CONDENSED COMBINED FINANCIAL INFORMATION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unaudited pro forma condensed combined statements of operations for the twelve months ended September 30, 2001 and the three months ended December 31, 2001, gives effect to the acquisition from Nortel of substantially all of the assets of Clarify, which closed on November 28, 2001 (the "Acquisition"), as if it had occurred on October 1, 2000.</w:t>
      </w:r>
    </w:p>
    <w:p>
      <w:pPr>
        <w:spacing w:after="0" w:line="17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unaudited pro forma condensed combined statements of operations are based upon, and should be read in conjunction with, (i) our historical audited financial statements for the year ended September 30, 2001. (ii) our historical unaudited financial statements for the three months ended December 31, 2001,</w:t>
      </w:r>
    </w:p>
    <w:p>
      <w:pPr>
        <w:spacing w:after="0" w:line="1" w:lineRule="exact"/>
        <w:rPr>
          <w:sz w:val="20"/>
          <w:szCs w:val="20"/>
          <w:color w:val="auto"/>
        </w:rPr>
      </w:pPr>
    </w:p>
    <w:p>
      <w:pPr>
        <w:ind w:right="3319" w:firstLine="10"/>
        <w:spacing w:after="0" w:line="235" w:lineRule="auto"/>
        <w:tabs>
          <w:tab w:leader="none" w:pos="52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historical audited financial statements of Clarify for the year ended December 31, 2000, and (iv) the historical unaudited financial statements of Clarify for the nine months ended September 30, 2001.</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aggregate purchase price for Clarify was $203.8 million in cash. The purchase price is subject to final price adjustments that may result in a reduction only. In addition, transaction costs were $7.2 million. We accounted for the Acquisition as a business combination using the purchase method of accounting, as required by Statements of Financial Accounting Standards No. 141, "Business Combinations." The total purchase price is being allocated to Clarify's tangible assets and liabilities based on their respective estimated fair values, on the date the transaction was consummated. We allocated the excess of the purchase price over the fair value of the net tangible assets acquired to identifiable intangible assets, including customer arrangements, core technology, in-process research and development costs, and the remainder to goodwill. In addition, deferred taxes will be recognized for the difference between the book and tax basis of certain intangible assets.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believe that the fair value of the tangible net assets is not materially different from their historical book value. The allocation of the excess purchase price over net tangible assets has been determined based on a preliminary evaluation available at the date of the preparation of the unaudited pro forma condensed combined financial information. A final determination of purchase accounting adjustments will be made following the completion of the evaluation.</w:t>
      </w:r>
    </w:p>
    <w:p>
      <w:pPr>
        <w:spacing w:after="0" w:line="176"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The pro forma financial results are not intended to be a projection of future results and are not necessarily indicative of the results that would have occurred if the business combination had been in effect on the dates presented.</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49" w:right="1440" w:bottom="1440" w:gutter="0" w:footer="0" w:header="0"/>
        </w:sectPr>
      </w:pPr>
    </w:p>
    <w:bookmarkStart w:id="3" w:name="page4"/>
    <w:bookmarkEnd w:id="3"/>
    <w:p>
      <w:pPr>
        <w:jc w:val="center"/>
        <w:ind w:right="4100"/>
        <w:spacing w:after="0"/>
        <w:rPr>
          <w:sz w:val="20"/>
          <w:szCs w:val="20"/>
          <w:color w:val="auto"/>
        </w:rPr>
      </w:pPr>
      <w:r>
        <w:rPr>
          <w:rFonts w:ascii="Courier New" w:cs="Courier New" w:eastAsia="Courier New" w:hAnsi="Courier New"/>
          <w:sz w:val="15"/>
          <w:szCs w:val="15"/>
          <w:color w:val="auto"/>
        </w:rPr>
        <w:t>UNAUDITED PRO FORMA CONDENSED COMBINED STATEMENTS OF OPERATIONS FOR</w:t>
      </w:r>
    </w:p>
    <w:p>
      <w:pPr>
        <w:ind w:left="1680"/>
        <w:spacing w:after="0" w:line="237" w:lineRule="auto"/>
        <w:rPr>
          <w:sz w:val="20"/>
          <w:szCs w:val="20"/>
          <w:color w:val="auto"/>
        </w:rPr>
      </w:pPr>
      <w:r>
        <w:rPr>
          <w:rFonts w:ascii="Courier New" w:cs="Courier New" w:eastAsia="Courier New" w:hAnsi="Courier New"/>
          <w:sz w:val="15"/>
          <w:szCs w:val="15"/>
          <w:color w:val="auto"/>
        </w:rPr>
        <w:t>THE TWELVE MONTHS ENDED SEPTEMBER 30, 2001</w:t>
      </w:r>
    </w:p>
    <w:p>
      <w:pPr>
        <w:ind w:left="1940"/>
        <w:spacing w:after="0" w:line="238" w:lineRule="auto"/>
        <w:rPr>
          <w:sz w:val="20"/>
          <w:szCs w:val="20"/>
          <w:color w:val="auto"/>
        </w:rPr>
      </w:pPr>
      <w:r>
        <w:rPr>
          <w:rFonts w:ascii="Courier New" w:cs="Courier New" w:eastAsia="Courier New" w:hAnsi="Courier New"/>
          <w:sz w:val="15"/>
          <w:szCs w:val="15"/>
          <w:color w:val="auto"/>
        </w:rPr>
        <w:t>(in thousands, except per share data)</w:t>
      </w:r>
    </w:p>
    <w:p>
      <w:pPr>
        <w:ind w:left="2800"/>
        <w:spacing w:after="0" w:line="237" w:lineRule="auto"/>
        <w:rPr>
          <w:sz w:val="20"/>
          <w:szCs w:val="20"/>
          <w:color w:val="auto"/>
        </w:rPr>
      </w:pPr>
      <w:r>
        <w:rPr>
          <w:rFonts w:ascii="Courier New" w:cs="Courier New" w:eastAsia="Courier New" w:hAnsi="Courier New"/>
          <w:sz w:val="15"/>
          <w:szCs w:val="15"/>
          <w:color w:val="auto"/>
        </w:rPr>
        <w:t>(in U.S. dollars)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AMDOCS</w:t>
            </w:r>
          </w:p>
        </w:tc>
        <w:tc>
          <w:tcPr>
            <w:tcW w:w="15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CLARIFY</w:t>
            </w:r>
          </w:p>
        </w:tc>
        <w:tc>
          <w:tcPr>
            <w:tcW w:w="40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PRO FORMA</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PRO FORMA</w:t>
            </w:r>
          </w:p>
        </w:tc>
      </w:tr>
      <w:tr>
        <w:trPr>
          <w:trHeight w:val="168"/>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HISTORICAL</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HISTORICAL</w:t>
            </w:r>
          </w:p>
        </w:tc>
        <w:tc>
          <w:tcPr>
            <w:tcW w:w="136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ADJUSTMENTS</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168"/>
        </w:trPr>
        <w:tc>
          <w:tcPr>
            <w:tcW w:w="4560" w:type="dxa"/>
            <w:vAlign w:val="bottom"/>
          </w:tcPr>
          <w:p>
            <w:pPr>
              <w:spacing w:after="0"/>
              <w:rPr>
                <w:sz w:val="14"/>
                <w:szCs w:val="14"/>
                <w:color w:val="auto"/>
              </w:rPr>
            </w:pPr>
          </w:p>
        </w:tc>
        <w:tc>
          <w:tcPr>
            <w:tcW w:w="2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$ 1,533,910</w:t>
            </w:r>
          </w:p>
        </w:tc>
        <w:tc>
          <w:tcPr>
            <w:tcW w:w="15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242,153</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$ 1,776,063</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Cost of revenue</w:t>
            </w:r>
          </w:p>
        </w:tc>
        <w:tc>
          <w:tcPr>
            <w:tcW w:w="104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853,242</w:t>
            </w:r>
          </w:p>
        </w:tc>
        <w:tc>
          <w:tcPr>
            <w:tcW w:w="15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80,971</w:t>
            </w:r>
          </w:p>
        </w:tc>
        <w:tc>
          <w:tcPr>
            <w:tcW w:w="40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934,213</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0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105,807</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76,052</w:t>
            </w:r>
          </w:p>
        </w:tc>
        <w:tc>
          <w:tcPr>
            <w:tcW w:w="4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181,859</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0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195,592</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166,421</w:t>
            </w:r>
          </w:p>
        </w:tc>
        <w:tc>
          <w:tcPr>
            <w:tcW w:w="4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362,013</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goodwill and purchased</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intangible assets</w:t>
            </w:r>
          </w:p>
        </w:tc>
        <w:tc>
          <w:tcPr>
            <w:tcW w:w="10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219,988</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566,492</w:t>
            </w:r>
          </w:p>
        </w:tc>
        <w:tc>
          <w:tcPr>
            <w:tcW w:w="4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(566,492)(1)</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6,700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14,448</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(3)</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241,136</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 charges</w:t>
            </w:r>
          </w:p>
        </w:tc>
        <w:tc>
          <w:tcPr>
            <w:tcW w:w="10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932,104</w:t>
            </w:r>
          </w:p>
        </w:tc>
        <w:tc>
          <w:tcPr>
            <w:tcW w:w="4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(905,000)(4)</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27,104</w:t>
            </w:r>
          </w:p>
        </w:tc>
      </w:tr>
      <w:tr>
        <w:trPr>
          <w:trHeight w:val="168"/>
        </w:trPr>
        <w:tc>
          <w:tcPr>
            <w:tcW w:w="4560" w:type="dxa"/>
            <w:vAlign w:val="bottom"/>
          </w:tcPr>
          <w:p>
            <w:pPr>
              <w:spacing w:after="0"/>
              <w:rPr>
                <w:sz w:val="14"/>
                <w:szCs w:val="14"/>
                <w:color w:val="auto"/>
              </w:rPr>
            </w:pPr>
          </w:p>
        </w:tc>
        <w:tc>
          <w:tcPr>
            <w:tcW w:w="2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1,374,629</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1,822,040</w:t>
            </w:r>
          </w:p>
        </w:tc>
        <w:tc>
          <w:tcPr>
            <w:tcW w:w="40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(1,450,344)</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1,746,325</w:t>
            </w:r>
          </w:p>
        </w:tc>
      </w:tr>
      <w:tr>
        <w:trPr>
          <w:trHeight w:val="168"/>
        </w:trPr>
        <w:tc>
          <w:tcPr>
            <w:tcW w:w="4560" w:type="dxa"/>
            <w:vAlign w:val="bottom"/>
          </w:tcPr>
          <w:p>
            <w:pPr>
              <w:spacing w:after="0"/>
              <w:rPr>
                <w:sz w:val="14"/>
                <w:szCs w:val="14"/>
                <w:color w:val="auto"/>
              </w:rPr>
            </w:pPr>
          </w:p>
        </w:tc>
        <w:tc>
          <w:tcPr>
            <w:tcW w:w="2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10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159,281</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(1,579,887)</w:t>
            </w:r>
          </w:p>
        </w:tc>
        <w:tc>
          <w:tcPr>
            <w:tcW w:w="4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1,450,344</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29,738</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and other, net</w:t>
            </w:r>
          </w:p>
        </w:tc>
        <w:tc>
          <w:tcPr>
            <w:tcW w:w="10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22,286</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137</w:t>
            </w:r>
          </w:p>
        </w:tc>
        <w:tc>
          <w:tcPr>
            <w:tcW w:w="4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(10,566)(5)</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11,857</w:t>
            </w:r>
          </w:p>
        </w:tc>
      </w:tr>
      <w:tr>
        <w:trPr>
          <w:trHeight w:val="168"/>
        </w:trPr>
        <w:tc>
          <w:tcPr>
            <w:tcW w:w="4560" w:type="dxa"/>
            <w:vAlign w:val="bottom"/>
          </w:tcPr>
          <w:p>
            <w:pPr>
              <w:spacing w:after="0"/>
              <w:rPr>
                <w:sz w:val="14"/>
                <w:szCs w:val="14"/>
                <w:color w:val="auto"/>
              </w:rPr>
            </w:pPr>
          </w:p>
        </w:tc>
        <w:tc>
          <w:tcPr>
            <w:tcW w:w="2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w:t>
            </w:r>
          </w:p>
        </w:tc>
        <w:tc>
          <w:tcPr>
            <w:tcW w:w="10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181,567</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(1,579,750)</w:t>
            </w:r>
          </w:p>
        </w:tc>
        <w:tc>
          <w:tcPr>
            <w:tcW w:w="4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1,439,778</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41,595</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(tax benefit)</w:t>
            </w:r>
          </w:p>
        </w:tc>
        <w:tc>
          <w:tcPr>
            <w:tcW w:w="10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115,181</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(44,366)</w:t>
            </w:r>
          </w:p>
        </w:tc>
        <w:tc>
          <w:tcPr>
            <w:tcW w:w="4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5,393</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(6)</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960</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(7)</w:t>
            </w: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77,168</w:t>
            </w:r>
          </w:p>
        </w:tc>
      </w:tr>
      <w:tr>
        <w:trPr>
          <w:trHeight w:val="168"/>
        </w:trPr>
        <w:tc>
          <w:tcPr>
            <w:tcW w:w="4560" w:type="dxa"/>
            <w:vAlign w:val="bottom"/>
          </w:tcPr>
          <w:p>
            <w:pPr>
              <w:spacing w:after="0"/>
              <w:rPr>
                <w:sz w:val="14"/>
                <w:szCs w:val="14"/>
                <w:color w:val="auto"/>
              </w:rPr>
            </w:pPr>
          </w:p>
        </w:tc>
        <w:tc>
          <w:tcPr>
            <w:tcW w:w="2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66,386</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$(1,535,384)</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$ 1,433,425</w:t>
            </w:r>
          </w:p>
        </w:tc>
        <w:tc>
          <w:tcPr>
            <w:tcW w:w="4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(35,573)</w:t>
            </w:r>
          </w:p>
        </w:tc>
      </w:tr>
      <w:tr>
        <w:trPr>
          <w:trHeight w:val="168"/>
        </w:trPr>
        <w:tc>
          <w:tcPr>
            <w:tcW w:w="4560" w:type="dxa"/>
            <w:vAlign w:val="bottom"/>
          </w:tcPr>
          <w:p>
            <w:pPr>
              <w:spacing w:after="0"/>
              <w:rPr>
                <w:sz w:val="14"/>
                <w:szCs w:val="14"/>
                <w:color w:val="auto"/>
              </w:rPr>
            </w:pPr>
          </w:p>
        </w:tc>
        <w:tc>
          <w:tcPr>
            <w:tcW w:w="2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0.30</w:t>
            </w: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(0.16)</w:t>
            </w:r>
          </w:p>
        </w:tc>
      </w:tr>
      <w:tr>
        <w:trPr>
          <w:trHeight w:val="168"/>
        </w:trPr>
        <w:tc>
          <w:tcPr>
            <w:tcW w:w="4560" w:type="dxa"/>
            <w:vAlign w:val="bottom"/>
          </w:tcPr>
          <w:p>
            <w:pPr>
              <w:spacing w:after="0"/>
              <w:rPr>
                <w:sz w:val="14"/>
                <w:szCs w:val="14"/>
                <w:color w:val="auto"/>
              </w:rPr>
            </w:pPr>
          </w:p>
        </w:tc>
        <w:tc>
          <w:tcPr>
            <w:tcW w:w="2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per share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0.29</w:t>
            </w: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(0.16)</w:t>
            </w:r>
          </w:p>
        </w:tc>
      </w:tr>
      <w:tr>
        <w:trPr>
          <w:trHeight w:val="168"/>
        </w:trPr>
        <w:tc>
          <w:tcPr>
            <w:tcW w:w="4560" w:type="dxa"/>
            <w:vAlign w:val="bottom"/>
          </w:tcPr>
          <w:p>
            <w:pPr>
              <w:spacing w:after="0"/>
              <w:rPr>
                <w:sz w:val="14"/>
                <w:szCs w:val="14"/>
                <w:color w:val="auto"/>
              </w:rPr>
            </w:pPr>
          </w:p>
        </w:tc>
        <w:tc>
          <w:tcPr>
            <w:tcW w:w="2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w:t>
            </w: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10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222,002</w:t>
            </w: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222,002</w:t>
            </w:r>
          </w:p>
        </w:tc>
      </w:tr>
      <w:tr>
        <w:trPr>
          <w:trHeight w:val="168"/>
        </w:trPr>
        <w:tc>
          <w:tcPr>
            <w:tcW w:w="4560" w:type="dxa"/>
            <w:vAlign w:val="bottom"/>
          </w:tcPr>
          <w:p>
            <w:pPr>
              <w:spacing w:after="0"/>
              <w:rPr>
                <w:sz w:val="14"/>
                <w:szCs w:val="14"/>
                <w:color w:val="auto"/>
              </w:rPr>
            </w:pPr>
          </w:p>
        </w:tc>
        <w:tc>
          <w:tcPr>
            <w:tcW w:w="2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weighted average number of shares</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10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226,832</w:t>
            </w: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222,002</w:t>
            </w:r>
          </w:p>
        </w:tc>
      </w:tr>
      <w:tr>
        <w:trPr>
          <w:trHeight w:val="168"/>
        </w:trPr>
        <w:tc>
          <w:tcPr>
            <w:tcW w:w="4560" w:type="dxa"/>
            <w:vAlign w:val="bottom"/>
          </w:tcPr>
          <w:p>
            <w:pPr>
              <w:spacing w:after="0"/>
              <w:rPr>
                <w:sz w:val="14"/>
                <w:szCs w:val="14"/>
                <w:color w:val="auto"/>
              </w:rPr>
            </w:pPr>
          </w:p>
        </w:tc>
        <w:tc>
          <w:tcPr>
            <w:tcW w:w="2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460"/>
        <w:spacing w:after="0" w:line="234" w:lineRule="auto"/>
        <w:rPr>
          <w:sz w:val="20"/>
          <w:szCs w:val="20"/>
          <w:color w:val="auto"/>
        </w:rPr>
      </w:pPr>
      <w:r>
        <w:rPr>
          <w:rFonts w:ascii="Courier New" w:cs="Courier New" w:eastAsia="Courier New" w:hAnsi="Courier New"/>
          <w:sz w:val="15"/>
          <w:szCs w:val="15"/>
          <w:color w:val="auto"/>
        </w:rPr>
        <w:t>See Notes to Unaudited Pro Forma Condensed Combined Financial Information for discussion of adjustments.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200"/>
          </w:cols>
          <w:pgMar w:left="220" w:top="449" w:right="479" w:bottom="1440" w:gutter="0" w:footer="0" w:header="0"/>
        </w:sectPr>
      </w:pPr>
    </w:p>
    <w:bookmarkStart w:id="4" w:name="page5"/>
    <w:bookmarkEnd w:id="4"/>
    <w:p>
      <w:pPr>
        <w:jc w:val="center"/>
        <w:ind w:right="4020"/>
        <w:spacing w:after="0"/>
        <w:rPr>
          <w:sz w:val="20"/>
          <w:szCs w:val="20"/>
          <w:color w:val="auto"/>
        </w:rPr>
      </w:pPr>
      <w:r>
        <w:rPr>
          <w:rFonts w:ascii="Courier New" w:cs="Courier New" w:eastAsia="Courier New" w:hAnsi="Courier New"/>
          <w:sz w:val="15"/>
          <w:szCs w:val="15"/>
          <w:color w:val="auto"/>
        </w:rPr>
        <w:t>UNAUDITED PRO FORMA CONDENSED COMBINED STATEMENTS OF OPERATIONS FOR THE THREE</w:t>
      </w:r>
    </w:p>
    <w:p>
      <w:pPr>
        <w:ind w:left="2200"/>
        <w:spacing w:after="0" w:line="237" w:lineRule="auto"/>
        <w:rPr>
          <w:sz w:val="20"/>
          <w:szCs w:val="20"/>
          <w:color w:val="auto"/>
        </w:rPr>
      </w:pPr>
      <w:r>
        <w:rPr>
          <w:rFonts w:ascii="Courier New" w:cs="Courier New" w:eastAsia="Courier New" w:hAnsi="Courier New"/>
          <w:sz w:val="15"/>
          <w:szCs w:val="15"/>
          <w:color w:val="auto"/>
        </w:rPr>
        <w:t>MONTHS ENDED DECEMBER 31, 2001</w:t>
      </w:r>
    </w:p>
    <w:p>
      <w:pPr>
        <w:ind w:left="1940"/>
        <w:spacing w:after="0" w:line="238" w:lineRule="auto"/>
        <w:rPr>
          <w:sz w:val="20"/>
          <w:szCs w:val="20"/>
          <w:color w:val="auto"/>
        </w:rPr>
      </w:pPr>
      <w:r>
        <w:rPr>
          <w:rFonts w:ascii="Courier New" w:cs="Courier New" w:eastAsia="Courier New" w:hAnsi="Courier New"/>
          <w:sz w:val="15"/>
          <w:szCs w:val="15"/>
          <w:color w:val="auto"/>
        </w:rPr>
        <w:t>(in thousands, except per share data)</w:t>
      </w:r>
    </w:p>
    <w:p>
      <w:pPr>
        <w:ind w:left="2800"/>
        <w:spacing w:after="0" w:line="237" w:lineRule="auto"/>
        <w:rPr>
          <w:sz w:val="20"/>
          <w:szCs w:val="20"/>
          <w:color w:val="auto"/>
        </w:rPr>
      </w:pPr>
      <w:r>
        <w:rPr>
          <w:rFonts w:ascii="Courier New" w:cs="Courier New" w:eastAsia="Courier New" w:hAnsi="Courier New"/>
          <w:sz w:val="15"/>
          <w:szCs w:val="15"/>
          <w:color w:val="auto"/>
        </w:rPr>
        <w:t>(in U.S. dollars)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AMDOCS</w:t>
            </w:r>
          </w:p>
        </w:tc>
        <w:tc>
          <w:tcPr>
            <w:tcW w:w="1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CLARIFY</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PRO FORMA</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PRO FORMA</w:t>
            </w:r>
          </w:p>
        </w:tc>
      </w:tr>
      <w:tr>
        <w:trPr>
          <w:trHeight w:val="168"/>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HISTORICAL</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HISTORICAL</w:t>
            </w:r>
          </w:p>
        </w:tc>
        <w:tc>
          <w:tcPr>
            <w:tcW w:w="176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ADJUSTMENTS</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COMBINED</w:t>
            </w:r>
          </w:p>
        </w:tc>
      </w:tr>
      <w:tr>
        <w:trPr>
          <w:trHeight w:val="168"/>
        </w:trPr>
        <w:tc>
          <w:tcPr>
            <w:tcW w:w="4560" w:type="dxa"/>
            <w:vAlign w:val="bottom"/>
          </w:tcPr>
          <w:p>
            <w:pPr>
              <w:spacing w:after="0"/>
              <w:rPr>
                <w:sz w:val="14"/>
                <w:szCs w:val="14"/>
                <w:color w:val="auto"/>
              </w:rPr>
            </w:pPr>
          </w:p>
        </w:tc>
        <w:tc>
          <w:tcPr>
            <w:tcW w:w="210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5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1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$ 422,641</w:t>
            </w:r>
          </w:p>
        </w:tc>
        <w:tc>
          <w:tcPr>
            <w:tcW w:w="1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20,000</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$ 442,641</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Cost of revenue</w:t>
            </w:r>
          </w:p>
        </w:tc>
        <w:tc>
          <w:tcPr>
            <w:tcW w:w="104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231,583</w:t>
            </w:r>
          </w:p>
        </w:tc>
        <w:tc>
          <w:tcPr>
            <w:tcW w:w="1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9,647</w:t>
            </w:r>
          </w:p>
        </w:tc>
        <w:tc>
          <w:tcPr>
            <w:tcW w:w="44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241,230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0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28,557</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7,134</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35,691</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0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53,779</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11,293</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65,072</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goodwill and purchased</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intangible assets</w:t>
            </w:r>
          </w:p>
        </w:tc>
        <w:tc>
          <w:tcPr>
            <w:tcW w:w="10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56,782</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28,225</w:t>
            </w:r>
          </w:p>
        </w:tc>
        <w:tc>
          <w:tcPr>
            <w:tcW w:w="44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(28,225)(1)</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1,117</w:t>
            </w:r>
          </w:p>
        </w:tc>
        <w:tc>
          <w:tcPr>
            <w:tcW w:w="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(2)</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2,408</w:t>
            </w:r>
          </w:p>
        </w:tc>
        <w:tc>
          <w:tcPr>
            <w:tcW w:w="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(3)</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60,307</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In-process research and development and</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nonrecurring charge</w:t>
            </w:r>
          </w:p>
        </w:tc>
        <w:tc>
          <w:tcPr>
            <w:tcW w:w="10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30,711</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(17,400)(8)</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13,311</w:t>
            </w:r>
          </w:p>
        </w:tc>
      </w:tr>
      <w:tr>
        <w:trPr>
          <w:trHeight w:val="168"/>
        </w:trPr>
        <w:tc>
          <w:tcPr>
            <w:tcW w:w="4560" w:type="dxa"/>
            <w:vAlign w:val="bottom"/>
          </w:tcPr>
          <w:p>
            <w:pPr>
              <w:spacing w:after="0"/>
              <w:rPr>
                <w:sz w:val="14"/>
                <w:szCs w:val="14"/>
                <w:color w:val="auto"/>
              </w:rPr>
            </w:pP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401,412</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56,299</w:t>
            </w:r>
          </w:p>
        </w:tc>
        <w:tc>
          <w:tcPr>
            <w:tcW w:w="4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(42,100)</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415,611</w:t>
            </w:r>
          </w:p>
        </w:tc>
      </w:tr>
      <w:tr>
        <w:trPr>
          <w:trHeight w:val="168"/>
        </w:trPr>
        <w:tc>
          <w:tcPr>
            <w:tcW w:w="4560" w:type="dxa"/>
            <w:vAlign w:val="bottom"/>
          </w:tcPr>
          <w:p>
            <w:pPr>
              <w:spacing w:after="0"/>
              <w:rPr>
                <w:sz w:val="14"/>
                <w:szCs w:val="14"/>
                <w:color w:val="auto"/>
              </w:rPr>
            </w:pP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10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21,229</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(36,299)</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42,100</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27,030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(expense) and other, net</w:t>
            </w:r>
          </w:p>
        </w:tc>
        <w:tc>
          <w:tcPr>
            <w:tcW w:w="10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3,327</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w:t>
            </w:r>
          </w:p>
        </w:tc>
        <w:tc>
          <w:tcPr>
            <w:tcW w:w="44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(1,090)(5)</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2,224</w:t>
            </w:r>
          </w:p>
        </w:tc>
      </w:tr>
      <w:tr>
        <w:trPr>
          <w:trHeight w:val="168"/>
        </w:trPr>
        <w:tc>
          <w:tcPr>
            <w:tcW w:w="4560" w:type="dxa"/>
            <w:vAlign w:val="bottom"/>
          </w:tcPr>
          <w:p>
            <w:pPr>
              <w:spacing w:after="0"/>
              <w:rPr>
                <w:sz w:val="14"/>
                <w:szCs w:val="14"/>
                <w:color w:val="auto"/>
              </w:rPr>
            </w:pP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w:t>
            </w:r>
          </w:p>
        </w:tc>
        <w:tc>
          <w:tcPr>
            <w:tcW w:w="10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24,556</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(36,312)</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41,010</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29,254</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10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20,222</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(3,190)</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w:t>
            </w:r>
          </w:p>
        </w:tc>
        <w:tc>
          <w:tcPr>
            <w:tcW w:w="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(6)</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w:t>
            </w:r>
          </w:p>
        </w:tc>
        <w:tc>
          <w:tcPr>
            <w:tcW w:w="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(7)</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17,471</w:t>
            </w:r>
          </w:p>
        </w:tc>
      </w:tr>
      <w:tr>
        <w:trPr>
          <w:trHeight w:val="168"/>
        </w:trPr>
        <w:tc>
          <w:tcPr>
            <w:tcW w:w="4560" w:type="dxa"/>
            <w:vAlign w:val="bottom"/>
          </w:tcPr>
          <w:p>
            <w:pPr>
              <w:spacing w:after="0"/>
              <w:rPr>
                <w:sz w:val="14"/>
                <w:szCs w:val="14"/>
                <w:color w:val="auto"/>
              </w:rPr>
            </w:pP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4,334</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(33,122)</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40,571</w:t>
            </w:r>
          </w:p>
        </w:tc>
        <w:tc>
          <w:tcPr>
            <w:tcW w:w="5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11,783</w:t>
            </w:r>
          </w:p>
        </w:tc>
      </w:tr>
      <w:tr>
        <w:trPr>
          <w:trHeight w:val="168"/>
        </w:trPr>
        <w:tc>
          <w:tcPr>
            <w:tcW w:w="4560" w:type="dxa"/>
            <w:vAlign w:val="bottom"/>
          </w:tcPr>
          <w:p>
            <w:pPr>
              <w:spacing w:after="0"/>
              <w:rPr>
                <w:sz w:val="14"/>
                <w:szCs w:val="14"/>
                <w:color w:val="auto"/>
              </w:rPr>
            </w:pP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0.02</w:t>
            </w: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4560" w:type="dxa"/>
            <w:vAlign w:val="bottom"/>
          </w:tcPr>
          <w:p>
            <w:pPr>
              <w:spacing w:after="0"/>
              <w:rPr>
                <w:sz w:val="14"/>
                <w:szCs w:val="14"/>
                <w:color w:val="auto"/>
              </w:rPr>
            </w:pP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0.02</w:t>
            </w: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4560" w:type="dxa"/>
            <w:vAlign w:val="bottom"/>
          </w:tcPr>
          <w:p>
            <w:pPr>
              <w:spacing w:after="0"/>
              <w:rPr>
                <w:sz w:val="14"/>
                <w:szCs w:val="14"/>
                <w:color w:val="auto"/>
              </w:rPr>
            </w:pP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weighted average number of shares</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outstanding</w:t>
            </w:r>
          </w:p>
        </w:tc>
        <w:tc>
          <w:tcPr>
            <w:tcW w:w="10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222,696</w:t>
            </w: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222,696</w:t>
            </w:r>
          </w:p>
        </w:tc>
      </w:tr>
      <w:tr>
        <w:trPr>
          <w:trHeight w:val="168"/>
        </w:trPr>
        <w:tc>
          <w:tcPr>
            <w:tcW w:w="4560" w:type="dxa"/>
            <w:vAlign w:val="bottom"/>
          </w:tcPr>
          <w:p>
            <w:pPr>
              <w:spacing w:after="0"/>
              <w:rPr>
                <w:sz w:val="14"/>
                <w:szCs w:val="14"/>
                <w:color w:val="auto"/>
              </w:rPr>
            </w:pP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weighted average number of shares</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outstanding</w:t>
            </w:r>
          </w:p>
        </w:tc>
        <w:tc>
          <w:tcPr>
            <w:tcW w:w="10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225,090</w:t>
            </w: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225,090</w:t>
            </w:r>
          </w:p>
        </w:tc>
      </w:tr>
      <w:tr>
        <w:trPr>
          <w:trHeight w:val="168"/>
        </w:trPr>
        <w:tc>
          <w:tcPr>
            <w:tcW w:w="4560" w:type="dxa"/>
            <w:vAlign w:val="bottom"/>
          </w:tcPr>
          <w:p>
            <w:pPr>
              <w:spacing w:after="0"/>
              <w:rPr>
                <w:sz w:val="14"/>
                <w:szCs w:val="14"/>
                <w:color w:val="auto"/>
              </w:rPr>
            </w:pP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460"/>
        <w:spacing w:after="0" w:line="234" w:lineRule="auto"/>
        <w:rPr>
          <w:sz w:val="20"/>
          <w:szCs w:val="20"/>
          <w:color w:val="auto"/>
        </w:rPr>
      </w:pPr>
      <w:r>
        <w:rPr>
          <w:rFonts w:ascii="Courier New" w:cs="Courier New" w:eastAsia="Courier New" w:hAnsi="Courier New"/>
          <w:sz w:val="15"/>
          <w:szCs w:val="15"/>
          <w:color w:val="auto"/>
        </w:rPr>
        <w:t>See Notes to Unaudited Pro Forma Condensed Combined Financial Statements for discussion of adjustments.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120"/>
          </w:cols>
          <w:pgMar w:left="220" w:top="449" w:right="559" w:bottom="1440" w:gutter="0" w:footer="0" w:header="0"/>
        </w:sectPr>
      </w:pPr>
    </w:p>
    <w:bookmarkStart w:id="5" w:name="page6"/>
    <w:bookmarkEnd w:id="5"/>
    <w:p>
      <w:pPr>
        <w:jc w:val="center"/>
        <w:ind w:right="3139"/>
        <w:spacing w:after="0" w:line="235" w:lineRule="auto"/>
        <w:rPr>
          <w:sz w:val="20"/>
          <w:szCs w:val="20"/>
          <w:color w:val="auto"/>
        </w:rPr>
      </w:pPr>
      <w:r>
        <w:rPr>
          <w:rFonts w:ascii="Courier New" w:cs="Courier New" w:eastAsia="Courier New" w:hAnsi="Courier New"/>
          <w:sz w:val="15"/>
          <w:szCs w:val="15"/>
          <w:color w:val="auto"/>
        </w:rPr>
        <w:t>NOTES TO UNAUDITED PRO FORMA CONDENSED COMBINED FINANCIAL INFORMATION (in thousands, except per share data) (in U.S. dollars)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Amdocs acquired Clarify on November 28, 2001. Accordingly, Clarify's operations are included in the historical results of Amdocs from that date. The amounts presented on the statement of operations for the three months ended December 31, 2001 represent the historical results of Clarify for the two months ended November 28, 2001.</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Set forth below is the preliminary allocation of the preliminary purchase price:</w:t>
      </w:r>
    </w:p>
    <w:p>
      <w:pPr>
        <w:spacing w:after="0" w:line="200" w:lineRule="exact"/>
        <w:rPr>
          <w:sz w:val="20"/>
          <w:szCs w:val="20"/>
          <w:color w:val="auto"/>
        </w:rPr>
      </w:pPr>
    </w:p>
    <w:p>
      <w:pPr>
        <w:spacing w:after="0" w:line="30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Purchase price to Nortel</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$ 203,750</w:t>
            </w:r>
          </w:p>
        </w:tc>
      </w:tr>
      <w:tr>
        <w:trPr>
          <w:trHeight w:val="168"/>
        </w:trPr>
        <w:tc>
          <w:tcPr>
            <w:tcW w:w="6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Estimated transaction costs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7,150</w:t>
            </w:r>
          </w:p>
        </w:tc>
      </w:tr>
      <w:tr>
        <w:trPr>
          <w:trHeight w:val="168"/>
        </w:trPr>
        <w:tc>
          <w:tcPr>
            <w:tcW w:w="6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purchase price</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$ 210,900</w:t>
            </w:r>
          </w:p>
        </w:tc>
      </w:tr>
      <w:tr>
        <w:trPr>
          <w:trHeight w:val="168"/>
        </w:trPr>
        <w:tc>
          <w:tcPr>
            <w:tcW w:w="6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00" w:type="dxa"/>
            <w:vAlign w:val="bottom"/>
          </w:tcPr>
          <w:p>
            <w:pPr>
              <w:spacing w:after="0"/>
              <w:rPr>
                <w:sz w:val="20"/>
                <w:szCs w:val="20"/>
                <w:color w:val="auto"/>
              </w:rPr>
            </w:pPr>
            <w:r>
              <w:rPr>
                <w:rFonts w:ascii="Courier New" w:cs="Courier New" w:eastAsia="Courier New" w:hAnsi="Courier New"/>
                <w:sz w:val="15"/>
                <w:szCs w:val="15"/>
                <w:color w:val="auto"/>
              </w:rPr>
              <w:t>Allocation of total purchase price:</w:t>
            </w:r>
          </w:p>
        </w:tc>
        <w:tc>
          <w:tcPr>
            <w:tcW w:w="1060" w:type="dxa"/>
            <w:vAlign w:val="bottom"/>
          </w:tcPr>
          <w:p>
            <w:pPr>
              <w:spacing w:after="0"/>
              <w:rPr>
                <w:sz w:val="24"/>
                <w:szCs w:val="24"/>
                <w:color w:val="auto"/>
              </w:rPr>
            </w:pPr>
          </w:p>
        </w:tc>
      </w:tr>
      <w:tr>
        <w:trPr>
          <w:trHeight w:val="336"/>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Tangible assets acquired</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40,237</w:t>
            </w:r>
          </w:p>
        </w:tc>
      </w:tr>
      <w:tr>
        <w:trPr>
          <w:trHeight w:val="336"/>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Liabilities assumed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(52,557)</w:t>
            </w:r>
          </w:p>
        </w:tc>
      </w:tr>
      <w:tr>
        <w:trPr>
          <w:trHeight w:val="168"/>
        </w:trPr>
        <w:tc>
          <w:tcPr>
            <w:tcW w:w="6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tangible assets</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(12,320)</w:t>
            </w:r>
          </w:p>
        </w:tc>
      </w:tr>
      <w:tr>
        <w:trPr>
          <w:trHeight w:val="168"/>
        </w:trPr>
        <w:tc>
          <w:tcPr>
            <w:tcW w:w="6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In-process research and development (*)</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17,400</w:t>
            </w:r>
          </w:p>
        </w:tc>
      </w:tr>
      <w:tr>
        <w:trPr>
          <w:trHeight w:val="168"/>
        </w:trPr>
        <w:tc>
          <w:tcPr>
            <w:tcW w:w="6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Core technology</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13,400</w:t>
            </w:r>
          </w:p>
        </w:tc>
      </w:tr>
      <w:tr>
        <w:trPr>
          <w:trHeight w:val="168"/>
        </w:trPr>
        <w:tc>
          <w:tcPr>
            <w:tcW w:w="6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Customer arrangements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34,800</w:t>
            </w:r>
          </w:p>
        </w:tc>
      </w:tr>
      <w:tr>
        <w:trPr>
          <w:trHeight w:val="168"/>
        </w:trPr>
        <w:tc>
          <w:tcPr>
            <w:tcW w:w="6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Deferred taxes resulting from the difference between the assigned</w:t>
            </w:r>
          </w:p>
        </w:tc>
        <w:tc>
          <w:tcPr>
            <w:tcW w:w="1060" w:type="dxa"/>
            <w:vAlign w:val="bottom"/>
          </w:tcPr>
          <w:p>
            <w:pPr>
              <w:spacing w:after="0"/>
              <w:rPr>
                <w:sz w:val="14"/>
                <w:szCs w:val="14"/>
                <w:color w:val="auto"/>
              </w:rPr>
            </w:pPr>
          </w:p>
        </w:tc>
      </w:tr>
      <w:tr>
        <w:trPr>
          <w:trHeight w:val="168"/>
        </w:trPr>
        <w:tc>
          <w:tcPr>
            <w:tcW w:w="6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value of certain assets and their respective tax bases</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(2,297)</w:t>
            </w:r>
          </w:p>
        </w:tc>
      </w:tr>
      <w:tr>
        <w:trPr>
          <w:trHeight w:val="168"/>
        </w:trPr>
        <w:tc>
          <w:tcPr>
            <w:tcW w:w="6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identifiable intangible assets</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63,303</w:t>
            </w:r>
          </w:p>
        </w:tc>
      </w:tr>
      <w:tr>
        <w:trPr>
          <w:trHeight w:val="168"/>
        </w:trPr>
        <w:tc>
          <w:tcPr>
            <w:tcW w:w="6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Goodwill(**)</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159,917</w:t>
            </w:r>
          </w:p>
        </w:tc>
      </w:tr>
      <w:tr>
        <w:trPr>
          <w:trHeight w:val="168"/>
        </w:trPr>
        <w:tc>
          <w:tcPr>
            <w:tcW w:w="6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$ 210,900</w:t>
            </w:r>
          </w:p>
        </w:tc>
      </w:tr>
      <w:tr>
        <w:trPr>
          <w:trHeight w:val="168"/>
        </w:trPr>
        <w:tc>
          <w:tcPr>
            <w:tcW w:w="6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bl>
    <w:p>
      <w:pPr>
        <w:spacing w:after="0" w:line="173" w:lineRule="exact"/>
        <w:rPr>
          <w:sz w:val="20"/>
          <w:szCs w:val="20"/>
          <w:color w:val="auto"/>
        </w:rPr>
      </w:pPr>
    </w:p>
    <w:p>
      <w:pPr>
        <w:ind w:left="1240" w:right="3239" w:hanging="618"/>
        <w:spacing w:after="0" w:line="235" w:lineRule="auto"/>
        <w:tabs>
          <w:tab w:leader="none" w:pos="12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$17,400 allocated to in-process research and development was charged to expense immediately upon the completion of the transaction.</w:t>
      </w:r>
    </w:p>
    <w:p>
      <w:pPr>
        <w:spacing w:after="0" w:line="174" w:lineRule="exact"/>
        <w:rPr>
          <w:sz w:val="20"/>
          <w:szCs w:val="20"/>
          <w:color w:val="auto"/>
        </w:rPr>
      </w:pPr>
    </w:p>
    <w:p>
      <w:pPr>
        <w:ind w:left="1240" w:right="3499" w:hanging="618"/>
        <w:spacing w:after="0" w:line="234" w:lineRule="auto"/>
        <w:tabs>
          <w:tab w:leader="none" w:pos="124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FAS 142, goodwill in connection with the Acquisition will not be amortized.</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7" w:lineRule="exact"/>
        <w:rPr>
          <w:rFonts w:ascii="Courier New" w:cs="Courier New" w:eastAsia="Courier New" w:hAnsi="Courier New"/>
          <w:sz w:val="15"/>
          <w:szCs w:val="15"/>
          <w:color w:val="auto"/>
        </w:rPr>
      </w:pPr>
    </w:p>
    <w:p>
      <w:pPr>
        <w:ind w:left="620" w:right="4019" w:hanging="610"/>
        <w:spacing w:after="0" w:line="234"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Clarify's historical amortization of acquired intangible assets.</w:t>
      </w:r>
    </w:p>
    <w:p>
      <w:pPr>
        <w:spacing w:after="0" w:line="173" w:lineRule="exact"/>
        <w:rPr>
          <w:rFonts w:ascii="Courier New" w:cs="Courier New" w:eastAsia="Courier New" w:hAnsi="Courier New"/>
          <w:sz w:val="15"/>
          <w:szCs w:val="15"/>
          <w:color w:val="auto"/>
        </w:rPr>
      </w:pPr>
    </w:p>
    <w:p>
      <w:pPr>
        <w:ind w:left="620" w:right="3679" w:hanging="610"/>
        <w:spacing w:after="0" w:line="261"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amortization of $13,400 over 2 years of the core technology resulting from the valuation at the time of the Acquisition.</w:t>
      </w:r>
    </w:p>
    <w:p>
      <w:pPr>
        <w:spacing w:after="0" w:line="159" w:lineRule="exact"/>
        <w:rPr>
          <w:rFonts w:ascii="Courier New" w:cs="Courier New" w:eastAsia="Courier New" w:hAnsi="Courier New"/>
          <w:sz w:val="14"/>
          <w:szCs w:val="14"/>
          <w:color w:val="auto"/>
        </w:rPr>
      </w:pPr>
    </w:p>
    <w:p>
      <w:pPr>
        <w:ind w:left="620" w:right="4279" w:hanging="610"/>
        <w:spacing w:after="0" w:line="235"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amortization of $34,800 over 3 years of the customer arrangements resulting from the valuation at the time of the Acquisition.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455" w:right="1440" w:bottom="1440" w:gutter="0" w:footer="0" w:header="0"/>
        </w:sectPr>
      </w:pPr>
    </w:p>
    <w:bookmarkStart w:id="6" w:name="page7"/>
    <w:bookmarkEnd w:id="6"/>
    <w:p>
      <w:pPr>
        <w:ind w:left="610" w:right="3679" w:hanging="610"/>
        <w:spacing w:after="0" w:line="234" w:lineRule="auto"/>
        <w:tabs>
          <w:tab w:leader="none" w:pos="61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Clarify's historical nonrecurring charge related to the write-down of acquired intangible assets.</w:t>
      </w:r>
    </w:p>
    <w:p>
      <w:pPr>
        <w:spacing w:after="0" w:line="173" w:lineRule="exact"/>
        <w:rPr>
          <w:rFonts w:ascii="Courier New" w:cs="Courier New" w:eastAsia="Courier New" w:hAnsi="Courier New"/>
          <w:sz w:val="15"/>
          <w:szCs w:val="15"/>
          <w:color w:val="auto"/>
        </w:rPr>
      </w:pPr>
    </w:p>
    <w:p>
      <w:pPr>
        <w:ind w:left="610" w:right="3399" w:hanging="610"/>
        <w:spacing w:after="0" w:line="234" w:lineRule="auto"/>
        <w:tabs>
          <w:tab w:leader="none" w:pos="61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interest income earned on the cash used for the Acquisition.</w:t>
      </w:r>
    </w:p>
    <w:p>
      <w:pPr>
        <w:spacing w:after="0" w:line="173" w:lineRule="exact"/>
        <w:rPr>
          <w:rFonts w:ascii="Courier New" w:cs="Courier New" w:eastAsia="Courier New" w:hAnsi="Courier New"/>
          <w:sz w:val="15"/>
          <w:szCs w:val="15"/>
          <w:color w:val="auto"/>
        </w:rPr>
      </w:pPr>
    </w:p>
    <w:p>
      <w:pPr>
        <w:ind w:left="610" w:right="3399" w:hanging="610"/>
        <w:spacing w:after="0" w:line="234" w:lineRule="auto"/>
        <w:tabs>
          <w:tab w:leader="none" w:pos="61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Clarify's historical tax benefit related to acquired intangible assets and nonrecurring charge.</w:t>
      </w:r>
    </w:p>
    <w:p>
      <w:pPr>
        <w:spacing w:after="0" w:line="173" w:lineRule="exact"/>
        <w:rPr>
          <w:rFonts w:ascii="Courier New" w:cs="Courier New" w:eastAsia="Courier New" w:hAnsi="Courier New"/>
          <w:sz w:val="15"/>
          <w:szCs w:val="15"/>
          <w:color w:val="auto"/>
        </w:rPr>
      </w:pPr>
    </w:p>
    <w:p>
      <w:pPr>
        <w:ind w:left="610" w:right="3319" w:hanging="610"/>
        <w:spacing w:after="0" w:line="235" w:lineRule="auto"/>
        <w:tabs>
          <w:tab w:leader="none" w:pos="61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release of deferred taxes resulting from the differences between the values assigned to core technology and customer arrangements and their respective tax bases.</w:t>
      </w:r>
    </w:p>
    <w:p>
      <w:pPr>
        <w:spacing w:after="0" w:line="173" w:lineRule="exact"/>
        <w:rPr>
          <w:rFonts w:ascii="Courier New" w:cs="Courier New" w:eastAsia="Courier New" w:hAnsi="Courier New"/>
          <w:sz w:val="15"/>
          <w:szCs w:val="15"/>
          <w:color w:val="auto"/>
        </w:rPr>
      </w:pPr>
    </w:p>
    <w:p>
      <w:pPr>
        <w:ind w:left="610" w:right="3399" w:hanging="610"/>
        <w:spacing w:after="0" w:line="258" w:lineRule="auto"/>
        <w:tabs>
          <w:tab w:leader="none" w:pos="61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elimination of in-process research and development expenses included in Amdocs' historical financial statements as a result of the Acquisition which are nonrecurring and attributable to the Acquisition.</w:t>
      </w:r>
    </w:p>
    <w:p>
      <w:pPr>
        <w:spacing w:after="0" w:line="323"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455"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0"/>
        </w:trPr>
        <w:tc>
          <w:tcPr>
            <w:tcW w:w="8880" w:type="dxa"/>
            <w:vAlign w:val="bottom"/>
          </w:tcPr>
          <w:p>
            <w:pPr>
              <w:ind w:left="2280"/>
              <w:spacing w:after="0"/>
              <w:rPr>
                <w:sz w:val="20"/>
                <w:szCs w:val="20"/>
                <w:color w:val="auto"/>
              </w:rPr>
            </w:pPr>
            <w:r>
              <w:rPr>
                <w:rFonts w:ascii="Courier New" w:cs="Courier New" w:eastAsia="Courier New" w:hAnsi="Courier New"/>
                <w:sz w:val="15"/>
                <w:szCs w:val="15"/>
                <w:color w:val="auto"/>
              </w:rPr>
              <w:t>INDEX TO CLARIFY FINANCIAL STATEMENTS</w:t>
            </w:r>
          </w:p>
        </w:tc>
        <w:tc>
          <w:tcPr>
            <w:tcW w:w="480" w:type="dxa"/>
            <w:vAlign w:val="bottom"/>
          </w:tcPr>
          <w:p>
            <w:pPr>
              <w:spacing w:after="0"/>
              <w:rPr>
                <w:sz w:val="14"/>
                <w:szCs w:val="14"/>
                <w:color w:val="auto"/>
              </w:rPr>
            </w:pPr>
          </w:p>
        </w:tc>
      </w:tr>
      <w:tr>
        <w:trPr>
          <w:trHeight w:val="673"/>
        </w:trPr>
        <w:tc>
          <w:tcPr>
            <w:tcW w:w="8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88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80" w:type="dxa"/>
            <w:vAlign w:val="bottom"/>
          </w:tcPr>
          <w:p>
            <w:pPr>
              <w:spacing w:after="0"/>
              <w:rPr>
                <w:sz w:val="20"/>
                <w:szCs w:val="20"/>
                <w:color w:val="auto"/>
              </w:rPr>
            </w:pPr>
            <w:r>
              <w:rPr>
                <w:rFonts w:ascii="Courier New" w:cs="Courier New" w:eastAsia="Courier New" w:hAnsi="Courier New"/>
                <w:sz w:val="15"/>
                <w:szCs w:val="15"/>
                <w:color w:val="auto"/>
                <w:w w:val="98"/>
              </w:rPr>
              <w:t>Consolidated Balance Sheets for the Years Ended December 31, 1998 and 1997..........................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68"/>
        </w:trPr>
        <w:tc>
          <w:tcPr>
            <w:tcW w:w="88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Income for the Years Ended December 31, 1998,</w:t>
            </w:r>
          </w:p>
        </w:tc>
        <w:tc>
          <w:tcPr>
            <w:tcW w:w="480" w:type="dxa"/>
            <w:vAlign w:val="bottom"/>
          </w:tcPr>
          <w:p>
            <w:pPr>
              <w:spacing w:after="0"/>
              <w:rPr>
                <w:sz w:val="14"/>
                <w:szCs w:val="14"/>
                <w:color w:val="auto"/>
              </w:rPr>
            </w:pPr>
          </w:p>
        </w:tc>
      </w:tr>
      <w:tr>
        <w:trPr>
          <w:trHeight w:val="168"/>
        </w:trPr>
        <w:tc>
          <w:tcPr>
            <w:tcW w:w="8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1997 and 1996..................................................................................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88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Stockholders' Equity for the Years Ended</w:t>
            </w:r>
          </w:p>
        </w:tc>
        <w:tc>
          <w:tcPr>
            <w:tcW w:w="480" w:type="dxa"/>
            <w:vAlign w:val="bottom"/>
          </w:tcPr>
          <w:p>
            <w:pPr>
              <w:spacing w:after="0"/>
              <w:rPr>
                <w:sz w:val="14"/>
                <w:szCs w:val="14"/>
                <w:color w:val="auto"/>
              </w:rPr>
            </w:pPr>
          </w:p>
        </w:tc>
      </w:tr>
      <w:tr>
        <w:trPr>
          <w:trHeight w:val="168"/>
        </w:trPr>
        <w:tc>
          <w:tcPr>
            <w:tcW w:w="8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December 31, 1998, 1997 and 1996...............................................................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888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Statements of Cash Flows for the Years Ended December 31, 1998,</w:t>
            </w:r>
          </w:p>
        </w:tc>
        <w:tc>
          <w:tcPr>
            <w:tcW w:w="480" w:type="dxa"/>
            <w:vAlign w:val="bottom"/>
          </w:tcPr>
          <w:p>
            <w:pPr>
              <w:spacing w:after="0"/>
              <w:rPr>
                <w:sz w:val="14"/>
                <w:szCs w:val="14"/>
                <w:color w:val="auto"/>
              </w:rPr>
            </w:pPr>
          </w:p>
        </w:tc>
      </w:tr>
      <w:tr>
        <w:trPr>
          <w:trHeight w:val="168"/>
        </w:trPr>
        <w:tc>
          <w:tcPr>
            <w:tcW w:w="8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1997 and 1996..................................................................................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88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Notes to Consolidated Financial Statements..........................................................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88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Report of Independent Accountants...................................................................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673"/>
        </w:trPr>
        <w:tc>
          <w:tcPr>
            <w:tcW w:w="8880" w:type="dxa"/>
            <w:vAlign w:val="bottom"/>
          </w:tcPr>
          <w:p>
            <w:pPr>
              <w:spacing w:after="0"/>
              <w:rPr>
                <w:sz w:val="20"/>
                <w:szCs w:val="20"/>
                <w:color w:val="auto"/>
              </w:rPr>
            </w:pPr>
            <w:r>
              <w:rPr>
                <w:rFonts w:ascii="Courier New" w:cs="Courier New" w:eastAsia="Courier New" w:hAnsi="Courier New"/>
                <w:sz w:val="15"/>
                <w:szCs w:val="15"/>
                <w:color w:val="auto"/>
                <w:w w:val="98"/>
              </w:rPr>
              <w:t>Independent Auditors' Report........................................................................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68"/>
        </w:trPr>
        <w:tc>
          <w:tcPr>
            <w:tcW w:w="88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Sheets as of December 31, 1999 (Predecessor Company)</w:t>
            </w:r>
          </w:p>
        </w:tc>
        <w:tc>
          <w:tcPr>
            <w:tcW w:w="480" w:type="dxa"/>
            <w:vAlign w:val="bottom"/>
          </w:tcPr>
          <w:p>
            <w:pPr>
              <w:spacing w:after="0"/>
              <w:rPr>
                <w:sz w:val="14"/>
                <w:szCs w:val="14"/>
                <w:color w:val="auto"/>
              </w:rPr>
            </w:pPr>
          </w:p>
        </w:tc>
      </w:tr>
      <w:tr>
        <w:trPr>
          <w:trHeight w:val="168"/>
        </w:trPr>
        <w:tc>
          <w:tcPr>
            <w:tcW w:w="8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and December 31, 2000..........................................................................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88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Statements of Operations for the Year Ended December 31, 1999</w:t>
            </w:r>
          </w:p>
        </w:tc>
        <w:tc>
          <w:tcPr>
            <w:tcW w:w="480" w:type="dxa"/>
            <w:vAlign w:val="bottom"/>
          </w:tcPr>
          <w:p>
            <w:pPr>
              <w:spacing w:after="0"/>
              <w:rPr>
                <w:sz w:val="14"/>
                <w:szCs w:val="14"/>
                <w:color w:val="auto"/>
              </w:rPr>
            </w:pPr>
          </w:p>
        </w:tc>
      </w:tr>
      <w:tr>
        <w:trPr>
          <w:trHeight w:val="168"/>
        </w:trPr>
        <w:tc>
          <w:tcPr>
            <w:tcW w:w="8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(Predecessor Company), the Period from January 1, 2000 through March 16,</w:t>
            </w:r>
          </w:p>
        </w:tc>
        <w:tc>
          <w:tcPr>
            <w:tcW w:w="480" w:type="dxa"/>
            <w:vAlign w:val="bottom"/>
          </w:tcPr>
          <w:p>
            <w:pPr>
              <w:spacing w:after="0"/>
              <w:rPr>
                <w:sz w:val="14"/>
                <w:szCs w:val="14"/>
                <w:color w:val="auto"/>
              </w:rPr>
            </w:pPr>
          </w:p>
        </w:tc>
      </w:tr>
      <w:tr>
        <w:trPr>
          <w:trHeight w:val="168"/>
        </w:trPr>
        <w:tc>
          <w:tcPr>
            <w:tcW w:w="8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2000 (Predecessor Company) and the Period</w:t>
            </w:r>
          </w:p>
        </w:tc>
        <w:tc>
          <w:tcPr>
            <w:tcW w:w="480" w:type="dxa"/>
            <w:vAlign w:val="bottom"/>
          </w:tcPr>
          <w:p>
            <w:pPr>
              <w:spacing w:after="0"/>
              <w:rPr>
                <w:sz w:val="14"/>
                <w:szCs w:val="14"/>
                <w:color w:val="auto"/>
              </w:rPr>
            </w:pPr>
          </w:p>
        </w:tc>
      </w:tr>
      <w:tr>
        <w:trPr>
          <w:trHeight w:val="168"/>
        </w:trPr>
        <w:tc>
          <w:tcPr>
            <w:tcW w:w="8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from March 17, 2000 Through December 31, 2000..................................................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88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Statements of Stockholders' Equity/Net Investment for the Year</w:t>
            </w:r>
          </w:p>
        </w:tc>
        <w:tc>
          <w:tcPr>
            <w:tcW w:w="480" w:type="dxa"/>
            <w:vAlign w:val="bottom"/>
          </w:tcPr>
          <w:p>
            <w:pPr>
              <w:spacing w:after="0"/>
              <w:rPr>
                <w:sz w:val="14"/>
                <w:szCs w:val="14"/>
                <w:color w:val="auto"/>
              </w:rPr>
            </w:pPr>
          </w:p>
        </w:tc>
      </w:tr>
      <w:tr>
        <w:trPr>
          <w:trHeight w:val="168"/>
        </w:trPr>
        <w:tc>
          <w:tcPr>
            <w:tcW w:w="8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Ended December 31, 1999 (Predecessor Company), the Period</w:t>
            </w:r>
          </w:p>
        </w:tc>
        <w:tc>
          <w:tcPr>
            <w:tcW w:w="480" w:type="dxa"/>
            <w:vAlign w:val="bottom"/>
          </w:tcPr>
          <w:p>
            <w:pPr>
              <w:spacing w:after="0"/>
              <w:rPr>
                <w:sz w:val="14"/>
                <w:szCs w:val="14"/>
                <w:color w:val="auto"/>
              </w:rPr>
            </w:pPr>
          </w:p>
        </w:tc>
      </w:tr>
      <w:tr>
        <w:trPr>
          <w:trHeight w:val="168"/>
        </w:trPr>
        <w:tc>
          <w:tcPr>
            <w:tcW w:w="8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from January 1, 2000 Through March 16, 2000 (Predecessor Company)</w:t>
            </w:r>
          </w:p>
        </w:tc>
        <w:tc>
          <w:tcPr>
            <w:tcW w:w="480" w:type="dxa"/>
            <w:vAlign w:val="bottom"/>
          </w:tcPr>
          <w:p>
            <w:pPr>
              <w:spacing w:after="0"/>
              <w:rPr>
                <w:sz w:val="14"/>
                <w:szCs w:val="14"/>
                <w:color w:val="auto"/>
              </w:rPr>
            </w:pPr>
          </w:p>
        </w:tc>
      </w:tr>
      <w:tr>
        <w:trPr>
          <w:trHeight w:val="168"/>
        </w:trPr>
        <w:tc>
          <w:tcPr>
            <w:tcW w:w="8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and the Period from March 17, 2000 Through December 31, 2000...................................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88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Statements of Cash Flows for the Year Ended December 31, 1999</w:t>
            </w:r>
          </w:p>
        </w:tc>
        <w:tc>
          <w:tcPr>
            <w:tcW w:w="480" w:type="dxa"/>
            <w:vAlign w:val="bottom"/>
          </w:tcPr>
          <w:p>
            <w:pPr>
              <w:spacing w:after="0"/>
              <w:rPr>
                <w:sz w:val="14"/>
                <w:szCs w:val="14"/>
                <w:color w:val="auto"/>
              </w:rPr>
            </w:pPr>
          </w:p>
        </w:tc>
      </w:tr>
      <w:tr>
        <w:trPr>
          <w:trHeight w:val="168"/>
        </w:trPr>
        <w:tc>
          <w:tcPr>
            <w:tcW w:w="8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(Predecessor Company), the Period from January 1, 2000 through March 16,</w:t>
            </w:r>
          </w:p>
        </w:tc>
        <w:tc>
          <w:tcPr>
            <w:tcW w:w="480" w:type="dxa"/>
            <w:vAlign w:val="bottom"/>
          </w:tcPr>
          <w:p>
            <w:pPr>
              <w:spacing w:after="0"/>
              <w:rPr>
                <w:sz w:val="14"/>
                <w:szCs w:val="14"/>
                <w:color w:val="auto"/>
              </w:rPr>
            </w:pPr>
          </w:p>
        </w:tc>
      </w:tr>
      <w:tr>
        <w:trPr>
          <w:trHeight w:val="168"/>
        </w:trPr>
        <w:tc>
          <w:tcPr>
            <w:tcW w:w="8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2000 (Predecessor Company) and the Period</w:t>
            </w:r>
          </w:p>
        </w:tc>
        <w:tc>
          <w:tcPr>
            <w:tcW w:w="480" w:type="dxa"/>
            <w:vAlign w:val="bottom"/>
          </w:tcPr>
          <w:p>
            <w:pPr>
              <w:spacing w:after="0"/>
              <w:rPr>
                <w:sz w:val="14"/>
                <w:szCs w:val="14"/>
                <w:color w:val="auto"/>
              </w:rPr>
            </w:pPr>
          </w:p>
        </w:tc>
      </w:tr>
      <w:tr>
        <w:trPr>
          <w:trHeight w:val="168"/>
        </w:trPr>
        <w:tc>
          <w:tcPr>
            <w:tcW w:w="8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from March 17, 2000 Through December 31, 2000..................................................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888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to Financial Statements for the Year Ended</w:t>
            </w:r>
          </w:p>
        </w:tc>
        <w:tc>
          <w:tcPr>
            <w:tcW w:w="480" w:type="dxa"/>
            <w:vAlign w:val="bottom"/>
          </w:tcPr>
          <w:p>
            <w:pPr>
              <w:spacing w:after="0"/>
              <w:rPr>
                <w:sz w:val="14"/>
                <w:szCs w:val="14"/>
                <w:color w:val="auto"/>
              </w:rPr>
            </w:pPr>
          </w:p>
        </w:tc>
      </w:tr>
      <w:tr>
        <w:trPr>
          <w:trHeight w:val="168"/>
        </w:trPr>
        <w:tc>
          <w:tcPr>
            <w:tcW w:w="8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December 31, 1999 (Predecessor Company), the Period from January 1, 2000</w:t>
            </w:r>
          </w:p>
        </w:tc>
        <w:tc>
          <w:tcPr>
            <w:tcW w:w="480" w:type="dxa"/>
            <w:vAlign w:val="bottom"/>
          </w:tcPr>
          <w:p>
            <w:pPr>
              <w:spacing w:after="0"/>
              <w:rPr>
                <w:sz w:val="14"/>
                <w:szCs w:val="14"/>
                <w:color w:val="auto"/>
              </w:rPr>
            </w:pPr>
          </w:p>
        </w:tc>
      </w:tr>
      <w:tr>
        <w:trPr>
          <w:trHeight w:val="168"/>
        </w:trPr>
        <w:tc>
          <w:tcPr>
            <w:tcW w:w="8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through March 16, 2000 (Predecessor Company)</w:t>
            </w:r>
          </w:p>
        </w:tc>
        <w:tc>
          <w:tcPr>
            <w:tcW w:w="480" w:type="dxa"/>
            <w:vAlign w:val="bottom"/>
          </w:tcPr>
          <w:p>
            <w:pPr>
              <w:spacing w:after="0"/>
              <w:rPr>
                <w:sz w:val="14"/>
                <w:szCs w:val="14"/>
                <w:color w:val="auto"/>
              </w:rPr>
            </w:pPr>
          </w:p>
        </w:tc>
      </w:tr>
      <w:tr>
        <w:trPr>
          <w:trHeight w:val="168"/>
        </w:trPr>
        <w:tc>
          <w:tcPr>
            <w:tcW w:w="8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and the Period from March 17, 2000 through December 31, 2000...................................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673"/>
        </w:trPr>
        <w:tc>
          <w:tcPr>
            <w:tcW w:w="8880" w:type="dxa"/>
            <w:vAlign w:val="bottom"/>
          </w:tcPr>
          <w:p>
            <w:pPr>
              <w:spacing w:after="0"/>
              <w:rPr>
                <w:sz w:val="20"/>
                <w:szCs w:val="20"/>
                <w:color w:val="auto"/>
              </w:rPr>
            </w:pPr>
            <w:r>
              <w:rPr>
                <w:rFonts w:ascii="Courier New" w:cs="Courier New" w:eastAsia="Courier New" w:hAnsi="Courier New"/>
                <w:sz w:val="15"/>
                <w:szCs w:val="15"/>
                <w:color w:val="auto"/>
                <w:w w:val="98"/>
              </w:rPr>
              <w:t>Unaudited Statements of Net Assets as of September 30, 2001 and December 31, 2000...................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68"/>
        </w:trPr>
        <w:tc>
          <w:tcPr>
            <w:tcW w:w="888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 Statements of Operations for the Nine Months Ended September 30, 2001,</w:t>
            </w:r>
          </w:p>
        </w:tc>
        <w:tc>
          <w:tcPr>
            <w:tcW w:w="480" w:type="dxa"/>
            <w:vAlign w:val="bottom"/>
          </w:tcPr>
          <w:p>
            <w:pPr>
              <w:spacing w:after="0"/>
              <w:rPr>
                <w:sz w:val="14"/>
                <w:szCs w:val="14"/>
                <w:color w:val="auto"/>
              </w:rPr>
            </w:pPr>
          </w:p>
        </w:tc>
      </w:tr>
      <w:tr>
        <w:trPr>
          <w:trHeight w:val="168"/>
        </w:trPr>
        <w:tc>
          <w:tcPr>
            <w:tcW w:w="8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Period From January 1, 2000 Through March 16, 2000 (Predecessor</w:t>
            </w:r>
          </w:p>
        </w:tc>
        <w:tc>
          <w:tcPr>
            <w:tcW w:w="480" w:type="dxa"/>
            <w:vAlign w:val="bottom"/>
          </w:tcPr>
          <w:p>
            <w:pPr>
              <w:spacing w:after="0"/>
              <w:rPr>
                <w:sz w:val="14"/>
                <w:szCs w:val="14"/>
                <w:color w:val="auto"/>
              </w:rPr>
            </w:pPr>
          </w:p>
        </w:tc>
      </w:tr>
      <w:tr>
        <w:trPr>
          <w:trHeight w:val="168"/>
        </w:trPr>
        <w:tc>
          <w:tcPr>
            <w:tcW w:w="8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Company), and the Period From March 17, 2000 Through September 30, 2000........................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888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 Statements of Cash Flows for the Nine Months Ended September 30, 2001, the</w:t>
            </w:r>
          </w:p>
        </w:tc>
        <w:tc>
          <w:tcPr>
            <w:tcW w:w="480" w:type="dxa"/>
            <w:vAlign w:val="bottom"/>
          </w:tcPr>
          <w:p>
            <w:pPr>
              <w:spacing w:after="0"/>
              <w:rPr>
                <w:sz w:val="14"/>
                <w:szCs w:val="14"/>
                <w:color w:val="auto"/>
              </w:rPr>
            </w:pPr>
          </w:p>
        </w:tc>
      </w:tr>
      <w:tr>
        <w:trPr>
          <w:trHeight w:val="168"/>
        </w:trPr>
        <w:tc>
          <w:tcPr>
            <w:tcW w:w="8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Period From January 1, 2000 Through March 16, 2000 (Predecessor Company),</w:t>
            </w:r>
          </w:p>
        </w:tc>
        <w:tc>
          <w:tcPr>
            <w:tcW w:w="480" w:type="dxa"/>
            <w:vAlign w:val="bottom"/>
          </w:tcPr>
          <w:p>
            <w:pPr>
              <w:spacing w:after="0"/>
              <w:rPr>
                <w:sz w:val="14"/>
                <w:szCs w:val="14"/>
                <w:color w:val="auto"/>
              </w:rPr>
            </w:pPr>
          </w:p>
        </w:tc>
      </w:tr>
      <w:tr>
        <w:trPr>
          <w:trHeight w:val="168"/>
        </w:trPr>
        <w:tc>
          <w:tcPr>
            <w:tcW w:w="8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and the Period From March 17, 2000 Through September 30, 2000..................................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888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to Unaudited Financial Statements for the Nine Months Ended September 30, 2001, the</w:t>
            </w:r>
          </w:p>
        </w:tc>
        <w:tc>
          <w:tcPr>
            <w:tcW w:w="480" w:type="dxa"/>
            <w:vAlign w:val="bottom"/>
          </w:tcPr>
          <w:p>
            <w:pPr>
              <w:spacing w:after="0"/>
              <w:rPr>
                <w:sz w:val="14"/>
                <w:szCs w:val="14"/>
                <w:color w:val="auto"/>
              </w:rPr>
            </w:pPr>
          </w:p>
        </w:tc>
      </w:tr>
      <w:tr>
        <w:trPr>
          <w:trHeight w:val="168"/>
        </w:trPr>
        <w:tc>
          <w:tcPr>
            <w:tcW w:w="8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Period From January 1, 2000 Through March 16, 2000 (Predecessor Company),</w:t>
            </w:r>
          </w:p>
        </w:tc>
        <w:tc>
          <w:tcPr>
            <w:tcW w:w="480" w:type="dxa"/>
            <w:vAlign w:val="bottom"/>
          </w:tcPr>
          <w:p>
            <w:pPr>
              <w:spacing w:after="0"/>
              <w:rPr>
                <w:sz w:val="14"/>
                <w:szCs w:val="14"/>
                <w:color w:val="auto"/>
              </w:rPr>
            </w:pPr>
          </w:p>
        </w:tc>
      </w:tr>
      <w:tr>
        <w:trPr>
          <w:trHeight w:val="168"/>
        </w:trPr>
        <w:tc>
          <w:tcPr>
            <w:tcW w:w="8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and the Period From March 17, 2000 Through September 30, 2000..................................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673"/>
        </w:trPr>
        <w:tc>
          <w:tcPr>
            <w:tcW w:w="8880" w:type="dxa"/>
            <w:vAlign w:val="bottom"/>
          </w:tcPr>
          <w:p>
            <w:pPr>
              <w:ind w:left="3420"/>
              <w:spacing w:after="0"/>
              <w:rPr>
                <w:sz w:val="20"/>
                <w:szCs w:val="20"/>
                <w:color w:val="auto"/>
              </w:rPr>
            </w:pPr>
            <w:r>
              <w:rPr>
                <w:rFonts w:ascii="Courier New" w:cs="Courier New" w:eastAsia="Courier New" w:hAnsi="Courier New"/>
                <w:sz w:val="15"/>
                <w:szCs w:val="15"/>
                <w:color w:val="auto"/>
              </w:rPr>
              <w:t>7</w:t>
            </w:r>
          </w:p>
        </w:tc>
        <w:tc>
          <w:tcPr>
            <w:tcW w:w="48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8" w:name="page9"/>
    <w:bookmarkEnd w:id="8"/>
    <w:p>
      <w:pPr>
        <w:jc w:val="center"/>
        <w:ind w:right="3219"/>
        <w:spacing w:after="0"/>
        <w:rPr>
          <w:sz w:val="20"/>
          <w:szCs w:val="20"/>
          <w:color w:val="auto"/>
        </w:rPr>
      </w:pPr>
      <w:r>
        <w:rPr>
          <w:rFonts w:ascii="Courier New" w:cs="Courier New" w:eastAsia="Courier New" w:hAnsi="Courier New"/>
          <w:sz w:val="15"/>
          <w:szCs w:val="15"/>
          <w:color w:val="auto"/>
        </w:rPr>
        <w:t>CLARIFY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BALANCE SHEETS</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171"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5"/>
          <w:szCs w:val="15"/>
          <w:color w:val="auto"/>
        </w:rPr>
        <w:t>YEARS ENDED DECEMBER</w:t>
      </w:r>
    </w:p>
    <w:p>
      <w:pPr>
        <w:ind w:left="60"/>
        <w:spacing w:after="0" w:line="237" w:lineRule="auto"/>
        <w:rPr>
          <w:sz w:val="20"/>
          <w:szCs w:val="20"/>
          <w:color w:val="auto"/>
        </w:rPr>
      </w:pPr>
      <w:r>
        <w:rPr>
          <w:rFonts w:ascii="Courier New" w:cs="Courier New" w:eastAsia="Courier New" w:hAnsi="Courier New"/>
          <w:sz w:val="15"/>
          <w:szCs w:val="15"/>
          <w:color w:val="auto"/>
        </w:rPr>
        <w:t>31, -------------------</w:t>
      </w:r>
    </w:p>
    <w:p>
      <w:pPr>
        <w:ind w:left="60"/>
        <w:spacing w:after="0" w:line="238" w:lineRule="auto"/>
        <w:rPr>
          <w:sz w:val="20"/>
          <w:szCs w:val="20"/>
          <w:color w:val="auto"/>
        </w:rPr>
      </w:pPr>
      <w:r>
        <w:rPr>
          <w:rFonts w:ascii="Courier New" w:cs="Courier New" w:eastAsia="Courier New" w:hAnsi="Courier New"/>
          <w:sz w:val="15"/>
          <w:szCs w:val="15"/>
          <w:color w:val="auto"/>
        </w:rPr>
        <w:t>------- 1997 1998 -----</w:t>
      </w:r>
    </w:p>
    <w:p>
      <w:pPr>
        <w:ind w:left="140"/>
        <w:spacing w:after="0" w:line="237" w:lineRule="auto"/>
        <w:rPr>
          <w:sz w:val="20"/>
          <w:szCs w:val="20"/>
          <w:color w:val="auto"/>
        </w:rPr>
      </w:pPr>
      <w:r>
        <w:rPr>
          <w:rFonts w:ascii="Courier New" w:cs="Courier New" w:eastAsia="Courier New" w:hAnsi="Courier New"/>
          <w:sz w:val="15"/>
          <w:szCs w:val="15"/>
          <w:color w:val="auto"/>
        </w:rPr>
        <w:t>---------------------</w:t>
      </w:r>
    </w:p>
    <w:p>
      <w:pPr>
        <w:jc w:val="center"/>
        <w:ind w:right="8139"/>
        <w:spacing w:after="0" w:line="238" w:lineRule="auto"/>
        <w:rPr>
          <w:sz w:val="20"/>
          <w:szCs w:val="20"/>
          <w:color w:val="auto"/>
        </w:rPr>
      </w:pPr>
      <w:r>
        <w:rPr>
          <w:rFonts w:ascii="Courier New" w:cs="Courier New" w:eastAsia="Courier New" w:hAnsi="Courier New"/>
          <w:sz w:val="15"/>
          <w:szCs w:val="15"/>
          <w:color w:val="auto"/>
        </w:rPr>
        <w:t>ASSETS: Current assets:</w:t>
      </w:r>
    </w:p>
    <w:p>
      <w:pPr>
        <w:jc w:val="center"/>
        <w:ind w:right="8139"/>
        <w:spacing w:after="0" w:line="237" w:lineRule="auto"/>
        <w:rPr>
          <w:sz w:val="20"/>
          <w:szCs w:val="20"/>
          <w:color w:val="auto"/>
        </w:rPr>
      </w:pPr>
      <w:r>
        <w:rPr>
          <w:rFonts w:ascii="Courier New" w:cs="Courier New" w:eastAsia="Courier New" w:hAnsi="Courier New"/>
          <w:sz w:val="15"/>
          <w:szCs w:val="15"/>
          <w:color w:val="auto"/>
        </w:rPr>
        <w:t>Cash and cash</w:t>
      </w:r>
    </w:p>
    <w:p>
      <w:pPr>
        <w:jc w:val="center"/>
        <w:ind w:right="8139"/>
        <w:spacing w:after="0" w:line="238" w:lineRule="auto"/>
        <w:rPr>
          <w:sz w:val="20"/>
          <w:szCs w:val="20"/>
          <w:color w:val="auto"/>
        </w:rPr>
      </w:pPr>
      <w:r>
        <w:rPr>
          <w:rFonts w:ascii="Courier New" w:cs="Courier New" w:eastAsia="Courier New" w:hAnsi="Courier New"/>
          <w:sz w:val="15"/>
          <w:szCs w:val="15"/>
          <w:color w:val="auto"/>
        </w:rPr>
        <w:t>equivalents $11,956</w:t>
      </w:r>
    </w:p>
    <w:p>
      <w:pPr>
        <w:jc w:val="center"/>
        <w:ind w:right="8139"/>
        <w:spacing w:after="0" w:line="237" w:lineRule="auto"/>
        <w:rPr>
          <w:sz w:val="20"/>
          <w:szCs w:val="20"/>
          <w:color w:val="auto"/>
        </w:rPr>
      </w:pPr>
      <w:r>
        <w:rPr>
          <w:rFonts w:ascii="Courier New" w:cs="Courier New" w:eastAsia="Courier New" w:hAnsi="Courier New"/>
          <w:sz w:val="15"/>
          <w:szCs w:val="15"/>
          <w:color w:val="auto"/>
        </w:rPr>
        <w:t>$31,271 Short-term</w:t>
      </w:r>
    </w:p>
    <w:p>
      <w:pPr>
        <w:jc w:val="center"/>
        <w:ind w:right="8139"/>
        <w:spacing w:after="0" w:line="238" w:lineRule="auto"/>
        <w:rPr>
          <w:sz w:val="20"/>
          <w:szCs w:val="20"/>
          <w:color w:val="auto"/>
        </w:rPr>
      </w:pPr>
      <w:r>
        <w:rPr>
          <w:rFonts w:ascii="Courier New" w:cs="Courier New" w:eastAsia="Courier New" w:hAnsi="Courier New"/>
          <w:sz w:val="15"/>
          <w:szCs w:val="15"/>
          <w:color w:val="auto"/>
        </w:rPr>
        <w:t>investments 19,239</w:t>
      </w:r>
    </w:p>
    <w:p>
      <w:pPr>
        <w:jc w:val="center"/>
        <w:ind w:right="8139"/>
        <w:spacing w:after="0" w:line="238" w:lineRule="auto"/>
        <w:rPr>
          <w:sz w:val="20"/>
          <w:szCs w:val="20"/>
          <w:color w:val="auto"/>
        </w:rPr>
      </w:pPr>
      <w:r>
        <w:rPr>
          <w:rFonts w:ascii="Courier New" w:cs="Courier New" w:eastAsia="Courier New" w:hAnsi="Courier New"/>
          <w:sz w:val="15"/>
          <w:szCs w:val="15"/>
          <w:color w:val="auto"/>
        </w:rPr>
        <w:t>25,917 Accounts</w:t>
      </w:r>
    </w:p>
    <w:p>
      <w:pPr>
        <w:jc w:val="center"/>
        <w:ind w:right="8139"/>
        <w:spacing w:after="0" w:line="237" w:lineRule="auto"/>
        <w:rPr>
          <w:sz w:val="20"/>
          <w:szCs w:val="20"/>
          <w:color w:val="auto"/>
        </w:rPr>
      </w:pPr>
      <w:r>
        <w:rPr>
          <w:rFonts w:ascii="Courier New" w:cs="Courier New" w:eastAsia="Courier New" w:hAnsi="Courier New"/>
          <w:sz w:val="15"/>
          <w:szCs w:val="15"/>
          <w:color w:val="auto"/>
        </w:rPr>
        <w:t>receivable, net of</w:t>
      </w:r>
    </w:p>
    <w:p>
      <w:pPr>
        <w:jc w:val="center"/>
        <w:ind w:right="8139"/>
        <w:spacing w:after="0" w:line="238" w:lineRule="auto"/>
        <w:rPr>
          <w:sz w:val="20"/>
          <w:szCs w:val="20"/>
          <w:color w:val="auto"/>
        </w:rPr>
      </w:pPr>
      <w:r>
        <w:rPr>
          <w:rFonts w:ascii="Courier New" w:cs="Courier New" w:eastAsia="Courier New" w:hAnsi="Courier New"/>
          <w:sz w:val="15"/>
          <w:szCs w:val="15"/>
          <w:color w:val="auto"/>
        </w:rPr>
        <w:t>allowances of $1,310 in</w:t>
      </w:r>
    </w:p>
    <w:p>
      <w:pPr>
        <w:jc w:val="center"/>
        <w:ind w:right="8139"/>
        <w:spacing w:after="0" w:line="237" w:lineRule="auto"/>
        <w:rPr>
          <w:sz w:val="20"/>
          <w:szCs w:val="20"/>
          <w:color w:val="auto"/>
        </w:rPr>
      </w:pPr>
      <w:r>
        <w:rPr>
          <w:rFonts w:ascii="Courier New" w:cs="Courier New" w:eastAsia="Courier New" w:hAnsi="Courier New"/>
          <w:sz w:val="15"/>
          <w:szCs w:val="15"/>
          <w:color w:val="auto"/>
        </w:rPr>
        <w:t>1997 and $2,757 in 1998</w:t>
      </w:r>
    </w:p>
    <w:p>
      <w:pPr>
        <w:jc w:val="center"/>
        <w:ind w:right="8139"/>
        <w:spacing w:after="0" w:line="238" w:lineRule="auto"/>
        <w:rPr>
          <w:sz w:val="20"/>
          <w:szCs w:val="20"/>
          <w:color w:val="auto"/>
        </w:rPr>
      </w:pPr>
      <w:r>
        <w:rPr>
          <w:rFonts w:ascii="Courier New" w:cs="Courier New" w:eastAsia="Courier New" w:hAnsi="Courier New"/>
          <w:sz w:val="15"/>
          <w:szCs w:val="15"/>
          <w:color w:val="auto"/>
        </w:rPr>
        <w:t>32,854 45,224 Prepaid</w:t>
      </w:r>
    </w:p>
    <w:p>
      <w:pPr>
        <w:jc w:val="center"/>
        <w:ind w:right="8139"/>
        <w:spacing w:after="0" w:line="237" w:lineRule="auto"/>
        <w:rPr>
          <w:sz w:val="20"/>
          <w:szCs w:val="20"/>
          <w:color w:val="auto"/>
        </w:rPr>
      </w:pPr>
      <w:r>
        <w:rPr>
          <w:rFonts w:ascii="Courier New" w:cs="Courier New" w:eastAsia="Courier New" w:hAnsi="Courier New"/>
          <w:sz w:val="15"/>
          <w:szCs w:val="15"/>
          <w:color w:val="auto"/>
        </w:rPr>
        <w:t>expenses and other</w:t>
      </w:r>
    </w:p>
    <w:p>
      <w:pPr>
        <w:jc w:val="center"/>
        <w:ind w:right="8139"/>
        <w:spacing w:after="0" w:line="238" w:lineRule="auto"/>
        <w:rPr>
          <w:sz w:val="20"/>
          <w:szCs w:val="20"/>
          <w:color w:val="auto"/>
        </w:rPr>
      </w:pPr>
      <w:r>
        <w:rPr>
          <w:rFonts w:ascii="Courier New" w:cs="Courier New" w:eastAsia="Courier New" w:hAnsi="Courier New"/>
          <w:sz w:val="15"/>
          <w:szCs w:val="15"/>
          <w:color w:val="auto"/>
        </w:rPr>
        <w:t>current assets 2,463</w:t>
      </w:r>
    </w:p>
    <w:p>
      <w:pPr>
        <w:jc w:val="center"/>
        <w:ind w:right="8139"/>
        <w:spacing w:after="0" w:line="238" w:lineRule="auto"/>
        <w:rPr>
          <w:sz w:val="20"/>
          <w:szCs w:val="20"/>
          <w:color w:val="auto"/>
        </w:rPr>
      </w:pPr>
      <w:r>
        <w:rPr>
          <w:rFonts w:ascii="Courier New" w:cs="Courier New" w:eastAsia="Courier New" w:hAnsi="Courier New"/>
          <w:sz w:val="15"/>
          <w:szCs w:val="15"/>
          <w:color w:val="auto"/>
        </w:rPr>
        <w:t>2,604 Deferred tax</w:t>
      </w:r>
    </w:p>
    <w:p>
      <w:pPr>
        <w:jc w:val="center"/>
        <w:ind w:right="8139"/>
        <w:spacing w:after="0" w:line="237" w:lineRule="auto"/>
        <w:rPr>
          <w:sz w:val="20"/>
          <w:szCs w:val="20"/>
          <w:color w:val="auto"/>
        </w:rPr>
      </w:pPr>
      <w:r>
        <w:rPr>
          <w:rFonts w:ascii="Courier New" w:cs="Courier New" w:eastAsia="Courier New" w:hAnsi="Courier New"/>
          <w:sz w:val="15"/>
          <w:szCs w:val="15"/>
          <w:color w:val="auto"/>
        </w:rPr>
        <w:t>assets 4,133 4,934 ----</w:t>
      </w:r>
    </w:p>
    <w:p>
      <w:pPr>
        <w:ind w:left="180"/>
        <w:spacing w:after="0" w:line="238" w:lineRule="auto"/>
        <w:rPr>
          <w:sz w:val="20"/>
          <w:szCs w:val="20"/>
          <w:color w:val="auto"/>
        </w:rPr>
      </w:pPr>
      <w:r>
        <w:rPr>
          <w:rFonts w:ascii="Courier New" w:cs="Courier New" w:eastAsia="Courier New" w:hAnsi="Courier New"/>
          <w:sz w:val="15"/>
          <w:szCs w:val="15"/>
          <w:color w:val="auto"/>
        </w:rPr>
        <w:t>--------------------</w:t>
      </w:r>
    </w:p>
    <w:p>
      <w:pPr>
        <w:jc w:val="center"/>
        <w:ind w:right="8139"/>
        <w:spacing w:after="0" w:line="237" w:lineRule="auto"/>
        <w:rPr>
          <w:sz w:val="20"/>
          <w:szCs w:val="20"/>
          <w:color w:val="auto"/>
        </w:rPr>
      </w:pPr>
      <w:r>
        <w:rPr>
          <w:rFonts w:ascii="Courier New" w:cs="Courier New" w:eastAsia="Courier New" w:hAnsi="Courier New"/>
          <w:sz w:val="15"/>
          <w:szCs w:val="15"/>
          <w:color w:val="auto"/>
        </w:rPr>
        <w:t>Total current assets</w:t>
      </w:r>
    </w:p>
    <w:p>
      <w:pPr>
        <w:jc w:val="center"/>
        <w:ind w:right="8139"/>
        <w:spacing w:after="0" w:line="238" w:lineRule="auto"/>
        <w:rPr>
          <w:sz w:val="20"/>
          <w:szCs w:val="20"/>
          <w:color w:val="auto"/>
        </w:rPr>
      </w:pPr>
      <w:r>
        <w:rPr>
          <w:rFonts w:ascii="Courier New" w:cs="Courier New" w:eastAsia="Courier New" w:hAnsi="Courier New"/>
          <w:sz w:val="15"/>
          <w:szCs w:val="15"/>
          <w:color w:val="auto"/>
        </w:rPr>
        <w:t>70,645 109,950 Property</w:t>
      </w:r>
    </w:p>
    <w:p>
      <w:pPr>
        <w:jc w:val="center"/>
        <w:ind w:right="8139"/>
        <w:spacing w:after="0" w:line="237" w:lineRule="auto"/>
        <w:rPr>
          <w:sz w:val="20"/>
          <w:szCs w:val="20"/>
          <w:color w:val="auto"/>
        </w:rPr>
      </w:pPr>
      <w:r>
        <w:rPr>
          <w:rFonts w:ascii="Courier New" w:cs="Courier New" w:eastAsia="Courier New" w:hAnsi="Courier New"/>
          <w:sz w:val="15"/>
          <w:szCs w:val="15"/>
          <w:color w:val="auto"/>
        </w:rPr>
        <w:t>and equipment, net</w:t>
      </w:r>
    </w:p>
    <w:p>
      <w:pPr>
        <w:jc w:val="center"/>
        <w:ind w:right="8139"/>
        <w:spacing w:after="0" w:line="238" w:lineRule="auto"/>
        <w:rPr>
          <w:sz w:val="20"/>
          <w:szCs w:val="20"/>
          <w:color w:val="auto"/>
        </w:rPr>
      </w:pPr>
      <w:r>
        <w:rPr>
          <w:rFonts w:ascii="Courier New" w:cs="Courier New" w:eastAsia="Courier New" w:hAnsi="Courier New"/>
          <w:sz w:val="15"/>
          <w:szCs w:val="15"/>
          <w:color w:val="auto"/>
        </w:rPr>
        <w:t>8,611 8,437 Long-term</w:t>
      </w:r>
    </w:p>
    <w:p>
      <w:pPr>
        <w:jc w:val="center"/>
        <w:ind w:right="8139"/>
        <w:spacing w:after="0" w:line="238" w:lineRule="auto"/>
        <w:rPr>
          <w:sz w:val="20"/>
          <w:szCs w:val="20"/>
          <w:color w:val="auto"/>
        </w:rPr>
      </w:pPr>
      <w:r>
        <w:rPr>
          <w:rFonts w:ascii="Courier New" w:cs="Courier New" w:eastAsia="Courier New" w:hAnsi="Courier New"/>
          <w:sz w:val="15"/>
          <w:szCs w:val="15"/>
          <w:color w:val="auto"/>
        </w:rPr>
        <w:t>investments 5,167 516</w:t>
      </w:r>
    </w:p>
    <w:p>
      <w:pPr>
        <w:jc w:val="center"/>
        <w:ind w:right="8139"/>
        <w:spacing w:after="0" w:line="237" w:lineRule="auto"/>
        <w:rPr>
          <w:sz w:val="20"/>
          <w:szCs w:val="20"/>
          <w:color w:val="auto"/>
        </w:rPr>
      </w:pPr>
      <w:r>
        <w:rPr>
          <w:rFonts w:ascii="Courier New" w:cs="Courier New" w:eastAsia="Courier New" w:hAnsi="Courier New"/>
          <w:sz w:val="15"/>
          <w:szCs w:val="15"/>
          <w:color w:val="auto"/>
        </w:rPr>
        <w:t>Non-current deferred</w:t>
      </w:r>
    </w:p>
    <w:p>
      <w:pPr>
        <w:jc w:val="center"/>
        <w:ind w:right="8139"/>
        <w:spacing w:after="0" w:line="238" w:lineRule="auto"/>
        <w:rPr>
          <w:sz w:val="20"/>
          <w:szCs w:val="20"/>
          <w:color w:val="auto"/>
        </w:rPr>
      </w:pPr>
      <w:r>
        <w:rPr>
          <w:rFonts w:ascii="Courier New" w:cs="Courier New" w:eastAsia="Courier New" w:hAnsi="Courier New"/>
          <w:sz w:val="15"/>
          <w:szCs w:val="15"/>
          <w:color w:val="auto"/>
        </w:rPr>
        <w:t>tax assets 1,559 1,860</w:t>
      </w:r>
    </w:p>
    <w:p>
      <w:pPr>
        <w:jc w:val="center"/>
        <w:ind w:right="8139"/>
        <w:spacing w:after="0" w:line="237" w:lineRule="auto"/>
        <w:rPr>
          <w:sz w:val="20"/>
          <w:szCs w:val="20"/>
          <w:color w:val="auto"/>
        </w:rPr>
      </w:pPr>
      <w:r>
        <w:rPr>
          <w:rFonts w:ascii="Courier New" w:cs="Courier New" w:eastAsia="Courier New" w:hAnsi="Courier New"/>
          <w:sz w:val="15"/>
          <w:szCs w:val="15"/>
          <w:color w:val="auto"/>
        </w:rPr>
        <w:t>Other non-current</w:t>
      </w:r>
    </w:p>
    <w:p>
      <w:pPr>
        <w:jc w:val="center"/>
        <w:ind w:right="8139"/>
        <w:spacing w:after="0" w:line="238" w:lineRule="auto"/>
        <w:rPr>
          <w:sz w:val="20"/>
          <w:szCs w:val="20"/>
          <w:color w:val="auto"/>
        </w:rPr>
      </w:pPr>
      <w:r>
        <w:rPr>
          <w:rFonts w:ascii="Courier New" w:cs="Courier New" w:eastAsia="Courier New" w:hAnsi="Courier New"/>
          <w:sz w:val="15"/>
          <w:szCs w:val="15"/>
          <w:color w:val="auto"/>
        </w:rPr>
        <w:t>assets 849 1,837 ------</w:t>
      </w:r>
    </w:p>
    <w:p>
      <w:pPr>
        <w:ind w:left="280"/>
        <w:spacing w:after="0" w:line="237" w:lineRule="auto"/>
        <w:rPr>
          <w:sz w:val="20"/>
          <w:szCs w:val="20"/>
          <w:color w:val="auto"/>
        </w:rPr>
      </w:pPr>
      <w:r>
        <w:rPr>
          <w:rFonts w:ascii="Courier New" w:cs="Courier New" w:eastAsia="Courier New" w:hAnsi="Courier New"/>
          <w:sz w:val="15"/>
          <w:szCs w:val="15"/>
          <w:color w:val="auto"/>
        </w:rPr>
        <w:t>------------------</w:t>
      </w:r>
    </w:p>
    <w:p>
      <w:pPr>
        <w:jc w:val="center"/>
        <w:ind w:right="8139"/>
        <w:spacing w:after="0" w:line="238" w:lineRule="auto"/>
        <w:rPr>
          <w:sz w:val="20"/>
          <w:szCs w:val="20"/>
          <w:color w:val="auto"/>
        </w:rPr>
      </w:pPr>
      <w:r>
        <w:rPr>
          <w:rFonts w:ascii="Courier New" w:cs="Courier New" w:eastAsia="Courier New" w:hAnsi="Courier New"/>
          <w:sz w:val="15"/>
          <w:szCs w:val="15"/>
          <w:color w:val="auto"/>
        </w:rPr>
        <w:t>Total assets $86,831</w:t>
      </w:r>
    </w:p>
    <w:p>
      <w:pPr>
        <w:jc w:val="center"/>
        <w:ind w:right="8139"/>
        <w:spacing w:after="0" w:line="238" w:lineRule="auto"/>
        <w:rPr>
          <w:sz w:val="20"/>
          <w:szCs w:val="20"/>
          <w:color w:val="auto"/>
        </w:rPr>
      </w:pPr>
      <w:r>
        <w:rPr>
          <w:rFonts w:ascii="Courier New" w:cs="Courier New" w:eastAsia="Courier New" w:hAnsi="Courier New"/>
          <w:sz w:val="15"/>
          <w:szCs w:val="15"/>
          <w:color w:val="auto"/>
        </w:rPr>
        <w:t>$122,600</w:t>
      </w:r>
    </w:p>
    <w:p>
      <w:pPr>
        <w:spacing w:after="0" w:line="5"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5"/>
          <w:szCs w:val="15"/>
          <w:color w:val="auto"/>
        </w:rPr>
        <w:t>LIABILITIES AND</w:t>
      </w:r>
    </w:p>
    <w:p>
      <w:pPr>
        <w:ind w:left="140"/>
        <w:spacing w:after="0" w:line="237" w:lineRule="auto"/>
        <w:rPr>
          <w:sz w:val="20"/>
          <w:szCs w:val="20"/>
          <w:color w:val="auto"/>
        </w:rPr>
      </w:pPr>
      <w:r>
        <w:rPr>
          <w:rFonts w:ascii="Courier New" w:cs="Courier New" w:eastAsia="Courier New" w:hAnsi="Courier New"/>
          <w:sz w:val="15"/>
          <w:szCs w:val="15"/>
          <w:color w:val="auto"/>
        </w:rPr>
        <w:t>STOCKHOLDERS' EQUITY:</w:t>
      </w:r>
    </w:p>
    <w:p>
      <w:pPr>
        <w:ind w:left="180"/>
        <w:spacing w:after="0" w:line="238" w:lineRule="auto"/>
        <w:rPr>
          <w:sz w:val="20"/>
          <w:szCs w:val="20"/>
          <w:color w:val="auto"/>
        </w:rPr>
      </w:pPr>
      <w:r>
        <w:rPr>
          <w:rFonts w:ascii="Courier New" w:cs="Courier New" w:eastAsia="Courier New" w:hAnsi="Courier New"/>
          <w:sz w:val="15"/>
          <w:szCs w:val="15"/>
          <w:color w:val="auto"/>
        </w:rPr>
        <w:t>Current liabilities:</w:t>
      </w:r>
    </w:p>
    <w:p>
      <w:pPr>
        <w:jc w:val="center"/>
        <w:ind w:right="8139"/>
        <w:spacing w:after="0" w:line="237" w:lineRule="auto"/>
        <w:rPr>
          <w:sz w:val="20"/>
          <w:szCs w:val="20"/>
          <w:color w:val="auto"/>
        </w:rPr>
      </w:pPr>
      <w:r>
        <w:rPr>
          <w:rFonts w:ascii="Courier New" w:cs="Courier New" w:eastAsia="Courier New" w:hAnsi="Courier New"/>
          <w:sz w:val="15"/>
          <w:szCs w:val="15"/>
          <w:color w:val="auto"/>
        </w:rPr>
        <w:t>Accounts payable $</w:t>
      </w:r>
    </w:p>
    <w:p>
      <w:pPr>
        <w:jc w:val="center"/>
        <w:ind w:right="8139"/>
        <w:spacing w:after="0" w:line="238" w:lineRule="auto"/>
        <w:rPr>
          <w:sz w:val="20"/>
          <w:szCs w:val="20"/>
          <w:color w:val="auto"/>
        </w:rPr>
      </w:pPr>
      <w:r>
        <w:rPr>
          <w:rFonts w:ascii="Courier New" w:cs="Courier New" w:eastAsia="Courier New" w:hAnsi="Courier New"/>
          <w:sz w:val="15"/>
          <w:szCs w:val="15"/>
          <w:color w:val="auto"/>
        </w:rPr>
        <w:t>5,047 $ 5,826 Payroll</w:t>
      </w:r>
    </w:p>
    <w:p>
      <w:pPr>
        <w:jc w:val="center"/>
        <w:ind w:right="8139"/>
        <w:spacing w:after="0" w:line="237" w:lineRule="auto"/>
        <w:rPr>
          <w:sz w:val="20"/>
          <w:szCs w:val="20"/>
          <w:color w:val="auto"/>
        </w:rPr>
      </w:pPr>
      <w:r>
        <w:rPr>
          <w:rFonts w:ascii="Courier New" w:cs="Courier New" w:eastAsia="Courier New" w:hAnsi="Courier New"/>
          <w:sz w:val="15"/>
          <w:szCs w:val="15"/>
          <w:color w:val="auto"/>
        </w:rPr>
        <w:t>related accruals 6,833</w:t>
      </w:r>
    </w:p>
    <w:p>
      <w:pPr>
        <w:jc w:val="center"/>
        <w:ind w:right="8139"/>
        <w:spacing w:after="0" w:line="238" w:lineRule="auto"/>
        <w:rPr>
          <w:sz w:val="20"/>
          <w:szCs w:val="20"/>
          <w:color w:val="auto"/>
        </w:rPr>
      </w:pPr>
      <w:r>
        <w:rPr>
          <w:rFonts w:ascii="Courier New" w:cs="Courier New" w:eastAsia="Courier New" w:hAnsi="Courier New"/>
          <w:sz w:val="15"/>
          <w:szCs w:val="15"/>
          <w:color w:val="auto"/>
        </w:rPr>
        <w:t>9,589 Other accrued</w:t>
      </w:r>
    </w:p>
    <w:p>
      <w:pPr>
        <w:jc w:val="center"/>
        <w:ind w:right="8139"/>
        <w:spacing w:after="0" w:line="237" w:lineRule="auto"/>
        <w:rPr>
          <w:sz w:val="20"/>
          <w:szCs w:val="20"/>
          <w:color w:val="auto"/>
        </w:rPr>
      </w:pPr>
      <w:r>
        <w:rPr>
          <w:rFonts w:ascii="Courier New" w:cs="Courier New" w:eastAsia="Courier New" w:hAnsi="Courier New"/>
          <w:sz w:val="15"/>
          <w:szCs w:val="15"/>
          <w:color w:val="auto"/>
        </w:rPr>
        <w:t>liabilities 4,269 8,800</w:t>
      </w:r>
    </w:p>
    <w:p>
      <w:pPr>
        <w:jc w:val="center"/>
        <w:ind w:right="8139"/>
        <w:spacing w:after="0" w:line="238" w:lineRule="auto"/>
        <w:rPr>
          <w:sz w:val="20"/>
          <w:szCs w:val="20"/>
          <w:color w:val="auto"/>
        </w:rPr>
      </w:pPr>
      <w:r>
        <w:rPr>
          <w:rFonts w:ascii="Courier New" w:cs="Courier New" w:eastAsia="Courier New" w:hAnsi="Courier New"/>
          <w:sz w:val="15"/>
          <w:szCs w:val="15"/>
          <w:color w:val="auto"/>
        </w:rPr>
        <w:t>Income taxes payable</w:t>
      </w:r>
    </w:p>
    <w:p>
      <w:pPr>
        <w:jc w:val="center"/>
        <w:ind w:right="8139"/>
        <w:spacing w:after="0" w:line="238" w:lineRule="auto"/>
        <w:rPr>
          <w:sz w:val="20"/>
          <w:szCs w:val="20"/>
          <w:color w:val="auto"/>
        </w:rPr>
      </w:pPr>
      <w:r>
        <w:rPr>
          <w:rFonts w:ascii="Courier New" w:cs="Courier New" w:eastAsia="Courier New" w:hAnsi="Courier New"/>
          <w:sz w:val="15"/>
          <w:szCs w:val="15"/>
          <w:color w:val="auto"/>
        </w:rPr>
        <w:t>1,851 1,980 Unearned</w:t>
      </w:r>
    </w:p>
    <w:p>
      <w:pPr>
        <w:jc w:val="center"/>
        <w:ind w:right="8139"/>
        <w:spacing w:after="0" w:line="237" w:lineRule="auto"/>
        <w:rPr>
          <w:sz w:val="20"/>
          <w:szCs w:val="20"/>
          <w:color w:val="auto"/>
        </w:rPr>
      </w:pPr>
      <w:r>
        <w:rPr>
          <w:rFonts w:ascii="Courier New" w:cs="Courier New" w:eastAsia="Courier New" w:hAnsi="Courier New"/>
          <w:sz w:val="15"/>
          <w:szCs w:val="15"/>
          <w:color w:val="auto"/>
        </w:rPr>
        <w:t>revenue 11,734 25,086 -</w:t>
      </w:r>
    </w:p>
    <w:p>
      <w:pPr>
        <w:ind w:left="60"/>
        <w:spacing w:after="0" w:line="238" w:lineRule="auto"/>
        <w:rPr>
          <w:sz w:val="20"/>
          <w:szCs w:val="20"/>
          <w:color w:val="auto"/>
        </w:rPr>
      </w:pPr>
      <w:r>
        <w:rPr>
          <w:rFonts w:ascii="Courier New" w:cs="Courier New" w:eastAsia="Courier New" w:hAnsi="Courier New"/>
          <w:sz w:val="15"/>
          <w:szCs w:val="15"/>
          <w:color w:val="auto"/>
        </w:rPr>
        <w:t>-----------------------</w:t>
      </w:r>
    </w:p>
    <w:p>
      <w:pPr>
        <w:jc w:val="center"/>
        <w:ind w:right="8139"/>
        <w:spacing w:after="0" w:line="237" w:lineRule="auto"/>
        <w:rPr>
          <w:sz w:val="20"/>
          <w:szCs w:val="20"/>
          <w:color w:val="auto"/>
        </w:rPr>
      </w:pPr>
      <w:r>
        <w:rPr>
          <w:rFonts w:ascii="Courier New" w:cs="Courier New" w:eastAsia="Courier New" w:hAnsi="Courier New"/>
          <w:sz w:val="15"/>
          <w:szCs w:val="15"/>
          <w:color w:val="auto"/>
        </w:rPr>
        <w:t>Total current</w:t>
      </w:r>
    </w:p>
    <w:p>
      <w:pPr>
        <w:jc w:val="center"/>
        <w:ind w:right="8139"/>
        <w:spacing w:after="0" w:line="238" w:lineRule="auto"/>
        <w:rPr>
          <w:sz w:val="20"/>
          <w:szCs w:val="20"/>
          <w:color w:val="auto"/>
        </w:rPr>
      </w:pPr>
      <w:r>
        <w:rPr>
          <w:rFonts w:ascii="Courier New" w:cs="Courier New" w:eastAsia="Courier New" w:hAnsi="Courier New"/>
          <w:sz w:val="15"/>
          <w:szCs w:val="15"/>
          <w:color w:val="auto"/>
        </w:rPr>
        <w:t>liabilities 29,734</w:t>
      </w:r>
    </w:p>
    <w:p>
      <w:pPr>
        <w:jc w:val="center"/>
        <w:ind w:right="8139"/>
        <w:spacing w:after="0" w:line="237" w:lineRule="auto"/>
        <w:rPr>
          <w:sz w:val="20"/>
          <w:szCs w:val="20"/>
          <w:color w:val="auto"/>
        </w:rPr>
      </w:pPr>
      <w:r>
        <w:rPr>
          <w:rFonts w:ascii="Courier New" w:cs="Courier New" w:eastAsia="Courier New" w:hAnsi="Courier New"/>
          <w:sz w:val="15"/>
          <w:szCs w:val="15"/>
          <w:color w:val="auto"/>
        </w:rPr>
        <w:t>51,281</w:t>
      </w:r>
    </w:p>
    <w:p>
      <w:pPr>
        <w:spacing w:after="0" w:line="5"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40"/>
        <w:spacing w:after="0"/>
        <w:rPr>
          <w:sz w:val="20"/>
          <w:szCs w:val="20"/>
          <w:color w:val="auto"/>
        </w:rPr>
      </w:pPr>
      <w:r>
        <w:rPr>
          <w:rFonts w:ascii="Courier New" w:cs="Courier New" w:eastAsia="Courier New" w:hAnsi="Courier New"/>
          <w:sz w:val="15"/>
          <w:szCs w:val="15"/>
          <w:color w:val="auto"/>
        </w:rPr>
        <w:t>Commitments (Note 6).</w:t>
      </w:r>
    </w:p>
    <w:p>
      <w:pPr>
        <w:ind w:left="140"/>
        <w:spacing w:after="0" w:line="237" w:lineRule="auto"/>
        <w:rPr>
          <w:sz w:val="20"/>
          <w:szCs w:val="20"/>
          <w:color w:val="auto"/>
        </w:rPr>
      </w:pPr>
      <w:r>
        <w:rPr>
          <w:rFonts w:ascii="Courier New" w:cs="Courier New" w:eastAsia="Courier New" w:hAnsi="Courier New"/>
          <w:sz w:val="15"/>
          <w:szCs w:val="15"/>
          <w:color w:val="auto"/>
        </w:rPr>
        <w:t>Stockholders' equity:</w:t>
      </w:r>
    </w:p>
    <w:p>
      <w:pPr>
        <w:jc w:val="center"/>
        <w:ind w:right="8139"/>
        <w:spacing w:after="0" w:line="238" w:lineRule="auto"/>
        <w:rPr>
          <w:sz w:val="20"/>
          <w:szCs w:val="20"/>
          <w:color w:val="auto"/>
        </w:rPr>
      </w:pPr>
      <w:r>
        <w:rPr>
          <w:rFonts w:ascii="Courier New" w:cs="Courier New" w:eastAsia="Courier New" w:hAnsi="Courier New"/>
          <w:sz w:val="15"/>
          <w:szCs w:val="15"/>
          <w:color w:val="auto"/>
        </w:rPr>
        <w:t>Preferred stock, $.0001</w:t>
      </w:r>
    </w:p>
    <w:p>
      <w:pPr>
        <w:jc w:val="center"/>
        <w:ind w:right="8139"/>
        <w:spacing w:after="0" w:line="237" w:lineRule="auto"/>
        <w:rPr>
          <w:sz w:val="20"/>
          <w:szCs w:val="20"/>
          <w:color w:val="auto"/>
        </w:rPr>
      </w:pPr>
      <w:r>
        <w:rPr>
          <w:rFonts w:ascii="Courier New" w:cs="Courier New" w:eastAsia="Courier New" w:hAnsi="Courier New"/>
          <w:sz w:val="15"/>
          <w:szCs w:val="15"/>
          <w:color w:val="auto"/>
        </w:rPr>
        <w:t>par value, 5,000 shares</w:t>
      </w:r>
    </w:p>
    <w:p>
      <w:pPr>
        <w:jc w:val="center"/>
        <w:ind w:right="8139"/>
        <w:spacing w:after="0" w:line="238" w:lineRule="auto"/>
        <w:rPr>
          <w:sz w:val="20"/>
          <w:szCs w:val="20"/>
          <w:color w:val="auto"/>
        </w:rPr>
      </w:pPr>
      <w:r>
        <w:rPr>
          <w:rFonts w:ascii="Courier New" w:cs="Courier New" w:eastAsia="Courier New" w:hAnsi="Courier New"/>
          <w:sz w:val="15"/>
          <w:szCs w:val="15"/>
          <w:color w:val="auto"/>
        </w:rPr>
        <w:t>authorized; none</w:t>
      </w:r>
    </w:p>
    <w:p>
      <w:pPr>
        <w:jc w:val="center"/>
        <w:ind w:right="8139"/>
        <w:spacing w:after="0" w:line="237" w:lineRule="auto"/>
        <w:rPr>
          <w:sz w:val="20"/>
          <w:szCs w:val="20"/>
          <w:color w:val="auto"/>
        </w:rPr>
      </w:pPr>
      <w:r>
        <w:rPr>
          <w:rFonts w:ascii="Courier New" w:cs="Courier New" w:eastAsia="Courier New" w:hAnsi="Courier New"/>
          <w:sz w:val="15"/>
          <w:szCs w:val="15"/>
          <w:color w:val="auto"/>
        </w:rPr>
        <w:t>outstanding Common</w:t>
      </w:r>
    </w:p>
    <w:p>
      <w:pPr>
        <w:jc w:val="center"/>
        <w:ind w:right="8139"/>
        <w:spacing w:after="0" w:line="238" w:lineRule="auto"/>
        <w:rPr>
          <w:sz w:val="20"/>
          <w:szCs w:val="20"/>
          <w:color w:val="auto"/>
        </w:rPr>
      </w:pPr>
      <w:r>
        <w:rPr>
          <w:rFonts w:ascii="Courier New" w:cs="Courier New" w:eastAsia="Courier New" w:hAnsi="Courier New"/>
          <w:sz w:val="15"/>
          <w:szCs w:val="15"/>
          <w:color w:val="auto"/>
        </w:rPr>
        <w:t>stock, $.0001 par</w:t>
      </w:r>
    </w:p>
    <w:p>
      <w:pPr>
        <w:jc w:val="center"/>
        <w:ind w:right="8139"/>
        <w:spacing w:after="0" w:line="237" w:lineRule="auto"/>
        <w:rPr>
          <w:sz w:val="20"/>
          <w:szCs w:val="20"/>
          <w:color w:val="auto"/>
        </w:rPr>
      </w:pPr>
      <w:r>
        <w:rPr>
          <w:rFonts w:ascii="Courier New" w:cs="Courier New" w:eastAsia="Courier New" w:hAnsi="Courier New"/>
          <w:sz w:val="15"/>
          <w:szCs w:val="15"/>
          <w:color w:val="auto"/>
        </w:rPr>
        <w:t>value, 55,000 shares</w:t>
      </w:r>
    </w:p>
    <w:p>
      <w:pPr>
        <w:jc w:val="center"/>
        <w:ind w:right="8139"/>
        <w:spacing w:after="0" w:line="238" w:lineRule="auto"/>
        <w:rPr>
          <w:sz w:val="20"/>
          <w:szCs w:val="20"/>
          <w:color w:val="auto"/>
        </w:rPr>
      </w:pPr>
      <w:r>
        <w:rPr>
          <w:rFonts w:ascii="Courier New" w:cs="Courier New" w:eastAsia="Courier New" w:hAnsi="Courier New"/>
          <w:sz w:val="15"/>
          <w:szCs w:val="15"/>
          <w:color w:val="auto"/>
        </w:rPr>
        <w:t>authorized; shares</w:t>
      </w:r>
    </w:p>
    <w:p>
      <w:pPr>
        <w:jc w:val="center"/>
        <w:ind w:right="8139"/>
        <w:spacing w:after="0" w:line="238" w:lineRule="auto"/>
        <w:rPr>
          <w:sz w:val="20"/>
          <w:szCs w:val="20"/>
          <w:color w:val="auto"/>
        </w:rPr>
      </w:pPr>
      <w:r>
        <w:rPr>
          <w:rFonts w:ascii="Courier New" w:cs="Courier New" w:eastAsia="Courier New" w:hAnsi="Courier New"/>
          <w:sz w:val="15"/>
          <w:szCs w:val="15"/>
          <w:color w:val="auto"/>
        </w:rPr>
        <w:t>issued and outstanding:</w:t>
      </w:r>
    </w:p>
    <w:p>
      <w:pPr>
        <w:jc w:val="center"/>
        <w:ind w:right="8139"/>
        <w:spacing w:after="0" w:line="237" w:lineRule="auto"/>
        <w:rPr>
          <w:sz w:val="20"/>
          <w:szCs w:val="20"/>
          <w:color w:val="auto"/>
        </w:rPr>
      </w:pPr>
      <w:r>
        <w:rPr>
          <w:rFonts w:ascii="Courier New" w:cs="Courier New" w:eastAsia="Courier New" w:hAnsi="Courier New"/>
          <w:sz w:val="15"/>
          <w:szCs w:val="15"/>
          <w:color w:val="auto"/>
        </w:rPr>
        <w:t>21,335 in 1997 and</w:t>
      </w:r>
    </w:p>
    <w:p>
      <w:pPr>
        <w:jc w:val="center"/>
        <w:ind w:right="8139"/>
        <w:spacing w:after="0" w:line="238" w:lineRule="auto"/>
        <w:rPr>
          <w:sz w:val="20"/>
          <w:szCs w:val="20"/>
          <w:color w:val="auto"/>
        </w:rPr>
      </w:pPr>
      <w:r>
        <w:rPr>
          <w:rFonts w:ascii="Courier New" w:cs="Courier New" w:eastAsia="Courier New" w:hAnsi="Courier New"/>
          <w:sz w:val="15"/>
          <w:szCs w:val="15"/>
          <w:color w:val="auto"/>
        </w:rPr>
        <w:t>22,168 in 1998 2 2</w:t>
      </w:r>
    </w:p>
    <w:p>
      <w:pPr>
        <w:jc w:val="center"/>
        <w:ind w:right="8139"/>
        <w:spacing w:after="0" w:line="237" w:lineRule="auto"/>
        <w:rPr>
          <w:sz w:val="20"/>
          <w:szCs w:val="20"/>
          <w:color w:val="auto"/>
        </w:rPr>
      </w:pPr>
      <w:r>
        <w:rPr>
          <w:rFonts w:ascii="Courier New" w:cs="Courier New" w:eastAsia="Courier New" w:hAnsi="Courier New"/>
          <w:sz w:val="15"/>
          <w:szCs w:val="15"/>
          <w:color w:val="auto"/>
        </w:rPr>
        <w:t>Additional paid-in-</w:t>
      </w:r>
    </w:p>
    <w:p>
      <w:pPr>
        <w:jc w:val="center"/>
        <w:ind w:right="8139"/>
        <w:spacing w:after="0" w:line="238" w:lineRule="auto"/>
        <w:rPr>
          <w:sz w:val="20"/>
          <w:szCs w:val="20"/>
          <w:color w:val="auto"/>
        </w:rPr>
      </w:pPr>
      <w:r>
        <w:rPr>
          <w:rFonts w:ascii="Courier New" w:cs="Courier New" w:eastAsia="Courier New" w:hAnsi="Courier New"/>
          <w:sz w:val="15"/>
          <w:szCs w:val="15"/>
          <w:color w:val="auto"/>
        </w:rPr>
        <w:t>capital 51,640 59,127</w:t>
      </w:r>
    </w:p>
    <w:p>
      <w:pPr>
        <w:jc w:val="center"/>
        <w:ind w:right="8139"/>
        <w:spacing w:after="0" w:line="237" w:lineRule="auto"/>
        <w:rPr>
          <w:sz w:val="20"/>
          <w:szCs w:val="20"/>
          <w:color w:val="auto"/>
        </w:rPr>
      </w:pPr>
      <w:r>
        <w:rPr>
          <w:rFonts w:ascii="Courier New" w:cs="Courier New" w:eastAsia="Courier New" w:hAnsi="Courier New"/>
          <w:sz w:val="15"/>
          <w:szCs w:val="15"/>
          <w:color w:val="auto"/>
        </w:rPr>
        <w:t>Accumulated other</w:t>
      </w:r>
    </w:p>
    <w:p>
      <w:pPr>
        <w:jc w:val="center"/>
        <w:ind w:right="8139"/>
        <w:spacing w:after="0" w:line="238" w:lineRule="auto"/>
        <w:rPr>
          <w:sz w:val="20"/>
          <w:szCs w:val="20"/>
          <w:color w:val="auto"/>
        </w:rPr>
      </w:pPr>
      <w:r>
        <w:rPr>
          <w:rFonts w:ascii="Courier New" w:cs="Courier New" w:eastAsia="Courier New" w:hAnsi="Courier New"/>
          <w:sz w:val="15"/>
          <w:szCs w:val="15"/>
          <w:color w:val="auto"/>
        </w:rPr>
        <w:t>comprehensive income 28</w:t>
      </w:r>
    </w:p>
    <w:p>
      <w:pPr>
        <w:ind w:left="980" w:hanging="534"/>
        <w:spacing w:after="0" w:line="238" w:lineRule="auto"/>
        <w:tabs>
          <w:tab w:leader="none" w:pos="9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(65) (18)</w:t>
      </w:r>
    </w:p>
    <w:p>
      <w:pPr>
        <w:ind w:left="60"/>
        <w:spacing w:after="0" w:line="238" w:lineRule="auto"/>
        <w:rPr>
          <w:sz w:val="20"/>
          <w:szCs w:val="20"/>
          <w:color w:val="auto"/>
        </w:rPr>
      </w:pPr>
      <w:r>
        <w:rPr>
          <w:rFonts w:ascii="Courier New" w:cs="Courier New" w:eastAsia="Courier New" w:hAnsi="Courier New"/>
          <w:sz w:val="15"/>
          <w:szCs w:val="15"/>
          <w:color w:val="auto"/>
        </w:rPr>
        <w:t>Retained earnings 5,492</w:t>
      </w:r>
    </w:p>
    <w:p>
      <w:pPr>
        <w:ind w:left="60"/>
        <w:spacing w:after="0" w:line="237" w:lineRule="auto"/>
        <w:rPr>
          <w:sz w:val="20"/>
          <w:szCs w:val="20"/>
          <w:color w:val="auto"/>
        </w:rPr>
      </w:pPr>
      <w:r>
        <w:rPr>
          <w:rFonts w:ascii="Courier New" w:cs="Courier New" w:eastAsia="Courier New" w:hAnsi="Courier New"/>
          <w:sz w:val="15"/>
          <w:szCs w:val="15"/>
          <w:color w:val="auto"/>
        </w:rPr>
        <w:t>12,810 ----------------</w:t>
      </w:r>
    </w:p>
    <w:p>
      <w:pPr>
        <w:ind w:left="440"/>
        <w:spacing w:after="0" w:line="238" w:lineRule="auto"/>
        <w:rPr>
          <w:sz w:val="20"/>
          <w:szCs w:val="20"/>
          <w:color w:val="auto"/>
        </w:rPr>
      </w:pPr>
      <w:r>
        <w:rPr>
          <w:rFonts w:ascii="Courier New" w:cs="Courier New" w:eastAsia="Courier New" w:hAnsi="Courier New"/>
          <w:sz w:val="15"/>
          <w:szCs w:val="15"/>
          <w:color w:val="auto"/>
        </w:rPr>
        <w:t>-------- Total</w:t>
      </w:r>
    </w:p>
    <w:p>
      <w:pPr>
        <w:jc w:val="center"/>
        <w:ind w:right="8139"/>
        <w:spacing w:after="0" w:line="237" w:lineRule="auto"/>
        <w:rPr>
          <w:sz w:val="20"/>
          <w:szCs w:val="20"/>
          <w:color w:val="auto"/>
        </w:rPr>
      </w:pPr>
      <w:r>
        <w:rPr>
          <w:rFonts w:ascii="Courier New" w:cs="Courier New" w:eastAsia="Courier New" w:hAnsi="Courier New"/>
          <w:sz w:val="15"/>
          <w:szCs w:val="15"/>
          <w:color w:val="auto"/>
        </w:rPr>
        <w:t>stockholders' equity</w:t>
      </w:r>
    </w:p>
    <w:p>
      <w:pPr>
        <w:ind w:left="60"/>
        <w:spacing w:after="0" w:line="238" w:lineRule="auto"/>
        <w:rPr>
          <w:sz w:val="20"/>
          <w:szCs w:val="20"/>
          <w:color w:val="auto"/>
        </w:rPr>
      </w:pPr>
      <w:r>
        <w:rPr>
          <w:rFonts w:ascii="Courier New" w:cs="Courier New" w:eastAsia="Courier New" w:hAnsi="Courier New"/>
          <w:sz w:val="15"/>
          <w:szCs w:val="15"/>
          <w:color w:val="auto"/>
        </w:rPr>
        <w:t>57,097 71,319 ---------</w:t>
      </w:r>
    </w:p>
    <w:p>
      <w:pPr>
        <w:ind w:left="140"/>
        <w:spacing w:after="0" w:line="237" w:lineRule="auto"/>
        <w:rPr>
          <w:sz w:val="20"/>
          <w:szCs w:val="20"/>
          <w:color w:val="auto"/>
        </w:rPr>
      </w:pPr>
      <w:r>
        <w:rPr>
          <w:rFonts w:ascii="Courier New" w:cs="Courier New" w:eastAsia="Courier New" w:hAnsi="Courier New"/>
          <w:sz w:val="15"/>
          <w:szCs w:val="15"/>
          <w:color w:val="auto"/>
        </w:rPr>
        <w:t>--------------- Total</w:t>
      </w:r>
    </w:p>
    <w:p>
      <w:pPr>
        <w:jc w:val="center"/>
        <w:ind w:right="8139"/>
        <w:spacing w:after="0" w:line="238" w:lineRule="auto"/>
        <w:rPr>
          <w:sz w:val="20"/>
          <w:szCs w:val="20"/>
          <w:color w:val="auto"/>
        </w:rPr>
      </w:pPr>
      <w:r>
        <w:rPr>
          <w:rFonts w:ascii="Courier New" w:cs="Courier New" w:eastAsia="Courier New" w:hAnsi="Courier New"/>
          <w:sz w:val="15"/>
          <w:szCs w:val="15"/>
          <w:color w:val="auto"/>
        </w:rPr>
        <w:t>liabilities and</w:t>
      </w:r>
    </w:p>
    <w:p>
      <w:pPr>
        <w:jc w:val="center"/>
        <w:ind w:right="8139"/>
        <w:spacing w:after="0" w:line="238" w:lineRule="auto"/>
        <w:rPr>
          <w:sz w:val="20"/>
          <w:szCs w:val="20"/>
          <w:color w:val="auto"/>
        </w:rPr>
      </w:pPr>
      <w:r>
        <w:rPr>
          <w:rFonts w:ascii="Courier New" w:cs="Courier New" w:eastAsia="Courier New" w:hAnsi="Courier New"/>
          <w:sz w:val="15"/>
          <w:szCs w:val="15"/>
          <w:color w:val="auto"/>
        </w:rPr>
        <w:t>stockholders' equity</w:t>
      </w:r>
    </w:p>
    <w:p>
      <w:pPr>
        <w:jc w:val="center"/>
        <w:ind w:right="8139"/>
        <w:spacing w:after="0" w:line="237" w:lineRule="auto"/>
        <w:rPr>
          <w:sz w:val="20"/>
          <w:szCs w:val="20"/>
          <w:color w:val="auto"/>
        </w:rPr>
      </w:pPr>
      <w:r>
        <w:rPr>
          <w:rFonts w:ascii="Courier New" w:cs="Courier New" w:eastAsia="Courier New" w:hAnsi="Courier New"/>
          <w:sz w:val="15"/>
          <w:szCs w:val="15"/>
          <w:color w:val="auto"/>
        </w:rPr>
        <w:t>$86,831 $122,600</w:t>
      </w:r>
    </w:p>
    <w:p>
      <w:pPr>
        <w:spacing w:after="0" w:line="5"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5"/>
          <w:szCs w:val="15"/>
          <w:color w:val="auto"/>
        </w:rPr>
        <w:t>The accompanying notes</w:t>
      </w:r>
    </w:p>
    <w:p>
      <w:pPr>
        <w:jc w:val="center"/>
        <w:ind w:right="8139"/>
        <w:spacing w:after="0" w:line="237" w:lineRule="auto"/>
        <w:rPr>
          <w:sz w:val="20"/>
          <w:szCs w:val="20"/>
          <w:color w:val="auto"/>
        </w:rPr>
      </w:pPr>
      <w:r>
        <w:rPr>
          <w:rFonts w:ascii="Courier New" w:cs="Courier New" w:eastAsia="Courier New" w:hAnsi="Courier New"/>
          <w:sz w:val="15"/>
          <w:szCs w:val="15"/>
          <w:color w:val="auto"/>
        </w:rPr>
        <w:t>are an integral part of</w:t>
      </w:r>
    </w:p>
    <w:p>
      <w:pPr>
        <w:jc w:val="center"/>
        <w:ind w:right="8139"/>
        <w:spacing w:after="0" w:line="238" w:lineRule="auto"/>
        <w:rPr>
          <w:sz w:val="20"/>
          <w:szCs w:val="20"/>
          <w:color w:val="auto"/>
        </w:rPr>
      </w:pPr>
      <w:r>
        <w:rPr>
          <w:rFonts w:ascii="Courier New" w:cs="Courier New" w:eastAsia="Courier New" w:hAnsi="Courier New"/>
          <w:sz w:val="15"/>
          <w:szCs w:val="15"/>
          <w:color w:val="auto"/>
        </w:rPr>
        <w:t>these consolidated</w:t>
      </w:r>
    </w:p>
    <w:p>
      <w:pPr>
        <w:jc w:val="center"/>
        <w:ind w:right="8139"/>
        <w:spacing w:after="0" w:line="237" w:lineRule="auto"/>
        <w:rPr>
          <w:sz w:val="20"/>
          <w:szCs w:val="20"/>
          <w:color w:val="auto"/>
        </w:rPr>
      </w:pPr>
      <w:r>
        <w:rPr>
          <w:rFonts w:ascii="Courier New" w:cs="Courier New" w:eastAsia="Courier New" w:hAnsi="Courier New"/>
          <w:sz w:val="15"/>
          <w:szCs w:val="15"/>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49" w:right="1440" w:bottom="853" w:gutter="0" w:footer="0" w:header="0"/>
        </w:sectPr>
      </w:pPr>
    </w:p>
    <w:bookmarkStart w:id="9" w:name="page10"/>
    <w:bookmarkEnd w:id="9"/>
    <w:p>
      <w:pPr>
        <w:jc w:val="center"/>
        <w:ind w:right="3219"/>
        <w:spacing w:after="0"/>
        <w:rPr>
          <w:sz w:val="20"/>
          <w:szCs w:val="20"/>
          <w:color w:val="auto"/>
        </w:rPr>
      </w:pPr>
      <w:r>
        <w:rPr>
          <w:rFonts w:ascii="Courier New" w:cs="Courier New" w:eastAsia="Courier New" w:hAnsi="Courier New"/>
          <w:sz w:val="15"/>
          <w:szCs w:val="15"/>
          <w:color w:val="auto"/>
        </w:rPr>
        <w:t>CLARIFY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CONSOLIDATED STATEMENTS OF INCOME</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YEARS ENDED DECEMBER 31, ------------</w:t>
      </w:r>
    </w:p>
    <w:p>
      <w:pPr>
        <w:ind w:left="100"/>
        <w:spacing w:after="0" w:line="237" w:lineRule="auto"/>
        <w:rPr>
          <w:sz w:val="20"/>
          <w:szCs w:val="20"/>
          <w:color w:val="auto"/>
        </w:rPr>
      </w:pPr>
      <w:r>
        <w:rPr>
          <w:rFonts w:ascii="Courier New" w:cs="Courier New" w:eastAsia="Courier New" w:hAnsi="Courier New"/>
          <w:sz w:val="15"/>
          <w:szCs w:val="15"/>
          <w:color w:val="auto"/>
        </w:rPr>
        <w:t>-------------------------- 1996 1997</w:t>
      </w:r>
    </w:p>
    <w:p>
      <w:pPr>
        <w:ind w:left="60"/>
        <w:spacing w:after="0" w:line="238" w:lineRule="auto"/>
        <w:rPr>
          <w:sz w:val="20"/>
          <w:szCs w:val="20"/>
          <w:color w:val="auto"/>
        </w:rPr>
      </w:pPr>
      <w:r>
        <w:rPr>
          <w:rFonts w:ascii="Courier New" w:cs="Courier New" w:eastAsia="Courier New" w:hAnsi="Courier New"/>
          <w:sz w:val="15"/>
          <w:szCs w:val="15"/>
          <w:color w:val="auto"/>
        </w:rPr>
        <w:t>1998 --------------------------------</w:t>
      </w:r>
    </w:p>
    <w:p>
      <w:pPr>
        <w:ind w:left="60"/>
        <w:spacing w:after="0" w:line="237" w:lineRule="auto"/>
        <w:rPr>
          <w:sz w:val="20"/>
          <w:szCs w:val="20"/>
          <w:color w:val="auto"/>
        </w:rPr>
      </w:pPr>
      <w:r>
        <w:rPr>
          <w:rFonts w:ascii="Courier New" w:cs="Courier New" w:eastAsia="Courier New" w:hAnsi="Courier New"/>
          <w:sz w:val="15"/>
          <w:szCs w:val="15"/>
          <w:color w:val="auto"/>
        </w:rPr>
        <w:t>------ Revenues: License fees $39,139</w:t>
      </w:r>
    </w:p>
    <w:p>
      <w:pPr>
        <w:jc w:val="center"/>
        <w:ind w:right="6919"/>
        <w:spacing w:after="0" w:line="238" w:lineRule="auto"/>
        <w:rPr>
          <w:sz w:val="20"/>
          <w:szCs w:val="20"/>
          <w:color w:val="auto"/>
        </w:rPr>
      </w:pPr>
      <w:r>
        <w:rPr>
          <w:rFonts w:ascii="Courier New" w:cs="Courier New" w:eastAsia="Courier New" w:hAnsi="Courier New"/>
          <w:sz w:val="15"/>
          <w:szCs w:val="15"/>
          <w:color w:val="auto"/>
        </w:rPr>
        <w:t>$59,214 $84,874 Services 17,183</w:t>
      </w:r>
    </w:p>
    <w:p>
      <w:pPr>
        <w:ind w:left="60"/>
        <w:spacing w:after="0" w:line="237" w:lineRule="auto"/>
        <w:rPr>
          <w:sz w:val="20"/>
          <w:szCs w:val="20"/>
          <w:color w:val="auto"/>
        </w:rPr>
      </w:pPr>
      <w:r>
        <w:rPr>
          <w:rFonts w:ascii="Courier New" w:cs="Courier New" w:eastAsia="Courier New" w:hAnsi="Courier New"/>
          <w:sz w:val="15"/>
          <w:szCs w:val="15"/>
          <w:color w:val="auto"/>
        </w:rPr>
        <w:t>29,003 45,636 -----------------------</w:t>
      </w:r>
    </w:p>
    <w:p>
      <w:pPr>
        <w:ind w:left="60"/>
        <w:spacing w:after="0" w:line="238" w:lineRule="auto"/>
        <w:rPr>
          <w:sz w:val="20"/>
          <w:szCs w:val="20"/>
          <w:color w:val="auto"/>
        </w:rPr>
      </w:pPr>
      <w:r>
        <w:rPr>
          <w:rFonts w:ascii="Courier New" w:cs="Courier New" w:eastAsia="Courier New" w:hAnsi="Courier New"/>
          <w:sz w:val="15"/>
          <w:szCs w:val="15"/>
          <w:color w:val="auto"/>
        </w:rPr>
        <w:t>--------------- Total revenues 56,322</w:t>
      </w:r>
    </w:p>
    <w:p>
      <w:pPr>
        <w:ind w:left="60"/>
        <w:spacing w:after="0" w:line="237" w:lineRule="auto"/>
        <w:rPr>
          <w:sz w:val="20"/>
          <w:szCs w:val="20"/>
          <w:color w:val="auto"/>
        </w:rPr>
      </w:pPr>
      <w:r>
        <w:rPr>
          <w:rFonts w:ascii="Courier New" w:cs="Courier New" w:eastAsia="Courier New" w:hAnsi="Courier New"/>
          <w:sz w:val="15"/>
          <w:szCs w:val="15"/>
          <w:color w:val="auto"/>
        </w:rPr>
        <w:t>88,217 130,510 ----------------------</w:t>
      </w:r>
    </w:p>
    <w:p>
      <w:pPr>
        <w:ind w:left="180"/>
        <w:spacing w:after="0" w:line="238" w:lineRule="auto"/>
        <w:rPr>
          <w:sz w:val="20"/>
          <w:szCs w:val="20"/>
          <w:color w:val="auto"/>
        </w:rPr>
      </w:pPr>
      <w:r>
        <w:rPr>
          <w:rFonts w:ascii="Courier New" w:cs="Courier New" w:eastAsia="Courier New" w:hAnsi="Courier New"/>
          <w:sz w:val="15"/>
          <w:szCs w:val="15"/>
          <w:color w:val="auto"/>
        </w:rPr>
        <w:t>---------------- Cost of revenues:</w:t>
      </w:r>
    </w:p>
    <w:p>
      <w:pPr>
        <w:jc w:val="center"/>
        <w:ind w:right="6919"/>
        <w:spacing w:after="0" w:line="238" w:lineRule="auto"/>
        <w:rPr>
          <w:sz w:val="20"/>
          <w:szCs w:val="20"/>
          <w:color w:val="auto"/>
        </w:rPr>
      </w:pPr>
      <w:r>
        <w:rPr>
          <w:rFonts w:ascii="Courier New" w:cs="Courier New" w:eastAsia="Courier New" w:hAnsi="Courier New"/>
          <w:sz w:val="15"/>
          <w:szCs w:val="15"/>
          <w:color w:val="auto"/>
        </w:rPr>
        <w:t>License fees 1,409 2,400 2,424</w:t>
      </w:r>
    </w:p>
    <w:p>
      <w:pPr>
        <w:ind w:left="60"/>
        <w:spacing w:after="0" w:line="237" w:lineRule="auto"/>
        <w:rPr>
          <w:sz w:val="20"/>
          <w:szCs w:val="20"/>
          <w:color w:val="auto"/>
        </w:rPr>
      </w:pPr>
      <w:r>
        <w:rPr>
          <w:rFonts w:ascii="Courier New" w:cs="Courier New" w:eastAsia="Courier New" w:hAnsi="Courier New"/>
          <w:sz w:val="15"/>
          <w:szCs w:val="15"/>
          <w:color w:val="auto"/>
        </w:rPr>
        <w:t>Services 10,711 18,149 26,165 -------</w:t>
      </w:r>
    </w:p>
    <w:p>
      <w:pPr>
        <w:ind w:left="60"/>
        <w:spacing w:after="0" w:line="238" w:lineRule="auto"/>
        <w:rPr>
          <w:sz w:val="20"/>
          <w:szCs w:val="20"/>
          <w:color w:val="auto"/>
        </w:rPr>
      </w:pPr>
      <w:r>
        <w:rPr>
          <w:rFonts w:ascii="Courier New" w:cs="Courier New" w:eastAsia="Courier New" w:hAnsi="Courier New"/>
          <w:sz w:val="15"/>
          <w:szCs w:val="15"/>
          <w:color w:val="auto"/>
        </w:rPr>
        <w:t>------------------------------- Total</w:t>
      </w:r>
    </w:p>
    <w:p>
      <w:pPr>
        <w:ind w:left="60"/>
        <w:spacing w:after="0" w:line="237" w:lineRule="auto"/>
        <w:rPr>
          <w:sz w:val="20"/>
          <w:szCs w:val="20"/>
          <w:color w:val="auto"/>
        </w:rPr>
      </w:pPr>
      <w:r>
        <w:rPr>
          <w:rFonts w:ascii="Courier New" w:cs="Courier New" w:eastAsia="Courier New" w:hAnsi="Courier New"/>
          <w:sz w:val="15"/>
          <w:szCs w:val="15"/>
          <w:color w:val="auto"/>
        </w:rPr>
        <w:t>cost of revenues 12,120 20,549 28,589</w:t>
      </w:r>
    </w:p>
    <w:p>
      <w:pPr>
        <w:ind w:left="6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80" w:right="6999" w:hanging="385"/>
        <w:spacing w:after="0" w:line="254" w:lineRule="auto"/>
        <w:tabs>
          <w:tab w:leader="none" w:pos="26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Gross margin 44,202 67,668 101,921 Operating expenses: Product</w:t>
      </w:r>
    </w:p>
    <w:p>
      <w:pPr>
        <w:jc w:val="center"/>
        <w:ind w:right="6919"/>
        <w:spacing w:after="0" w:line="231" w:lineRule="auto"/>
        <w:rPr>
          <w:sz w:val="20"/>
          <w:szCs w:val="20"/>
          <w:color w:val="auto"/>
        </w:rPr>
      </w:pPr>
      <w:r>
        <w:rPr>
          <w:rFonts w:ascii="Courier New" w:cs="Courier New" w:eastAsia="Courier New" w:hAnsi="Courier New"/>
          <w:sz w:val="15"/>
          <w:szCs w:val="15"/>
          <w:color w:val="auto"/>
        </w:rPr>
        <w:t>development and engineering 10,384</w:t>
      </w:r>
    </w:p>
    <w:p>
      <w:pPr>
        <w:jc w:val="center"/>
        <w:ind w:right="6919"/>
        <w:spacing w:after="0" w:line="238" w:lineRule="auto"/>
        <w:rPr>
          <w:sz w:val="20"/>
          <w:szCs w:val="20"/>
          <w:color w:val="auto"/>
        </w:rPr>
      </w:pPr>
      <w:r>
        <w:rPr>
          <w:rFonts w:ascii="Courier New" w:cs="Courier New" w:eastAsia="Courier New" w:hAnsi="Courier New"/>
          <w:sz w:val="15"/>
          <w:szCs w:val="15"/>
          <w:color w:val="auto"/>
        </w:rPr>
        <w:t>16,777 20,329 Sales and marketing</w:t>
      </w:r>
    </w:p>
    <w:p>
      <w:pPr>
        <w:jc w:val="center"/>
        <w:ind w:right="6919"/>
        <w:spacing w:after="0" w:line="237" w:lineRule="auto"/>
        <w:rPr>
          <w:sz w:val="20"/>
          <w:szCs w:val="20"/>
          <w:color w:val="auto"/>
        </w:rPr>
      </w:pPr>
      <w:r>
        <w:rPr>
          <w:rFonts w:ascii="Courier New" w:cs="Courier New" w:eastAsia="Courier New" w:hAnsi="Courier New"/>
          <w:sz w:val="15"/>
          <w:szCs w:val="15"/>
          <w:color w:val="auto"/>
        </w:rPr>
        <w:t>20,351 38,054 61,389 General and</w:t>
      </w:r>
    </w:p>
    <w:p>
      <w:pPr>
        <w:jc w:val="center"/>
        <w:ind w:right="6919"/>
        <w:spacing w:after="0" w:line="238" w:lineRule="auto"/>
        <w:rPr>
          <w:sz w:val="20"/>
          <w:szCs w:val="20"/>
          <w:color w:val="auto"/>
        </w:rPr>
      </w:pPr>
      <w:r>
        <w:rPr>
          <w:rFonts w:ascii="Courier New" w:cs="Courier New" w:eastAsia="Courier New" w:hAnsi="Courier New"/>
          <w:sz w:val="15"/>
          <w:szCs w:val="15"/>
          <w:color w:val="auto"/>
        </w:rPr>
        <w:t>administrative 4,920 7,903 10,094</w:t>
      </w:r>
    </w:p>
    <w:p>
      <w:pPr>
        <w:spacing w:after="0" w:line="5" w:lineRule="exact"/>
        <w:rPr>
          <w:sz w:val="20"/>
          <w:szCs w:val="20"/>
          <w:color w:val="auto"/>
        </w:rPr>
      </w:pPr>
    </w:p>
    <w:p>
      <w:pPr>
        <w:jc w:val="center"/>
        <w:ind w:right="6919"/>
        <w:spacing w:after="0"/>
        <w:rPr>
          <w:sz w:val="20"/>
          <w:szCs w:val="20"/>
          <w:color w:val="auto"/>
        </w:rPr>
      </w:pPr>
      <w:r>
        <w:rPr>
          <w:rFonts w:ascii="Courier New" w:cs="Courier New" w:eastAsia="Courier New" w:hAnsi="Courier New"/>
          <w:sz w:val="14"/>
          <w:szCs w:val="14"/>
          <w:color w:val="auto"/>
        </w:rPr>
        <w:t>Merger costs 1,061 - - --------------</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Total</w:t>
      </w:r>
    </w:p>
    <w:p>
      <w:pPr>
        <w:jc w:val="center"/>
        <w:ind w:right="6919"/>
        <w:spacing w:after="0" w:line="237" w:lineRule="auto"/>
        <w:rPr>
          <w:sz w:val="20"/>
          <w:szCs w:val="20"/>
          <w:color w:val="auto"/>
        </w:rPr>
      </w:pPr>
      <w:r>
        <w:rPr>
          <w:rFonts w:ascii="Courier New" w:cs="Courier New" w:eastAsia="Courier New" w:hAnsi="Courier New"/>
          <w:sz w:val="15"/>
          <w:szCs w:val="15"/>
          <w:color w:val="auto"/>
        </w:rPr>
        <w:t>operating expenses 36,716 62,734</w:t>
      </w:r>
    </w:p>
    <w:p>
      <w:pPr>
        <w:ind w:left="60"/>
        <w:spacing w:after="0" w:line="238" w:lineRule="auto"/>
        <w:rPr>
          <w:sz w:val="20"/>
          <w:szCs w:val="20"/>
          <w:color w:val="auto"/>
        </w:rPr>
      </w:pPr>
      <w:r>
        <w:rPr>
          <w:rFonts w:ascii="Courier New" w:cs="Courier New" w:eastAsia="Courier New" w:hAnsi="Courier New"/>
          <w:sz w:val="15"/>
          <w:szCs w:val="15"/>
          <w:color w:val="auto"/>
        </w:rPr>
        <w:t>91,812 ------------------------------</w:t>
      </w:r>
    </w:p>
    <w:p>
      <w:pPr>
        <w:ind w:left="60"/>
        <w:spacing w:after="0" w:line="237" w:lineRule="auto"/>
        <w:rPr>
          <w:sz w:val="20"/>
          <w:szCs w:val="20"/>
          <w:color w:val="auto"/>
        </w:rPr>
      </w:pPr>
      <w:r>
        <w:rPr>
          <w:rFonts w:ascii="Courier New" w:cs="Courier New" w:eastAsia="Courier New" w:hAnsi="Courier New"/>
          <w:sz w:val="15"/>
          <w:szCs w:val="15"/>
          <w:color w:val="auto"/>
        </w:rPr>
        <w:t>-------- Operating income 7,486 4,934</w:t>
      </w:r>
    </w:p>
    <w:p>
      <w:pPr>
        <w:ind w:left="180"/>
        <w:spacing w:after="0" w:line="238" w:lineRule="auto"/>
        <w:rPr>
          <w:sz w:val="20"/>
          <w:szCs w:val="20"/>
          <w:color w:val="auto"/>
        </w:rPr>
      </w:pPr>
      <w:r>
        <w:rPr>
          <w:rFonts w:ascii="Courier New" w:cs="Courier New" w:eastAsia="Courier New" w:hAnsi="Courier New"/>
          <w:sz w:val="15"/>
          <w:szCs w:val="15"/>
          <w:color w:val="auto"/>
        </w:rPr>
        <w:t>10,109 Interest income 1,653 1,437</w:t>
      </w:r>
    </w:p>
    <w:p>
      <w:pPr>
        <w:jc w:val="center"/>
        <w:ind w:right="6919"/>
        <w:spacing w:after="0" w:line="237" w:lineRule="auto"/>
        <w:rPr>
          <w:sz w:val="20"/>
          <w:szCs w:val="20"/>
          <w:color w:val="auto"/>
        </w:rPr>
      </w:pPr>
      <w:r>
        <w:rPr>
          <w:rFonts w:ascii="Courier New" w:cs="Courier New" w:eastAsia="Courier New" w:hAnsi="Courier New"/>
          <w:sz w:val="15"/>
          <w:szCs w:val="15"/>
          <w:color w:val="auto"/>
        </w:rPr>
        <w:t>1,536 Interest expense (9) (6) (31)</w:t>
      </w:r>
    </w:p>
    <w:p>
      <w:pPr>
        <w:spacing w:after="0" w:line="5" w:lineRule="exact"/>
        <w:rPr>
          <w:sz w:val="20"/>
          <w:szCs w:val="20"/>
          <w:color w:val="auto"/>
        </w:rPr>
      </w:pPr>
    </w:p>
    <w:p>
      <w:pPr>
        <w:jc w:val="center"/>
        <w:ind w:right="6919"/>
        <w:spacing w:after="0"/>
        <w:rPr>
          <w:sz w:val="20"/>
          <w:szCs w:val="20"/>
          <w:color w:val="auto"/>
        </w:rPr>
      </w:pPr>
      <w:r>
        <w:rPr>
          <w:rFonts w:ascii="Courier New" w:cs="Courier New" w:eastAsia="Courier New" w:hAnsi="Courier New"/>
          <w:sz w:val="14"/>
          <w:szCs w:val="14"/>
          <w:color w:val="auto"/>
        </w:rPr>
        <w:t>Other income (expense), net - (127) 2</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220" w:right="7079" w:hanging="38"/>
        <w:spacing w:after="0" w:line="254" w:lineRule="auto"/>
        <w:tabs>
          <w:tab w:leader="none" w:pos="351"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income taxes 9,130 6,238 11,616 Provision for income</w:t>
      </w:r>
    </w:p>
    <w:p>
      <w:pPr>
        <w:ind w:left="60"/>
        <w:spacing w:after="0" w:line="231" w:lineRule="auto"/>
        <w:rPr>
          <w:sz w:val="20"/>
          <w:szCs w:val="20"/>
          <w:color w:val="auto"/>
        </w:rPr>
      </w:pPr>
      <w:r>
        <w:rPr>
          <w:rFonts w:ascii="Courier New" w:cs="Courier New" w:eastAsia="Courier New" w:hAnsi="Courier New"/>
          <w:sz w:val="15"/>
          <w:szCs w:val="15"/>
          <w:color w:val="auto"/>
        </w:rPr>
        <w:t>taxes 940 2,308 4,298 ---------------</w:t>
      </w:r>
    </w:p>
    <w:p>
      <w:pPr>
        <w:ind w:left="100"/>
        <w:spacing w:after="0" w:line="238" w:lineRule="auto"/>
        <w:rPr>
          <w:sz w:val="20"/>
          <w:szCs w:val="20"/>
          <w:color w:val="auto"/>
        </w:rPr>
      </w:pPr>
      <w:r>
        <w:rPr>
          <w:rFonts w:ascii="Courier New" w:cs="Courier New" w:eastAsia="Courier New" w:hAnsi="Courier New"/>
          <w:sz w:val="15"/>
          <w:szCs w:val="15"/>
          <w:color w:val="auto"/>
        </w:rPr>
        <w:t>----------------------- Net income $</w:t>
      </w:r>
    </w:p>
    <w:p>
      <w:pPr>
        <w:jc w:val="center"/>
        <w:ind w:right="6919"/>
        <w:spacing w:after="0" w:line="237" w:lineRule="auto"/>
        <w:rPr>
          <w:sz w:val="20"/>
          <w:szCs w:val="20"/>
          <w:color w:val="auto"/>
        </w:rPr>
      </w:pPr>
      <w:r>
        <w:rPr>
          <w:rFonts w:ascii="Courier New" w:cs="Courier New" w:eastAsia="Courier New" w:hAnsi="Courier New"/>
          <w:sz w:val="15"/>
          <w:szCs w:val="15"/>
          <w:color w:val="auto"/>
        </w:rPr>
        <w:t>8,190 $ 3,930 $ 7,318</w:t>
      </w:r>
    </w:p>
    <w:p>
      <w:pPr>
        <w:spacing w:after="0" w:line="5"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6919"/>
        <w:spacing w:after="0"/>
        <w:rPr>
          <w:sz w:val="20"/>
          <w:szCs w:val="20"/>
          <w:color w:val="auto"/>
        </w:rPr>
      </w:pPr>
      <w:r>
        <w:rPr>
          <w:rFonts w:ascii="Courier New" w:cs="Courier New" w:eastAsia="Courier New" w:hAnsi="Courier New"/>
          <w:sz w:val="15"/>
          <w:szCs w:val="15"/>
          <w:color w:val="auto"/>
        </w:rPr>
        <w:t>Basic net income per share $ 0.41 $</w:t>
      </w:r>
    </w:p>
    <w:p>
      <w:pPr>
        <w:jc w:val="center"/>
        <w:ind w:right="6919"/>
        <w:spacing w:after="0" w:line="237" w:lineRule="auto"/>
        <w:rPr>
          <w:sz w:val="20"/>
          <w:szCs w:val="20"/>
          <w:color w:val="auto"/>
        </w:rPr>
      </w:pPr>
      <w:r>
        <w:rPr>
          <w:rFonts w:ascii="Courier New" w:cs="Courier New" w:eastAsia="Courier New" w:hAnsi="Courier New"/>
          <w:sz w:val="15"/>
          <w:szCs w:val="15"/>
          <w:color w:val="auto"/>
        </w:rPr>
        <w:t>0.19 $ 0.34</w:t>
      </w:r>
    </w:p>
    <w:p>
      <w:pPr>
        <w:spacing w:after="0" w:line="5"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jc w:val="center"/>
        <w:ind w:right="6919"/>
        <w:spacing w:after="0"/>
        <w:rPr>
          <w:sz w:val="20"/>
          <w:szCs w:val="20"/>
          <w:color w:val="auto"/>
        </w:rPr>
      </w:pPr>
      <w:r>
        <w:rPr>
          <w:rFonts w:ascii="Courier New" w:cs="Courier New" w:eastAsia="Courier New" w:hAnsi="Courier New"/>
          <w:sz w:val="14"/>
          <w:szCs w:val="14"/>
          <w:color w:val="auto"/>
        </w:rPr>
        <w:t>Shares used in per share computation-</w:t>
      </w:r>
    </w:p>
    <w:p>
      <w:pPr>
        <w:spacing w:after="0" w:line="3" w:lineRule="exact"/>
        <w:rPr>
          <w:sz w:val="20"/>
          <w:szCs w:val="20"/>
          <w:color w:val="auto"/>
        </w:rPr>
      </w:pPr>
    </w:p>
    <w:p>
      <w:pPr>
        <w:jc w:val="center"/>
        <w:ind w:right="6919"/>
        <w:spacing w:after="0"/>
        <w:rPr>
          <w:sz w:val="20"/>
          <w:szCs w:val="20"/>
          <w:color w:val="auto"/>
        </w:rPr>
      </w:pPr>
      <w:r>
        <w:rPr>
          <w:rFonts w:ascii="Courier New" w:cs="Courier New" w:eastAsia="Courier New" w:hAnsi="Courier New"/>
          <w:sz w:val="15"/>
          <w:szCs w:val="15"/>
          <w:color w:val="auto"/>
        </w:rPr>
        <w:t>basic 20,143 20,909 21,683</w:t>
      </w:r>
    </w:p>
    <w:p>
      <w:pPr>
        <w:spacing w:after="0" w:line="5"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jc w:val="center"/>
        <w:ind w:right="6919"/>
        <w:spacing w:after="0"/>
        <w:rPr>
          <w:sz w:val="20"/>
          <w:szCs w:val="20"/>
          <w:color w:val="auto"/>
        </w:rPr>
      </w:pPr>
      <w:r>
        <w:rPr>
          <w:rFonts w:ascii="Courier New" w:cs="Courier New" w:eastAsia="Courier New" w:hAnsi="Courier New"/>
          <w:sz w:val="14"/>
          <w:szCs w:val="14"/>
          <w:color w:val="auto"/>
        </w:rPr>
        <w:t>Diluted net income per share $ 0.38 $</w:t>
      </w:r>
    </w:p>
    <w:p>
      <w:pPr>
        <w:spacing w:after="0" w:line="3" w:lineRule="exact"/>
        <w:rPr>
          <w:sz w:val="20"/>
          <w:szCs w:val="20"/>
          <w:color w:val="auto"/>
        </w:rPr>
      </w:pPr>
    </w:p>
    <w:p>
      <w:pPr>
        <w:jc w:val="center"/>
        <w:ind w:right="6919"/>
        <w:spacing w:after="0"/>
        <w:rPr>
          <w:sz w:val="20"/>
          <w:szCs w:val="20"/>
          <w:color w:val="auto"/>
        </w:rPr>
      </w:pPr>
      <w:r>
        <w:rPr>
          <w:rFonts w:ascii="Courier New" w:cs="Courier New" w:eastAsia="Courier New" w:hAnsi="Courier New"/>
          <w:sz w:val="15"/>
          <w:szCs w:val="15"/>
          <w:color w:val="auto"/>
        </w:rPr>
        <w:t>0.18 $ 0.32</w:t>
      </w:r>
    </w:p>
    <w:p>
      <w:pPr>
        <w:spacing w:after="0" w:line="5"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jc w:val="center"/>
        <w:ind w:right="6919"/>
        <w:spacing w:after="0"/>
        <w:rPr>
          <w:sz w:val="20"/>
          <w:szCs w:val="20"/>
          <w:color w:val="auto"/>
        </w:rPr>
      </w:pPr>
      <w:r>
        <w:rPr>
          <w:rFonts w:ascii="Courier New" w:cs="Courier New" w:eastAsia="Courier New" w:hAnsi="Courier New"/>
          <w:sz w:val="14"/>
          <w:szCs w:val="14"/>
          <w:color w:val="auto"/>
        </w:rPr>
        <w:t>Shares used in per share computation-</w:t>
      </w:r>
    </w:p>
    <w:p>
      <w:pPr>
        <w:spacing w:after="0" w:line="3" w:lineRule="exact"/>
        <w:rPr>
          <w:sz w:val="20"/>
          <w:szCs w:val="20"/>
          <w:color w:val="auto"/>
        </w:rPr>
      </w:pPr>
    </w:p>
    <w:p>
      <w:pPr>
        <w:jc w:val="center"/>
        <w:ind w:right="6919"/>
        <w:spacing w:after="0"/>
        <w:rPr>
          <w:sz w:val="20"/>
          <w:szCs w:val="20"/>
          <w:color w:val="auto"/>
        </w:rPr>
      </w:pPr>
      <w:r>
        <w:rPr>
          <w:rFonts w:ascii="Courier New" w:cs="Courier New" w:eastAsia="Courier New" w:hAnsi="Courier New"/>
          <w:sz w:val="15"/>
          <w:szCs w:val="15"/>
          <w:color w:val="auto"/>
        </w:rPr>
        <w:t>diluted 21,768 22,164 22,592</w:t>
      </w:r>
    </w:p>
    <w:p>
      <w:pPr>
        <w:spacing w:after="0" w:line="5" w:lineRule="exact"/>
        <w:rPr>
          <w:sz w:val="20"/>
          <w:szCs w:val="20"/>
          <w:color w:val="auto"/>
        </w:rPr>
      </w:pPr>
    </w:p>
    <w:p>
      <w:pPr>
        <w:jc w:val="center"/>
        <w:ind w:right="689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6919"/>
        <w:spacing w:after="0"/>
        <w:rPr>
          <w:sz w:val="20"/>
          <w:szCs w:val="20"/>
          <w:color w:val="auto"/>
        </w:rPr>
      </w:pPr>
      <w:r>
        <w:rPr>
          <w:rFonts w:ascii="Courier New" w:cs="Courier New" w:eastAsia="Courier New" w:hAnsi="Courier New"/>
          <w:sz w:val="15"/>
          <w:szCs w:val="15"/>
          <w:color w:val="auto"/>
        </w:rPr>
        <w:t>The accompanying notes are an</w:t>
      </w:r>
    </w:p>
    <w:p>
      <w:pPr>
        <w:jc w:val="center"/>
        <w:ind w:right="6919"/>
        <w:spacing w:after="0" w:line="237" w:lineRule="auto"/>
        <w:rPr>
          <w:sz w:val="20"/>
          <w:szCs w:val="20"/>
          <w:color w:val="auto"/>
        </w:rPr>
      </w:pPr>
      <w:r>
        <w:rPr>
          <w:rFonts w:ascii="Courier New" w:cs="Courier New" w:eastAsia="Courier New" w:hAnsi="Courier New"/>
          <w:sz w:val="15"/>
          <w:szCs w:val="15"/>
          <w:color w:val="auto"/>
        </w:rPr>
        <w:t>integral part of these consolidated</w:t>
      </w:r>
    </w:p>
    <w:p>
      <w:pPr>
        <w:jc w:val="center"/>
        <w:ind w:right="6919"/>
        <w:spacing w:after="0" w:line="238" w:lineRule="auto"/>
        <w:rPr>
          <w:sz w:val="20"/>
          <w:szCs w:val="20"/>
          <w:color w:val="auto"/>
        </w:rPr>
      </w:pPr>
      <w:r>
        <w:rPr>
          <w:rFonts w:ascii="Courier New" w:cs="Courier New" w:eastAsia="Courier New" w:hAnsi="Courier New"/>
          <w:sz w:val="15"/>
          <w:szCs w:val="15"/>
          <w:color w:val="auto"/>
        </w:rPr>
        <w:t>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49" w:right="1440" w:bottom="1440" w:gutter="0" w:footer="0" w:header="0"/>
        </w:sectPr>
      </w:pPr>
    </w:p>
    <w:bookmarkStart w:id="10" w:name="page11"/>
    <w:bookmarkEnd w:id="10"/>
    <w:p>
      <w:pPr>
        <w:ind w:left="2980"/>
        <w:spacing w:after="0"/>
        <w:rPr>
          <w:sz w:val="20"/>
          <w:szCs w:val="20"/>
          <w:color w:val="auto"/>
        </w:rPr>
      </w:pPr>
      <w:r>
        <w:rPr>
          <w:rFonts w:ascii="Courier New" w:cs="Courier New" w:eastAsia="Courier New" w:hAnsi="Courier New"/>
          <w:sz w:val="15"/>
          <w:szCs w:val="15"/>
          <w:color w:val="auto"/>
        </w:rPr>
        <w:t>CLARIFY INC.</w:t>
      </w:r>
    </w:p>
    <w:p>
      <w:pPr>
        <w:ind w:left="1320"/>
        <w:spacing w:after="0" w:line="237" w:lineRule="auto"/>
        <w:rPr>
          <w:sz w:val="20"/>
          <w:szCs w:val="20"/>
          <w:color w:val="auto"/>
        </w:rPr>
      </w:pPr>
      <w:r>
        <w:rPr>
          <w:rFonts w:ascii="Courier New" w:cs="Courier New" w:eastAsia="Courier New" w:hAnsi="Courier New"/>
          <w:sz w:val="15"/>
          <w:szCs w:val="15"/>
          <w:color w:val="auto"/>
        </w:rPr>
        <w:t>CONSOLIDATED STATEMENTS OF STOCKHOLDERS' EQUITY</w:t>
      </w:r>
    </w:p>
    <w:tbl>
      <w:tblPr>
        <w:tblLayout w:type="fixed"/>
        <w:tblInd w:w="0" w:type="dxa"/>
        <w:tblCellMar>
          <w:top w:w="0" w:type="dxa"/>
          <w:left w:w="0" w:type="dxa"/>
          <w:bottom w:w="0" w:type="dxa"/>
          <w:right w:w="0" w:type="dxa"/>
        </w:tblCellMar>
      </w:tblPr>
      <w:tr>
        <w:trPr>
          <w:trHeight w:val="169"/>
        </w:trPr>
        <w:tc>
          <w:tcPr>
            <w:tcW w:w="4120" w:type="dxa"/>
            <w:vAlign w:val="bottom"/>
            <w:gridSpan w:val="2"/>
          </w:tcPr>
          <w:p>
            <w:pPr>
              <w:ind w:left="2900"/>
              <w:spacing w:after="0" w:line="169" w:lineRule="exact"/>
              <w:rPr>
                <w:sz w:val="20"/>
                <w:szCs w:val="20"/>
                <w:color w:val="auto"/>
              </w:rPr>
            </w:pPr>
            <w:r>
              <w:rPr>
                <w:rFonts w:ascii="Courier New" w:cs="Courier New" w:eastAsia="Courier New" w:hAnsi="Courier New"/>
                <w:sz w:val="15"/>
                <w:szCs w:val="15"/>
                <w:color w:val="auto"/>
                <w:w w:val="95"/>
              </w:rPr>
              <w:t>(in thousands)</w:t>
            </w: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841"/>
        </w:trPr>
        <w:tc>
          <w:tcPr>
            <w:tcW w:w="3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ACCUMULATED</w:t>
            </w:r>
          </w:p>
        </w:tc>
        <w:tc>
          <w:tcPr>
            <w:tcW w:w="1280" w:type="dxa"/>
            <w:vAlign w:val="bottom"/>
          </w:tcPr>
          <w:p>
            <w:pPr>
              <w:spacing w:after="0"/>
              <w:rPr>
                <w:sz w:val="24"/>
                <w:szCs w:val="2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RETAINED</w:t>
            </w: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380" w:type="dxa"/>
            <w:vAlign w:val="bottom"/>
          </w:tcPr>
          <w:p>
            <w:pPr>
              <w:spacing w:after="0"/>
              <w:rPr>
                <w:sz w:val="14"/>
                <w:szCs w:val="14"/>
                <w:color w:val="auto"/>
              </w:rPr>
            </w:pPr>
          </w:p>
        </w:tc>
        <w:tc>
          <w:tcPr>
            <w:tcW w:w="14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COMMON STOCK</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ADDITIONAL</w:t>
            </w: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EARNINGS</w:t>
            </w:r>
          </w:p>
        </w:tc>
        <w:tc>
          <w:tcPr>
            <w:tcW w:w="10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38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PAID-IN</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COMPREHENSIVE</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STOCK</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w:t>
            </w:r>
          </w:p>
        </w:tc>
        <w:tc>
          <w:tcPr>
            <w:tcW w:w="1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COMPREHENSIVE</w:t>
            </w:r>
          </w:p>
        </w:tc>
      </w:tr>
      <w:tr>
        <w:trPr>
          <w:trHeight w:val="168"/>
        </w:trPr>
        <w:tc>
          <w:tcPr>
            <w:tcW w:w="3380" w:type="dxa"/>
            <w:vAlign w:val="bottom"/>
          </w:tcPr>
          <w:p>
            <w:pPr>
              <w:spacing w:after="0"/>
              <w:rPr>
                <w:sz w:val="14"/>
                <w:szCs w:val="14"/>
                <w:color w:val="auto"/>
              </w:rPr>
            </w:pP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SHARES</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CAPITAL</w:t>
            </w: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INCOME</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COMPENSATION</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(DEFICIT)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INCOME</w:t>
            </w:r>
          </w:p>
        </w:tc>
      </w:tr>
      <w:tr>
        <w:trPr>
          <w:trHeight w:val="168"/>
        </w:trPr>
        <w:tc>
          <w:tcPr>
            <w:tcW w:w="3380" w:type="dxa"/>
            <w:vAlign w:val="bottom"/>
          </w:tcPr>
          <w:p>
            <w:pPr>
              <w:spacing w:after="0"/>
              <w:rPr>
                <w:sz w:val="14"/>
                <w:szCs w:val="14"/>
                <w:color w:val="auto"/>
              </w:rPr>
            </w:pPr>
          </w:p>
        </w:tc>
        <w:tc>
          <w:tcPr>
            <w:tcW w:w="816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Balances, January 1, 1996</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19,869</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$39,316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(159)</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$(7,672)</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$31,482</w:t>
            </w:r>
          </w:p>
        </w:tc>
        <w:tc>
          <w:tcPr>
            <w:tcW w:w="820" w:type="dxa"/>
            <w:vAlign w:val="bottom"/>
          </w:tcPr>
          <w:p>
            <w:pPr>
              <w:spacing w:after="0"/>
              <w:rPr>
                <w:sz w:val="24"/>
                <w:szCs w:val="2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8,190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8,190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$8,190</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comprehensive income, net of tax</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3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comprehensive income</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$8,129</w:t>
            </w:r>
          </w:p>
        </w:tc>
      </w:tr>
      <w:tr>
        <w:trPr>
          <w:trHeight w:val="168"/>
        </w:trPr>
        <w:tc>
          <w:tcPr>
            <w:tcW w:w="3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442</w:t>
            </w:r>
          </w:p>
        </w:tc>
        <w:tc>
          <w:tcPr>
            <w:tcW w:w="6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224</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224</w:t>
            </w:r>
          </w:p>
        </w:tc>
        <w:tc>
          <w:tcPr>
            <w:tcW w:w="8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stock purchases</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289</w:t>
            </w:r>
          </w:p>
        </w:tc>
        <w:tc>
          <w:tcPr>
            <w:tcW w:w="6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1,845</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1,845</w:t>
            </w:r>
          </w:p>
        </w:tc>
        <w:tc>
          <w:tcPr>
            <w:tcW w:w="8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deferred stock</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 compensation</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w:t>
            </w:r>
          </w:p>
        </w:tc>
        <w:tc>
          <w:tcPr>
            <w:tcW w:w="1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w:t>
            </w:r>
          </w:p>
        </w:tc>
        <w:tc>
          <w:tcPr>
            <w:tcW w:w="8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Forgiveness of notes payable</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stockholders</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1,047</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1,047</w:t>
            </w:r>
          </w:p>
        </w:tc>
        <w:tc>
          <w:tcPr>
            <w:tcW w:w="8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from exercise of</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nonqualified stock options</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4,171</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4,171</w:t>
            </w:r>
          </w:p>
        </w:tc>
        <w:tc>
          <w:tcPr>
            <w:tcW w:w="82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8160" w:type="dxa"/>
            <w:vAlign w:val="bottom"/>
            <w:gridSpan w:val="9"/>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Balances, December 31, 1996</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20,600</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45,556</w:t>
            </w: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1,565</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46,945</w:t>
            </w:r>
          </w:p>
        </w:tc>
        <w:tc>
          <w:tcPr>
            <w:tcW w:w="8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3,930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3,930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$3,930</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comprehensive income, net of tax</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unrealized gain on</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3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comprehensive income</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$4,024</w:t>
            </w:r>
          </w:p>
        </w:tc>
      </w:tr>
      <w:tr>
        <w:trPr>
          <w:trHeight w:val="168"/>
        </w:trPr>
        <w:tc>
          <w:tcPr>
            <w:tcW w:w="3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305</w:t>
            </w:r>
          </w:p>
        </w:tc>
        <w:tc>
          <w:tcPr>
            <w:tcW w:w="6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436</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436</w:t>
            </w:r>
          </w:p>
        </w:tc>
        <w:tc>
          <w:tcPr>
            <w:tcW w:w="8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stock purchases</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463</w:t>
            </w:r>
          </w:p>
        </w:tc>
        <w:tc>
          <w:tcPr>
            <w:tcW w:w="6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3,370</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3,370</w:t>
            </w:r>
          </w:p>
        </w:tc>
        <w:tc>
          <w:tcPr>
            <w:tcW w:w="8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deferred stock option</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compensation</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w:t>
            </w:r>
          </w:p>
        </w:tc>
        <w:tc>
          <w:tcPr>
            <w:tcW w:w="1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w:t>
            </w:r>
          </w:p>
        </w:tc>
        <w:tc>
          <w:tcPr>
            <w:tcW w:w="8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repurchased for cash</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c>
          <w:tcPr>
            <w:tcW w:w="66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8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from exercise of</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nonqualified stock options</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2,301</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2,301</w:t>
            </w:r>
          </w:p>
        </w:tc>
        <w:tc>
          <w:tcPr>
            <w:tcW w:w="8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translation adjustment</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82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8160" w:type="dxa"/>
            <w:vAlign w:val="bottom"/>
            <w:gridSpan w:val="9"/>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Balances, December 31, 1997</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21,335</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51,640</w:t>
            </w:r>
          </w:p>
        </w:tc>
        <w:tc>
          <w:tcPr>
            <w:tcW w:w="70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5,492</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57,097</w:t>
            </w:r>
          </w:p>
        </w:tc>
        <w:tc>
          <w:tcPr>
            <w:tcW w:w="8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7,318</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7,318</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$7,318</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comprehensive income, net of tax</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(618)</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(618)</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unrealized gain on</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investment</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comprehensive income</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$6,688</w:t>
            </w:r>
          </w:p>
        </w:tc>
      </w:tr>
      <w:tr>
        <w:trPr>
          <w:trHeight w:val="168"/>
        </w:trPr>
        <w:tc>
          <w:tcPr>
            <w:tcW w:w="3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369</w:t>
            </w:r>
          </w:p>
        </w:tc>
        <w:tc>
          <w:tcPr>
            <w:tcW w:w="6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1,383</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1,383</w:t>
            </w:r>
          </w:p>
        </w:tc>
        <w:tc>
          <w:tcPr>
            <w:tcW w:w="8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stock purchases</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447</w:t>
            </w:r>
          </w:p>
        </w:tc>
        <w:tc>
          <w:tcPr>
            <w:tcW w:w="6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4,348</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4,348</w:t>
            </w:r>
          </w:p>
        </w:tc>
        <w:tc>
          <w:tcPr>
            <w:tcW w:w="8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deferred stock</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 compensation</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w:t>
            </w:r>
          </w:p>
        </w:tc>
        <w:tc>
          <w:tcPr>
            <w:tcW w:w="1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w:t>
            </w:r>
          </w:p>
        </w:tc>
        <w:tc>
          <w:tcPr>
            <w:tcW w:w="8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repurchased for cash</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c>
          <w:tcPr>
            <w:tcW w:w="66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8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from exercise of</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nonqualified stock options</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1,621</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1,621</w:t>
            </w:r>
          </w:p>
        </w:tc>
        <w:tc>
          <w:tcPr>
            <w:tcW w:w="8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Fair value of options for services</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138</w:t>
            </w:r>
          </w:p>
        </w:tc>
        <w:tc>
          <w:tcPr>
            <w:tcW w:w="82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7340" w:type="dxa"/>
            <w:vAlign w:val="bottom"/>
            <w:gridSpan w:val="8"/>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w:t>
            </w:r>
          </w:p>
        </w:tc>
        <w:tc>
          <w:tcPr>
            <w:tcW w:w="8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Balances, December 31, 1998</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22,168</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$59,127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(602)</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(18)</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$12,810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$71,319</w:t>
            </w:r>
          </w:p>
        </w:tc>
        <w:tc>
          <w:tcPr>
            <w:tcW w:w="82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7340" w:type="dxa"/>
            <w:vAlign w:val="bottom"/>
            <w:gridSpan w:val="8"/>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w:t>
            </w:r>
          </w:p>
        </w:tc>
        <w:tc>
          <w:tcPr>
            <w:tcW w:w="820" w:type="dxa"/>
            <w:vAlign w:val="bottom"/>
          </w:tcPr>
          <w:p>
            <w:pPr>
              <w:spacing w:after="0"/>
              <w:rPr>
                <w:sz w:val="14"/>
                <w:szCs w:val="14"/>
                <w:color w:val="auto"/>
              </w:rPr>
            </w:pPr>
          </w:p>
        </w:tc>
      </w:tr>
    </w:tbl>
    <w:p>
      <w:pPr>
        <w:spacing w:after="0" w:line="341" w:lineRule="exact"/>
        <w:rPr>
          <w:sz w:val="20"/>
          <w:szCs w:val="20"/>
          <w:color w:val="auto"/>
        </w:rPr>
      </w:pPr>
    </w:p>
    <w:p>
      <w:pPr>
        <w:ind w:right="4980"/>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540"/>
          </w:cols>
          <w:pgMar w:left="220" w:top="449" w:right="139" w:bottom="1440" w:gutter="0" w:footer="0" w:header="0"/>
        </w:sectPr>
      </w:pPr>
    </w:p>
    <w:bookmarkStart w:id="11" w:name="page12"/>
    <w:bookmarkEnd w:id="11"/>
    <w:p>
      <w:pPr>
        <w:jc w:val="center"/>
        <w:ind w:right="3219"/>
        <w:spacing w:after="0"/>
        <w:rPr>
          <w:sz w:val="20"/>
          <w:szCs w:val="20"/>
          <w:color w:val="auto"/>
        </w:rPr>
      </w:pPr>
      <w:r>
        <w:rPr>
          <w:rFonts w:ascii="Courier New" w:cs="Courier New" w:eastAsia="Courier New" w:hAnsi="Courier New"/>
          <w:sz w:val="15"/>
          <w:szCs w:val="15"/>
          <w:color w:val="auto"/>
        </w:rPr>
        <w:t>CLARIFY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169"/>
        </w:trPr>
        <w:tc>
          <w:tcPr>
            <w:tcW w:w="5040" w:type="dxa"/>
            <w:vAlign w:val="bottom"/>
          </w:tcPr>
          <w:p>
            <w:pPr>
              <w:ind w:left="2900"/>
              <w:spacing w:after="0" w:line="169" w:lineRule="exact"/>
              <w:rPr>
                <w:sz w:val="20"/>
                <w:szCs w:val="20"/>
                <w:color w:val="auto"/>
              </w:rPr>
            </w:pPr>
            <w:r>
              <w:rPr>
                <w:rFonts w:ascii="Courier New" w:cs="Courier New" w:eastAsia="Courier New" w:hAnsi="Courier New"/>
                <w:sz w:val="15"/>
                <w:szCs w:val="15"/>
                <w:color w:val="auto"/>
              </w:rPr>
              <w:t>(in thousands)</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5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gridSpan w:val="5"/>
          </w:tcPr>
          <w:p>
            <w:pPr>
              <w:jc w:val="right"/>
              <w:ind w:right="347"/>
              <w:spacing w:after="0"/>
              <w:rPr>
                <w:sz w:val="20"/>
                <w:szCs w:val="20"/>
                <w:color w:val="auto"/>
              </w:rPr>
            </w:pPr>
            <w:r>
              <w:rPr>
                <w:rFonts w:ascii="Courier New" w:cs="Courier New" w:eastAsia="Courier New" w:hAnsi="Courier New"/>
                <w:sz w:val="15"/>
                <w:szCs w:val="15"/>
                <w:color w:val="auto"/>
              </w:rPr>
              <w:t>YEARS ENDED DECEMBER 31,</w:t>
            </w:r>
          </w:p>
        </w:tc>
      </w:tr>
      <w:tr>
        <w:trPr>
          <w:trHeight w:val="168"/>
        </w:trPr>
        <w:tc>
          <w:tcPr>
            <w:tcW w:w="5040" w:type="dxa"/>
            <w:vAlign w:val="bottom"/>
          </w:tcPr>
          <w:p>
            <w:pPr>
              <w:spacing w:after="0"/>
              <w:rPr>
                <w:sz w:val="14"/>
                <w:szCs w:val="14"/>
                <w:color w:val="auto"/>
              </w:rPr>
            </w:pPr>
          </w:p>
        </w:tc>
        <w:tc>
          <w:tcPr>
            <w:tcW w:w="36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2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040" w:type="dxa"/>
            <w:vAlign w:val="bottom"/>
          </w:tcPr>
          <w:p>
            <w:pPr>
              <w:spacing w:after="0"/>
              <w:rPr>
                <w:sz w:val="14"/>
                <w:szCs w:val="14"/>
                <w:color w:val="auto"/>
              </w:rPr>
            </w:pPr>
          </w:p>
        </w:tc>
        <w:tc>
          <w:tcPr>
            <w:tcW w:w="36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8,190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3,930</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7,318</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provided by (used for) operating activities:</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1,750</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4,666</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5,689</w:t>
            </w: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Provision for doubtful accounts</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596</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874</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2,285</w:t>
            </w: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8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(801)</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(1,909)</w:t>
            </w:r>
          </w:p>
        </w:tc>
        <w:tc>
          <w:tcPr>
            <w:tcW w:w="2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(1,101)</w:t>
            </w: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Loss on disposal of assets</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271</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8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8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(11,441)</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(15,913)</w:t>
            </w:r>
          </w:p>
        </w:tc>
        <w:tc>
          <w:tcPr>
            <w:tcW w:w="2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(13,570)</w:t>
            </w:r>
          </w:p>
        </w:tc>
      </w:tr>
      <w:tr>
        <w:trPr>
          <w:trHeight w:val="168"/>
        </w:trPr>
        <w:tc>
          <w:tcPr>
            <w:tcW w:w="5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Prepaid and other current assets</w:t>
            </w:r>
          </w:p>
        </w:tc>
        <w:tc>
          <w:tcPr>
            <w:tcW w:w="8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(663)</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(707)</w:t>
            </w:r>
          </w:p>
        </w:tc>
        <w:tc>
          <w:tcPr>
            <w:tcW w:w="2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5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2,811</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1,157</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765</w:t>
            </w:r>
          </w:p>
        </w:tc>
      </w:tr>
      <w:tr>
        <w:trPr>
          <w:trHeight w:val="168"/>
        </w:trPr>
        <w:tc>
          <w:tcPr>
            <w:tcW w:w="5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Payroll related accruals</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2,777</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2,085</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2,693</w:t>
            </w:r>
          </w:p>
        </w:tc>
      </w:tr>
      <w:tr>
        <w:trPr>
          <w:trHeight w:val="168"/>
        </w:trPr>
        <w:tc>
          <w:tcPr>
            <w:tcW w:w="5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accrued liabilities</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2,419</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3,702</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4,530</w:t>
            </w:r>
          </w:p>
        </w:tc>
      </w:tr>
      <w:tr>
        <w:trPr>
          <w:trHeight w:val="168"/>
        </w:trPr>
        <w:tc>
          <w:tcPr>
            <w:tcW w:w="5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Unearned revenue</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7,462</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(955)</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12,489</w:t>
            </w:r>
          </w:p>
        </w:tc>
      </w:tr>
      <w:tr>
        <w:trPr>
          <w:trHeight w:val="168"/>
        </w:trPr>
        <w:tc>
          <w:tcPr>
            <w:tcW w:w="5040" w:type="dxa"/>
            <w:vAlign w:val="bottom"/>
          </w:tcPr>
          <w:p>
            <w:pPr>
              <w:spacing w:after="0"/>
              <w:rPr>
                <w:sz w:val="14"/>
                <w:szCs w:val="14"/>
                <w:color w:val="auto"/>
              </w:rPr>
            </w:pPr>
          </w:p>
        </w:tc>
        <w:tc>
          <w:tcPr>
            <w:tcW w:w="36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cash provided by (used for)</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13,172</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(2,732)</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21,167</w:t>
            </w:r>
          </w:p>
        </w:tc>
      </w:tr>
      <w:tr>
        <w:trPr>
          <w:trHeight w:val="168"/>
        </w:trPr>
        <w:tc>
          <w:tcPr>
            <w:tcW w:w="5040" w:type="dxa"/>
            <w:vAlign w:val="bottom"/>
          </w:tcPr>
          <w:p>
            <w:pPr>
              <w:spacing w:after="0"/>
              <w:rPr>
                <w:sz w:val="14"/>
                <w:szCs w:val="14"/>
                <w:color w:val="auto"/>
              </w:rPr>
            </w:pPr>
          </w:p>
        </w:tc>
        <w:tc>
          <w:tcPr>
            <w:tcW w:w="36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of property and equipment</w:t>
            </w:r>
          </w:p>
        </w:tc>
        <w:tc>
          <w:tcPr>
            <w:tcW w:w="8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(8,048)</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(5,092)</w:t>
            </w:r>
          </w:p>
        </w:tc>
        <w:tc>
          <w:tcPr>
            <w:tcW w:w="2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(5,521)</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of investments</w:t>
            </w:r>
          </w:p>
        </w:tc>
        <w:tc>
          <w:tcPr>
            <w:tcW w:w="8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(5,470)</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(31,483)</w:t>
            </w:r>
          </w:p>
        </w:tc>
        <w:tc>
          <w:tcPr>
            <w:tcW w:w="2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(21,823)</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 and maturities of investments</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10,519</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19,690</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in other assets</w:t>
            </w:r>
          </w:p>
        </w:tc>
        <w:tc>
          <w:tcPr>
            <w:tcW w:w="8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(758)</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w:t>
            </w:r>
          </w:p>
        </w:tc>
        <w:tc>
          <w:tcPr>
            <w:tcW w:w="2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(972)</w:t>
            </w:r>
          </w:p>
        </w:tc>
      </w:tr>
      <w:tr>
        <w:trPr>
          <w:trHeight w:val="168"/>
        </w:trPr>
        <w:tc>
          <w:tcPr>
            <w:tcW w:w="5040" w:type="dxa"/>
            <w:vAlign w:val="bottom"/>
          </w:tcPr>
          <w:p>
            <w:pPr>
              <w:spacing w:after="0"/>
              <w:rPr>
                <w:sz w:val="14"/>
                <w:szCs w:val="14"/>
                <w:color w:val="auto"/>
              </w:rPr>
            </w:pPr>
          </w:p>
        </w:tc>
        <w:tc>
          <w:tcPr>
            <w:tcW w:w="36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cash used for investing activities</w:t>
            </w:r>
          </w:p>
        </w:tc>
        <w:tc>
          <w:tcPr>
            <w:tcW w:w="8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(21,281)</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(26,065)</w:t>
            </w:r>
          </w:p>
        </w:tc>
        <w:tc>
          <w:tcPr>
            <w:tcW w:w="2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(8,626)</w:t>
            </w:r>
          </w:p>
        </w:tc>
      </w:tr>
      <w:tr>
        <w:trPr>
          <w:trHeight w:val="168"/>
        </w:trPr>
        <w:tc>
          <w:tcPr>
            <w:tcW w:w="5040" w:type="dxa"/>
            <w:vAlign w:val="bottom"/>
          </w:tcPr>
          <w:p>
            <w:pPr>
              <w:spacing w:after="0"/>
              <w:rPr>
                <w:sz w:val="14"/>
                <w:szCs w:val="14"/>
                <w:color w:val="auto"/>
              </w:rPr>
            </w:pPr>
          </w:p>
        </w:tc>
        <w:tc>
          <w:tcPr>
            <w:tcW w:w="36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of capital lease obligations</w:t>
            </w:r>
          </w:p>
        </w:tc>
        <w:tc>
          <w:tcPr>
            <w:tcW w:w="8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issuance of common stock, net</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2,069</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6,084</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7,487</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Borrowings under (payments of) notes payable</w:t>
            </w:r>
          </w:p>
        </w:tc>
        <w:tc>
          <w:tcPr>
            <w:tcW w:w="8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(215)</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36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1,773</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6,084</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7,487</w:t>
            </w:r>
          </w:p>
        </w:tc>
      </w:tr>
      <w:tr>
        <w:trPr>
          <w:trHeight w:val="168"/>
        </w:trPr>
        <w:tc>
          <w:tcPr>
            <w:tcW w:w="5040" w:type="dxa"/>
            <w:vAlign w:val="bottom"/>
          </w:tcPr>
          <w:p>
            <w:pPr>
              <w:spacing w:after="0"/>
              <w:rPr>
                <w:sz w:val="14"/>
                <w:szCs w:val="14"/>
                <w:color w:val="auto"/>
              </w:rPr>
            </w:pPr>
          </w:p>
        </w:tc>
        <w:tc>
          <w:tcPr>
            <w:tcW w:w="36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Net increase in cash and cash equivalents</w:t>
            </w:r>
          </w:p>
        </w:tc>
        <w:tc>
          <w:tcPr>
            <w:tcW w:w="8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2,664</w:t>
            </w:r>
          </w:p>
        </w:tc>
        <w:tc>
          <w:tcPr>
            <w:tcW w:w="22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(22,713)</w:t>
            </w:r>
          </w:p>
        </w:tc>
        <w:tc>
          <w:tcPr>
            <w:tcW w:w="20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20,028</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foreign exchange rate changes on cash</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w:t>
            </w:r>
          </w:p>
        </w:tc>
        <w:tc>
          <w:tcPr>
            <w:tcW w:w="2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(713)</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 of year</w:t>
            </w:r>
          </w:p>
        </w:tc>
        <w:tc>
          <w:tcPr>
            <w:tcW w:w="8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31,813</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34,477</w:t>
            </w:r>
          </w:p>
        </w:tc>
        <w:tc>
          <w:tcPr>
            <w:tcW w:w="2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11,956</w:t>
            </w:r>
          </w:p>
        </w:tc>
      </w:tr>
      <w:tr>
        <w:trPr>
          <w:trHeight w:val="168"/>
        </w:trPr>
        <w:tc>
          <w:tcPr>
            <w:tcW w:w="5040" w:type="dxa"/>
            <w:vAlign w:val="bottom"/>
          </w:tcPr>
          <w:p>
            <w:pPr>
              <w:spacing w:after="0"/>
              <w:rPr>
                <w:sz w:val="14"/>
                <w:szCs w:val="14"/>
                <w:color w:val="auto"/>
              </w:rPr>
            </w:pPr>
          </w:p>
        </w:tc>
        <w:tc>
          <w:tcPr>
            <w:tcW w:w="36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cash equivalents, end of year</w:t>
            </w: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$ 34,477</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$ 11,956</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31,271</w:t>
            </w:r>
          </w:p>
        </w:tc>
      </w:tr>
      <w:tr>
        <w:trPr>
          <w:trHeight w:val="168"/>
        </w:trPr>
        <w:tc>
          <w:tcPr>
            <w:tcW w:w="5040" w:type="dxa"/>
            <w:vAlign w:val="bottom"/>
          </w:tcPr>
          <w:p>
            <w:pPr>
              <w:spacing w:after="0"/>
              <w:rPr>
                <w:sz w:val="14"/>
                <w:szCs w:val="14"/>
                <w:color w:val="auto"/>
              </w:rPr>
            </w:pPr>
          </w:p>
        </w:tc>
        <w:tc>
          <w:tcPr>
            <w:tcW w:w="36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during the year for interest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5040" w:type="dxa"/>
            <w:vAlign w:val="bottom"/>
          </w:tcPr>
          <w:p>
            <w:pPr>
              <w:spacing w:after="0"/>
              <w:rPr>
                <w:sz w:val="14"/>
                <w:szCs w:val="14"/>
                <w:color w:val="auto"/>
              </w:rPr>
            </w:pPr>
          </w:p>
        </w:tc>
        <w:tc>
          <w:tcPr>
            <w:tcW w:w="36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during the year for taxes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3,819</w:t>
            </w:r>
          </w:p>
        </w:tc>
      </w:tr>
      <w:tr>
        <w:trPr>
          <w:trHeight w:val="168"/>
        </w:trPr>
        <w:tc>
          <w:tcPr>
            <w:tcW w:w="5040" w:type="dxa"/>
            <w:vAlign w:val="bottom"/>
          </w:tcPr>
          <w:p>
            <w:pPr>
              <w:spacing w:after="0"/>
              <w:rPr>
                <w:sz w:val="14"/>
                <w:szCs w:val="14"/>
                <w:color w:val="auto"/>
              </w:rPr>
            </w:pPr>
          </w:p>
        </w:tc>
        <w:tc>
          <w:tcPr>
            <w:tcW w:w="36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Supplemental disclosure of noncash</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investing and financing activities:</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unrealized holding gains on investments</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from exercise of nonqualified</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options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4,171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2,301</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1,621</w:t>
            </w:r>
          </w:p>
        </w:tc>
      </w:tr>
      <w:tr>
        <w:trPr>
          <w:trHeight w:val="168"/>
        </w:trPr>
        <w:tc>
          <w:tcPr>
            <w:tcW w:w="5040" w:type="dxa"/>
            <w:vAlign w:val="bottom"/>
          </w:tcPr>
          <w:p>
            <w:pPr>
              <w:spacing w:after="0"/>
              <w:rPr>
                <w:sz w:val="14"/>
                <w:szCs w:val="14"/>
                <w:color w:val="auto"/>
              </w:rPr>
            </w:pPr>
          </w:p>
        </w:tc>
        <w:tc>
          <w:tcPr>
            <w:tcW w:w="36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Forgiveness of notes payable to stockholders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1,047</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1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49" w:right="1440" w:bottom="1440" w:gutter="0" w:footer="0" w:header="0"/>
        </w:sectPr>
      </w:pPr>
    </w:p>
    <w:bookmarkStart w:id="12" w:name="page13"/>
    <w:bookmarkEnd w:id="12"/>
    <w:p>
      <w:pPr>
        <w:jc w:val="center"/>
        <w:ind w:right="3239"/>
        <w:spacing w:after="0"/>
        <w:rPr>
          <w:sz w:val="20"/>
          <w:szCs w:val="20"/>
          <w:color w:val="auto"/>
        </w:rPr>
      </w:pPr>
      <w:r>
        <w:rPr>
          <w:rFonts w:ascii="Courier New" w:cs="Courier New" w:eastAsia="Courier New" w:hAnsi="Courier New"/>
          <w:sz w:val="15"/>
          <w:szCs w:val="15"/>
          <w:color w:val="auto"/>
        </w:rPr>
        <w:t>CLARIFY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167" w:lineRule="exact"/>
        <w:rPr>
          <w:sz w:val="20"/>
          <w:szCs w:val="20"/>
          <w:color w:val="auto"/>
        </w:rPr>
      </w:pPr>
    </w:p>
    <w:p>
      <w:pPr>
        <w:ind w:left="440" w:hanging="430"/>
        <w:spacing w:after="0"/>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OF THE COMPANY</w:t>
      </w:r>
    </w:p>
    <w:p>
      <w:pPr>
        <w:spacing w:after="0" w:line="173"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Clarify, Inc. (the "Company"), a Delaware corporation, was founded in August 1990 to develop, market, and support adaptable client/server application software designed to address the external and internal service, support, and product quality needs of today's global enterprises. The Company markets its software and services primarily through its direct sales organization.</w:t>
      </w:r>
    </w:p>
    <w:p>
      <w:pPr>
        <w:spacing w:after="0" w:line="157" w:lineRule="exact"/>
        <w:rPr>
          <w:sz w:val="20"/>
          <w:szCs w:val="20"/>
          <w:color w:val="auto"/>
        </w:rPr>
      </w:pPr>
    </w:p>
    <w:p>
      <w:pPr>
        <w:ind w:left="440" w:hanging="430"/>
        <w:spacing w:after="0"/>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PRINCIPALS OF CONSOLIDATION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wholly owned subsidiaries. All significant intercompany balances and transactions have been eliminated. The functional currency for the majority of the Company's foreign operations is the applicable local currency. The translation from the applicable foreign currency to U.S. dollars is performed for balance sheet accounts using current exchange rates in effect at the balance sheet date and for revenue and expense accounts using the weighted average exchange rate during the period. Adjustments resulting from such translation are reflected in accumulated other comprehensive income. Gains or losses resulting from foreign currency transactions are included in the results of operations.</w:t>
      </w:r>
    </w:p>
    <w:p>
      <w:pPr>
        <w:spacing w:after="0" w:line="17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INSTRUMENTS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 considers cash and all highly liquid investments purchased with an original or remaining maturity of less than three months at the date of purchase to be cash equivalents. Short-term and long-term investments are classified as available-for-sale and are carried at fair market value. Unrealized holding gains and losses on such investments are reported, net of related taxes, as a part of accumulated other comprehensive income in a separate component of stockholders' equity. Realized gains and losses on sales of such investments are reported in earnings and computed using the specific identification cost method.</w:t>
      </w:r>
    </w:p>
    <w:p>
      <w:pPr>
        <w:spacing w:after="0" w:line="178" w:lineRule="exact"/>
        <w:rPr>
          <w:sz w:val="20"/>
          <w:szCs w:val="20"/>
          <w:color w:val="auto"/>
        </w:rPr>
      </w:pPr>
    </w:p>
    <w:p>
      <w:pPr>
        <w:ind w:right="3399" w:firstLine="262"/>
        <w:spacing w:after="0" w:line="258" w:lineRule="auto"/>
        <w:rPr>
          <w:sz w:val="20"/>
          <w:szCs w:val="20"/>
          <w:color w:val="auto"/>
        </w:rPr>
      </w:pPr>
      <w:r>
        <w:rPr>
          <w:rFonts w:ascii="Courier New" w:cs="Courier New" w:eastAsia="Courier New" w:hAnsi="Courier New"/>
          <w:sz w:val="14"/>
          <w:szCs w:val="14"/>
          <w:color w:val="auto"/>
        </w:rPr>
        <w:t>The amounts reported for cash equivalents, accounts receivables and other financial instruments are considered to approximate fair values based upon comparable market information available at the respective balance sheet dates.</w:t>
      </w:r>
    </w:p>
    <w:p>
      <w:pPr>
        <w:spacing w:after="0" w:line="161" w:lineRule="exact"/>
        <w:rPr>
          <w:sz w:val="20"/>
          <w:szCs w:val="20"/>
          <w:color w:val="auto"/>
        </w:rPr>
      </w:pPr>
    </w:p>
    <w:p>
      <w:pPr>
        <w:ind w:right="3239" w:firstLine="262"/>
        <w:spacing w:after="0" w:line="237" w:lineRule="auto"/>
        <w:rPr>
          <w:sz w:val="20"/>
          <w:szCs w:val="20"/>
          <w:color w:val="auto"/>
        </w:rPr>
      </w:pPr>
      <w:r>
        <w:rPr>
          <w:rFonts w:ascii="Courier New" w:cs="Courier New" w:eastAsia="Courier New" w:hAnsi="Courier New"/>
          <w:sz w:val="15"/>
          <w:szCs w:val="15"/>
          <w:color w:val="auto"/>
        </w:rPr>
        <w:t>The financial instruments that potentially subject the Company to concentrations of credit risk comprise principally cash, investments and trade accounts receivable. Cash and cash equivalents and investments are, for the most part, custodied with three major financial institutions. Deposits held with banks may exceed the amount of insurance provided on such deposits. These deposits may generally be redeemed upon demand and, therefore, bear minimal risk. The Company's customer base is dispersed across many different geographic areas throughout the United States, Europe, and Asia and consists principally of companies in the networking equipment, high-end software, telecommunications, and computer systems industries. The Company performs ongoing credit evaluations of its customers and maintains an allowance for potential credit losses. Collateral, such as letters of credit and bank guarantees, is generally not required.</w:t>
      </w:r>
    </w:p>
    <w:p>
      <w:pPr>
        <w:spacing w:after="0" w:line="173" w:lineRule="exact"/>
        <w:rPr>
          <w:sz w:val="20"/>
          <w:szCs w:val="20"/>
          <w:color w:val="auto"/>
        </w:rPr>
      </w:pPr>
    </w:p>
    <w:p>
      <w:pPr>
        <w:ind w:right="3319" w:firstLine="262"/>
        <w:spacing w:after="0" w:line="237" w:lineRule="auto"/>
        <w:rPr>
          <w:sz w:val="20"/>
          <w:szCs w:val="20"/>
          <w:color w:val="auto"/>
        </w:rPr>
      </w:pPr>
      <w:r>
        <w:rPr>
          <w:rFonts w:ascii="Courier New" w:cs="Courier New" w:eastAsia="Courier New" w:hAnsi="Courier New"/>
          <w:sz w:val="15"/>
          <w:szCs w:val="15"/>
          <w:color w:val="auto"/>
        </w:rPr>
        <w:t>In the normal course of business, the Company has exposures to foreign currency fluctuations arising from foreign currency sales and purchases and intercompany transactions, among other things. The Company uses foreign exchange forward contracts to limit its exposure to foreign exchange losses arising from foreign currency payables and receivables. The Company evaluates its net exposure therefrom and enters into forward contracts to hedge the net exposure over a specified amount. These contracts are executed with credit-worthy financial institutions and are denominated in currencies of major industrial nations. Gains and losses on these contracts serve as hedges in that they offset fluctuations that would otherwise impact the Company's financial results. Costs associated with entering into such contracts are generally amortized over the life of the instruments and are not material to the Company's financial results.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449" w:right="1440" w:bottom="1440" w:gutter="0" w:footer="0" w:header="0"/>
        </w:sectPr>
      </w:pPr>
    </w:p>
    <w:bookmarkStart w:id="13" w:name="page14"/>
    <w:bookmarkEnd w:id="13"/>
    <w:p>
      <w:pPr>
        <w:ind w:right="3499" w:firstLine="437"/>
        <w:spacing w:after="0" w:line="255" w:lineRule="auto"/>
        <w:rPr>
          <w:sz w:val="20"/>
          <w:szCs w:val="20"/>
          <w:color w:val="auto"/>
        </w:rPr>
      </w:pPr>
      <w:r>
        <w:rPr>
          <w:rFonts w:ascii="Courier New" w:cs="Courier New" w:eastAsia="Courier New" w:hAnsi="Courier New"/>
          <w:sz w:val="14"/>
          <w:szCs w:val="14"/>
          <w:color w:val="auto"/>
        </w:rPr>
        <w:t>At December 31, 1998, the Company had foreign currency forward contracts outstanding to hedge foreign currency intercompany accounts receivable and accounts payable. These contracts typically have 30-day maturities and are intended to reduce exposure to foreign currency exchange risk. The total aggregate fair value of and the net unrealized loss on foreign exchange contracts were $10.3 million and $0.2 million, respectively.</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Company's revenue is derived from primarily two sources, across many industries: (i) product license revenue, derived primarily from product sales to customers, including large scale enterprises; and (ii) service and support revenue, derived primarily from providing software updates, support, training, and consulting services to customers.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adopted the provisions of Statement of Position (SOP) 97-2 "Software Revenue Recognition", as amended by SOP 98-4 "Deferral of the Effective Date of Certain Provisions of SOP 97-2", effective January 1, 1998. SOP 97-2 supersedes SOP 91-1 "Software Revenue Recognition", and delineates the accounting for software product and maintenance revenue. Under SOP 97-2, the Company recognizes product revenue upon shipment if a signed contract exists, the fee is fixed and determinable and collection of resulting receivables is probable. In 1997 and 1996, the Company's revenue recognition policy was the same as set forth above.</w:t>
      </w:r>
    </w:p>
    <w:p>
      <w:pPr>
        <w:spacing w:after="0" w:line="178"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For contracts with multiple obligations (e.g. deliverable and undeliverable products, maintenance, and other services), the Company allocates revenue to each component of the contract based on objective evidence of its fair value, which is specific to the Company, or for products not being sold separately, the price established by management. The Company recognizes revenue allocated to undelivered products when the criteria for product revenue set forth above are met. The Company recognizes revenue allocated to maintenance fees for ongoing customer support and product updates ratably over the period of the maintenance contract. Payments for maintenance fees are generally made in advance and are non-refundable. For revenue allocated to training and consulting services, the Company recognizes revenue as the related services are performed.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COMPREHENSIVE INCOME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accordance with Statement of Financial Accounting Standards (SFAS) No. 130 "Reporting Comprehensive Income", the Company has elected to display the total nonowner changes in equity as "Accumulated Other Comprehensive Income" on the Consolidated Balance Sheets and in the Consolidated Statements of Stockholders' Equity. Comprehensive income is the change in equity of a business enterprise resulting from transactions from nonowner sources. The components of accumulated other comprehensive income for the two years ended December 31, 1998 are as follows (in thousands):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1998 -----</w:t>
      </w:r>
    </w:p>
    <w:p>
      <w:pPr>
        <w:ind w:left="180"/>
        <w:spacing w:after="0" w:line="237" w:lineRule="auto"/>
        <w:rPr>
          <w:sz w:val="20"/>
          <w:szCs w:val="20"/>
          <w:color w:val="auto"/>
        </w:rPr>
      </w:pPr>
      <w:r>
        <w:rPr>
          <w:rFonts w:ascii="Courier New" w:cs="Courier New" w:eastAsia="Courier New" w:hAnsi="Courier New"/>
          <w:sz w:val="15"/>
          <w:szCs w:val="15"/>
          <w:color w:val="auto"/>
        </w:rPr>
        <w:t>-----------</w:t>
      </w:r>
    </w:p>
    <w:p>
      <w:pPr>
        <w:jc w:val="center"/>
        <w:ind w:right="8919"/>
        <w:spacing w:after="0" w:line="238" w:lineRule="auto"/>
        <w:rPr>
          <w:sz w:val="20"/>
          <w:szCs w:val="20"/>
          <w:color w:val="auto"/>
        </w:rPr>
      </w:pPr>
      <w:r>
        <w:rPr>
          <w:rFonts w:ascii="Courier New" w:cs="Courier New" w:eastAsia="Courier New" w:hAnsi="Courier New"/>
          <w:sz w:val="15"/>
          <w:szCs w:val="15"/>
          <w:color w:val="auto"/>
        </w:rPr>
        <w:t>Unrealized net</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holding gain on</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investments $</w:t>
      </w:r>
    </w:p>
    <w:p>
      <w:pPr>
        <w:jc w:val="center"/>
        <w:ind w:right="8919"/>
        <w:spacing w:after="0" w:line="237" w:lineRule="auto"/>
        <w:rPr>
          <w:sz w:val="20"/>
          <w:szCs w:val="20"/>
          <w:color w:val="auto"/>
        </w:rPr>
      </w:pPr>
      <w:r>
        <w:rPr>
          <w:rFonts w:ascii="Courier New" w:cs="Courier New" w:eastAsia="Courier New" w:hAnsi="Courier New"/>
          <w:sz w:val="15"/>
          <w:szCs w:val="15"/>
          <w:color w:val="auto"/>
        </w:rPr>
        <w:t>22 $ 10</w:t>
      </w:r>
    </w:p>
    <w:p>
      <w:pPr>
        <w:jc w:val="center"/>
        <w:ind w:right="8919"/>
        <w:spacing w:after="0" w:line="238" w:lineRule="auto"/>
        <w:rPr>
          <w:sz w:val="20"/>
          <w:szCs w:val="20"/>
          <w:color w:val="auto"/>
        </w:rPr>
      </w:pPr>
      <w:r>
        <w:rPr>
          <w:rFonts w:ascii="Courier New" w:cs="Courier New" w:eastAsia="Courier New" w:hAnsi="Courier New"/>
          <w:sz w:val="15"/>
          <w:szCs w:val="15"/>
          <w:color w:val="auto"/>
        </w:rPr>
        <w:t>Cumulative</w:t>
      </w:r>
    </w:p>
    <w:p>
      <w:pPr>
        <w:jc w:val="center"/>
        <w:ind w:right="8919"/>
        <w:spacing w:after="0" w:line="237" w:lineRule="auto"/>
        <w:rPr>
          <w:sz w:val="20"/>
          <w:szCs w:val="20"/>
          <w:color w:val="auto"/>
        </w:rPr>
      </w:pPr>
      <w:r>
        <w:rPr>
          <w:rFonts w:ascii="Courier New" w:cs="Courier New" w:eastAsia="Courier New" w:hAnsi="Courier New"/>
          <w:sz w:val="15"/>
          <w:szCs w:val="15"/>
          <w:color w:val="auto"/>
        </w:rPr>
        <w:t>translation</w:t>
      </w:r>
    </w:p>
    <w:p>
      <w:pPr>
        <w:jc w:val="center"/>
        <w:ind w:right="8919"/>
        <w:spacing w:after="0" w:line="238" w:lineRule="auto"/>
        <w:rPr>
          <w:sz w:val="20"/>
          <w:szCs w:val="20"/>
          <w:color w:val="auto"/>
        </w:rPr>
      </w:pPr>
      <w:r>
        <w:rPr>
          <w:rFonts w:ascii="Courier New" w:cs="Courier New" w:eastAsia="Courier New" w:hAnsi="Courier New"/>
          <w:sz w:val="15"/>
          <w:szCs w:val="15"/>
          <w:color w:val="auto"/>
        </w:rPr>
        <w:t>adjustment 6</w:t>
      </w:r>
    </w:p>
    <w:p>
      <w:pPr>
        <w:ind w:left="540" w:hanging="530"/>
        <w:spacing w:after="0" w:line="237" w:lineRule="auto"/>
        <w:tabs>
          <w:tab w:leader="none" w:pos="5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center"/>
        <w:ind w:right="8919"/>
        <w:spacing w:after="0" w:line="238" w:lineRule="auto"/>
        <w:rPr>
          <w:sz w:val="20"/>
          <w:szCs w:val="20"/>
          <w:color w:val="auto"/>
        </w:rPr>
      </w:pPr>
      <w:r>
        <w:rPr>
          <w:rFonts w:ascii="Courier New" w:cs="Courier New" w:eastAsia="Courier New" w:hAnsi="Courier New"/>
          <w:sz w:val="15"/>
          <w:szCs w:val="15"/>
          <w:color w:val="auto"/>
        </w:rPr>
        <w:t>Accumulated</w:t>
      </w:r>
    </w:p>
    <w:p>
      <w:pPr>
        <w:jc w:val="center"/>
        <w:ind w:right="8919"/>
        <w:spacing w:after="0" w:line="237" w:lineRule="auto"/>
        <w:rPr>
          <w:sz w:val="20"/>
          <w:szCs w:val="20"/>
          <w:color w:val="auto"/>
        </w:rPr>
      </w:pPr>
      <w:r>
        <w:rPr>
          <w:rFonts w:ascii="Courier New" w:cs="Courier New" w:eastAsia="Courier New" w:hAnsi="Courier New"/>
          <w:sz w:val="15"/>
          <w:szCs w:val="15"/>
          <w:color w:val="auto"/>
        </w:rPr>
        <w:t>other</w:t>
      </w:r>
    </w:p>
    <w:p>
      <w:pPr>
        <w:jc w:val="center"/>
        <w:ind w:right="8919"/>
        <w:spacing w:after="0" w:line="238" w:lineRule="auto"/>
        <w:rPr>
          <w:sz w:val="20"/>
          <w:szCs w:val="20"/>
          <w:color w:val="auto"/>
        </w:rPr>
      </w:pPr>
      <w:r>
        <w:rPr>
          <w:rFonts w:ascii="Courier New" w:cs="Courier New" w:eastAsia="Courier New" w:hAnsi="Courier New"/>
          <w:sz w:val="15"/>
          <w:szCs w:val="15"/>
          <w:color w:val="auto"/>
        </w:rPr>
        <w:t>comprehensive</w:t>
      </w:r>
    </w:p>
    <w:p>
      <w:pPr>
        <w:jc w:val="center"/>
        <w:ind w:right="8919"/>
        <w:spacing w:after="0" w:line="237" w:lineRule="auto"/>
        <w:rPr>
          <w:sz w:val="20"/>
          <w:szCs w:val="20"/>
          <w:color w:val="auto"/>
        </w:rPr>
      </w:pPr>
      <w:r>
        <w:rPr>
          <w:rFonts w:ascii="Courier New" w:cs="Courier New" w:eastAsia="Courier New" w:hAnsi="Courier New"/>
          <w:sz w:val="15"/>
          <w:szCs w:val="15"/>
          <w:color w:val="auto"/>
        </w:rPr>
        <w:t>income $ 28</w:t>
      </w:r>
    </w:p>
    <w:p>
      <w:pPr>
        <w:jc w:val="center"/>
        <w:ind w:right="8919"/>
        <w:spacing w:after="0" w:line="238" w:lineRule="auto"/>
        <w:rPr>
          <w:sz w:val="20"/>
          <w:szCs w:val="20"/>
          <w:color w:val="auto"/>
        </w:rPr>
      </w:pPr>
      <w:r>
        <w:rPr>
          <w:rFonts w:ascii="Courier New" w:cs="Courier New" w:eastAsia="Courier New" w:hAnsi="Courier New"/>
          <w:sz w:val="15"/>
          <w:szCs w:val="15"/>
          <w:color w:val="auto"/>
        </w:rPr>
        <w:t>$(602)</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EARNINGS PER SHARE</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Company calculates earnings per share in accordance with the requirements of Statement of Financial Accounting Standards (SFAS) No. 128, "Earnings per Share". Basic earnings per share is computed based on the weighted average number of shares outstanding during the period. Diluted earnings per share is computed based on the weighted average number of shares outstanding during the period increased by the effect of dilutive stock options and stock purchase contracts, using the treasury stock method.</w:t>
      </w:r>
    </w:p>
    <w:p>
      <w:pPr>
        <w:spacing w:after="0" w:line="166"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following table presents information necessary to calculate basic and diluted earnings per common and common equivalent share (in thousands):</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1996 1997 1998 -----------</w:t>
      </w:r>
    </w:p>
    <w:p>
      <w:pPr>
        <w:ind w:left="100"/>
        <w:spacing w:after="0" w:line="237" w:lineRule="auto"/>
        <w:rPr>
          <w:sz w:val="20"/>
          <w:szCs w:val="20"/>
          <w:color w:val="auto"/>
        </w:rPr>
      </w:pPr>
      <w:r>
        <w:rPr>
          <w:rFonts w:ascii="Courier New" w:cs="Courier New" w:eastAsia="Courier New" w:hAnsi="Courier New"/>
          <w:sz w:val="15"/>
          <w:szCs w:val="15"/>
          <w:color w:val="auto"/>
        </w:rPr>
        <w:t>---------------- Weighted</w:t>
      </w:r>
    </w:p>
    <w:p>
      <w:pPr>
        <w:jc w:val="center"/>
        <w:ind w:right="7879"/>
        <w:spacing w:after="0" w:line="238" w:lineRule="auto"/>
        <w:rPr>
          <w:sz w:val="20"/>
          <w:szCs w:val="20"/>
          <w:color w:val="auto"/>
        </w:rPr>
      </w:pPr>
      <w:r>
        <w:rPr>
          <w:rFonts w:ascii="Courier New" w:cs="Courier New" w:eastAsia="Courier New" w:hAnsi="Courier New"/>
          <w:sz w:val="15"/>
          <w:szCs w:val="15"/>
          <w:color w:val="auto"/>
        </w:rPr>
        <w:t>average shares</w:t>
      </w:r>
    </w:p>
    <w:p>
      <w:pPr>
        <w:ind w:left="140"/>
        <w:spacing w:after="0" w:line="237" w:lineRule="auto"/>
        <w:rPr>
          <w:sz w:val="20"/>
          <w:szCs w:val="20"/>
          <w:color w:val="auto"/>
        </w:rPr>
      </w:pPr>
      <w:r>
        <w:rPr>
          <w:rFonts w:ascii="Courier New" w:cs="Courier New" w:eastAsia="Courier New" w:hAnsi="Courier New"/>
          <w:sz w:val="15"/>
          <w:szCs w:val="15"/>
          <w:color w:val="auto"/>
        </w:rPr>
        <w:t>outstanding-Basic 20,143</w:t>
      </w:r>
    </w:p>
    <w:p>
      <w:pPr>
        <w:ind w:left="220"/>
        <w:spacing w:after="0" w:line="238" w:lineRule="auto"/>
        <w:rPr>
          <w:sz w:val="20"/>
          <w:szCs w:val="20"/>
          <w:color w:val="auto"/>
        </w:rPr>
      </w:pPr>
      <w:r>
        <w:rPr>
          <w:rFonts w:ascii="Courier New" w:cs="Courier New" w:eastAsia="Courier New" w:hAnsi="Courier New"/>
          <w:sz w:val="15"/>
          <w:szCs w:val="15"/>
          <w:color w:val="auto"/>
        </w:rPr>
        <w:t>20,909 21,683 Dilutive</w:t>
      </w:r>
    </w:p>
    <w:p>
      <w:pPr>
        <w:ind w:left="140"/>
        <w:spacing w:after="0" w:line="237" w:lineRule="auto"/>
        <w:rPr>
          <w:sz w:val="20"/>
          <w:szCs w:val="20"/>
          <w:color w:val="auto"/>
        </w:rPr>
      </w:pPr>
      <w:r>
        <w:rPr>
          <w:rFonts w:ascii="Courier New" w:cs="Courier New" w:eastAsia="Courier New" w:hAnsi="Courier New"/>
          <w:sz w:val="15"/>
          <w:szCs w:val="15"/>
          <w:color w:val="auto"/>
        </w:rPr>
        <w:t>common stock equivalents</w:t>
      </w:r>
    </w:p>
    <w:p>
      <w:pPr>
        <w:ind w:left="60"/>
        <w:spacing w:after="0" w:line="238" w:lineRule="auto"/>
        <w:rPr>
          <w:sz w:val="20"/>
          <w:szCs w:val="20"/>
          <w:color w:val="auto"/>
        </w:rPr>
      </w:pPr>
      <w:r>
        <w:rPr>
          <w:rFonts w:ascii="Courier New" w:cs="Courier New" w:eastAsia="Courier New" w:hAnsi="Courier New"/>
          <w:sz w:val="15"/>
          <w:szCs w:val="15"/>
          <w:color w:val="auto"/>
        </w:rPr>
        <w:t>1,625 1,255 909 ----------</w:t>
      </w:r>
    </w:p>
    <w:p>
      <w:pPr>
        <w:ind w:left="40"/>
        <w:spacing w:after="0" w:line="237" w:lineRule="auto"/>
        <w:rPr>
          <w:sz w:val="20"/>
          <w:szCs w:val="20"/>
          <w:color w:val="auto"/>
        </w:rPr>
      </w:pPr>
      <w:r>
        <w:rPr>
          <w:rFonts w:ascii="Courier New" w:cs="Courier New" w:eastAsia="Courier New" w:hAnsi="Courier New"/>
          <w:sz w:val="15"/>
          <w:szCs w:val="15"/>
          <w:color w:val="auto"/>
        </w:rPr>
        <w:t>----------------- Weighted</w:t>
      </w:r>
    </w:p>
    <w:p>
      <w:pPr>
        <w:jc w:val="center"/>
        <w:ind w:right="7879"/>
        <w:spacing w:after="0" w:line="238" w:lineRule="auto"/>
        <w:rPr>
          <w:sz w:val="20"/>
          <w:szCs w:val="20"/>
          <w:color w:val="auto"/>
        </w:rPr>
      </w:pPr>
      <w:r>
        <w:rPr>
          <w:rFonts w:ascii="Courier New" w:cs="Courier New" w:eastAsia="Courier New" w:hAnsi="Courier New"/>
          <w:sz w:val="15"/>
          <w:szCs w:val="15"/>
          <w:color w:val="auto"/>
        </w:rPr>
        <w:t>average shares and</w:t>
      </w:r>
    </w:p>
    <w:p>
      <w:pPr>
        <w:jc w:val="center"/>
        <w:ind w:right="7879"/>
        <w:spacing w:after="0" w:line="238" w:lineRule="auto"/>
        <w:rPr>
          <w:sz w:val="20"/>
          <w:szCs w:val="20"/>
          <w:color w:val="auto"/>
        </w:rPr>
      </w:pPr>
      <w:r>
        <w:rPr>
          <w:rFonts w:ascii="Courier New" w:cs="Courier New" w:eastAsia="Courier New" w:hAnsi="Courier New"/>
          <w:sz w:val="15"/>
          <w:szCs w:val="15"/>
          <w:color w:val="auto"/>
        </w:rPr>
        <w:t>equivalents-Diluted 21,768</w:t>
      </w:r>
    </w:p>
    <w:p>
      <w:pPr>
        <w:jc w:val="center"/>
        <w:ind w:right="7879"/>
        <w:spacing w:after="0" w:line="237" w:lineRule="auto"/>
        <w:rPr>
          <w:sz w:val="20"/>
          <w:szCs w:val="20"/>
          <w:color w:val="auto"/>
        </w:rPr>
      </w:pPr>
      <w:r>
        <w:rPr>
          <w:rFonts w:ascii="Courier New" w:cs="Courier New" w:eastAsia="Courier New" w:hAnsi="Courier New"/>
          <w:sz w:val="15"/>
          <w:szCs w:val="15"/>
          <w:color w:val="auto"/>
        </w:rPr>
        <w:t>22,164 22,592</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7879"/>
        <w:spacing w:after="0"/>
        <w:rPr>
          <w:sz w:val="20"/>
          <w:szCs w:val="20"/>
          <w:color w:val="auto"/>
        </w:rPr>
      </w:pPr>
      <w:r>
        <w:rPr>
          <w:rFonts w:ascii="Courier New" w:cs="Courier New" w:eastAsia="Courier New" w:hAnsi="Courier New"/>
          <w:sz w:val="15"/>
          <w:szCs w:val="15"/>
          <w:color w:val="auto"/>
        </w:rPr>
        <w:t>Net income for basic and</w:t>
      </w:r>
    </w:p>
    <w:p>
      <w:pPr>
        <w:jc w:val="center"/>
        <w:ind w:right="7879"/>
        <w:spacing w:after="0" w:line="237" w:lineRule="auto"/>
        <w:rPr>
          <w:sz w:val="20"/>
          <w:szCs w:val="20"/>
          <w:color w:val="auto"/>
        </w:rPr>
      </w:pPr>
      <w:r>
        <w:rPr>
          <w:rFonts w:ascii="Courier New" w:cs="Courier New" w:eastAsia="Courier New" w:hAnsi="Courier New"/>
          <w:sz w:val="15"/>
          <w:szCs w:val="15"/>
          <w:color w:val="auto"/>
        </w:rPr>
        <w:t>diluted earnings per share</w:t>
      </w:r>
    </w:p>
    <w:p>
      <w:pPr>
        <w:sectPr>
          <w:pgSz w:w="11900" w:h="16838" w:orient="portrait"/>
          <w:cols w:equalWidth="0" w:num="1">
            <w:col w:w="10239"/>
          </w:cols>
          <w:pgMar w:left="220" w:top="455" w:right="1440" w:bottom="0" w:gutter="0" w:footer="0" w:header="0"/>
        </w:sectPr>
      </w:pPr>
    </w:p>
    <w:bookmarkStart w:id="14" w:name="page15"/>
    <w:bookmarkEnd w:id="14"/>
    <w:p>
      <w:pPr>
        <w:jc w:val="center"/>
        <w:ind w:right="7879"/>
        <w:spacing w:after="0"/>
        <w:rPr>
          <w:sz w:val="20"/>
          <w:szCs w:val="20"/>
          <w:color w:val="auto"/>
        </w:rPr>
      </w:pPr>
      <w:r>
        <w:rPr>
          <w:rFonts w:ascii="Courier New" w:cs="Courier New" w:eastAsia="Courier New" w:hAnsi="Courier New"/>
          <w:sz w:val="15"/>
          <w:szCs w:val="15"/>
          <w:color w:val="auto"/>
        </w:rPr>
        <w:t>computation $ 8,190 $</w:t>
      </w:r>
    </w:p>
    <w:p>
      <w:pPr>
        <w:jc w:val="center"/>
        <w:ind w:right="7879"/>
        <w:spacing w:after="0" w:line="237" w:lineRule="auto"/>
        <w:rPr>
          <w:sz w:val="20"/>
          <w:szCs w:val="20"/>
          <w:color w:val="auto"/>
        </w:rPr>
      </w:pPr>
      <w:r>
        <w:rPr>
          <w:rFonts w:ascii="Courier New" w:cs="Courier New" w:eastAsia="Courier New" w:hAnsi="Courier New"/>
          <w:sz w:val="15"/>
          <w:szCs w:val="15"/>
          <w:color w:val="auto"/>
        </w:rPr>
        <w:t>3,930 $ 7,318</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135"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Property and equipment are stated at cost. Depreciation is computed using the straight-line method over the estimated useful lives of the related assets (generally three to five years). Assets under capital leases and leasehold improvements are amortized over the lesser of their useful lives or the term of the lease. Upon disposal, the assets and related accumulated depreciation are removed from the Company's accounts, and the resulting gains or losses are reflected in the statement of income.</w:t>
      </w:r>
    </w:p>
    <w:p>
      <w:pPr>
        <w:spacing w:after="0" w:line="16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Deferred tax assets and liabilities are determined based on differences between financial reporting and tax bases of assets and liabilities and are measured using the enacted tax rates and laws that will be in effect when the differences are expected to reverse. The Company is required to adjust its deferred tax liabilities in the period when tax rates or the provisions of the income tax laws change. Valuation allowances are established when necessary to reduce deferred tax assets to the amounts expected to be realized.</w:t>
      </w:r>
    </w:p>
    <w:p>
      <w:pPr>
        <w:spacing w:after="0" w:line="160"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PRODUCT DEVELOPMENT AND ENGINEERING EXPENDITURES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Costs related to research, design and development of products are charged to product development and engineering expenses as incurred. Software development costs are capitalized beginning when a product's technological feasibility has been established and ending when a product is available for general release to customers. Generally, the Company's products are released soon after technological feasibility has been established. As a result, costs subsequent to achieving technological feasibility have not been significant and all software development cost have therefore been expensed.</w:t>
      </w:r>
    </w:p>
    <w:p>
      <w:pPr>
        <w:spacing w:after="0" w:line="15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ADVERTISING COSTS</w:t>
      </w:r>
    </w:p>
    <w:p>
      <w:pPr>
        <w:spacing w:after="0" w:line="173"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Advertising costs are expensed as incurred and totaled $258,000, $690,000, and $972,000 during the years ended December 31, 1996, 1997, and 1998, respectively.</w:t>
      </w:r>
    </w:p>
    <w:p>
      <w:pPr>
        <w:spacing w:after="0" w:line="15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STOCK SPLIT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September 18, 1996, the Company's Board of Directors authorized a two-for-one stock split payable in the form of a dividend of one additional share of the Company's common stock for each share owned by stockholders of record on September 30, 1996. All share and per share information in the accompanying financial statements has been restated to give retroactive recognition to the stock split for all periods presented.</w:t>
      </w:r>
    </w:p>
    <w:p>
      <w:pPr>
        <w:spacing w:after="0" w:line="16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STOCK-BASED COMPENSATION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Statement of Financial Accounting Standards No. 123 (SFAS 123) "Accounting for Stock-Based Compensation," encourages but does not require companies to record compensation cost for stock-based compensation plans at fair value. The Company has chosen to continue to account for employee stock options using the intrinsic value method prescribed by APB Opinion No. 25, "Accounting for Stock Issued to Employees." Accordingly, compensation cost for stock options is measured as the excess, if any, of the quoted market price of the Company's stock at the date of the grant over the amount an employee must pay to acquire the stock.</w:t>
      </w:r>
    </w:p>
    <w:p>
      <w:pPr>
        <w:spacing w:after="0" w:line="17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June 1998, the FASB issued SFAS No. 133, "Accounting for Derivative Instruments and Hedging Activities," which establishes accounting and reporting standards for derivative instruments and hedging activities. It requires that an entity recognize all derivatives as either assets or liabilities in the statement of financial position and measure those instruments at fair value. Management has not yet evaluated the effects of this change on its operations. SFAS No. 133 will be effective for the Company's fiscal year 2000. Management believes that this statement will not have a significant impact on the Company.</w:t>
      </w:r>
    </w:p>
    <w:p>
      <w:pPr>
        <w:spacing w:after="0" w:line="15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Certain prior year amounts have been reclassified to conform with the current year presentation. Such reclassifications had no impact on net income or stockholders' equity for any year presented.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16" w:name="page17"/>
    <w:bookmarkEnd w:id="16"/>
    <w:p>
      <w:pPr>
        <w:ind w:left="440" w:hanging="430"/>
        <w:spacing w:after="0"/>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April 1996, the Company acquired Metropolis Software, inc. (Metropolis), a sales force automation software provider. The Company issued approximately 663,000 shares of its common stock in exchange for substantially all of the outstanding capital stock of Metropolis. The Company also assumed stock options that converted into options to purchase approximately 77,000 shares of the Company's common stock. The business combination was accounted for as a pooling of interests and the consolidated financial statements have been restated as if Metropolis had been combined for all periods presented.</w:t>
      </w:r>
    </w:p>
    <w:p>
      <w:pPr>
        <w:spacing w:after="0" w:line="177"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Revenues and net income (loss) of the separate and combined companies are as follows (in thousands):</w:t>
      </w:r>
    </w:p>
    <w:p>
      <w:pPr>
        <w:spacing w:after="0" w:line="167"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Three</w:t>
      </w:r>
    </w:p>
    <w:p>
      <w:pPr>
        <w:jc w:val="center"/>
        <w:ind w:right="9359"/>
        <w:spacing w:after="0" w:line="237" w:lineRule="auto"/>
        <w:rPr>
          <w:sz w:val="20"/>
          <w:szCs w:val="20"/>
          <w:color w:val="auto"/>
        </w:rPr>
      </w:pPr>
      <w:r>
        <w:rPr>
          <w:rFonts w:ascii="Courier New" w:cs="Courier New" w:eastAsia="Courier New" w:hAnsi="Courier New"/>
          <w:sz w:val="15"/>
          <w:szCs w:val="15"/>
          <w:color w:val="auto"/>
        </w:rPr>
        <w:t>months</w:t>
      </w:r>
    </w:p>
    <w:p>
      <w:pPr>
        <w:jc w:val="center"/>
        <w:ind w:right="9359"/>
        <w:spacing w:after="0" w:line="238" w:lineRule="auto"/>
        <w:rPr>
          <w:sz w:val="20"/>
          <w:szCs w:val="20"/>
          <w:color w:val="auto"/>
        </w:rPr>
      </w:pPr>
      <w:r>
        <w:rPr>
          <w:rFonts w:ascii="Courier New" w:cs="Courier New" w:eastAsia="Courier New" w:hAnsi="Courier New"/>
          <w:sz w:val="15"/>
          <w:szCs w:val="15"/>
          <w:color w:val="auto"/>
        </w:rPr>
        <w:t>ended</w:t>
      </w:r>
    </w:p>
    <w:p>
      <w:pPr>
        <w:jc w:val="center"/>
        <w:ind w:right="9359"/>
        <w:spacing w:after="0" w:line="237" w:lineRule="auto"/>
        <w:rPr>
          <w:sz w:val="20"/>
          <w:szCs w:val="20"/>
          <w:color w:val="auto"/>
        </w:rPr>
      </w:pPr>
      <w:r>
        <w:rPr>
          <w:rFonts w:ascii="Courier New" w:cs="Courier New" w:eastAsia="Courier New" w:hAnsi="Courier New"/>
          <w:sz w:val="15"/>
          <w:szCs w:val="15"/>
          <w:color w:val="auto"/>
        </w:rPr>
        <w:t>March 31,</w:t>
      </w:r>
    </w:p>
    <w:p>
      <w:pPr>
        <w:jc w:val="center"/>
        <w:ind w:right="9359"/>
        <w:spacing w:after="0" w:line="238" w:lineRule="auto"/>
        <w:rPr>
          <w:sz w:val="20"/>
          <w:szCs w:val="20"/>
          <w:color w:val="auto"/>
        </w:rPr>
      </w:pPr>
      <w:r>
        <w:rPr>
          <w:rFonts w:ascii="Courier New" w:cs="Courier New" w:eastAsia="Courier New" w:hAnsi="Courier New"/>
          <w:sz w:val="15"/>
          <w:szCs w:val="15"/>
          <w:color w:val="auto"/>
        </w:rPr>
        <w:t>1996</w:t>
      </w:r>
    </w:p>
    <w:p>
      <w:pPr>
        <w:jc w:val="center"/>
        <w:ind w:right="9359"/>
        <w:spacing w:after="0" w:line="237" w:lineRule="auto"/>
        <w:rPr>
          <w:sz w:val="20"/>
          <w:szCs w:val="20"/>
          <w:color w:val="auto"/>
        </w:rPr>
      </w:pPr>
      <w:r>
        <w:rPr>
          <w:rFonts w:ascii="Courier New" w:cs="Courier New" w:eastAsia="Courier New" w:hAnsi="Courier New"/>
          <w:sz w:val="15"/>
          <w:szCs w:val="15"/>
          <w:color w:val="auto"/>
        </w:rPr>
        <w:t>Revenues:</w:t>
      </w:r>
    </w:p>
    <w:p>
      <w:pPr>
        <w:jc w:val="center"/>
        <w:ind w:right="9359"/>
        <w:spacing w:after="0" w:line="238" w:lineRule="auto"/>
        <w:rPr>
          <w:sz w:val="20"/>
          <w:szCs w:val="20"/>
          <w:color w:val="auto"/>
        </w:rPr>
      </w:pPr>
      <w:r>
        <w:rPr>
          <w:rFonts w:ascii="Courier New" w:cs="Courier New" w:eastAsia="Courier New" w:hAnsi="Courier New"/>
          <w:sz w:val="15"/>
          <w:szCs w:val="15"/>
          <w:color w:val="auto"/>
        </w:rPr>
        <w:t>The</w:t>
      </w:r>
    </w:p>
    <w:p>
      <w:pPr>
        <w:jc w:val="center"/>
        <w:ind w:right="9359"/>
        <w:spacing w:after="0" w:line="237" w:lineRule="auto"/>
        <w:rPr>
          <w:sz w:val="20"/>
          <w:szCs w:val="20"/>
          <w:color w:val="auto"/>
        </w:rPr>
      </w:pPr>
      <w:r>
        <w:rPr>
          <w:rFonts w:ascii="Courier New" w:cs="Courier New" w:eastAsia="Courier New" w:hAnsi="Courier New"/>
          <w:sz w:val="15"/>
          <w:szCs w:val="15"/>
          <w:color w:val="auto"/>
        </w:rPr>
        <w:t>Company $</w:t>
      </w:r>
    </w:p>
    <w:p>
      <w:pPr>
        <w:jc w:val="center"/>
        <w:ind w:right="9359"/>
        <w:spacing w:after="0" w:line="238" w:lineRule="auto"/>
        <w:rPr>
          <w:sz w:val="20"/>
          <w:szCs w:val="20"/>
          <w:color w:val="auto"/>
        </w:rPr>
      </w:pPr>
      <w:r>
        <w:rPr>
          <w:rFonts w:ascii="Courier New" w:cs="Courier New" w:eastAsia="Courier New" w:hAnsi="Courier New"/>
          <w:sz w:val="15"/>
          <w:szCs w:val="15"/>
          <w:color w:val="auto"/>
        </w:rPr>
        <w:t>7,784</w:t>
      </w:r>
    </w:p>
    <w:p>
      <w:pPr>
        <w:spacing w:after="0" w:line="238" w:lineRule="auto"/>
        <w:rPr>
          <w:sz w:val="20"/>
          <w:szCs w:val="20"/>
          <w:color w:val="auto"/>
        </w:rPr>
      </w:pPr>
      <w:r>
        <w:rPr>
          <w:rFonts w:ascii="Courier New" w:cs="Courier New" w:eastAsia="Courier New" w:hAnsi="Courier New"/>
          <w:sz w:val="15"/>
          <w:szCs w:val="15"/>
          <w:color w:val="auto"/>
        </w:rPr>
        <w:t>Metropolis</w:t>
      </w:r>
    </w:p>
    <w:p>
      <w:pPr>
        <w:spacing w:after="0" w:line="237" w:lineRule="auto"/>
        <w:rPr>
          <w:sz w:val="20"/>
          <w:szCs w:val="20"/>
          <w:color w:val="auto"/>
        </w:rPr>
      </w:pPr>
      <w:r>
        <w:rPr>
          <w:rFonts w:ascii="Courier New" w:cs="Courier New" w:eastAsia="Courier New" w:hAnsi="Courier New"/>
          <w:sz w:val="15"/>
          <w:szCs w:val="15"/>
          <w:color w:val="auto"/>
        </w:rPr>
        <w:t>1,170 ----</w:t>
      </w:r>
    </w:p>
    <w:p>
      <w:pPr>
        <w:jc w:val="center"/>
        <w:ind w:right="9359"/>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Combined $</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8,954</w:t>
      </w:r>
    </w:p>
    <w:p>
      <w:pPr>
        <w:jc w:val="center"/>
        <w:ind w:right="9359"/>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Net Income</w:t>
      </w:r>
    </w:p>
    <w:p>
      <w:pPr>
        <w:spacing w:after="0" w:line="10"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(loss) The</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Company $</w:t>
      </w:r>
    </w:p>
    <w:p>
      <w:pPr>
        <w:jc w:val="center"/>
        <w:ind w:right="9359"/>
        <w:spacing w:after="0" w:line="237" w:lineRule="auto"/>
        <w:rPr>
          <w:sz w:val="20"/>
          <w:szCs w:val="20"/>
          <w:color w:val="auto"/>
        </w:rPr>
      </w:pPr>
      <w:r>
        <w:rPr>
          <w:rFonts w:ascii="Courier New" w:cs="Courier New" w:eastAsia="Courier New" w:hAnsi="Courier New"/>
          <w:sz w:val="15"/>
          <w:szCs w:val="15"/>
          <w:color w:val="auto"/>
        </w:rPr>
        <w:t>959</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Metropolis</w:t>
      </w:r>
    </w:p>
    <w:p>
      <w:pPr>
        <w:spacing w:after="0" w:line="3" w:lineRule="exact"/>
        <w:rPr>
          <w:sz w:val="20"/>
          <w:szCs w:val="20"/>
          <w:color w:val="auto"/>
        </w:rPr>
      </w:pPr>
    </w:p>
    <w:p>
      <w:pPr>
        <w:ind w:left="440" w:hanging="430"/>
        <w:spacing w:after="0"/>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Combined $</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868</w:t>
      </w:r>
    </w:p>
    <w:p>
      <w:pPr>
        <w:jc w:val="center"/>
        <w:ind w:right="9359"/>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440" w:hanging="430"/>
        <w:spacing w:after="0"/>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Investments at December 31, 1997 and 1998 are summarized below (in thousands):</w:t>
      </w:r>
    </w:p>
    <w:p>
      <w:pPr>
        <w:spacing w:after="0" w:line="167"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Gross</w:t>
      </w:r>
    </w:p>
    <w:p>
      <w:pPr>
        <w:jc w:val="center"/>
        <w:ind w:right="9359"/>
        <w:spacing w:after="0" w:line="237" w:lineRule="auto"/>
        <w:rPr>
          <w:sz w:val="20"/>
          <w:szCs w:val="20"/>
          <w:color w:val="auto"/>
        </w:rPr>
      </w:pPr>
      <w:r>
        <w:rPr>
          <w:rFonts w:ascii="Courier New" w:cs="Courier New" w:eastAsia="Courier New" w:hAnsi="Courier New"/>
          <w:sz w:val="15"/>
          <w:szCs w:val="15"/>
          <w:color w:val="auto"/>
        </w:rPr>
        <w:t>Gross</w:t>
      </w:r>
    </w:p>
    <w:p>
      <w:pPr>
        <w:jc w:val="center"/>
        <w:ind w:right="9359"/>
        <w:spacing w:after="0" w:line="238" w:lineRule="auto"/>
        <w:rPr>
          <w:sz w:val="20"/>
          <w:szCs w:val="20"/>
          <w:color w:val="auto"/>
        </w:rPr>
      </w:pPr>
      <w:r>
        <w:rPr>
          <w:rFonts w:ascii="Courier New" w:cs="Courier New" w:eastAsia="Courier New" w:hAnsi="Courier New"/>
          <w:sz w:val="15"/>
          <w:szCs w:val="15"/>
          <w:color w:val="auto"/>
        </w:rPr>
        <w:t>Amortized</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Unrealized</w:t>
      </w:r>
    </w:p>
    <w:p>
      <w:pPr>
        <w:spacing w:after="0" w:line="10"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Unrealized</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Estimated</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Cost Gains</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Losses</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Fair Value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jc w:val="center"/>
        <w:ind w:right="9359"/>
        <w:spacing w:after="0" w:line="237" w:lineRule="auto"/>
        <w:rPr>
          <w:sz w:val="20"/>
          <w:szCs w:val="20"/>
          <w:color w:val="auto"/>
        </w:rPr>
      </w:pPr>
      <w:r>
        <w:rPr>
          <w:rFonts w:ascii="Courier New" w:cs="Courier New" w:eastAsia="Courier New" w:hAnsi="Courier New"/>
          <w:sz w:val="15"/>
          <w:szCs w:val="15"/>
          <w:color w:val="auto"/>
        </w:rPr>
        <w:t>--</w:t>
      </w:r>
    </w:p>
    <w:p>
      <w:pPr>
        <w:jc w:val="center"/>
        <w:ind w:right="9359"/>
        <w:spacing w:after="0" w:line="238" w:lineRule="auto"/>
        <w:rPr>
          <w:sz w:val="20"/>
          <w:szCs w:val="20"/>
          <w:color w:val="auto"/>
        </w:rPr>
      </w:pPr>
      <w:r>
        <w:rPr>
          <w:rFonts w:ascii="Courier New" w:cs="Courier New" w:eastAsia="Courier New" w:hAnsi="Courier New"/>
          <w:sz w:val="15"/>
          <w:szCs w:val="15"/>
          <w:color w:val="auto"/>
        </w:rPr>
        <w:t>December</w:t>
      </w:r>
    </w:p>
    <w:p>
      <w:pPr>
        <w:ind w:left="60"/>
        <w:spacing w:after="0" w:line="237" w:lineRule="auto"/>
        <w:rPr>
          <w:sz w:val="20"/>
          <w:szCs w:val="20"/>
          <w:color w:val="auto"/>
        </w:rPr>
      </w:pPr>
      <w:r>
        <w:rPr>
          <w:rFonts w:ascii="Courier New" w:cs="Courier New" w:eastAsia="Courier New" w:hAnsi="Courier New"/>
          <w:sz w:val="15"/>
          <w:szCs w:val="15"/>
          <w:color w:val="auto"/>
        </w:rPr>
        <w:t>31, 1997:</w:t>
      </w:r>
    </w:p>
    <w:p>
      <w:pPr>
        <w:ind w:left="60"/>
        <w:spacing w:after="0" w:line="238" w:lineRule="auto"/>
        <w:rPr>
          <w:sz w:val="20"/>
          <w:szCs w:val="20"/>
          <w:color w:val="auto"/>
        </w:rPr>
      </w:pPr>
      <w:r>
        <w:rPr>
          <w:rFonts w:ascii="Courier New" w:cs="Courier New" w:eastAsia="Courier New" w:hAnsi="Courier New"/>
          <w:sz w:val="15"/>
          <w:szCs w:val="15"/>
          <w:color w:val="auto"/>
        </w:rPr>
        <w:t>State and</w:t>
      </w:r>
    </w:p>
    <w:p>
      <w:pPr>
        <w:ind w:left="60"/>
        <w:spacing w:after="0" w:line="238" w:lineRule="auto"/>
        <w:rPr>
          <w:sz w:val="20"/>
          <w:szCs w:val="20"/>
          <w:color w:val="auto"/>
        </w:rPr>
      </w:pPr>
      <w:r>
        <w:rPr>
          <w:rFonts w:ascii="Courier New" w:cs="Courier New" w:eastAsia="Courier New" w:hAnsi="Courier New"/>
          <w:sz w:val="15"/>
          <w:szCs w:val="15"/>
          <w:color w:val="auto"/>
        </w:rPr>
        <w:t>municipal</w:t>
      </w:r>
    </w:p>
    <w:p>
      <w:pPr>
        <w:spacing w:after="0" w:line="237" w:lineRule="auto"/>
        <w:rPr>
          <w:sz w:val="20"/>
          <w:szCs w:val="20"/>
          <w:color w:val="auto"/>
        </w:rPr>
      </w:pPr>
      <w:r>
        <w:rPr>
          <w:rFonts w:ascii="Courier New" w:cs="Courier New" w:eastAsia="Courier New" w:hAnsi="Courier New"/>
          <w:sz w:val="15"/>
          <w:szCs w:val="15"/>
          <w:color w:val="auto"/>
        </w:rPr>
        <w:t>securities</w:t>
      </w:r>
    </w:p>
    <w:p>
      <w:pPr>
        <w:spacing w:after="0" w:line="238" w:lineRule="auto"/>
        <w:rPr>
          <w:sz w:val="20"/>
          <w:szCs w:val="20"/>
          <w:color w:val="auto"/>
        </w:rPr>
      </w:pPr>
      <w:r>
        <w:rPr>
          <w:rFonts w:ascii="Courier New" w:cs="Courier New" w:eastAsia="Courier New" w:hAnsi="Courier New"/>
          <w:sz w:val="15"/>
          <w:szCs w:val="15"/>
          <w:color w:val="auto"/>
        </w:rPr>
        <w:t>$ 19,346 $</w:t>
      </w:r>
    </w:p>
    <w:p>
      <w:pPr>
        <w:jc w:val="center"/>
        <w:ind w:right="9359"/>
        <w:spacing w:after="0" w:line="237" w:lineRule="auto"/>
        <w:rPr>
          <w:sz w:val="20"/>
          <w:szCs w:val="20"/>
          <w:color w:val="auto"/>
        </w:rPr>
      </w:pPr>
      <w:r>
        <w:rPr>
          <w:rFonts w:ascii="Courier New" w:cs="Courier New" w:eastAsia="Courier New" w:hAnsi="Courier New"/>
          <w:sz w:val="15"/>
          <w:szCs w:val="15"/>
          <w:color w:val="auto"/>
        </w:rPr>
        <w:t>20 $ - $</w:t>
      </w:r>
    </w:p>
    <w:p>
      <w:pPr>
        <w:jc w:val="center"/>
        <w:ind w:right="9359"/>
        <w:spacing w:after="0" w:line="238" w:lineRule="auto"/>
        <w:rPr>
          <w:sz w:val="20"/>
          <w:szCs w:val="20"/>
          <w:color w:val="auto"/>
        </w:rPr>
      </w:pPr>
      <w:r>
        <w:rPr>
          <w:rFonts w:ascii="Courier New" w:cs="Courier New" w:eastAsia="Courier New" w:hAnsi="Courier New"/>
          <w:sz w:val="15"/>
          <w:szCs w:val="15"/>
          <w:color w:val="auto"/>
        </w:rPr>
        <w:t>19,366 US</w:t>
      </w:r>
    </w:p>
    <w:p>
      <w:pPr>
        <w:jc w:val="center"/>
        <w:ind w:right="9359"/>
        <w:spacing w:after="0" w:line="237" w:lineRule="auto"/>
        <w:rPr>
          <w:sz w:val="20"/>
          <w:szCs w:val="20"/>
          <w:color w:val="auto"/>
        </w:rPr>
      </w:pPr>
      <w:r>
        <w:rPr>
          <w:rFonts w:ascii="Courier New" w:cs="Courier New" w:eastAsia="Courier New" w:hAnsi="Courier New"/>
          <w:sz w:val="15"/>
          <w:szCs w:val="15"/>
          <w:color w:val="auto"/>
        </w:rPr>
        <w:t>Gov't.</w:t>
      </w:r>
    </w:p>
    <w:p>
      <w:pPr>
        <w:jc w:val="center"/>
        <w:ind w:right="9359"/>
        <w:spacing w:after="0" w:line="238" w:lineRule="auto"/>
        <w:rPr>
          <w:sz w:val="20"/>
          <w:szCs w:val="20"/>
          <w:color w:val="auto"/>
        </w:rPr>
      </w:pPr>
      <w:r>
        <w:rPr>
          <w:rFonts w:ascii="Courier New" w:cs="Courier New" w:eastAsia="Courier New" w:hAnsi="Courier New"/>
          <w:sz w:val="15"/>
          <w:szCs w:val="15"/>
          <w:color w:val="auto"/>
        </w:rPr>
        <w:t>Agency</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securities</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4,038 2 -</w:t>
      </w:r>
    </w:p>
    <w:p>
      <w:pPr>
        <w:jc w:val="center"/>
        <w:ind w:right="9359"/>
        <w:spacing w:after="0" w:line="237" w:lineRule="auto"/>
        <w:rPr>
          <w:sz w:val="20"/>
          <w:szCs w:val="20"/>
          <w:color w:val="auto"/>
        </w:rPr>
      </w:pPr>
      <w:r>
        <w:rPr>
          <w:rFonts w:ascii="Courier New" w:cs="Courier New" w:eastAsia="Courier New" w:hAnsi="Courier New"/>
          <w:sz w:val="15"/>
          <w:szCs w:val="15"/>
          <w:color w:val="auto"/>
        </w:rPr>
        <w:t>4,040</w:t>
      </w:r>
    </w:p>
    <w:p>
      <w:pPr>
        <w:jc w:val="center"/>
        <w:ind w:right="9359"/>
        <w:spacing w:after="0" w:line="238" w:lineRule="auto"/>
        <w:rPr>
          <w:sz w:val="20"/>
          <w:szCs w:val="20"/>
          <w:color w:val="auto"/>
        </w:rPr>
      </w:pPr>
      <w:r>
        <w:rPr>
          <w:rFonts w:ascii="Courier New" w:cs="Courier New" w:eastAsia="Courier New" w:hAnsi="Courier New"/>
          <w:sz w:val="15"/>
          <w:szCs w:val="15"/>
          <w:color w:val="auto"/>
        </w:rPr>
        <w:t>Corporate</w:t>
      </w:r>
    </w:p>
    <w:p>
      <w:pPr>
        <w:jc w:val="center"/>
        <w:ind w:right="9359"/>
        <w:spacing w:after="0" w:line="237" w:lineRule="auto"/>
        <w:rPr>
          <w:sz w:val="20"/>
          <w:szCs w:val="20"/>
          <w:color w:val="auto"/>
        </w:rPr>
      </w:pPr>
      <w:r>
        <w:rPr>
          <w:rFonts w:ascii="Courier New" w:cs="Courier New" w:eastAsia="Courier New" w:hAnsi="Courier New"/>
          <w:sz w:val="15"/>
          <w:szCs w:val="15"/>
          <w:color w:val="auto"/>
        </w:rPr>
        <w:t>debt</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securities</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1,000 - -</w:t>
      </w:r>
    </w:p>
    <w:p>
      <w:pPr>
        <w:spacing w:after="0" w:line="237" w:lineRule="auto"/>
        <w:rPr>
          <w:sz w:val="20"/>
          <w:szCs w:val="20"/>
          <w:color w:val="auto"/>
        </w:rPr>
      </w:pPr>
      <w:r>
        <w:rPr>
          <w:rFonts w:ascii="Courier New" w:cs="Courier New" w:eastAsia="Courier New" w:hAnsi="Courier New"/>
          <w:sz w:val="15"/>
          <w:szCs w:val="15"/>
          <w:color w:val="auto"/>
        </w:rPr>
        <w:t>1,000 ----</w:t>
      </w:r>
    </w:p>
    <w:p>
      <w:pPr>
        <w:ind w:left="60"/>
        <w:spacing w:after="0" w:line="238" w:lineRule="auto"/>
        <w:rPr>
          <w:sz w:val="20"/>
          <w:szCs w:val="20"/>
          <w:color w:val="auto"/>
        </w:rPr>
      </w:pPr>
      <w:r>
        <w:rPr>
          <w:rFonts w:ascii="Courier New" w:cs="Courier New" w:eastAsia="Courier New" w:hAnsi="Courier New"/>
          <w:sz w:val="15"/>
          <w:szCs w:val="15"/>
          <w:color w:val="auto"/>
        </w:rPr>
        <w:t>---- ----</w:t>
      </w:r>
    </w:p>
    <w:p>
      <w:pPr>
        <w:ind w:left="440" w:hanging="430"/>
        <w:spacing w:after="0" w:line="237"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80" w:hanging="352"/>
        <w:spacing w:after="0" w:line="237" w:lineRule="auto"/>
        <w:tabs>
          <w:tab w:leader="none" w:pos="580"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24,384 $</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22 $ - $</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24,406</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00" w:hanging="447"/>
        <w:spacing w:after="0" w:line="237" w:lineRule="auto"/>
        <w:tabs>
          <w:tab w:leader="none" w:pos="50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December</w:t>
      </w:r>
    </w:p>
    <w:p>
      <w:pPr>
        <w:ind w:left="60"/>
        <w:spacing w:after="0" w:line="238" w:lineRule="auto"/>
        <w:rPr>
          <w:sz w:val="20"/>
          <w:szCs w:val="20"/>
          <w:color w:val="auto"/>
        </w:rPr>
      </w:pPr>
      <w:r>
        <w:rPr>
          <w:rFonts w:ascii="Courier New" w:cs="Courier New" w:eastAsia="Courier New" w:hAnsi="Courier New"/>
          <w:sz w:val="15"/>
          <w:szCs w:val="15"/>
          <w:color w:val="auto"/>
        </w:rPr>
        <w:t>31, 1998:</w:t>
      </w:r>
    </w:p>
    <w:p>
      <w:pPr>
        <w:ind w:left="60"/>
        <w:spacing w:after="0" w:line="237" w:lineRule="auto"/>
        <w:rPr>
          <w:sz w:val="20"/>
          <w:szCs w:val="20"/>
          <w:color w:val="auto"/>
        </w:rPr>
      </w:pPr>
      <w:r>
        <w:rPr>
          <w:rFonts w:ascii="Courier New" w:cs="Courier New" w:eastAsia="Courier New" w:hAnsi="Courier New"/>
          <w:sz w:val="15"/>
          <w:szCs w:val="15"/>
          <w:color w:val="auto"/>
        </w:rPr>
        <w:t>State and</w:t>
      </w:r>
    </w:p>
    <w:p>
      <w:pPr>
        <w:ind w:left="60"/>
        <w:spacing w:after="0" w:line="238" w:lineRule="auto"/>
        <w:rPr>
          <w:sz w:val="20"/>
          <w:szCs w:val="20"/>
          <w:color w:val="auto"/>
        </w:rPr>
      </w:pPr>
      <w:r>
        <w:rPr>
          <w:rFonts w:ascii="Courier New" w:cs="Courier New" w:eastAsia="Courier New" w:hAnsi="Courier New"/>
          <w:sz w:val="15"/>
          <w:szCs w:val="15"/>
          <w:color w:val="auto"/>
        </w:rPr>
        <w:t>municipal</w:t>
      </w:r>
    </w:p>
    <w:p>
      <w:pPr>
        <w:spacing w:after="0" w:line="237" w:lineRule="auto"/>
        <w:rPr>
          <w:sz w:val="20"/>
          <w:szCs w:val="20"/>
          <w:color w:val="auto"/>
        </w:rPr>
      </w:pPr>
      <w:r>
        <w:rPr>
          <w:rFonts w:ascii="Courier New" w:cs="Courier New" w:eastAsia="Courier New" w:hAnsi="Courier New"/>
          <w:sz w:val="15"/>
          <w:szCs w:val="15"/>
          <w:color w:val="auto"/>
        </w:rPr>
        <w:t>securities</w:t>
      </w:r>
    </w:p>
    <w:p>
      <w:pPr>
        <w:spacing w:after="0" w:line="238" w:lineRule="auto"/>
        <w:rPr>
          <w:sz w:val="20"/>
          <w:szCs w:val="20"/>
          <w:color w:val="auto"/>
        </w:rPr>
      </w:pPr>
      <w:r>
        <w:rPr>
          <w:rFonts w:ascii="Courier New" w:cs="Courier New" w:eastAsia="Courier New" w:hAnsi="Courier New"/>
          <w:sz w:val="15"/>
          <w:szCs w:val="15"/>
          <w:color w:val="auto"/>
        </w:rPr>
        <w:t>$ 22,160 $</w:t>
      </w:r>
    </w:p>
    <w:p>
      <w:pPr>
        <w:spacing w:after="0" w:line="237" w:lineRule="auto"/>
        <w:rPr>
          <w:sz w:val="20"/>
          <w:szCs w:val="20"/>
          <w:color w:val="auto"/>
        </w:rPr>
      </w:pPr>
      <w:r>
        <w:rPr>
          <w:rFonts w:ascii="Courier New" w:cs="Courier New" w:eastAsia="Courier New" w:hAnsi="Courier New"/>
          <w:sz w:val="15"/>
          <w:szCs w:val="15"/>
          <w:color w:val="auto"/>
        </w:rPr>
        <w:t>10 $ (2) $</w:t>
      </w:r>
    </w:p>
    <w:p>
      <w:pPr>
        <w:ind w:left="60"/>
        <w:spacing w:after="0" w:line="238" w:lineRule="auto"/>
        <w:rPr>
          <w:sz w:val="20"/>
          <w:szCs w:val="20"/>
          <w:color w:val="auto"/>
        </w:rPr>
      </w:pPr>
      <w:r>
        <w:rPr>
          <w:rFonts w:ascii="Courier New" w:cs="Courier New" w:eastAsia="Courier New" w:hAnsi="Courier New"/>
          <w:sz w:val="15"/>
          <w:szCs w:val="15"/>
          <w:color w:val="auto"/>
        </w:rPr>
        <w:t>22,168 US</w:t>
      </w:r>
    </w:p>
    <w:p>
      <w:pPr>
        <w:sectPr>
          <w:pgSz w:w="11900" w:h="16838" w:orient="portrait"/>
          <w:cols w:equalWidth="0" w:num="1">
            <w:col w:w="10239"/>
          </w:cols>
          <w:pgMar w:left="220" w:top="449" w:right="1440" w:bottom="0" w:gutter="0" w:footer="0" w:header="0"/>
        </w:sectPr>
      </w:pPr>
    </w:p>
    <w:bookmarkStart w:id="17" w:name="page18"/>
    <w:bookmarkEnd w:id="17"/>
    <w:p>
      <w:pPr>
        <w:jc w:val="center"/>
        <w:ind w:right="9359"/>
        <w:spacing w:after="0"/>
        <w:rPr>
          <w:sz w:val="20"/>
          <w:szCs w:val="20"/>
          <w:color w:val="auto"/>
        </w:rPr>
      </w:pPr>
      <w:r>
        <w:rPr>
          <w:rFonts w:ascii="Courier New" w:cs="Courier New" w:eastAsia="Courier New" w:hAnsi="Courier New"/>
          <w:sz w:val="15"/>
          <w:szCs w:val="15"/>
          <w:color w:val="auto"/>
        </w:rPr>
        <w:t>Gov't.</w:t>
      </w:r>
    </w:p>
    <w:p>
      <w:pPr>
        <w:jc w:val="center"/>
        <w:ind w:right="9359"/>
        <w:spacing w:after="0" w:line="237" w:lineRule="auto"/>
        <w:rPr>
          <w:sz w:val="20"/>
          <w:szCs w:val="20"/>
          <w:color w:val="auto"/>
        </w:rPr>
      </w:pPr>
      <w:r>
        <w:rPr>
          <w:rFonts w:ascii="Courier New" w:cs="Courier New" w:eastAsia="Courier New" w:hAnsi="Courier New"/>
          <w:sz w:val="15"/>
          <w:szCs w:val="15"/>
          <w:color w:val="auto"/>
        </w:rPr>
        <w:t>Agency</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securities</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2,063 2 -</w:t>
      </w:r>
    </w:p>
    <w:p>
      <w:pPr>
        <w:jc w:val="center"/>
        <w:ind w:right="9359"/>
        <w:spacing w:after="0" w:line="237" w:lineRule="auto"/>
        <w:rPr>
          <w:sz w:val="20"/>
          <w:szCs w:val="20"/>
          <w:color w:val="auto"/>
        </w:rPr>
      </w:pPr>
      <w:r>
        <w:rPr>
          <w:rFonts w:ascii="Courier New" w:cs="Courier New" w:eastAsia="Courier New" w:hAnsi="Courier New"/>
          <w:sz w:val="15"/>
          <w:szCs w:val="15"/>
          <w:color w:val="auto"/>
        </w:rPr>
        <w:t>2,065</w:t>
      </w:r>
    </w:p>
    <w:p>
      <w:pPr>
        <w:jc w:val="center"/>
        <w:ind w:right="9359"/>
        <w:spacing w:after="0" w:line="238" w:lineRule="auto"/>
        <w:rPr>
          <w:sz w:val="20"/>
          <w:szCs w:val="20"/>
          <w:color w:val="auto"/>
        </w:rPr>
      </w:pPr>
      <w:r>
        <w:rPr>
          <w:rFonts w:ascii="Courier New" w:cs="Courier New" w:eastAsia="Courier New" w:hAnsi="Courier New"/>
          <w:sz w:val="15"/>
          <w:szCs w:val="15"/>
          <w:color w:val="auto"/>
        </w:rPr>
        <w:t>Corporate</w:t>
      </w:r>
    </w:p>
    <w:p>
      <w:pPr>
        <w:jc w:val="center"/>
        <w:ind w:right="9359"/>
        <w:spacing w:after="0" w:line="237" w:lineRule="auto"/>
        <w:rPr>
          <w:sz w:val="20"/>
          <w:szCs w:val="20"/>
          <w:color w:val="auto"/>
        </w:rPr>
      </w:pPr>
      <w:r>
        <w:rPr>
          <w:rFonts w:ascii="Courier New" w:cs="Courier New" w:eastAsia="Courier New" w:hAnsi="Courier New"/>
          <w:sz w:val="15"/>
          <w:szCs w:val="15"/>
          <w:color w:val="auto"/>
        </w:rPr>
        <w:t>debt</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securities</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2,200 - -</w:t>
      </w:r>
    </w:p>
    <w:p>
      <w:pPr>
        <w:spacing w:after="0" w:line="237" w:lineRule="auto"/>
        <w:rPr>
          <w:sz w:val="20"/>
          <w:szCs w:val="20"/>
          <w:color w:val="auto"/>
        </w:rPr>
      </w:pPr>
      <w:r>
        <w:rPr>
          <w:rFonts w:ascii="Courier New" w:cs="Courier New" w:eastAsia="Courier New" w:hAnsi="Courier New"/>
          <w:sz w:val="15"/>
          <w:szCs w:val="15"/>
          <w:color w:val="auto"/>
        </w:rPr>
        <w:t>2,200 ----</w:t>
      </w:r>
    </w:p>
    <w:p>
      <w:pPr>
        <w:ind w:left="60"/>
        <w:spacing w:after="0" w:line="238" w:lineRule="auto"/>
        <w:rPr>
          <w:sz w:val="20"/>
          <w:szCs w:val="20"/>
          <w:color w:val="auto"/>
        </w:rPr>
      </w:pPr>
      <w:r>
        <w:rPr>
          <w:rFonts w:ascii="Courier New" w:cs="Courier New" w:eastAsia="Courier New" w:hAnsi="Courier New"/>
          <w:sz w:val="15"/>
          <w:szCs w:val="15"/>
          <w:color w:val="auto"/>
        </w:rPr>
        <w:t>---- ----</w:t>
      </w:r>
    </w:p>
    <w:p>
      <w:pPr>
        <w:ind w:left="440" w:hanging="430"/>
        <w:spacing w:after="0" w:line="237"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80" w:hanging="352"/>
        <w:spacing w:after="0" w:line="237" w:lineRule="auto"/>
        <w:tabs>
          <w:tab w:leader="none" w:pos="58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26,423 $</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12 $ (2) $</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26,433</w:t>
      </w:r>
    </w:p>
    <w:p>
      <w:pPr>
        <w:jc w:val="center"/>
        <w:ind w:right="9359"/>
        <w:spacing w:after="0" w:line="237" w:lineRule="auto"/>
        <w:rPr>
          <w:sz w:val="20"/>
          <w:szCs w:val="20"/>
          <w:color w:val="auto"/>
        </w:rPr>
      </w:pPr>
      <w:r>
        <w:rPr>
          <w:rFonts w:ascii="Courier New" w:cs="Courier New" w:eastAsia="Courier New" w:hAnsi="Courier New"/>
          <w:sz w:val="15"/>
          <w:szCs w:val="15"/>
          <w:color w:val="auto"/>
        </w:rPr>
        <w:t>========</w:t>
      </w:r>
    </w:p>
    <w:p>
      <w:pPr>
        <w:jc w:val="center"/>
        <w:ind w:right="9359"/>
        <w:spacing w:after="0" w:line="238" w:lineRule="auto"/>
        <w:rPr>
          <w:sz w:val="20"/>
          <w:szCs w:val="20"/>
          <w:color w:val="auto"/>
        </w:rPr>
      </w:pPr>
      <w:r>
        <w:rPr>
          <w:rFonts w:ascii="Courier New" w:cs="Courier New" w:eastAsia="Courier New" w:hAnsi="Courier New"/>
          <w:sz w:val="15"/>
          <w:szCs w:val="15"/>
          <w:color w:val="auto"/>
        </w:rPr>
        <w:t>==== ====</w:t>
      </w:r>
    </w:p>
    <w:p>
      <w:pPr>
        <w:jc w:val="center"/>
        <w:ind w:right="9359"/>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At December 31, 1998, investments with maturity dates of 90 days or less totaled $20.5 million, investments with maturity dates ranging from 91 days to one year totaled $5.4 million, and investments with maturity dates ranging from one to three years totaled $0.5 million.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135" w:right="1440" w:bottom="1440" w:gutter="0" w:footer="0" w:header="0"/>
        </w:sectPr>
      </w:pPr>
    </w:p>
    <w:bookmarkStart w:id="18" w:name="page19"/>
    <w:bookmarkEnd w:id="18"/>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33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 consist of the following (in thousands):</w:t>
      </w:r>
    </w:p>
    <w:p>
      <w:pPr>
        <w:spacing w:after="0" w:line="200" w:lineRule="exact"/>
        <w:rPr>
          <w:sz w:val="20"/>
          <w:szCs w:val="20"/>
          <w:color w:val="auto"/>
        </w:rPr>
      </w:pPr>
    </w:p>
    <w:p>
      <w:pPr>
        <w:spacing w:after="0" w:line="30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Years Ended December</w:t>
      </w:r>
    </w:p>
    <w:p>
      <w:pPr>
        <w:ind w:left="400" w:hanging="348"/>
        <w:spacing w:after="0" w:line="237" w:lineRule="auto"/>
        <w:tabs>
          <w:tab w:leader="none" w:pos="4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1997 1998 ---------</w:t>
      </w:r>
    </w:p>
    <w:p>
      <w:pPr>
        <w:ind w:left="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100" w:right="8219" w:firstLine="302"/>
        <w:spacing w:after="0" w:line="254" w:lineRule="auto"/>
        <w:tabs>
          <w:tab w:leader="none" w:pos="58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2,242 $ 2,395 Equipment 9,710 13,077 Furniture and fixtures 2,750 3,278 Purchased</w:t>
      </w:r>
    </w:p>
    <w:p>
      <w:pPr>
        <w:ind w:left="60"/>
        <w:spacing w:after="0" w:line="232" w:lineRule="auto"/>
        <w:rPr>
          <w:sz w:val="20"/>
          <w:szCs w:val="20"/>
          <w:color w:val="auto"/>
        </w:rPr>
      </w:pPr>
      <w:r>
        <w:rPr>
          <w:rFonts w:ascii="Courier New" w:cs="Courier New" w:eastAsia="Courier New" w:hAnsi="Courier New"/>
          <w:sz w:val="15"/>
          <w:szCs w:val="15"/>
          <w:color w:val="auto"/>
        </w:rPr>
        <w:t>software 967 2,203 ----</w:t>
      </w:r>
    </w:p>
    <w:p>
      <w:pPr>
        <w:ind w:left="180"/>
        <w:spacing w:after="0" w:line="238" w:lineRule="auto"/>
        <w:rPr>
          <w:sz w:val="20"/>
          <w:szCs w:val="20"/>
          <w:color w:val="auto"/>
        </w:rPr>
      </w:pPr>
      <w:r>
        <w:rPr>
          <w:rFonts w:ascii="Courier New" w:cs="Courier New" w:eastAsia="Courier New" w:hAnsi="Courier New"/>
          <w:sz w:val="15"/>
          <w:szCs w:val="15"/>
          <w:color w:val="auto"/>
        </w:rPr>
        <w:t>--------------------</w:t>
      </w:r>
    </w:p>
    <w:p>
      <w:pPr>
        <w:jc w:val="center"/>
        <w:ind w:right="8119"/>
        <w:spacing w:after="0" w:line="237" w:lineRule="auto"/>
        <w:rPr>
          <w:sz w:val="20"/>
          <w:szCs w:val="20"/>
          <w:color w:val="auto"/>
        </w:rPr>
      </w:pPr>
      <w:r>
        <w:rPr>
          <w:rFonts w:ascii="Courier New" w:cs="Courier New" w:eastAsia="Courier New" w:hAnsi="Courier New"/>
          <w:sz w:val="15"/>
          <w:szCs w:val="15"/>
          <w:color w:val="auto"/>
        </w:rPr>
        <w:t>15,669 20,953 Less</w:t>
      </w:r>
    </w:p>
    <w:p>
      <w:pPr>
        <w:jc w:val="center"/>
        <w:ind w:right="8119"/>
        <w:spacing w:after="0" w:line="238" w:lineRule="auto"/>
        <w:rPr>
          <w:sz w:val="20"/>
          <w:szCs w:val="20"/>
          <w:color w:val="auto"/>
        </w:rPr>
      </w:pPr>
      <w:r>
        <w:rPr>
          <w:rFonts w:ascii="Courier New" w:cs="Courier New" w:eastAsia="Courier New" w:hAnsi="Courier New"/>
          <w:sz w:val="15"/>
          <w:szCs w:val="15"/>
          <w:color w:val="auto"/>
        </w:rPr>
        <w:t>accumulated</w:t>
      </w:r>
    </w:p>
    <w:p>
      <w:pPr>
        <w:ind w:left="180"/>
        <w:spacing w:after="0" w:line="238" w:lineRule="auto"/>
        <w:rPr>
          <w:sz w:val="20"/>
          <w:szCs w:val="20"/>
          <w:color w:val="auto"/>
        </w:rPr>
      </w:pPr>
      <w:r>
        <w:rPr>
          <w:rFonts w:ascii="Courier New" w:cs="Courier New" w:eastAsia="Courier New" w:hAnsi="Courier New"/>
          <w:sz w:val="15"/>
          <w:szCs w:val="15"/>
          <w:color w:val="auto"/>
        </w:rPr>
        <w:t>depreciation (7,058)</w:t>
      </w:r>
    </w:p>
    <w:p>
      <w:pPr>
        <w:ind w:left="140"/>
        <w:spacing w:after="0" w:line="237" w:lineRule="auto"/>
        <w:rPr>
          <w:sz w:val="20"/>
          <w:szCs w:val="20"/>
          <w:color w:val="auto"/>
        </w:rPr>
      </w:pPr>
      <w:r>
        <w:rPr>
          <w:rFonts w:ascii="Courier New" w:cs="Courier New" w:eastAsia="Courier New" w:hAnsi="Courier New"/>
          <w:sz w:val="15"/>
          <w:szCs w:val="15"/>
          <w:color w:val="auto"/>
        </w:rPr>
        <w:t>(12,516) Property and</w:t>
      </w:r>
    </w:p>
    <w:p>
      <w:pPr>
        <w:ind w:left="100"/>
        <w:spacing w:after="0" w:line="238" w:lineRule="auto"/>
        <w:rPr>
          <w:sz w:val="20"/>
          <w:szCs w:val="20"/>
          <w:color w:val="auto"/>
        </w:rPr>
      </w:pPr>
      <w:r>
        <w:rPr>
          <w:rFonts w:ascii="Courier New" w:cs="Courier New" w:eastAsia="Courier New" w:hAnsi="Courier New"/>
          <w:sz w:val="15"/>
          <w:szCs w:val="15"/>
          <w:color w:val="auto"/>
        </w:rPr>
        <w:t>equipment, net $ 8,611</w:t>
      </w:r>
    </w:p>
    <w:p>
      <w:pPr>
        <w:ind w:left="920" w:hanging="168"/>
        <w:spacing w:after="0" w:line="237" w:lineRule="auto"/>
        <w:tabs>
          <w:tab w:leader="none" w:pos="92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8,437</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leases its principal operating facility and off-site sales</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offices under operating leases expiring no later than 2006. Future minimum lease payments under these leases, as of December 31, 1998,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  5,753</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7,533</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7,436</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7,134</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7,224</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18,905</w:t>
            </w:r>
          </w:p>
        </w:tc>
      </w:tr>
      <w:tr>
        <w:trPr>
          <w:trHeight w:val="168"/>
        </w:trPr>
        <w:tc>
          <w:tcPr>
            <w:tcW w:w="1980" w:type="dxa"/>
            <w:vAlign w:val="bottom"/>
          </w:tcPr>
          <w:p>
            <w:pPr>
              <w:spacing w:after="0"/>
              <w:rPr>
                <w:sz w:val="14"/>
                <w:szCs w:val="14"/>
                <w:color w:val="auto"/>
              </w:rPr>
            </w:pP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spacing w:after="0"/>
              <w:rPr>
                <w:sz w:val="14"/>
                <w:szCs w:val="14"/>
                <w:color w:val="auto"/>
              </w:rPr>
            </w:pP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$ 53,985</w:t>
            </w:r>
          </w:p>
        </w:tc>
      </w:tr>
      <w:tr>
        <w:trPr>
          <w:trHeight w:val="168"/>
        </w:trPr>
        <w:tc>
          <w:tcPr>
            <w:tcW w:w="1980" w:type="dxa"/>
            <w:vAlign w:val="bottom"/>
          </w:tcPr>
          <w:p>
            <w:pPr>
              <w:spacing w:after="0"/>
              <w:rPr>
                <w:sz w:val="14"/>
                <w:szCs w:val="14"/>
                <w:color w:val="auto"/>
              </w:rPr>
            </w:pP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Rent expense was approximately $1,773,000, $4,150,000 and $4,790,000 in 1996, 1997 and 1998, respectively.</w:t>
      </w:r>
    </w:p>
    <w:p>
      <w:pPr>
        <w:spacing w:after="0" w:line="341" w:lineRule="exact"/>
        <w:rPr>
          <w:sz w:val="20"/>
          <w:szCs w:val="20"/>
          <w:color w:val="auto"/>
        </w:rPr>
      </w:pPr>
    </w:p>
    <w:p>
      <w:pPr>
        <w:ind w:left="440" w:right="7779" w:hanging="430"/>
        <w:spacing w:after="0" w:line="509" w:lineRule="auto"/>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STOCKHOLDER RIGHTS PLAN</w:t>
      </w:r>
    </w:p>
    <w:p>
      <w:pPr>
        <w:ind w:right="3399"/>
        <w:spacing w:after="0" w:line="236" w:lineRule="auto"/>
        <w:rPr>
          <w:sz w:val="20"/>
          <w:szCs w:val="20"/>
          <w:color w:val="auto"/>
        </w:rPr>
      </w:pPr>
      <w:r>
        <w:rPr>
          <w:rFonts w:ascii="Courier New" w:cs="Courier New" w:eastAsia="Courier New" w:hAnsi="Courier New"/>
          <w:sz w:val="15"/>
          <w:szCs w:val="15"/>
          <w:color w:val="auto"/>
        </w:rPr>
        <w:t>In June 1997, the Company's Board of Directors adopted a Stockholder Rights Plan (the "Rights Plan") in which preferred stock purchase rights were distributed as a dividend at the rate of one Right for each share of common stock held as of the close of business on June 30, 1997. The Company adopted the plan to guard against partial tender offers and other abusive tactics that might be used in an attempt to gain control of the Company without paying all stockholders a fair price for their shares. The Rights Plan, which expires on June 13, 2007, will not prevent takeovers, but is designed to deter coercive takeover tactics and to encourage anyone attempting to acquire the Company to first negotiate with the Board.</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19" w:name="page20"/>
    <w:bookmarkEnd w:id="19"/>
    <w:p>
      <w:pPr>
        <w:ind w:right="3239" w:firstLine="437"/>
        <w:spacing w:after="0" w:line="236" w:lineRule="auto"/>
        <w:rPr>
          <w:sz w:val="20"/>
          <w:szCs w:val="20"/>
          <w:color w:val="auto"/>
        </w:rPr>
      </w:pPr>
      <w:r>
        <w:rPr>
          <w:rFonts w:ascii="Courier New" w:cs="Courier New" w:eastAsia="Courier New" w:hAnsi="Courier New"/>
          <w:sz w:val="15"/>
          <w:szCs w:val="15"/>
          <w:color w:val="auto"/>
        </w:rPr>
        <w:t>Each Right will entitle each stockholder to buy one-one thousandth of a newly issued share of Series A Junior Participating Preferred Stock of the Company at an exercise price of $95.00. The Rights will be exercisable only if a person or group, other than an exempted person, makes a tender offer for, or acquires beneficial ownership of 15% or more of the Company's then-outstanding common stock.</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any person other than an exempted person becomes the beneficial owner of 15% or more of the Company's outstanding common stock, then each Right not owned by such person or certain related parties will entitle its holders to purchase, at the Right's then-current exercise price, shares of the Company's common stock (or, in certain circumstances, cash, property or other securities of the Company) having a market value equal to twice the then-current exercise price. In addition, if, after a person becomes the beneficial owner of 15% or more of the Company's outstanding common stock, the Company is acquired in a merger or other business combination transaction, or sells 50% or more of its assets or earning power to another person, each Right will entitle its holder to purchase, at the Right's then-current exercise price, shares of common stock of such other person having a market value equal to twice the then-current exercise price.</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Company's Board of Directors will generally be entitled to redeem the Rights at $.01 per Right at any time prior to a person or group acquiring 15% or more of the Company's common stock.</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EMPLOYEE STOCK-BASED COMPENSATION PLANS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Stock Option/Stock Issuance Plan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 December 31, 1998, approximately 5,315,300 shares of common stock were authorized for issuance under the Company's 1995 Stock Option/Stock Issuance Plan (the "1995 Plan"), which serves as the successor equity incentive program to the Company's 1991 Stock Option/Stock Issuance Plan (the "1991 Plan"). The 1995 Plan will terminate on September 13, 2005, unless sooner terminated by the Board of Directors.</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1995 Plan is divided into three separate components: (i) the Discretionary Option Grant Program under which eligible individuals may, at the discretion of the Plan Administrator, be granted incentive or non-statutory stock options to purchase shares of common stock at an exercise price not less than 100% or 85%, respectively, of their fair market value on the grant date;</w:t>
      </w:r>
    </w:p>
    <w:p>
      <w:pPr>
        <w:spacing w:after="0" w:line="2" w:lineRule="exact"/>
        <w:rPr>
          <w:sz w:val="20"/>
          <w:szCs w:val="20"/>
          <w:color w:val="auto"/>
        </w:rPr>
      </w:pPr>
    </w:p>
    <w:p>
      <w:pPr>
        <w:ind w:right="3239" w:firstLine="10"/>
        <w:spacing w:after="0" w:line="255" w:lineRule="auto"/>
        <w:tabs>
          <w:tab w:leader="none" w:pos="43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 Issuance Program under which individuals may, at the Plan Administrator's discretion, be issued shares of common stock directly either by the purchase of such shares at a price not less than 85% of their fair market value at the time of issuance or in consideration of the past performance of services; and (iii) the Automatic Option Grant program under which non-statutory stock option grants will be automatically made at periodic intervals to eligible non-employee Board members to purchase shares of common stock at an exercise price equal to 100% of their fair market value on the grant date. Options are exercisable at times and in increments as specified by the Plan Administrator and generally expire ten years after grant.</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May 9, 1997, the Compensation Committee of the Board of Directors approved the repricing of certain outstanding stock options under the Company's 1995 Plan with exercise prices in excess of the fair market value on May 9, 1997. Each employee or officer who elected prior to May 9, 1997 to participate in the repricing program received a new option with an exercise price of $13.50 per share (the fair market value on May 9, 1997). Each repriced option retained its original vesting schedule except that no portion of the option could be exercised prior to December 9, 1997 and no vesting accrued between May 9, 1997 and December 9, 1997. Certain options granted within 12 months of May 9, 1997 were subject to a longer vesting schedule. Approximately 1,008,000 shares subject to stock options were repriced pursuant to this program.</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1999 NON-EMPLOYEE DIRECTORS' OPTION PLAN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October 1998, the Board of Directors approved the new Non-Employee Director's Option Plan (subject to stockholder approval) to include an initial pool of 300,000 shares available for issuance under the plan. This plan will replace the automatic grant program of the 1995 Stock Option/Stock Issuance Plan. Options are exercisable at times and increments as specified by the Plan Administrator and generally expire ten years after grant date. The new plan has a term of ten years.</w:t>
      </w:r>
    </w:p>
    <w:p>
      <w:pPr>
        <w:spacing w:after="0" w:line="176"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There were no repricings of outstanding stock options during the year ended December 31, 1998.</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share reserve for the 1995 Plan automatically increases on the first trading day in each of the 1996 (1,048,200 shares reserved), 1997 (1,158,600 shares reserved), 1998 (1,226,200 shares reserved), and 1999 (1,351,400 shares reserved) and calendar years by the number of shares equal to five percent of the total number of shares of the Company's common and common stock equivalents outstanding on December 31 of the immediately preceding calendar year.</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455"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Option activity for all plans is summarized as follows:</w:t>
      </w:r>
    </w:p>
    <w:p>
      <w:pPr>
        <w:spacing w:after="0" w:line="17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Options</w:t>
      </w:r>
    </w:p>
    <w:p>
      <w:pPr>
        <w:jc w:val="center"/>
        <w:ind w:right="9179"/>
        <w:spacing w:after="0" w:line="237" w:lineRule="auto"/>
        <w:rPr>
          <w:sz w:val="20"/>
          <w:szCs w:val="20"/>
          <w:color w:val="auto"/>
        </w:rPr>
      </w:pPr>
      <w:r>
        <w:rPr>
          <w:rFonts w:ascii="Courier New" w:cs="Courier New" w:eastAsia="Courier New" w:hAnsi="Courier New"/>
          <w:sz w:val="15"/>
          <w:szCs w:val="15"/>
          <w:color w:val="auto"/>
        </w:rPr>
        <w:t>Outstanding</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jc w:val="center"/>
        <w:ind w:right="9179"/>
        <w:spacing w:after="0" w:line="237" w:lineRule="auto"/>
        <w:rPr>
          <w:sz w:val="20"/>
          <w:szCs w:val="20"/>
          <w:color w:val="auto"/>
        </w:rPr>
      </w:pPr>
      <w:r>
        <w:rPr>
          <w:rFonts w:ascii="Courier New" w:cs="Courier New" w:eastAsia="Courier New" w:hAnsi="Courier New"/>
          <w:sz w:val="15"/>
          <w:szCs w:val="15"/>
          <w:color w:val="auto"/>
        </w:rPr>
        <w:t>Weighted</w:t>
      </w:r>
    </w:p>
    <w:p>
      <w:pPr>
        <w:jc w:val="center"/>
        <w:ind w:right="9179"/>
        <w:spacing w:after="0" w:line="238" w:lineRule="auto"/>
        <w:rPr>
          <w:sz w:val="20"/>
          <w:szCs w:val="20"/>
          <w:color w:val="auto"/>
        </w:rPr>
      </w:pPr>
      <w:r>
        <w:rPr>
          <w:rFonts w:ascii="Courier New" w:cs="Courier New" w:eastAsia="Courier New" w:hAnsi="Courier New"/>
          <w:sz w:val="15"/>
          <w:szCs w:val="15"/>
          <w:color w:val="auto"/>
        </w:rPr>
        <w:t>Average</w:t>
      </w:r>
    </w:p>
    <w:p>
      <w:pPr>
        <w:jc w:val="center"/>
        <w:ind w:right="9179"/>
        <w:spacing w:after="0" w:line="237" w:lineRule="auto"/>
        <w:rPr>
          <w:sz w:val="20"/>
          <w:szCs w:val="20"/>
          <w:color w:val="auto"/>
        </w:rPr>
      </w:pPr>
      <w:r>
        <w:rPr>
          <w:rFonts w:ascii="Courier New" w:cs="Courier New" w:eastAsia="Courier New" w:hAnsi="Courier New"/>
          <w:sz w:val="15"/>
          <w:szCs w:val="15"/>
          <w:color w:val="auto"/>
        </w:rPr>
        <w:t>Number</w:t>
      </w:r>
    </w:p>
    <w:p>
      <w:pPr>
        <w:jc w:val="center"/>
        <w:ind w:right="9179"/>
        <w:spacing w:after="0" w:line="238" w:lineRule="auto"/>
        <w:rPr>
          <w:sz w:val="20"/>
          <w:szCs w:val="20"/>
          <w:color w:val="auto"/>
        </w:rPr>
      </w:pPr>
      <w:r>
        <w:rPr>
          <w:rFonts w:ascii="Courier New" w:cs="Courier New" w:eastAsia="Courier New" w:hAnsi="Courier New"/>
          <w:sz w:val="15"/>
          <w:szCs w:val="15"/>
          <w:color w:val="auto"/>
        </w:rPr>
        <w:t>Exercise</w:t>
      </w:r>
    </w:p>
    <w:p>
      <w:pPr>
        <w:jc w:val="center"/>
        <w:ind w:right="9179"/>
        <w:spacing w:after="0" w:line="238" w:lineRule="auto"/>
        <w:rPr>
          <w:sz w:val="20"/>
          <w:szCs w:val="20"/>
          <w:color w:val="auto"/>
        </w:rPr>
      </w:pPr>
      <w:r>
        <w:rPr>
          <w:rFonts w:ascii="Courier New" w:cs="Courier New" w:eastAsia="Courier New" w:hAnsi="Courier New"/>
          <w:sz w:val="15"/>
          <w:szCs w:val="15"/>
          <w:color w:val="auto"/>
        </w:rPr>
        <w:t>Price of</w:t>
      </w:r>
    </w:p>
    <w:p>
      <w:pPr>
        <w:ind w:left="100"/>
        <w:spacing w:after="0" w:line="237" w:lineRule="auto"/>
        <w:rPr>
          <w:sz w:val="20"/>
          <w:szCs w:val="20"/>
          <w:color w:val="auto"/>
        </w:rPr>
      </w:pPr>
      <w:r>
        <w:rPr>
          <w:rFonts w:ascii="Courier New" w:cs="Courier New" w:eastAsia="Courier New" w:hAnsi="Courier New"/>
          <w:sz w:val="15"/>
          <w:szCs w:val="15"/>
          <w:color w:val="auto"/>
        </w:rPr>
        <w:t>Shares per</w:t>
      </w:r>
    </w:p>
    <w:p>
      <w:pPr>
        <w:ind w:left="60"/>
        <w:spacing w:after="0" w:line="238" w:lineRule="auto"/>
        <w:rPr>
          <w:sz w:val="20"/>
          <w:szCs w:val="20"/>
          <w:color w:val="auto"/>
        </w:rPr>
      </w:pPr>
      <w:r>
        <w:rPr>
          <w:rFonts w:ascii="Courier New" w:cs="Courier New" w:eastAsia="Courier New" w:hAnsi="Courier New"/>
          <w:sz w:val="15"/>
          <w:szCs w:val="15"/>
          <w:color w:val="auto"/>
        </w:rPr>
        <w:t>Share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2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Outstanding,</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January 1,</w:t>
      </w:r>
    </w:p>
    <w:p>
      <w:pPr>
        <w:jc w:val="center"/>
        <w:ind w:right="9179"/>
        <w:spacing w:after="0" w:line="237" w:lineRule="auto"/>
        <w:rPr>
          <w:sz w:val="20"/>
          <w:szCs w:val="20"/>
          <w:color w:val="auto"/>
        </w:rPr>
      </w:pPr>
      <w:r>
        <w:rPr>
          <w:rFonts w:ascii="Courier New" w:cs="Courier New" w:eastAsia="Courier New" w:hAnsi="Courier New"/>
          <w:sz w:val="15"/>
          <w:szCs w:val="15"/>
          <w:color w:val="auto"/>
        </w:rPr>
        <w:t>1996</w:t>
      </w:r>
    </w:p>
    <w:p>
      <w:pPr>
        <w:jc w:val="center"/>
        <w:ind w:right="9179"/>
        <w:spacing w:after="0" w:line="238" w:lineRule="auto"/>
        <w:rPr>
          <w:sz w:val="20"/>
          <w:szCs w:val="20"/>
          <w:color w:val="auto"/>
        </w:rPr>
      </w:pPr>
      <w:r>
        <w:rPr>
          <w:rFonts w:ascii="Courier New" w:cs="Courier New" w:eastAsia="Courier New" w:hAnsi="Courier New"/>
          <w:sz w:val="15"/>
          <w:szCs w:val="15"/>
          <w:color w:val="auto"/>
        </w:rPr>
        <w:t>(1,744,700</w:t>
      </w:r>
    </w:p>
    <w:p>
      <w:pPr>
        <w:jc w:val="center"/>
        <w:ind w:right="9179"/>
        <w:spacing w:after="0" w:line="237" w:lineRule="auto"/>
        <w:rPr>
          <w:sz w:val="20"/>
          <w:szCs w:val="20"/>
          <w:color w:val="auto"/>
        </w:rPr>
      </w:pPr>
      <w:r>
        <w:rPr>
          <w:rFonts w:ascii="Courier New" w:cs="Courier New" w:eastAsia="Courier New" w:hAnsi="Courier New"/>
          <w:sz w:val="15"/>
          <w:szCs w:val="15"/>
          <w:color w:val="auto"/>
        </w:rPr>
        <w:t>exercisable</w:t>
      </w:r>
    </w:p>
    <w:p>
      <w:pPr>
        <w:jc w:val="center"/>
        <w:ind w:right="9179"/>
        <w:spacing w:after="0" w:line="238" w:lineRule="auto"/>
        <w:rPr>
          <w:sz w:val="20"/>
          <w:szCs w:val="20"/>
          <w:color w:val="auto"/>
        </w:rPr>
      </w:pPr>
      <w:r>
        <w:rPr>
          <w:rFonts w:ascii="Courier New" w:cs="Courier New" w:eastAsia="Courier New" w:hAnsi="Courier New"/>
          <w:sz w:val="15"/>
          <w:szCs w:val="15"/>
          <w:color w:val="auto"/>
        </w:rPr>
        <w:t>at a</w:t>
      </w:r>
    </w:p>
    <w:p>
      <w:pPr>
        <w:jc w:val="center"/>
        <w:ind w:right="9179"/>
        <w:spacing w:after="0" w:line="237" w:lineRule="auto"/>
        <w:rPr>
          <w:sz w:val="20"/>
          <w:szCs w:val="20"/>
          <w:color w:val="auto"/>
        </w:rPr>
      </w:pPr>
      <w:r>
        <w:rPr>
          <w:rFonts w:ascii="Courier New" w:cs="Courier New" w:eastAsia="Courier New" w:hAnsi="Courier New"/>
          <w:sz w:val="15"/>
          <w:szCs w:val="15"/>
          <w:color w:val="auto"/>
        </w:rPr>
        <w:t>weighted</w:t>
      </w:r>
    </w:p>
    <w:p>
      <w:pPr>
        <w:jc w:val="center"/>
        <w:ind w:right="9179"/>
        <w:spacing w:after="0" w:line="238" w:lineRule="auto"/>
        <w:rPr>
          <w:sz w:val="20"/>
          <w:szCs w:val="20"/>
          <w:color w:val="auto"/>
        </w:rPr>
      </w:pPr>
      <w:r>
        <w:rPr>
          <w:rFonts w:ascii="Courier New" w:cs="Courier New" w:eastAsia="Courier New" w:hAnsi="Courier New"/>
          <w:sz w:val="15"/>
          <w:szCs w:val="15"/>
          <w:color w:val="auto"/>
        </w:rPr>
        <w:t>average</w:t>
      </w:r>
    </w:p>
    <w:p>
      <w:pPr>
        <w:jc w:val="center"/>
        <w:ind w:right="9179"/>
        <w:spacing w:after="0" w:line="237" w:lineRule="auto"/>
        <w:rPr>
          <w:sz w:val="20"/>
          <w:szCs w:val="20"/>
          <w:color w:val="auto"/>
        </w:rPr>
      </w:pPr>
      <w:r>
        <w:rPr>
          <w:rFonts w:ascii="Courier New" w:cs="Courier New" w:eastAsia="Courier New" w:hAnsi="Courier New"/>
          <w:sz w:val="15"/>
          <w:szCs w:val="15"/>
          <w:color w:val="auto"/>
        </w:rPr>
        <w:t>price of</w:t>
      </w:r>
    </w:p>
    <w:p>
      <w:pPr>
        <w:jc w:val="center"/>
        <w:ind w:right="9179"/>
        <w:spacing w:after="0" w:line="238" w:lineRule="auto"/>
        <w:rPr>
          <w:sz w:val="20"/>
          <w:szCs w:val="20"/>
          <w:color w:val="auto"/>
        </w:rPr>
      </w:pPr>
      <w:r>
        <w:rPr>
          <w:rFonts w:ascii="Courier New" w:cs="Courier New" w:eastAsia="Courier New" w:hAnsi="Courier New"/>
          <w:sz w:val="15"/>
          <w:szCs w:val="15"/>
          <w:color w:val="auto"/>
        </w:rPr>
        <w:t>$1.35)</w:t>
      </w:r>
    </w:p>
    <w:p>
      <w:pPr>
        <w:jc w:val="center"/>
        <w:ind w:right="9179"/>
        <w:spacing w:after="0" w:line="238" w:lineRule="auto"/>
        <w:rPr>
          <w:sz w:val="20"/>
          <w:szCs w:val="20"/>
          <w:color w:val="auto"/>
        </w:rPr>
      </w:pPr>
      <w:r>
        <w:rPr>
          <w:rFonts w:ascii="Courier New" w:cs="Courier New" w:eastAsia="Courier New" w:hAnsi="Courier New"/>
          <w:sz w:val="15"/>
          <w:szCs w:val="15"/>
          <w:color w:val="auto"/>
        </w:rPr>
        <w:t>1,833,400 $</w:t>
      </w:r>
    </w:p>
    <w:p>
      <w:pPr>
        <w:jc w:val="center"/>
        <w:ind w:right="9179"/>
        <w:spacing w:after="0" w:line="237" w:lineRule="auto"/>
        <w:rPr>
          <w:sz w:val="20"/>
          <w:szCs w:val="20"/>
          <w:color w:val="auto"/>
        </w:rPr>
      </w:pPr>
      <w:r>
        <w:rPr>
          <w:rFonts w:ascii="Courier New" w:cs="Courier New" w:eastAsia="Courier New" w:hAnsi="Courier New"/>
          <w:sz w:val="15"/>
          <w:szCs w:val="15"/>
          <w:color w:val="auto"/>
        </w:rPr>
        <w:t>1.57</w:t>
      </w:r>
    </w:p>
    <w:p>
      <w:pPr>
        <w:jc w:val="center"/>
        <w:ind w:right="9179"/>
        <w:spacing w:after="0" w:line="238" w:lineRule="auto"/>
        <w:rPr>
          <w:sz w:val="20"/>
          <w:szCs w:val="20"/>
          <w:color w:val="auto"/>
        </w:rPr>
      </w:pPr>
      <w:r>
        <w:rPr>
          <w:rFonts w:ascii="Courier New" w:cs="Courier New" w:eastAsia="Courier New" w:hAnsi="Courier New"/>
          <w:sz w:val="15"/>
          <w:szCs w:val="15"/>
          <w:color w:val="auto"/>
        </w:rPr>
        <w:t>Options</w:t>
      </w:r>
    </w:p>
    <w:p>
      <w:pPr>
        <w:jc w:val="center"/>
        <w:ind w:right="9179"/>
        <w:spacing w:after="0" w:line="237" w:lineRule="auto"/>
        <w:rPr>
          <w:sz w:val="20"/>
          <w:szCs w:val="20"/>
          <w:color w:val="auto"/>
        </w:rPr>
      </w:pPr>
      <w:r>
        <w:rPr>
          <w:rFonts w:ascii="Courier New" w:cs="Courier New" w:eastAsia="Courier New" w:hAnsi="Courier New"/>
          <w:sz w:val="15"/>
          <w:szCs w:val="15"/>
          <w:color w:val="auto"/>
        </w:rPr>
        <w:t>granted</w:t>
      </w:r>
    </w:p>
    <w:p>
      <w:pPr>
        <w:jc w:val="center"/>
        <w:ind w:right="9179"/>
        <w:spacing w:after="0" w:line="238" w:lineRule="auto"/>
        <w:rPr>
          <w:sz w:val="20"/>
          <w:szCs w:val="20"/>
          <w:color w:val="auto"/>
        </w:rPr>
      </w:pPr>
      <w:r>
        <w:rPr>
          <w:rFonts w:ascii="Courier New" w:cs="Courier New" w:eastAsia="Courier New" w:hAnsi="Courier New"/>
          <w:sz w:val="15"/>
          <w:szCs w:val="15"/>
          <w:color w:val="auto"/>
        </w:rPr>
        <w:t>1,365,800</w:t>
      </w:r>
    </w:p>
    <w:p>
      <w:pPr>
        <w:jc w:val="center"/>
        <w:ind w:right="9179"/>
        <w:spacing w:after="0" w:line="237" w:lineRule="auto"/>
        <w:rPr>
          <w:sz w:val="20"/>
          <w:szCs w:val="20"/>
          <w:color w:val="auto"/>
        </w:rPr>
      </w:pPr>
      <w:r>
        <w:rPr>
          <w:rFonts w:ascii="Courier New" w:cs="Courier New" w:eastAsia="Courier New" w:hAnsi="Courier New"/>
          <w:sz w:val="15"/>
          <w:szCs w:val="15"/>
          <w:color w:val="auto"/>
        </w:rPr>
        <w:t>26.46</w:t>
      </w:r>
    </w:p>
    <w:p>
      <w:pPr>
        <w:jc w:val="center"/>
        <w:ind w:right="9179"/>
        <w:spacing w:after="0" w:line="238" w:lineRule="auto"/>
        <w:rPr>
          <w:sz w:val="20"/>
          <w:szCs w:val="20"/>
          <w:color w:val="auto"/>
        </w:rPr>
      </w:pPr>
      <w:r>
        <w:rPr>
          <w:rFonts w:ascii="Courier New" w:cs="Courier New" w:eastAsia="Courier New" w:hAnsi="Courier New"/>
          <w:sz w:val="15"/>
          <w:szCs w:val="15"/>
          <w:color w:val="auto"/>
        </w:rPr>
        <w:t>Options</w:t>
      </w:r>
    </w:p>
    <w:p>
      <w:pPr>
        <w:jc w:val="center"/>
        <w:ind w:right="9179"/>
        <w:spacing w:after="0" w:line="238" w:lineRule="auto"/>
        <w:rPr>
          <w:sz w:val="20"/>
          <w:szCs w:val="20"/>
          <w:color w:val="auto"/>
        </w:rPr>
      </w:pPr>
      <w:r>
        <w:rPr>
          <w:rFonts w:ascii="Courier New" w:cs="Courier New" w:eastAsia="Courier New" w:hAnsi="Courier New"/>
          <w:sz w:val="15"/>
          <w:szCs w:val="15"/>
          <w:color w:val="auto"/>
        </w:rPr>
        <w:t>exercised</w:t>
      </w:r>
    </w:p>
    <w:p>
      <w:pPr>
        <w:jc w:val="center"/>
        <w:ind w:right="9179"/>
        <w:spacing w:after="0" w:line="237" w:lineRule="auto"/>
        <w:rPr>
          <w:sz w:val="20"/>
          <w:szCs w:val="20"/>
          <w:color w:val="auto"/>
        </w:rPr>
      </w:pPr>
      <w:r>
        <w:rPr>
          <w:rFonts w:ascii="Courier New" w:cs="Courier New" w:eastAsia="Courier New" w:hAnsi="Courier New"/>
          <w:sz w:val="15"/>
          <w:szCs w:val="15"/>
          <w:color w:val="auto"/>
        </w:rPr>
        <w:t>(442,100)</w:t>
      </w:r>
    </w:p>
    <w:p>
      <w:pPr>
        <w:jc w:val="center"/>
        <w:ind w:right="9179"/>
        <w:spacing w:after="0" w:line="238" w:lineRule="auto"/>
        <w:rPr>
          <w:sz w:val="20"/>
          <w:szCs w:val="20"/>
          <w:color w:val="auto"/>
        </w:rPr>
      </w:pPr>
      <w:r>
        <w:rPr>
          <w:rFonts w:ascii="Courier New" w:cs="Courier New" w:eastAsia="Courier New" w:hAnsi="Courier New"/>
          <w:sz w:val="15"/>
          <w:szCs w:val="15"/>
          <w:color w:val="auto"/>
        </w:rPr>
        <w:t>0.51</w:t>
      </w:r>
    </w:p>
    <w:p>
      <w:pPr>
        <w:jc w:val="center"/>
        <w:ind w:right="9179"/>
        <w:spacing w:after="0" w:line="237" w:lineRule="auto"/>
        <w:rPr>
          <w:sz w:val="20"/>
          <w:szCs w:val="20"/>
          <w:color w:val="auto"/>
        </w:rPr>
      </w:pPr>
      <w:r>
        <w:rPr>
          <w:rFonts w:ascii="Courier New" w:cs="Courier New" w:eastAsia="Courier New" w:hAnsi="Courier New"/>
          <w:sz w:val="15"/>
          <w:szCs w:val="15"/>
          <w:color w:val="auto"/>
        </w:rPr>
        <w:t>Options</w:t>
      </w:r>
    </w:p>
    <w:p>
      <w:pPr>
        <w:jc w:val="center"/>
        <w:ind w:right="9179"/>
        <w:spacing w:after="0" w:line="238" w:lineRule="auto"/>
        <w:rPr>
          <w:sz w:val="20"/>
          <w:szCs w:val="20"/>
          <w:color w:val="auto"/>
        </w:rPr>
      </w:pPr>
      <w:r>
        <w:rPr>
          <w:rFonts w:ascii="Courier New" w:cs="Courier New" w:eastAsia="Courier New" w:hAnsi="Courier New"/>
          <w:sz w:val="15"/>
          <w:szCs w:val="15"/>
          <w:color w:val="auto"/>
        </w:rPr>
        <w:t>cancelled</w:t>
      </w:r>
    </w:p>
    <w:p>
      <w:pPr>
        <w:jc w:val="center"/>
        <w:ind w:right="9179"/>
        <w:spacing w:after="0" w:line="237" w:lineRule="auto"/>
        <w:rPr>
          <w:sz w:val="20"/>
          <w:szCs w:val="20"/>
          <w:color w:val="auto"/>
        </w:rPr>
      </w:pPr>
      <w:r>
        <w:rPr>
          <w:rFonts w:ascii="Courier New" w:cs="Courier New" w:eastAsia="Courier New" w:hAnsi="Courier New"/>
          <w:sz w:val="15"/>
          <w:szCs w:val="15"/>
          <w:color w:val="auto"/>
        </w:rPr>
        <w:t>(188,100)</w:t>
      </w:r>
    </w:p>
    <w:p>
      <w:pPr>
        <w:jc w:val="center"/>
        <w:ind w:right="9179"/>
        <w:spacing w:after="0" w:line="238" w:lineRule="auto"/>
        <w:rPr>
          <w:sz w:val="20"/>
          <w:szCs w:val="20"/>
          <w:color w:val="auto"/>
        </w:rPr>
      </w:pPr>
      <w:r>
        <w:rPr>
          <w:rFonts w:ascii="Courier New" w:cs="Courier New" w:eastAsia="Courier New" w:hAnsi="Courier New"/>
          <w:sz w:val="15"/>
          <w:szCs w:val="15"/>
          <w:color w:val="auto"/>
        </w:rPr>
        <w:t>13.12 -----</w:t>
      </w:r>
    </w:p>
    <w:p>
      <w:pPr>
        <w:ind w:left="60"/>
        <w:spacing w:after="0" w:line="238" w:lineRule="auto"/>
        <w:rPr>
          <w:sz w:val="20"/>
          <w:szCs w:val="20"/>
          <w:color w:val="auto"/>
        </w:rPr>
      </w:pPr>
      <w:r>
        <w:rPr>
          <w:rFonts w:ascii="Courier New" w:cs="Courier New" w:eastAsia="Courier New" w:hAnsi="Courier New"/>
          <w:sz w:val="15"/>
          <w:szCs w:val="15"/>
          <w:color w:val="auto"/>
        </w:rPr>
        <w:t>----- -----</w:t>
      </w:r>
    </w:p>
    <w:p>
      <w:pPr>
        <w:jc w:val="center"/>
        <w:ind w:right="9179"/>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Outstanding,</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December</w:t>
      </w:r>
    </w:p>
    <w:p>
      <w:pPr>
        <w:jc w:val="center"/>
        <w:ind w:right="9179"/>
        <w:spacing w:after="0" w:line="237" w:lineRule="auto"/>
        <w:rPr>
          <w:sz w:val="20"/>
          <w:szCs w:val="20"/>
          <w:color w:val="auto"/>
        </w:rPr>
      </w:pPr>
      <w:r>
        <w:rPr>
          <w:rFonts w:ascii="Courier New" w:cs="Courier New" w:eastAsia="Courier New" w:hAnsi="Courier New"/>
          <w:sz w:val="15"/>
          <w:szCs w:val="15"/>
          <w:color w:val="auto"/>
        </w:rPr>
        <w:t>31, 1996</w:t>
      </w:r>
    </w:p>
    <w:p>
      <w:pPr>
        <w:jc w:val="center"/>
        <w:ind w:right="9179"/>
        <w:spacing w:after="0" w:line="238" w:lineRule="auto"/>
        <w:rPr>
          <w:sz w:val="20"/>
          <w:szCs w:val="20"/>
          <w:color w:val="auto"/>
        </w:rPr>
      </w:pPr>
      <w:r>
        <w:rPr>
          <w:rFonts w:ascii="Courier New" w:cs="Courier New" w:eastAsia="Courier New" w:hAnsi="Courier New"/>
          <w:sz w:val="15"/>
          <w:szCs w:val="15"/>
          <w:color w:val="auto"/>
        </w:rPr>
        <w:t>(1,296,100</w:t>
      </w:r>
    </w:p>
    <w:p>
      <w:pPr>
        <w:jc w:val="center"/>
        <w:ind w:right="9179"/>
        <w:spacing w:after="0" w:line="237" w:lineRule="auto"/>
        <w:rPr>
          <w:sz w:val="20"/>
          <w:szCs w:val="20"/>
          <w:color w:val="auto"/>
        </w:rPr>
      </w:pPr>
      <w:r>
        <w:rPr>
          <w:rFonts w:ascii="Courier New" w:cs="Courier New" w:eastAsia="Courier New" w:hAnsi="Courier New"/>
          <w:sz w:val="15"/>
          <w:szCs w:val="15"/>
          <w:color w:val="auto"/>
        </w:rPr>
        <w:t>exercisable</w:t>
      </w:r>
    </w:p>
    <w:p>
      <w:pPr>
        <w:jc w:val="center"/>
        <w:ind w:right="9179"/>
        <w:spacing w:after="0" w:line="238" w:lineRule="auto"/>
        <w:rPr>
          <w:sz w:val="20"/>
          <w:szCs w:val="20"/>
          <w:color w:val="auto"/>
        </w:rPr>
      </w:pPr>
      <w:r>
        <w:rPr>
          <w:rFonts w:ascii="Courier New" w:cs="Courier New" w:eastAsia="Courier New" w:hAnsi="Courier New"/>
          <w:sz w:val="15"/>
          <w:szCs w:val="15"/>
          <w:color w:val="auto"/>
        </w:rPr>
        <w:t>at a</w:t>
      </w:r>
    </w:p>
    <w:p>
      <w:pPr>
        <w:jc w:val="center"/>
        <w:ind w:right="9179"/>
        <w:spacing w:after="0" w:line="237" w:lineRule="auto"/>
        <w:rPr>
          <w:sz w:val="20"/>
          <w:szCs w:val="20"/>
          <w:color w:val="auto"/>
        </w:rPr>
      </w:pPr>
      <w:r>
        <w:rPr>
          <w:rFonts w:ascii="Courier New" w:cs="Courier New" w:eastAsia="Courier New" w:hAnsi="Courier New"/>
          <w:sz w:val="15"/>
          <w:szCs w:val="15"/>
          <w:color w:val="auto"/>
        </w:rPr>
        <w:t>weighted</w:t>
      </w:r>
    </w:p>
    <w:p>
      <w:pPr>
        <w:jc w:val="center"/>
        <w:ind w:right="9179"/>
        <w:spacing w:after="0" w:line="238" w:lineRule="auto"/>
        <w:rPr>
          <w:sz w:val="20"/>
          <w:szCs w:val="20"/>
          <w:color w:val="auto"/>
        </w:rPr>
      </w:pPr>
      <w:r>
        <w:rPr>
          <w:rFonts w:ascii="Courier New" w:cs="Courier New" w:eastAsia="Courier New" w:hAnsi="Courier New"/>
          <w:sz w:val="15"/>
          <w:szCs w:val="15"/>
          <w:color w:val="auto"/>
        </w:rPr>
        <w:t>average</w:t>
      </w:r>
    </w:p>
    <w:p>
      <w:pPr>
        <w:jc w:val="center"/>
        <w:ind w:right="9179"/>
        <w:spacing w:after="0" w:line="237" w:lineRule="auto"/>
        <w:rPr>
          <w:sz w:val="20"/>
          <w:szCs w:val="20"/>
          <w:color w:val="auto"/>
        </w:rPr>
      </w:pPr>
      <w:r>
        <w:rPr>
          <w:rFonts w:ascii="Courier New" w:cs="Courier New" w:eastAsia="Courier New" w:hAnsi="Courier New"/>
          <w:sz w:val="15"/>
          <w:szCs w:val="15"/>
          <w:color w:val="auto"/>
        </w:rPr>
        <w:t>price of</w:t>
      </w:r>
    </w:p>
    <w:p>
      <w:pPr>
        <w:jc w:val="center"/>
        <w:ind w:right="9179"/>
        <w:spacing w:after="0" w:line="238" w:lineRule="auto"/>
        <w:rPr>
          <w:sz w:val="20"/>
          <w:szCs w:val="20"/>
          <w:color w:val="auto"/>
        </w:rPr>
      </w:pPr>
      <w:r>
        <w:rPr>
          <w:rFonts w:ascii="Courier New" w:cs="Courier New" w:eastAsia="Courier New" w:hAnsi="Courier New"/>
          <w:sz w:val="15"/>
          <w:szCs w:val="15"/>
          <w:color w:val="auto"/>
        </w:rPr>
        <w:t>$2.06)</w:t>
      </w:r>
    </w:p>
    <w:p>
      <w:pPr>
        <w:jc w:val="center"/>
        <w:ind w:right="9179"/>
        <w:spacing w:after="0" w:line="238" w:lineRule="auto"/>
        <w:rPr>
          <w:sz w:val="20"/>
          <w:szCs w:val="20"/>
          <w:color w:val="auto"/>
        </w:rPr>
      </w:pPr>
      <w:r>
        <w:rPr>
          <w:rFonts w:ascii="Courier New" w:cs="Courier New" w:eastAsia="Courier New" w:hAnsi="Courier New"/>
          <w:sz w:val="15"/>
          <w:szCs w:val="15"/>
          <w:color w:val="auto"/>
        </w:rPr>
        <w:t>2,569,000</w:t>
      </w:r>
    </w:p>
    <w:p>
      <w:pPr>
        <w:jc w:val="center"/>
        <w:ind w:right="9179"/>
        <w:spacing w:after="0" w:line="237" w:lineRule="auto"/>
        <w:rPr>
          <w:sz w:val="20"/>
          <w:szCs w:val="20"/>
          <w:color w:val="auto"/>
        </w:rPr>
      </w:pPr>
      <w:r>
        <w:rPr>
          <w:rFonts w:ascii="Courier New" w:cs="Courier New" w:eastAsia="Courier New" w:hAnsi="Courier New"/>
          <w:sz w:val="15"/>
          <w:szCs w:val="15"/>
          <w:color w:val="auto"/>
        </w:rPr>
        <w:t>14.14</w:t>
      </w:r>
    </w:p>
    <w:p>
      <w:pPr>
        <w:jc w:val="center"/>
        <w:ind w:right="9179"/>
        <w:spacing w:after="0" w:line="238" w:lineRule="auto"/>
        <w:rPr>
          <w:sz w:val="20"/>
          <w:szCs w:val="20"/>
          <w:color w:val="auto"/>
        </w:rPr>
      </w:pPr>
      <w:r>
        <w:rPr>
          <w:rFonts w:ascii="Courier New" w:cs="Courier New" w:eastAsia="Courier New" w:hAnsi="Courier New"/>
          <w:sz w:val="15"/>
          <w:szCs w:val="15"/>
          <w:color w:val="auto"/>
        </w:rPr>
        <w:t>Options</w:t>
      </w:r>
    </w:p>
    <w:p>
      <w:pPr>
        <w:jc w:val="center"/>
        <w:ind w:right="9179"/>
        <w:spacing w:after="0" w:line="237" w:lineRule="auto"/>
        <w:rPr>
          <w:sz w:val="20"/>
          <w:szCs w:val="20"/>
          <w:color w:val="auto"/>
        </w:rPr>
      </w:pPr>
      <w:r>
        <w:rPr>
          <w:rFonts w:ascii="Courier New" w:cs="Courier New" w:eastAsia="Courier New" w:hAnsi="Courier New"/>
          <w:sz w:val="15"/>
          <w:szCs w:val="15"/>
          <w:color w:val="auto"/>
        </w:rPr>
        <w:t>granted</w:t>
      </w:r>
    </w:p>
    <w:p>
      <w:pPr>
        <w:jc w:val="center"/>
        <w:ind w:right="9179"/>
        <w:spacing w:after="0" w:line="238" w:lineRule="auto"/>
        <w:rPr>
          <w:sz w:val="20"/>
          <w:szCs w:val="20"/>
          <w:color w:val="auto"/>
        </w:rPr>
      </w:pPr>
      <w:r>
        <w:rPr>
          <w:rFonts w:ascii="Courier New" w:cs="Courier New" w:eastAsia="Courier New" w:hAnsi="Courier New"/>
          <w:sz w:val="15"/>
          <w:szCs w:val="15"/>
          <w:color w:val="auto"/>
        </w:rPr>
        <w:t>2,276,700</w:t>
      </w:r>
    </w:p>
    <w:p>
      <w:pPr>
        <w:jc w:val="center"/>
        <w:ind w:right="9179"/>
        <w:spacing w:after="0" w:line="237" w:lineRule="auto"/>
        <w:rPr>
          <w:sz w:val="20"/>
          <w:szCs w:val="20"/>
          <w:color w:val="auto"/>
        </w:rPr>
      </w:pPr>
      <w:r>
        <w:rPr>
          <w:rFonts w:ascii="Courier New" w:cs="Courier New" w:eastAsia="Courier New" w:hAnsi="Courier New"/>
          <w:sz w:val="15"/>
          <w:szCs w:val="15"/>
          <w:color w:val="auto"/>
        </w:rPr>
        <w:t>13.74</w:t>
      </w:r>
    </w:p>
    <w:p>
      <w:pPr>
        <w:jc w:val="center"/>
        <w:ind w:right="9179"/>
        <w:spacing w:after="0" w:line="238" w:lineRule="auto"/>
        <w:rPr>
          <w:sz w:val="20"/>
          <w:szCs w:val="20"/>
          <w:color w:val="auto"/>
        </w:rPr>
      </w:pPr>
      <w:r>
        <w:rPr>
          <w:rFonts w:ascii="Courier New" w:cs="Courier New" w:eastAsia="Courier New" w:hAnsi="Courier New"/>
          <w:sz w:val="15"/>
          <w:szCs w:val="15"/>
          <w:color w:val="auto"/>
        </w:rPr>
        <w:t>Options</w:t>
      </w:r>
    </w:p>
    <w:p>
      <w:pPr>
        <w:jc w:val="center"/>
        <w:ind w:right="9179"/>
        <w:spacing w:after="0" w:line="238" w:lineRule="auto"/>
        <w:rPr>
          <w:sz w:val="20"/>
          <w:szCs w:val="20"/>
          <w:color w:val="auto"/>
        </w:rPr>
      </w:pPr>
      <w:r>
        <w:rPr>
          <w:rFonts w:ascii="Courier New" w:cs="Courier New" w:eastAsia="Courier New" w:hAnsi="Courier New"/>
          <w:sz w:val="15"/>
          <w:szCs w:val="15"/>
          <w:color w:val="auto"/>
        </w:rPr>
        <w:t>exercised</w:t>
      </w:r>
    </w:p>
    <w:p>
      <w:pPr>
        <w:jc w:val="center"/>
        <w:ind w:right="9179"/>
        <w:spacing w:after="0" w:line="237" w:lineRule="auto"/>
        <w:rPr>
          <w:sz w:val="20"/>
          <w:szCs w:val="20"/>
          <w:color w:val="auto"/>
        </w:rPr>
      </w:pPr>
      <w:r>
        <w:rPr>
          <w:rFonts w:ascii="Courier New" w:cs="Courier New" w:eastAsia="Courier New" w:hAnsi="Courier New"/>
          <w:sz w:val="15"/>
          <w:szCs w:val="15"/>
          <w:color w:val="auto"/>
        </w:rPr>
        <w:t>(305,000)</w:t>
      </w:r>
    </w:p>
    <w:p>
      <w:pPr>
        <w:jc w:val="center"/>
        <w:ind w:right="9179"/>
        <w:spacing w:after="0" w:line="238" w:lineRule="auto"/>
        <w:rPr>
          <w:sz w:val="20"/>
          <w:szCs w:val="20"/>
          <w:color w:val="auto"/>
        </w:rPr>
      </w:pPr>
      <w:r>
        <w:rPr>
          <w:rFonts w:ascii="Courier New" w:cs="Courier New" w:eastAsia="Courier New" w:hAnsi="Courier New"/>
          <w:sz w:val="15"/>
          <w:szCs w:val="15"/>
          <w:color w:val="auto"/>
        </w:rPr>
        <w:t>1.42</w:t>
      </w:r>
    </w:p>
    <w:p>
      <w:pPr>
        <w:jc w:val="center"/>
        <w:ind w:right="9179"/>
        <w:spacing w:after="0" w:line="237" w:lineRule="auto"/>
        <w:rPr>
          <w:sz w:val="20"/>
          <w:szCs w:val="20"/>
          <w:color w:val="auto"/>
        </w:rPr>
      </w:pPr>
      <w:r>
        <w:rPr>
          <w:rFonts w:ascii="Courier New" w:cs="Courier New" w:eastAsia="Courier New" w:hAnsi="Courier New"/>
          <w:sz w:val="15"/>
          <w:szCs w:val="15"/>
          <w:color w:val="auto"/>
        </w:rPr>
        <w:t>Options</w:t>
      </w:r>
    </w:p>
    <w:p>
      <w:pPr>
        <w:jc w:val="center"/>
        <w:ind w:right="9179"/>
        <w:spacing w:after="0" w:line="238" w:lineRule="auto"/>
        <w:rPr>
          <w:sz w:val="20"/>
          <w:szCs w:val="20"/>
          <w:color w:val="auto"/>
        </w:rPr>
      </w:pPr>
      <w:r>
        <w:rPr>
          <w:rFonts w:ascii="Courier New" w:cs="Courier New" w:eastAsia="Courier New" w:hAnsi="Courier New"/>
          <w:sz w:val="15"/>
          <w:szCs w:val="15"/>
          <w:color w:val="auto"/>
        </w:rPr>
        <w:t>cancelled</w:t>
      </w:r>
    </w:p>
    <w:p>
      <w:pPr>
        <w:jc w:val="center"/>
        <w:ind w:right="9179"/>
        <w:spacing w:after="0" w:line="237" w:lineRule="auto"/>
        <w:rPr>
          <w:sz w:val="20"/>
          <w:szCs w:val="20"/>
          <w:color w:val="auto"/>
        </w:rPr>
      </w:pPr>
      <w:r>
        <w:rPr>
          <w:rFonts w:ascii="Courier New" w:cs="Courier New" w:eastAsia="Courier New" w:hAnsi="Courier New"/>
          <w:sz w:val="15"/>
          <w:szCs w:val="15"/>
          <w:color w:val="auto"/>
        </w:rPr>
        <w:t>(1,351,800)</w:t>
      </w:r>
    </w:p>
    <w:p>
      <w:pPr>
        <w:jc w:val="center"/>
        <w:ind w:right="9179"/>
        <w:spacing w:after="0" w:line="238" w:lineRule="auto"/>
        <w:rPr>
          <w:sz w:val="20"/>
          <w:szCs w:val="20"/>
          <w:color w:val="auto"/>
        </w:rPr>
      </w:pPr>
      <w:r>
        <w:rPr>
          <w:rFonts w:ascii="Courier New" w:cs="Courier New" w:eastAsia="Courier New" w:hAnsi="Courier New"/>
          <w:sz w:val="15"/>
          <w:szCs w:val="15"/>
          <w:color w:val="auto"/>
        </w:rPr>
        <w:t>26.81 -----</w:t>
      </w:r>
    </w:p>
    <w:p>
      <w:pPr>
        <w:ind w:left="60"/>
        <w:spacing w:after="0" w:line="238" w:lineRule="auto"/>
        <w:rPr>
          <w:sz w:val="20"/>
          <w:szCs w:val="20"/>
          <w:color w:val="auto"/>
        </w:rPr>
      </w:pPr>
      <w:r>
        <w:rPr>
          <w:rFonts w:ascii="Courier New" w:cs="Courier New" w:eastAsia="Courier New" w:hAnsi="Courier New"/>
          <w:sz w:val="15"/>
          <w:szCs w:val="15"/>
          <w:color w:val="auto"/>
        </w:rPr>
        <w:t>----- -----</w:t>
      </w:r>
    </w:p>
    <w:p>
      <w:pPr>
        <w:jc w:val="center"/>
        <w:ind w:right="9179"/>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Outstanding,</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December</w:t>
      </w:r>
    </w:p>
    <w:p>
      <w:pPr>
        <w:jc w:val="center"/>
        <w:ind w:right="9179"/>
        <w:spacing w:after="0" w:line="237" w:lineRule="auto"/>
        <w:rPr>
          <w:sz w:val="20"/>
          <w:szCs w:val="20"/>
          <w:color w:val="auto"/>
        </w:rPr>
      </w:pPr>
      <w:r>
        <w:rPr>
          <w:rFonts w:ascii="Courier New" w:cs="Courier New" w:eastAsia="Courier New" w:hAnsi="Courier New"/>
          <w:sz w:val="15"/>
          <w:szCs w:val="15"/>
          <w:color w:val="auto"/>
        </w:rPr>
        <w:t>31, 1997</w:t>
      </w:r>
    </w:p>
    <w:p>
      <w:pPr>
        <w:jc w:val="center"/>
        <w:ind w:right="9179"/>
        <w:spacing w:after="0" w:line="238" w:lineRule="auto"/>
        <w:rPr>
          <w:sz w:val="20"/>
          <w:szCs w:val="20"/>
          <w:color w:val="auto"/>
        </w:rPr>
      </w:pPr>
      <w:r>
        <w:rPr>
          <w:rFonts w:ascii="Courier New" w:cs="Courier New" w:eastAsia="Courier New" w:hAnsi="Courier New"/>
          <w:sz w:val="15"/>
          <w:szCs w:val="15"/>
          <w:color w:val="auto"/>
        </w:rPr>
        <w:t>(1,120,500</w:t>
      </w:r>
    </w:p>
    <w:p>
      <w:pPr>
        <w:jc w:val="center"/>
        <w:ind w:right="9179"/>
        <w:spacing w:after="0" w:line="237" w:lineRule="auto"/>
        <w:rPr>
          <w:sz w:val="20"/>
          <w:szCs w:val="20"/>
          <w:color w:val="auto"/>
        </w:rPr>
      </w:pPr>
      <w:r>
        <w:rPr>
          <w:rFonts w:ascii="Courier New" w:cs="Courier New" w:eastAsia="Courier New" w:hAnsi="Courier New"/>
          <w:sz w:val="15"/>
          <w:szCs w:val="15"/>
          <w:color w:val="auto"/>
        </w:rPr>
        <w:t>exercisable</w:t>
      </w:r>
    </w:p>
    <w:p>
      <w:pPr>
        <w:jc w:val="center"/>
        <w:ind w:right="9179"/>
        <w:spacing w:after="0" w:line="238" w:lineRule="auto"/>
        <w:rPr>
          <w:sz w:val="20"/>
          <w:szCs w:val="20"/>
          <w:color w:val="auto"/>
        </w:rPr>
      </w:pPr>
      <w:r>
        <w:rPr>
          <w:rFonts w:ascii="Courier New" w:cs="Courier New" w:eastAsia="Courier New" w:hAnsi="Courier New"/>
          <w:sz w:val="15"/>
          <w:szCs w:val="15"/>
          <w:color w:val="auto"/>
        </w:rPr>
        <w:t>at a</w:t>
      </w:r>
    </w:p>
    <w:p>
      <w:pPr>
        <w:jc w:val="center"/>
        <w:ind w:right="9179"/>
        <w:spacing w:after="0" w:line="237" w:lineRule="auto"/>
        <w:rPr>
          <w:sz w:val="20"/>
          <w:szCs w:val="20"/>
          <w:color w:val="auto"/>
        </w:rPr>
      </w:pPr>
      <w:r>
        <w:rPr>
          <w:rFonts w:ascii="Courier New" w:cs="Courier New" w:eastAsia="Courier New" w:hAnsi="Courier New"/>
          <w:sz w:val="15"/>
          <w:szCs w:val="15"/>
          <w:color w:val="auto"/>
        </w:rPr>
        <w:t>weighted</w:t>
      </w:r>
    </w:p>
    <w:p>
      <w:pPr>
        <w:jc w:val="center"/>
        <w:ind w:right="9179"/>
        <w:spacing w:after="0" w:line="238" w:lineRule="auto"/>
        <w:rPr>
          <w:sz w:val="20"/>
          <w:szCs w:val="20"/>
          <w:color w:val="auto"/>
        </w:rPr>
      </w:pPr>
      <w:r>
        <w:rPr>
          <w:rFonts w:ascii="Courier New" w:cs="Courier New" w:eastAsia="Courier New" w:hAnsi="Courier New"/>
          <w:sz w:val="15"/>
          <w:szCs w:val="15"/>
          <w:color w:val="auto"/>
        </w:rPr>
        <w:t>average</w:t>
      </w:r>
    </w:p>
    <w:p>
      <w:pPr>
        <w:jc w:val="center"/>
        <w:ind w:right="9179"/>
        <w:spacing w:after="0" w:line="237" w:lineRule="auto"/>
        <w:rPr>
          <w:sz w:val="20"/>
          <w:szCs w:val="20"/>
          <w:color w:val="auto"/>
        </w:rPr>
      </w:pPr>
      <w:r>
        <w:rPr>
          <w:rFonts w:ascii="Courier New" w:cs="Courier New" w:eastAsia="Courier New" w:hAnsi="Courier New"/>
          <w:sz w:val="15"/>
          <w:szCs w:val="15"/>
          <w:color w:val="auto"/>
        </w:rPr>
        <w:t>price of</w:t>
      </w:r>
    </w:p>
    <w:p>
      <w:pPr>
        <w:jc w:val="center"/>
        <w:ind w:right="9179"/>
        <w:spacing w:after="0" w:line="238" w:lineRule="auto"/>
        <w:rPr>
          <w:sz w:val="20"/>
          <w:szCs w:val="20"/>
          <w:color w:val="auto"/>
        </w:rPr>
      </w:pPr>
      <w:r>
        <w:rPr>
          <w:rFonts w:ascii="Courier New" w:cs="Courier New" w:eastAsia="Courier New" w:hAnsi="Courier New"/>
          <w:sz w:val="15"/>
          <w:szCs w:val="15"/>
          <w:color w:val="auto"/>
        </w:rPr>
        <w:t>$4.02)</w:t>
      </w:r>
    </w:p>
    <w:p>
      <w:pPr>
        <w:jc w:val="center"/>
        <w:ind w:right="9179"/>
        <w:spacing w:after="0" w:line="238" w:lineRule="auto"/>
        <w:rPr>
          <w:sz w:val="20"/>
          <w:szCs w:val="20"/>
          <w:color w:val="auto"/>
        </w:rPr>
      </w:pPr>
      <w:r>
        <w:rPr>
          <w:rFonts w:ascii="Courier New" w:cs="Courier New" w:eastAsia="Courier New" w:hAnsi="Courier New"/>
          <w:sz w:val="15"/>
          <w:szCs w:val="15"/>
          <w:color w:val="auto"/>
        </w:rPr>
        <w:t>3,188,900</w:t>
      </w:r>
    </w:p>
    <w:p>
      <w:pPr>
        <w:jc w:val="center"/>
        <w:ind w:right="9179"/>
        <w:spacing w:after="0" w:line="237" w:lineRule="auto"/>
        <w:rPr>
          <w:sz w:val="20"/>
          <w:szCs w:val="20"/>
          <w:color w:val="auto"/>
        </w:rPr>
      </w:pPr>
      <w:r>
        <w:rPr>
          <w:rFonts w:ascii="Courier New" w:cs="Courier New" w:eastAsia="Courier New" w:hAnsi="Courier New"/>
          <w:sz w:val="15"/>
          <w:szCs w:val="15"/>
          <w:color w:val="auto"/>
        </w:rPr>
        <w:t>9.71</w:t>
      </w:r>
    </w:p>
    <w:p>
      <w:pPr>
        <w:jc w:val="center"/>
        <w:ind w:right="9179"/>
        <w:spacing w:after="0" w:line="238" w:lineRule="auto"/>
        <w:rPr>
          <w:sz w:val="20"/>
          <w:szCs w:val="20"/>
          <w:color w:val="auto"/>
        </w:rPr>
      </w:pPr>
      <w:r>
        <w:rPr>
          <w:rFonts w:ascii="Courier New" w:cs="Courier New" w:eastAsia="Courier New" w:hAnsi="Courier New"/>
          <w:sz w:val="15"/>
          <w:szCs w:val="15"/>
          <w:color w:val="auto"/>
        </w:rPr>
        <w:t>Options</w:t>
      </w:r>
    </w:p>
    <w:p>
      <w:pPr>
        <w:jc w:val="center"/>
        <w:ind w:right="9179"/>
        <w:spacing w:after="0" w:line="237" w:lineRule="auto"/>
        <w:rPr>
          <w:sz w:val="20"/>
          <w:szCs w:val="20"/>
          <w:color w:val="auto"/>
        </w:rPr>
      </w:pPr>
      <w:r>
        <w:rPr>
          <w:rFonts w:ascii="Courier New" w:cs="Courier New" w:eastAsia="Courier New" w:hAnsi="Courier New"/>
          <w:sz w:val="15"/>
          <w:szCs w:val="15"/>
          <w:color w:val="auto"/>
        </w:rPr>
        <w:t>granted</w:t>
      </w:r>
    </w:p>
    <w:p>
      <w:pPr>
        <w:jc w:val="center"/>
        <w:ind w:right="9179"/>
        <w:spacing w:after="0" w:line="238" w:lineRule="auto"/>
        <w:rPr>
          <w:sz w:val="20"/>
          <w:szCs w:val="20"/>
          <w:color w:val="auto"/>
        </w:rPr>
      </w:pPr>
      <w:r>
        <w:rPr>
          <w:rFonts w:ascii="Courier New" w:cs="Courier New" w:eastAsia="Courier New" w:hAnsi="Courier New"/>
          <w:sz w:val="15"/>
          <w:szCs w:val="15"/>
          <w:color w:val="auto"/>
        </w:rPr>
        <w:t>2,635,300</w:t>
      </w:r>
    </w:p>
    <w:p>
      <w:pPr>
        <w:jc w:val="center"/>
        <w:ind w:right="9179"/>
        <w:spacing w:after="0" w:line="237" w:lineRule="auto"/>
        <w:rPr>
          <w:sz w:val="20"/>
          <w:szCs w:val="20"/>
          <w:color w:val="auto"/>
        </w:rPr>
      </w:pPr>
      <w:r>
        <w:rPr>
          <w:rFonts w:ascii="Courier New" w:cs="Courier New" w:eastAsia="Courier New" w:hAnsi="Courier New"/>
          <w:sz w:val="15"/>
          <w:szCs w:val="15"/>
          <w:color w:val="auto"/>
        </w:rPr>
        <w:t>12.88</w:t>
      </w:r>
    </w:p>
    <w:p>
      <w:pPr>
        <w:jc w:val="center"/>
        <w:ind w:right="9179"/>
        <w:spacing w:after="0" w:line="238" w:lineRule="auto"/>
        <w:rPr>
          <w:sz w:val="20"/>
          <w:szCs w:val="20"/>
          <w:color w:val="auto"/>
        </w:rPr>
      </w:pPr>
      <w:r>
        <w:rPr>
          <w:rFonts w:ascii="Courier New" w:cs="Courier New" w:eastAsia="Courier New" w:hAnsi="Courier New"/>
          <w:sz w:val="15"/>
          <w:szCs w:val="15"/>
          <w:color w:val="auto"/>
        </w:rPr>
        <w:t>Options</w:t>
      </w:r>
    </w:p>
    <w:p>
      <w:pPr>
        <w:jc w:val="center"/>
        <w:ind w:right="9179"/>
        <w:spacing w:after="0" w:line="238" w:lineRule="auto"/>
        <w:rPr>
          <w:sz w:val="20"/>
          <w:szCs w:val="20"/>
          <w:color w:val="auto"/>
        </w:rPr>
      </w:pPr>
      <w:r>
        <w:rPr>
          <w:rFonts w:ascii="Courier New" w:cs="Courier New" w:eastAsia="Courier New" w:hAnsi="Courier New"/>
          <w:sz w:val="15"/>
          <w:szCs w:val="15"/>
          <w:color w:val="auto"/>
        </w:rPr>
        <w:t>exercised</w:t>
      </w:r>
    </w:p>
    <w:p>
      <w:pPr>
        <w:jc w:val="center"/>
        <w:ind w:right="9179"/>
        <w:spacing w:after="0" w:line="237" w:lineRule="auto"/>
        <w:rPr>
          <w:sz w:val="20"/>
          <w:szCs w:val="20"/>
          <w:color w:val="auto"/>
        </w:rPr>
      </w:pPr>
      <w:r>
        <w:rPr>
          <w:rFonts w:ascii="Courier New" w:cs="Courier New" w:eastAsia="Courier New" w:hAnsi="Courier New"/>
          <w:sz w:val="15"/>
          <w:szCs w:val="15"/>
          <w:color w:val="auto"/>
        </w:rPr>
        <w:t>(369,100)</w:t>
      </w:r>
    </w:p>
    <w:p>
      <w:pPr>
        <w:jc w:val="center"/>
        <w:ind w:right="9179"/>
        <w:spacing w:after="0" w:line="238" w:lineRule="auto"/>
        <w:rPr>
          <w:sz w:val="20"/>
          <w:szCs w:val="20"/>
          <w:color w:val="auto"/>
        </w:rPr>
      </w:pPr>
      <w:r>
        <w:rPr>
          <w:rFonts w:ascii="Courier New" w:cs="Courier New" w:eastAsia="Courier New" w:hAnsi="Courier New"/>
          <w:sz w:val="15"/>
          <w:szCs w:val="15"/>
          <w:color w:val="auto"/>
        </w:rPr>
        <w:t>3.88</w:t>
      </w:r>
    </w:p>
    <w:p>
      <w:pPr>
        <w:jc w:val="center"/>
        <w:ind w:right="9179"/>
        <w:spacing w:after="0" w:line="237" w:lineRule="auto"/>
        <w:rPr>
          <w:sz w:val="20"/>
          <w:szCs w:val="20"/>
          <w:color w:val="auto"/>
        </w:rPr>
      </w:pPr>
      <w:r>
        <w:rPr>
          <w:rFonts w:ascii="Courier New" w:cs="Courier New" w:eastAsia="Courier New" w:hAnsi="Courier New"/>
          <w:sz w:val="15"/>
          <w:szCs w:val="15"/>
          <w:color w:val="auto"/>
        </w:rPr>
        <w:t>Options</w:t>
      </w:r>
    </w:p>
    <w:p>
      <w:pPr>
        <w:jc w:val="center"/>
        <w:ind w:right="9179"/>
        <w:spacing w:after="0" w:line="238" w:lineRule="auto"/>
        <w:rPr>
          <w:sz w:val="20"/>
          <w:szCs w:val="20"/>
          <w:color w:val="auto"/>
        </w:rPr>
      </w:pPr>
      <w:r>
        <w:rPr>
          <w:rFonts w:ascii="Courier New" w:cs="Courier New" w:eastAsia="Courier New" w:hAnsi="Courier New"/>
          <w:sz w:val="15"/>
          <w:szCs w:val="15"/>
          <w:color w:val="auto"/>
        </w:rPr>
        <w:t>cancelled</w:t>
      </w:r>
    </w:p>
    <w:p>
      <w:pPr>
        <w:jc w:val="center"/>
        <w:ind w:right="9179"/>
        <w:spacing w:after="0" w:line="237" w:lineRule="auto"/>
        <w:rPr>
          <w:sz w:val="20"/>
          <w:szCs w:val="20"/>
          <w:color w:val="auto"/>
        </w:rPr>
      </w:pPr>
      <w:r>
        <w:rPr>
          <w:rFonts w:ascii="Courier New" w:cs="Courier New" w:eastAsia="Courier New" w:hAnsi="Courier New"/>
          <w:sz w:val="15"/>
          <w:szCs w:val="15"/>
          <w:color w:val="auto"/>
        </w:rPr>
        <w:t>(597,500)</w:t>
      </w:r>
    </w:p>
    <w:p>
      <w:pPr>
        <w:jc w:val="center"/>
        <w:ind w:right="9179"/>
        <w:spacing w:after="0" w:line="238" w:lineRule="auto"/>
        <w:rPr>
          <w:sz w:val="20"/>
          <w:szCs w:val="20"/>
          <w:color w:val="auto"/>
        </w:rPr>
      </w:pPr>
      <w:r>
        <w:rPr>
          <w:rFonts w:ascii="Courier New" w:cs="Courier New" w:eastAsia="Courier New" w:hAnsi="Courier New"/>
          <w:sz w:val="15"/>
          <w:szCs w:val="15"/>
          <w:color w:val="auto"/>
        </w:rPr>
        <w:t>11.99 -----</w:t>
      </w:r>
    </w:p>
    <w:p>
      <w:pPr>
        <w:ind w:left="60"/>
        <w:spacing w:after="0" w:line="238" w:lineRule="auto"/>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39"/>
          </w:cols>
          <w:pgMar w:left="220" w:top="792" w:right="1440" w:bottom="0" w:gutter="0" w:footer="0" w:header="0"/>
        </w:sectPr>
      </w:pPr>
    </w:p>
    <w:bookmarkStart w:id="21" w:name="page22"/>
    <w:bookmarkEnd w:id="21"/>
    <w:p>
      <w:pPr>
        <w:jc w:val="center"/>
        <w:ind w:right="917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Outstanding,</w:t>
      </w:r>
    </w:p>
    <w:p>
      <w:pPr>
        <w:spacing w:after="0" w:line="3"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December</w:t>
      </w:r>
    </w:p>
    <w:p>
      <w:pPr>
        <w:jc w:val="center"/>
        <w:ind w:right="9179"/>
        <w:spacing w:after="0" w:line="237" w:lineRule="auto"/>
        <w:rPr>
          <w:sz w:val="20"/>
          <w:szCs w:val="20"/>
          <w:color w:val="auto"/>
        </w:rPr>
      </w:pPr>
      <w:r>
        <w:rPr>
          <w:rFonts w:ascii="Courier New" w:cs="Courier New" w:eastAsia="Courier New" w:hAnsi="Courier New"/>
          <w:sz w:val="15"/>
          <w:szCs w:val="15"/>
          <w:color w:val="auto"/>
        </w:rPr>
        <w:t>31, 1998</w:t>
      </w:r>
    </w:p>
    <w:p>
      <w:pPr>
        <w:jc w:val="center"/>
        <w:ind w:right="9179"/>
        <w:spacing w:after="0" w:line="238" w:lineRule="auto"/>
        <w:rPr>
          <w:sz w:val="20"/>
          <w:szCs w:val="20"/>
          <w:color w:val="auto"/>
        </w:rPr>
      </w:pPr>
      <w:r>
        <w:rPr>
          <w:rFonts w:ascii="Courier New" w:cs="Courier New" w:eastAsia="Courier New" w:hAnsi="Courier New"/>
          <w:sz w:val="15"/>
          <w:szCs w:val="15"/>
          <w:color w:val="auto"/>
        </w:rPr>
        <w:t>(1,343,100</w:t>
      </w:r>
    </w:p>
    <w:p>
      <w:pPr>
        <w:jc w:val="center"/>
        <w:ind w:right="9179"/>
        <w:spacing w:after="0" w:line="237" w:lineRule="auto"/>
        <w:rPr>
          <w:sz w:val="20"/>
          <w:szCs w:val="20"/>
          <w:color w:val="auto"/>
        </w:rPr>
      </w:pPr>
      <w:r>
        <w:rPr>
          <w:rFonts w:ascii="Courier New" w:cs="Courier New" w:eastAsia="Courier New" w:hAnsi="Courier New"/>
          <w:sz w:val="15"/>
          <w:szCs w:val="15"/>
          <w:color w:val="auto"/>
        </w:rPr>
        <w:t>exercisable</w:t>
      </w:r>
    </w:p>
    <w:p>
      <w:pPr>
        <w:jc w:val="center"/>
        <w:ind w:right="9179"/>
        <w:spacing w:after="0" w:line="238" w:lineRule="auto"/>
        <w:rPr>
          <w:sz w:val="20"/>
          <w:szCs w:val="20"/>
          <w:color w:val="auto"/>
        </w:rPr>
      </w:pPr>
      <w:r>
        <w:rPr>
          <w:rFonts w:ascii="Courier New" w:cs="Courier New" w:eastAsia="Courier New" w:hAnsi="Courier New"/>
          <w:sz w:val="15"/>
          <w:szCs w:val="15"/>
          <w:color w:val="auto"/>
        </w:rPr>
        <w:t>at a</w:t>
      </w:r>
    </w:p>
    <w:p>
      <w:pPr>
        <w:jc w:val="center"/>
        <w:ind w:right="9179"/>
        <w:spacing w:after="0" w:line="237" w:lineRule="auto"/>
        <w:rPr>
          <w:sz w:val="20"/>
          <w:szCs w:val="20"/>
          <w:color w:val="auto"/>
        </w:rPr>
      </w:pPr>
      <w:r>
        <w:rPr>
          <w:rFonts w:ascii="Courier New" w:cs="Courier New" w:eastAsia="Courier New" w:hAnsi="Courier New"/>
          <w:sz w:val="15"/>
          <w:szCs w:val="15"/>
          <w:color w:val="auto"/>
        </w:rPr>
        <w:t>weighted</w:t>
      </w:r>
    </w:p>
    <w:p>
      <w:pPr>
        <w:jc w:val="center"/>
        <w:ind w:right="9179"/>
        <w:spacing w:after="0" w:line="238" w:lineRule="auto"/>
        <w:rPr>
          <w:sz w:val="20"/>
          <w:szCs w:val="20"/>
          <w:color w:val="auto"/>
        </w:rPr>
      </w:pPr>
      <w:r>
        <w:rPr>
          <w:rFonts w:ascii="Courier New" w:cs="Courier New" w:eastAsia="Courier New" w:hAnsi="Courier New"/>
          <w:sz w:val="15"/>
          <w:szCs w:val="15"/>
          <w:color w:val="auto"/>
        </w:rPr>
        <w:t>average</w:t>
      </w:r>
    </w:p>
    <w:p>
      <w:pPr>
        <w:jc w:val="center"/>
        <w:ind w:right="9179"/>
        <w:spacing w:after="0" w:line="237" w:lineRule="auto"/>
        <w:rPr>
          <w:sz w:val="20"/>
          <w:szCs w:val="20"/>
          <w:color w:val="auto"/>
        </w:rPr>
      </w:pPr>
      <w:r>
        <w:rPr>
          <w:rFonts w:ascii="Courier New" w:cs="Courier New" w:eastAsia="Courier New" w:hAnsi="Courier New"/>
          <w:sz w:val="15"/>
          <w:szCs w:val="15"/>
          <w:color w:val="auto"/>
        </w:rPr>
        <w:t>price of</w:t>
      </w:r>
    </w:p>
    <w:p>
      <w:pPr>
        <w:jc w:val="center"/>
        <w:ind w:right="9179"/>
        <w:spacing w:after="0" w:line="238" w:lineRule="auto"/>
        <w:rPr>
          <w:sz w:val="20"/>
          <w:szCs w:val="20"/>
          <w:color w:val="auto"/>
        </w:rPr>
      </w:pPr>
      <w:r>
        <w:rPr>
          <w:rFonts w:ascii="Courier New" w:cs="Courier New" w:eastAsia="Courier New" w:hAnsi="Courier New"/>
          <w:sz w:val="15"/>
          <w:szCs w:val="15"/>
          <w:color w:val="auto"/>
        </w:rPr>
        <w:t>$8.30)</w:t>
      </w:r>
    </w:p>
    <w:p>
      <w:pPr>
        <w:jc w:val="center"/>
        <w:ind w:right="9179"/>
        <w:spacing w:after="0" w:line="238" w:lineRule="auto"/>
        <w:rPr>
          <w:sz w:val="20"/>
          <w:szCs w:val="20"/>
          <w:color w:val="auto"/>
        </w:rPr>
      </w:pPr>
      <w:r>
        <w:rPr>
          <w:rFonts w:ascii="Courier New" w:cs="Courier New" w:eastAsia="Courier New" w:hAnsi="Courier New"/>
          <w:sz w:val="15"/>
          <w:szCs w:val="15"/>
          <w:color w:val="auto"/>
        </w:rPr>
        <w:t>4,857,600 $</w:t>
      </w:r>
    </w:p>
    <w:p>
      <w:pPr>
        <w:jc w:val="center"/>
        <w:ind w:right="9179"/>
        <w:spacing w:after="0" w:line="237" w:lineRule="auto"/>
        <w:rPr>
          <w:sz w:val="20"/>
          <w:szCs w:val="20"/>
          <w:color w:val="auto"/>
        </w:rPr>
      </w:pPr>
      <w:r>
        <w:rPr>
          <w:rFonts w:ascii="Courier New" w:cs="Courier New" w:eastAsia="Courier New" w:hAnsi="Courier New"/>
          <w:sz w:val="15"/>
          <w:szCs w:val="15"/>
          <w:color w:val="auto"/>
        </w:rPr>
        <w:t>11.59</w:t>
      </w:r>
    </w:p>
    <w:p>
      <w:pPr>
        <w:jc w:val="center"/>
        <w:ind w:right="9179"/>
        <w:spacing w:after="0" w:line="238" w:lineRule="auto"/>
        <w:rPr>
          <w:sz w:val="20"/>
          <w:szCs w:val="20"/>
          <w:color w:val="auto"/>
        </w:rPr>
      </w:pPr>
      <w:r>
        <w:rPr>
          <w:rFonts w:ascii="Courier New" w:cs="Courier New" w:eastAsia="Courier New" w:hAnsi="Courier New"/>
          <w:sz w:val="15"/>
          <w:szCs w:val="15"/>
          <w:color w:val="auto"/>
        </w:rPr>
        <w:t>==========</w:t>
      </w:r>
    </w:p>
    <w:p>
      <w:pPr>
        <w:jc w:val="center"/>
        <w:ind w:right="9179"/>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weighted average fair value of options granted for 1996, 1997 and 1998 was $12.82, $5.88 and $7.75, respectively.</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At December 31, 1998, approximately 10,000 shares of common stock issued under the 1991 Plan were subject to repurchase. At December 31, 1998, an aggregate of approximately 455,100 shares were available for future grant under the 1991 and 1995 plans.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information applies to options outstanding at December 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w:t>
      </w:r>
    </w:p>
    <w:p>
      <w:pPr>
        <w:spacing w:after="0" w:line="166"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Options</w:t>
      </w:r>
    </w:p>
    <w:p>
      <w:pPr>
        <w:jc w:val="center"/>
        <w:ind w:right="8919"/>
        <w:spacing w:after="0" w:line="237" w:lineRule="auto"/>
        <w:rPr>
          <w:sz w:val="20"/>
          <w:szCs w:val="20"/>
          <w:color w:val="auto"/>
        </w:rPr>
      </w:pPr>
      <w:r>
        <w:rPr>
          <w:rFonts w:ascii="Courier New" w:cs="Courier New" w:eastAsia="Courier New" w:hAnsi="Courier New"/>
          <w:sz w:val="15"/>
          <w:szCs w:val="15"/>
          <w:color w:val="auto"/>
        </w:rPr>
        <w:t>Outstanding</w:t>
      </w:r>
    </w:p>
    <w:p>
      <w:pPr>
        <w:jc w:val="center"/>
        <w:ind w:right="8919"/>
        <w:spacing w:after="0" w:line="238" w:lineRule="auto"/>
        <w:rPr>
          <w:sz w:val="20"/>
          <w:szCs w:val="20"/>
          <w:color w:val="auto"/>
        </w:rPr>
      </w:pPr>
      <w:r>
        <w:rPr>
          <w:rFonts w:ascii="Courier New" w:cs="Courier New" w:eastAsia="Courier New" w:hAnsi="Courier New"/>
          <w:sz w:val="15"/>
          <w:szCs w:val="15"/>
          <w:color w:val="auto"/>
        </w:rPr>
        <w:t>Options</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Exercisable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38" w:lineRule="auto"/>
        <w:rPr>
          <w:sz w:val="20"/>
          <w:szCs w:val="20"/>
          <w:color w:val="auto"/>
        </w:rPr>
      </w:pPr>
      <w:r>
        <w:rPr>
          <w:rFonts w:ascii="Courier New" w:cs="Courier New" w:eastAsia="Courier New" w:hAnsi="Courier New"/>
          <w:sz w:val="15"/>
          <w:szCs w:val="15"/>
          <w:color w:val="auto"/>
        </w:rPr>
        <w:t>---------------</w:t>
      </w:r>
    </w:p>
    <w:p>
      <w:pPr>
        <w:ind w:left="220"/>
        <w:spacing w:after="0" w:line="237" w:lineRule="auto"/>
        <w:rPr>
          <w:sz w:val="20"/>
          <w:szCs w:val="20"/>
          <w:color w:val="auto"/>
        </w:rPr>
      </w:pPr>
      <w:r>
        <w:rPr>
          <w:rFonts w:ascii="Courier New" w:cs="Courier New" w:eastAsia="Courier New" w:hAnsi="Courier New"/>
          <w:sz w:val="15"/>
          <w:szCs w:val="15"/>
          <w:color w:val="auto"/>
        </w:rPr>
        <w:t>----------</w:t>
      </w:r>
    </w:p>
    <w:p>
      <w:pPr>
        <w:jc w:val="center"/>
        <w:ind w:right="8919"/>
        <w:spacing w:after="0" w:line="238" w:lineRule="auto"/>
        <w:rPr>
          <w:sz w:val="20"/>
          <w:szCs w:val="20"/>
          <w:color w:val="auto"/>
        </w:rPr>
      </w:pPr>
      <w:r>
        <w:rPr>
          <w:rFonts w:ascii="Courier New" w:cs="Courier New" w:eastAsia="Courier New" w:hAnsi="Courier New"/>
          <w:sz w:val="15"/>
          <w:szCs w:val="15"/>
          <w:color w:val="auto"/>
        </w:rPr>
        <w:t>Weighted</w:t>
      </w:r>
    </w:p>
    <w:p>
      <w:pPr>
        <w:jc w:val="center"/>
        <w:ind w:right="8919"/>
        <w:spacing w:after="0" w:line="237" w:lineRule="auto"/>
        <w:rPr>
          <w:sz w:val="20"/>
          <w:szCs w:val="20"/>
          <w:color w:val="auto"/>
        </w:rPr>
      </w:pPr>
      <w:r>
        <w:rPr>
          <w:rFonts w:ascii="Courier New" w:cs="Courier New" w:eastAsia="Courier New" w:hAnsi="Courier New"/>
          <w:sz w:val="15"/>
          <w:szCs w:val="15"/>
          <w:color w:val="auto"/>
        </w:rPr>
        <w:t>Average</w:t>
      </w:r>
    </w:p>
    <w:p>
      <w:pPr>
        <w:jc w:val="center"/>
        <w:ind w:right="8919"/>
        <w:spacing w:after="0" w:line="238" w:lineRule="auto"/>
        <w:rPr>
          <w:sz w:val="20"/>
          <w:szCs w:val="20"/>
          <w:color w:val="auto"/>
        </w:rPr>
      </w:pPr>
      <w:r>
        <w:rPr>
          <w:rFonts w:ascii="Courier New" w:cs="Courier New" w:eastAsia="Courier New" w:hAnsi="Courier New"/>
          <w:sz w:val="15"/>
          <w:szCs w:val="15"/>
          <w:color w:val="auto"/>
        </w:rPr>
        <w:t>Remaining</w:t>
      </w:r>
    </w:p>
    <w:p>
      <w:pPr>
        <w:jc w:val="center"/>
        <w:ind w:right="8919"/>
        <w:spacing w:after="0" w:line="238" w:lineRule="auto"/>
        <w:rPr>
          <w:sz w:val="20"/>
          <w:szCs w:val="20"/>
          <w:color w:val="auto"/>
        </w:rPr>
      </w:pPr>
      <w:r>
        <w:rPr>
          <w:rFonts w:ascii="Courier New" w:cs="Courier New" w:eastAsia="Courier New" w:hAnsi="Courier New"/>
          <w:sz w:val="15"/>
          <w:szCs w:val="15"/>
          <w:color w:val="auto"/>
        </w:rPr>
        <w:t>Weighted</w:t>
      </w:r>
    </w:p>
    <w:p>
      <w:pPr>
        <w:jc w:val="center"/>
        <w:ind w:right="8919"/>
        <w:spacing w:after="0" w:line="237" w:lineRule="auto"/>
        <w:rPr>
          <w:sz w:val="20"/>
          <w:szCs w:val="20"/>
          <w:color w:val="auto"/>
        </w:rPr>
      </w:pPr>
      <w:r>
        <w:rPr>
          <w:rFonts w:ascii="Courier New" w:cs="Courier New" w:eastAsia="Courier New" w:hAnsi="Courier New"/>
          <w:sz w:val="15"/>
          <w:szCs w:val="15"/>
          <w:color w:val="auto"/>
        </w:rPr>
        <w:t>Weighted Range</w:t>
      </w:r>
    </w:p>
    <w:p>
      <w:pPr>
        <w:jc w:val="center"/>
        <w:ind w:right="8919"/>
        <w:spacing w:after="0" w:line="238" w:lineRule="auto"/>
        <w:rPr>
          <w:sz w:val="20"/>
          <w:szCs w:val="20"/>
          <w:color w:val="auto"/>
        </w:rPr>
      </w:pPr>
      <w:r>
        <w:rPr>
          <w:rFonts w:ascii="Courier New" w:cs="Courier New" w:eastAsia="Courier New" w:hAnsi="Courier New"/>
          <w:sz w:val="15"/>
          <w:szCs w:val="15"/>
          <w:color w:val="auto"/>
        </w:rPr>
        <w:t>of Number</w:t>
      </w:r>
    </w:p>
    <w:p>
      <w:pPr>
        <w:jc w:val="center"/>
        <w:ind w:right="8919"/>
        <w:spacing w:after="0" w:line="237" w:lineRule="auto"/>
        <w:rPr>
          <w:sz w:val="20"/>
          <w:szCs w:val="20"/>
          <w:color w:val="auto"/>
        </w:rPr>
      </w:pPr>
      <w:r>
        <w:rPr>
          <w:rFonts w:ascii="Courier New" w:cs="Courier New" w:eastAsia="Courier New" w:hAnsi="Courier New"/>
          <w:sz w:val="15"/>
          <w:szCs w:val="15"/>
          <w:color w:val="auto"/>
        </w:rPr>
        <w:t>Contractual</w:t>
      </w:r>
    </w:p>
    <w:p>
      <w:pPr>
        <w:jc w:val="center"/>
        <w:ind w:right="8919"/>
        <w:spacing w:after="0" w:line="238" w:lineRule="auto"/>
        <w:rPr>
          <w:sz w:val="20"/>
          <w:szCs w:val="20"/>
          <w:color w:val="auto"/>
        </w:rPr>
      </w:pPr>
      <w:r>
        <w:rPr>
          <w:rFonts w:ascii="Courier New" w:cs="Courier New" w:eastAsia="Courier New" w:hAnsi="Courier New"/>
          <w:sz w:val="15"/>
          <w:szCs w:val="15"/>
          <w:color w:val="auto"/>
        </w:rPr>
        <w:t>Average Number</w:t>
      </w:r>
    </w:p>
    <w:p>
      <w:pPr>
        <w:jc w:val="center"/>
        <w:ind w:right="8919"/>
        <w:spacing w:after="0" w:line="237" w:lineRule="auto"/>
        <w:rPr>
          <w:sz w:val="20"/>
          <w:szCs w:val="20"/>
          <w:color w:val="auto"/>
        </w:rPr>
      </w:pPr>
      <w:r>
        <w:rPr>
          <w:rFonts w:ascii="Courier New" w:cs="Courier New" w:eastAsia="Courier New" w:hAnsi="Courier New"/>
          <w:sz w:val="15"/>
          <w:szCs w:val="15"/>
          <w:color w:val="auto"/>
        </w:rPr>
        <w:t>Average</w:t>
      </w:r>
    </w:p>
    <w:p>
      <w:pPr>
        <w:spacing w:after="0" w:line="5"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Exercise Prices</w:t>
      </w:r>
    </w:p>
    <w:p>
      <w:pPr>
        <w:spacing w:after="0" w:line="3"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5"/>
          <w:szCs w:val="15"/>
          <w:color w:val="auto"/>
        </w:rPr>
        <w:t>Outstanding</w:t>
      </w:r>
    </w:p>
    <w:p>
      <w:pPr>
        <w:jc w:val="center"/>
        <w:ind w:right="8919"/>
        <w:spacing w:after="0" w:line="237" w:lineRule="auto"/>
        <w:rPr>
          <w:sz w:val="20"/>
          <w:szCs w:val="20"/>
          <w:color w:val="auto"/>
        </w:rPr>
      </w:pPr>
      <w:r>
        <w:rPr>
          <w:rFonts w:ascii="Courier New" w:cs="Courier New" w:eastAsia="Courier New" w:hAnsi="Courier New"/>
          <w:sz w:val="15"/>
          <w:szCs w:val="15"/>
          <w:color w:val="auto"/>
        </w:rPr>
        <w:t>Life (Years)</w:t>
      </w:r>
    </w:p>
    <w:p>
      <w:pPr>
        <w:jc w:val="center"/>
        <w:ind w:right="8919"/>
        <w:spacing w:after="0" w:line="238" w:lineRule="auto"/>
        <w:rPr>
          <w:sz w:val="20"/>
          <w:szCs w:val="20"/>
          <w:color w:val="auto"/>
        </w:rPr>
      </w:pPr>
      <w:r>
        <w:rPr>
          <w:rFonts w:ascii="Courier New" w:cs="Courier New" w:eastAsia="Courier New" w:hAnsi="Courier New"/>
          <w:sz w:val="15"/>
          <w:szCs w:val="15"/>
          <w:color w:val="auto"/>
        </w:rPr>
        <w:t>Exercise Price</w:t>
      </w:r>
    </w:p>
    <w:p>
      <w:pPr>
        <w:jc w:val="center"/>
        <w:ind w:right="8919"/>
        <w:spacing w:after="0" w:line="237" w:lineRule="auto"/>
        <w:rPr>
          <w:sz w:val="20"/>
          <w:szCs w:val="20"/>
          <w:color w:val="auto"/>
        </w:rPr>
      </w:pPr>
      <w:r>
        <w:rPr>
          <w:rFonts w:ascii="Courier New" w:cs="Courier New" w:eastAsia="Courier New" w:hAnsi="Courier New"/>
          <w:sz w:val="15"/>
          <w:szCs w:val="15"/>
          <w:color w:val="auto"/>
        </w:rPr>
        <w:t>Exercisable</w:t>
      </w:r>
    </w:p>
    <w:p>
      <w:pPr>
        <w:jc w:val="center"/>
        <w:ind w:right="8919"/>
        <w:spacing w:after="0" w:line="238" w:lineRule="auto"/>
        <w:rPr>
          <w:sz w:val="20"/>
          <w:szCs w:val="20"/>
          <w:color w:val="auto"/>
        </w:rPr>
      </w:pPr>
      <w:r>
        <w:rPr>
          <w:rFonts w:ascii="Courier New" w:cs="Courier New" w:eastAsia="Courier New" w:hAnsi="Courier New"/>
          <w:sz w:val="15"/>
          <w:szCs w:val="15"/>
          <w:color w:val="auto"/>
        </w:rPr>
        <w:t>Exercise Price</w:t>
      </w:r>
    </w:p>
    <w:p>
      <w:pPr>
        <w:ind w:left="180" w:hanging="170"/>
        <w:spacing w:after="0" w:line="237" w:lineRule="auto"/>
        <w:tabs>
          <w:tab w:leader="none" w:pos="1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0.11 - 3.56</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510,700 6.23 $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1.67 510,700 $</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1.67 4.00 -</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8.69 563,100</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8.81 7.77</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149,300 6.31</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9.22 - 11.25</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510,100 8.84</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10.87 124,100</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11.04 11.31 -</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12.15 623,600</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9.07 11.87</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89,600 11.61</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12.31 - 13.44</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651,400 9.21</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13.05 25,400</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12.95 13.50 -</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13.50 695,900</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8.28 13.50</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283,200 13.50</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13.56 - 14.81</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556,300 9.15</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14.17 48,500</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14.32 14.88 -</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16.88 508,900</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8.96 15.00</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35,900 15.45</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17.00 - 24.13</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236,600 8.75</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19.73 75,900</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20.08 34.50 -</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34.50 1,000</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8.07 34.50 500</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34.50 -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ectPr>
          <w:pgSz w:w="11900" w:h="16838" w:orient="portrait"/>
          <w:cols w:equalWidth="0" w:num="1">
            <w:col w:w="10239"/>
          </w:cols>
          <w:pgMar w:left="220" w:top="135" w:right="1440" w:bottom="0" w:gutter="0" w:footer="0" w:header="0"/>
        </w:sectPr>
      </w:pPr>
    </w:p>
    <w:bookmarkStart w:id="22" w:name="page23"/>
    <w:bookmarkEnd w:id="22"/>
    <w:p>
      <w:pPr>
        <w:ind w:left="360" w:hanging="350"/>
        <w:spacing w:after="0"/>
        <w:tabs>
          <w:tab w:leader="none" w:pos="3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540" w:hanging="443"/>
        <w:spacing w:after="0" w:line="237" w:lineRule="auto"/>
        <w:tabs>
          <w:tab w:leader="none" w:pos="54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$ 0.11 -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34.50 4,857,600</w:t>
      </w:r>
    </w:p>
    <w:p>
      <w:pPr>
        <w:ind w:left="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8.60 $ 11.59</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1,343,100 $</w:t>
      </w:r>
    </w:p>
    <w:p>
      <w:pPr>
        <w:ind w:left="5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8.30</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135" w:right="1440" w:bottom="1440" w:gutter="0" w:footer="0" w:header="0"/>
        </w:sectPr>
      </w:pPr>
    </w:p>
    <w:bookmarkStart w:id="23" w:name="page24"/>
    <w:bookmarkEnd w:id="23"/>
    <w:p>
      <w:pPr>
        <w:ind w:left="440"/>
        <w:spacing w:after="0"/>
        <w:rPr>
          <w:sz w:val="20"/>
          <w:szCs w:val="20"/>
          <w:color w:val="auto"/>
        </w:rPr>
      </w:pPr>
      <w:r>
        <w:rPr>
          <w:rFonts w:ascii="Courier New" w:cs="Courier New" w:eastAsia="Courier New" w:hAnsi="Courier New"/>
          <w:sz w:val="15"/>
          <w:szCs w:val="15"/>
          <w:color w:val="auto"/>
        </w:rPr>
        <w:t>EMPLOYEE STOCK PURCHASE PLAN</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At December 31, 1998, the Company had a total of approximately 642,000 shares of common stock reserved for future issuance under its Employee Stock Purchase Plan (the ESPP). The purpose of the ESPP is to provide eligible employees of the Company with a means of acquiring common stock of the Company through payroll deductions. The plan consists of four six-month purchase periods in each two year offering period. Employees purchase stock at 85% of the market value at either the beginning of the offering period or at the end of the purchase period, whichever price is lower. No participant may purchase more than $25,000 worth of common stock in any calendar year. Employees may end their participation in the offering at any time during the offering period, and participation ends automatically on termination of employment with the Company. During 1996, 1997 and 1998, approximately 289,000, 463,000 and 477,000 shares, respectively, were sold through the ESPP.</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STOCK-BASED COMPENSATION</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 has adopted the disclosure-only provisions of Statement of Financial Accounting Standards No. 123, "Accounting for Stock-Based Compensation." If compensation cost for the 1995 Plan and the ESPP had been determined based on the fair value on the grant dates for awards in 1996 and 1995 consistent with the provisions of SFAS No. 123, the Company's net income (loss) and diluted net income (loss) per share would have been reduced to the pro forma amounts indicated below (in thousands except per share data):</w:t>
      </w:r>
    </w:p>
    <w:p>
      <w:pPr>
        <w:spacing w:after="0" w:line="328"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5"/>
          <w:szCs w:val="15"/>
          <w:color w:val="auto"/>
        </w:rPr>
        <w:t>1996</w:t>
      </w:r>
    </w:p>
    <w:p>
      <w:pPr>
        <w:jc w:val="center"/>
        <w:ind w:right="9619"/>
        <w:spacing w:after="0" w:line="237" w:lineRule="auto"/>
        <w:rPr>
          <w:sz w:val="20"/>
          <w:szCs w:val="20"/>
          <w:color w:val="auto"/>
        </w:rPr>
      </w:pPr>
      <w:r>
        <w:rPr>
          <w:rFonts w:ascii="Courier New" w:cs="Courier New" w:eastAsia="Courier New" w:hAnsi="Courier New"/>
          <w:sz w:val="15"/>
          <w:szCs w:val="15"/>
          <w:color w:val="auto"/>
        </w:rPr>
        <w:t>1997</w:t>
      </w:r>
    </w:p>
    <w:p>
      <w:pPr>
        <w:jc w:val="center"/>
        <w:ind w:right="9619"/>
        <w:spacing w:after="0" w:line="238" w:lineRule="auto"/>
        <w:rPr>
          <w:sz w:val="20"/>
          <w:szCs w:val="20"/>
          <w:color w:val="auto"/>
        </w:rPr>
      </w:pPr>
      <w:r>
        <w:rPr>
          <w:rFonts w:ascii="Courier New" w:cs="Courier New" w:eastAsia="Courier New" w:hAnsi="Courier New"/>
          <w:sz w:val="15"/>
          <w:szCs w:val="15"/>
          <w:color w:val="auto"/>
        </w:rPr>
        <w:t>1998 -</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60"/>
        <w:spacing w:after="0" w:line="237" w:lineRule="auto"/>
        <w:rPr>
          <w:sz w:val="20"/>
          <w:szCs w:val="20"/>
          <w:color w:val="auto"/>
        </w:rPr>
      </w:pPr>
      <w:r>
        <w:rPr>
          <w:rFonts w:ascii="Courier New" w:cs="Courier New" w:eastAsia="Courier New" w:hAnsi="Courier New"/>
          <w:sz w:val="15"/>
          <w:szCs w:val="15"/>
          <w:color w:val="auto"/>
        </w:rPr>
        <w:t>------</w:t>
      </w:r>
    </w:p>
    <w:p>
      <w:pPr>
        <w:ind w:left="60"/>
        <w:spacing w:after="0" w:line="238" w:lineRule="auto"/>
        <w:rPr>
          <w:sz w:val="20"/>
          <w:szCs w:val="20"/>
          <w:color w:val="auto"/>
        </w:rPr>
      </w:pPr>
      <w:r>
        <w:rPr>
          <w:rFonts w:ascii="Courier New" w:cs="Courier New" w:eastAsia="Courier New" w:hAnsi="Courier New"/>
          <w:sz w:val="15"/>
          <w:szCs w:val="15"/>
          <w:color w:val="auto"/>
        </w:rPr>
        <w:t>------</w:t>
      </w:r>
    </w:p>
    <w:p>
      <w:pPr>
        <w:ind w:left="140"/>
        <w:spacing w:after="0" w:line="237" w:lineRule="auto"/>
        <w:rPr>
          <w:sz w:val="20"/>
          <w:szCs w:val="20"/>
          <w:color w:val="auto"/>
        </w:rPr>
      </w:pPr>
      <w:r>
        <w:rPr>
          <w:rFonts w:ascii="Courier New" w:cs="Courier New" w:eastAsia="Courier New" w:hAnsi="Courier New"/>
          <w:sz w:val="15"/>
          <w:szCs w:val="15"/>
          <w:color w:val="auto"/>
        </w:rPr>
        <w:t>----</w:t>
      </w:r>
    </w:p>
    <w:p>
      <w:pPr>
        <w:jc w:val="center"/>
        <w:ind w:right="9619"/>
        <w:spacing w:after="0" w:line="238" w:lineRule="auto"/>
        <w:rPr>
          <w:sz w:val="20"/>
          <w:szCs w:val="20"/>
          <w:color w:val="auto"/>
        </w:rPr>
      </w:pPr>
      <w:r>
        <w:rPr>
          <w:rFonts w:ascii="Courier New" w:cs="Courier New" w:eastAsia="Courier New" w:hAnsi="Courier New"/>
          <w:sz w:val="15"/>
          <w:szCs w:val="15"/>
          <w:color w:val="auto"/>
        </w:rPr>
        <w:t>Pro</w:t>
      </w:r>
    </w:p>
    <w:p>
      <w:pPr>
        <w:jc w:val="center"/>
        <w:ind w:right="9619"/>
        <w:spacing w:after="0" w:line="238" w:lineRule="auto"/>
        <w:rPr>
          <w:sz w:val="20"/>
          <w:szCs w:val="20"/>
          <w:color w:val="auto"/>
        </w:rPr>
      </w:pPr>
      <w:r>
        <w:rPr>
          <w:rFonts w:ascii="Courier New" w:cs="Courier New" w:eastAsia="Courier New" w:hAnsi="Courier New"/>
          <w:sz w:val="15"/>
          <w:szCs w:val="15"/>
          <w:color w:val="auto"/>
        </w:rPr>
        <w:t>forma</w:t>
      </w:r>
    </w:p>
    <w:p>
      <w:pPr>
        <w:jc w:val="center"/>
        <w:ind w:right="9619"/>
        <w:spacing w:after="0" w:line="237" w:lineRule="auto"/>
        <w:rPr>
          <w:sz w:val="20"/>
          <w:szCs w:val="20"/>
          <w:color w:val="auto"/>
        </w:rPr>
      </w:pPr>
      <w:r>
        <w:rPr>
          <w:rFonts w:ascii="Courier New" w:cs="Courier New" w:eastAsia="Courier New" w:hAnsi="Courier New"/>
          <w:sz w:val="15"/>
          <w:szCs w:val="15"/>
          <w:color w:val="auto"/>
        </w:rPr>
        <w:t>net</w:t>
      </w:r>
    </w:p>
    <w:p>
      <w:pPr>
        <w:ind w:left="60"/>
        <w:spacing w:after="0" w:line="238" w:lineRule="auto"/>
        <w:rPr>
          <w:sz w:val="20"/>
          <w:szCs w:val="20"/>
          <w:color w:val="auto"/>
        </w:rPr>
      </w:pPr>
      <w:r>
        <w:rPr>
          <w:rFonts w:ascii="Courier New" w:cs="Courier New" w:eastAsia="Courier New" w:hAnsi="Courier New"/>
          <w:sz w:val="15"/>
          <w:szCs w:val="15"/>
          <w:color w:val="auto"/>
        </w:rPr>
        <w:t>income</w:t>
      </w:r>
    </w:p>
    <w:p>
      <w:pPr>
        <w:ind w:left="60"/>
        <w:spacing w:after="0" w:line="237" w:lineRule="auto"/>
        <w:rPr>
          <w:sz w:val="20"/>
          <w:szCs w:val="20"/>
          <w:color w:val="auto"/>
        </w:rPr>
      </w:pPr>
      <w:r>
        <w:rPr>
          <w:rFonts w:ascii="Courier New" w:cs="Courier New" w:eastAsia="Courier New" w:hAnsi="Courier New"/>
          <w:sz w:val="15"/>
          <w:szCs w:val="15"/>
          <w:color w:val="auto"/>
        </w:rPr>
        <w:t>(loss)</w:t>
      </w:r>
    </w:p>
    <w:p>
      <w:pPr>
        <w:jc w:val="center"/>
        <w:ind w:right="9619"/>
        <w:spacing w:after="0" w:line="238" w:lineRule="auto"/>
        <w:rPr>
          <w:sz w:val="20"/>
          <w:szCs w:val="20"/>
          <w:color w:val="auto"/>
        </w:rPr>
      </w:pPr>
      <w:r>
        <w:rPr>
          <w:rFonts w:ascii="Courier New" w:cs="Courier New" w:eastAsia="Courier New" w:hAnsi="Courier New"/>
          <w:sz w:val="15"/>
          <w:szCs w:val="15"/>
          <w:color w:val="auto"/>
        </w:rPr>
        <w:t>$</w:t>
      </w:r>
    </w:p>
    <w:p>
      <w:pPr>
        <w:jc w:val="center"/>
        <w:ind w:right="9619"/>
        <w:spacing w:after="0" w:line="237" w:lineRule="auto"/>
        <w:rPr>
          <w:sz w:val="20"/>
          <w:szCs w:val="20"/>
          <w:color w:val="auto"/>
        </w:rPr>
      </w:pPr>
      <w:r>
        <w:rPr>
          <w:rFonts w:ascii="Courier New" w:cs="Courier New" w:eastAsia="Courier New" w:hAnsi="Courier New"/>
          <w:sz w:val="15"/>
          <w:szCs w:val="15"/>
          <w:color w:val="auto"/>
        </w:rPr>
        <w:t>6,398</w:t>
      </w:r>
    </w:p>
    <w:p>
      <w:pPr>
        <w:jc w:val="center"/>
        <w:ind w:right="9619"/>
        <w:spacing w:after="0" w:line="238" w:lineRule="auto"/>
        <w:rPr>
          <w:sz w:val="20"/>
          <w:szCs w:val="20"/>
          <w:color w:val="auto"/>
        </w:rPr>
      </w:pPr>
      <w:r>
        <w:rPr>
          <w:rFonts w:ascii="Courier New" w:cs="Courier New" w:eastAsia="Courier New" w:hAnsi="Courier New"/>
          <w:sz w:val="15"/>
          <w:szCs w:val="15"/>
          <w:color w:val="auto"/>
        </w:rPr>
        <w:t>$</w:t>
      </w:r>
    </w:p>
    <w:p>
      <w:pPr>
        <w:jc w:val="center"/>
        <w:ind w:right="9619"/>
        <w:spacing w:after="0" w:line="238" w:lineRule="auto"/>
        <w:rPr>
          <w:sz w:val="20"/>
          <w:szCs w:val="20"/>
          <w:color w:val="auto"/>
        </w:rPr>
      </w:pPr>
      <w:r>
        <w:rPr>
          <w:rFonts w:ascii="Courier New" w:cs="Courier New" w:eastAsia="Courier New" w:hAnsi="Courier New"/>
          <w:sz w:val="15"/>
          <w:szCs w:val="15"/>
          <w:color w:val="auto"/>
        </w:rPr>
        <w:t>(849)</w:t>
      </w:r>
    </w:p>
    <w:p>
      <w:pPr>
        <w:ind w:left="260" w:hanging="166"/>
        <w:spacing w:after="0" w:line="237" w:lineRule="auto"/>
        <w:tabs>
          <w:tab w:leader="none" w:pos="2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434</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w:t>
      </w:r>
    </w:p>
    <w:p>
      <w:pPr>
        <w:spacing w:after="0" w:line="5" w:lineRule="exact"/>
        <w:rPr>
          <w:rFonts w:ascii="Courier New" w:cs="Courier New" w:eastAsia="Courier New" w:hAnsi="Courier New"/>
          <w:sz w:val="15"/>
          <w:szCs w:val="15"/>
          <w:color w:val="auto"/>
        </w:rPr>
      </w:pPr>
    </w:p>
    <w:p>
      <w:pPr>
        <w:jc w:val="center"/>
        <w:ind w:left="60" w:right="9659" w:firstLine="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forma basic net income (loss) per share $ 0.32</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(0.04)</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$0.02</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w:t>
      </w:r>
    </w:p>
    <w:p>
      <w:pPr>
        <w:spacing w:after="0" w:line="5" w:lineRule="exact"/>
        <w:rPr>
          <w:rFonts w:ascii="Courier New" w:cs="Courier New" w:eastAsia="Courier New" w:hAnsi="Courier New"/>
          <w:sz w:val="15"/>
          <w:szCs w:val="15"/>
          <w:color w:val="auto"/>
        </w:rPr>
      </w:pPr>
    </w:p>
    <w:p>
      <w:pPr>
        <w:jc w:val="center"/>
        <w:ind w:right="9619" w:firstLine="8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forma diluted net income (loss) per share $ 0.29</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(0.04)</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$0.02</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Pro forma net income (loss) reflects only options granted since January 1, 1995. Therefore, the full impact of calculating compensation cost under SFAS 123 is not reflected in the pro forma amounts presented above because compensation cost is reflected over the options' vesting period of generally four or five years and compensation cost for options granted prior to January 1, 1995 is not considered.</w:t>
      </w:r>
    </w:p>
    <w:p>
      <w:pPr>
        <w:spacing w:after="0" w:line="175"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options-pricing model with the following</w:t>
      </w:r>
    </w:p>
    <w:p>
      <w:pPr>
        <w:sectPr>
          <w:pgSz w:w="11900" w:h="16838" w:orient="portrait"/>
          <w:cols w:equalWidth="0" w:num="1">
            <w:col w:w="10239"/>
          </w:cols>
          <w:pgMar w:left="220" w:top="449" w:right="1440" w:bottom="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weighted-average assumptions used:</w:t>
      </w:r>
    </w:p>
    <w:p>
      <w:pPr>
        <w:spacing w:after="0" w:line="335"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1996 1997</w:t>
      </w:r>
    </w:p>
    <w:p>
      <w:pPr>
        <w:spacing w:after="0" w:line="237" w:lineRule="auto"/>
        <w:rPr>
          <w:sz w:val="20"/>
          <w:szCs w:val="20"/>
          <w:color w:val="auto"/>
        </w:rPr>
      </w:pPr>
      <w:r>
        <w:rPr>
          <w:rFonts w:ascii="Courier New" w:cs="Courier New" w:eastAsia="Courier New" w:hAnsi="Courier New"/>
          <w:sz w:val="15"/>
          <w:szCs w:val="15"/>
          <w:color w:val="auto"/>
        </w:rPr>
        <w:t>1998 -----</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0" w:right="9399" w:hanging="227"/>
        <w:spacing w:after="0" w:line="254" w:lineRule="auto"/>
        <w:tabs>
          <w:tab w:leader="none" w:pos="499"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 free</w:t>
      </w:r>
    </w:p>
    <w:p>
      <w:pPr>
        <w:jc w:val="center"/>
        <w:ind w:right="9359"/>
        <w:spacing w:after="0" w:line="231" w:lineRule="auto"/>
        <w:rPr>
          <w:sz w:val="20"/>
          <w:szCs w:val="20"/>
          <w:color w:val="auto"/>
        </w:rPr>
      </w:pPr>
      <w:r>
        <w:rPr>
          <w:rFonts w:ascii="Courier New" w:cs="Courier New" w:eastAsia="Courier New" w:hAnsi="Courier New"/>
          <w:sz w:val="15"/>
          <w:szCs w:val="15"/>
          <w:color w:val="auto"/>
        </w:rPr>
        <w:t>interest</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rate 6.00%</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5.74%</w:t>
      </w:r>
    </w:p>
    <w:p>
      <w:pPr>
        <w:jc w:val="center"/>
        <w:ind w:right="9359"/>
        <w:spacing w:after="0" w:line="237" w:lineRule="auto"/>
        <w:rPr>
          <w:sz w:val="20"/>
          <w:szCs w:val="20"/>
          <w:color w:val="auto"/>
        </w:rPr>
      </w:pPr>
      <w:r>
        <w:rPr>
          <w:rFonts w:ascii="Courier New" w:cs="Courier New" w:eastAsia="Courier New" w:hAnsi="Courier New"/>
          <w:sz w:val="15"/>
          <w:szCs w:val="15"/>
          <w:color w:val="auto"/>
        </w:rPr>
        <w:t>5.15%</w:t>
      </w:r>
    </w:p>
    <w:p>
      <w:pPr>
        <w:jc w:val="center"/>
        <w:ind w:right="9359"/>
        <w:spacing w:after="0" w:line="238" w:lineRule="auto"/>
        <w:rPr>
          <w:sz w:val="20"/>
          <w:szCs w:val="20"/>
          <w:color w:val="auto"/>
        </w:rPr>
      </w:pPr>
      <w:r>
        <w:rPr>
          <w:rFonts w:ascii="Courier New" w:cs="Courier New" w:eastAsia="Courier New" w:hAnsi="Courier New"/>
          <w:sz w:val="15"/>
          <w:szCs w:val="15"/>
          <w:color w:val="auto"/>
        </w:rPr>
        <w:t>Expected</w:t>
      </w:r>
    </w:p>
    <w:p>
      <w:pPr>
        <w:jc w:val="center"/>
        <w:ind w:right="9359"/>
        <w:spacing w:after="0" w:line="237" w:lineRule="auto"/>
        <w:rPr>
          <w:sz w:val="20"/>
          <w:szCs w:val="20"/>
          <w:color w:val="auto"/>
        </w:rPr>
      </w:pPr>
      <w:r>
        <w:rPr>
          <w:rFonts w:ascii="Courier New" w:cs="Courier New" w:eastAsia="Courier New" w:hAnsi="Courier New"/>
          <w:sz w:val="15"/>
          <w:szCs w:val="15"/>
          <w:color w:val="auto"/>
        </w:rPr>
        <w:t>life</w:t>
      </w:r>
    </w:p>
    <w:p>
      <w:pPr>
        <w:jc w:val="center"/>
        <w:ind w:right="9359"/>
        <w:spacing w:after="0" w:line="238" w:lineRule="auto"/>
        <w:rPr>
          <w:sz w:val="20"/>
          <w:szCs w:val="20"/>
          <w:color w:val="auto"/>
        </w:rPr>
      </w:pPr>
      <w:r>
        <w:rPr>
          <w:rFonts w:ascii="Courier New" w:cs="Courier New" w:eastAsia="Courier New" w:hAnsi="Courier New"/>
          <w:sz w:val="15"/>
          <w:szCs w:val="15"/>
          <w:color w:val="auto"/>
        </w:rPr>
        <w:t>(years) 4</w:t>
      </w:r>
    </w:p>
    <w:p>
      <w:pPr>
        <w:jc w:val="center"/>
        <w:ind w:right="9359"/>
        <w:spacing w:after="0" w:line="237" w:lineRule="auto"/>
        <w:rPr>
          <w:sz w:val="20"/>
          <w:szCs w:val="20"/>
          <w:color w:val="auto"/>
        </w:rPr>
      </w:pPr>
      <w:r>
        <w:rPr>
          <w:rFonts w:ascii="Courier New" w:cs="Courier New" w:eastAsia="Courier New" w:hAnsi="Courier New"/>
          <w:sz w:val="15"/>
          <w:szCs w:val="15"/>
          <w:color w:val="auto"/>
        </w:rPr>
        <w:t>4 4</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Volatility</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0.55 0.55</w:t>
      </w:r>
    </w:p>
    <w:p>
      <w:pPr>
        <w:jc w:val="center"/>
        <w:ind w:right="9359"/>
        <w:spacing w:after="0" w:line="237" w:lineRule="auto"/>
        <w:rPr>
          <w:sz w:val="20"/>
          <w:szCs w:val="20"/>
          <w:color w:val="auto"/>
        </w:rPr>
      </w:pPr>
      <w:r>
        <w:rPr>
          <w:rFonts w:ascii="Courier New" w:cs="Courier New" w:eastAsia="Courier New" w:hAnsi="Courier New"/>
          <w:sz w:val="15"/>
          <w:szCs w:val="15"/>
          <w:color w:val="auto"/>
        </w:rPr>
        <w:t>0.77</w:t>
      </w:r>
    </w:p>
    <w:p>
      <w:pPr>
        <w:ind w:left="60"/>
        <w:spacing w:after="0" w:line="238" w:lineRule="auto"/>
        <w:rPr>
          <w:sz w:val="20"/>
          <w:szCs w:val="20"/>
          <w:color w:val="auto"/>
        </w:rPr>
      </w:pPr>
      <w:r>
        <w:rPr>
          <w:rFonts w:ascii="Courier New" w:cs="Courier New" w:eastAsia="Courier New" w:hAnsi="Courier New"/>
          <w:sz w:val="15"/>
          <w:szCs w:val="15"/>
          <w:color w:val="auto"/>
        </w:rPr>
        <w:t>Dividends</w:t>
      </w:r>
    </w:p>
    <w:p>
      <w:pPr>
        <w:spacing w:after="0" w:line="237" w:lineRule="auto"/>
        <w:rPr>
          <w:sz w:val="20"/>
          <w:szCs w:val="20"/>
          <w:color w:val="auto"/>
        </w:rPr>
      </w:pPr>
      <w:r>
        <w:rPr>
          <w:rFonts w:ascii="Courier New" w:cs="Courier New" w:eastAsia="Courier New" w:hAnsi="Courier New"/>
          <w:sz w:val="15"/>
          <w:szCs w:val="15"/>
          <w:color w:val="auto"/>
        </w:rPr>
        <w:t>yield 0.00</w:t>
      </w:r>
    </w:p>
    <w:p>
      <w:pPr>
        <w:ind w:left="60"/>
        <w:spacing w:after="0" w:line="238" w:lineRule="auto"/>
        <w:rPr>
          <w:sz w:val="20"/>
          <w:szCs w:val="20"/>
          <w:color w:val="auto"/>
        </w:rPr>
      </w:pPr>
      <w:r>
        <w:rPr>
          <w:rFonts w:ascii="Courier New" w:cs="Courier New" w:eastAsia="Courier New" w:hAnsi="Courier New"/>
          <w:sz w:val="15"/>
          <w:szCs w:val="15"/>
          <w:color w:val="auto"/>
        </w:rPr>
        <w:t>0.00 0.00</w:t>
      </w:r>
    </w:p>
    <w:p>
      <w:pPr>
        <w:spacing w:after="0" w:line="341" w:lineRule="exact"/>
        <w:rPr>
          <w:sz w:val="20"/>
          <w:szCs w:val="20"/>
          <w:color w:val="auto"/>
        </w:rPr>
      </w:pPr>
    </w:p>
    <w:p>
      <w:pPr>
        <w:ind w:right="3759" w:firstLine="437"/>
        <w:spacing w:after="0" w:line="261" w:lineRule="auto"/>
        <w:rPr>
          <w:sz w:val="20"/>
          <w:szCs w:val="20"/>
          <w:color w:val="auto"/>
        </w:rPr>
      </w:pPr>
      <w:r>
        <w:rPr>
          <w:rFonts w:ascii="Courier New" w:cs="Courier New" w:eastAsia="Courier New" w:hAnsi="Courier New"/>
          <w:sz w:val="14"/>
          <w:szCs w:val="14"/>
          <w:color w:val="auto"/>
        </w:rPr>
        <w:t>The fair value of employees' stock purchase rights under the ESPP was estimated using the Black-Scholes model with the following assumptions:</w:t>
      </w: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1996 1997</w:t>
      </w:r>
    </w:p>
    <w:p>
      <w:pPr>
        <w:spacing w:after="0" w:line="237" w:lineRule="auto"/>
        <w:rPr>
          <w:sz w:val="20"/>
          <w:szCs w:val="20"/>
          <w:color w:val="auto"/>
        </w:rPr>
      </w:pPr>
      <w:r>
        <w:rPr>
          <w:rFonts w:ascii="Courier New" w:cs="Courier New" w:eastAsia="Courier New" w:hAnsi="Courier New"/>
          <w:sz w:val="15"/>
          <w:szCs w:val="15"/>
          <w:color w:val="auto"/>
        </w:rPr>
        <w:t>1998 -----</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ind w:left="100"/>
        <w:spacing w:after="0" w:line="238" w:lineRule="auto"/>
        <w:rPr>
          <w:sz w:val="20"/>
          <w:szCs w:val="20"/>
          <w:color w:val="auto"/>
        </w:rPr>
      </w:pPr>
      <w:r>
        <w:rPr>
          <w:rFonts w:ascii="Courier New" w:cs="Courier New" w:eastAsia="Courier New" w:hAnsi="Courier New"/>
          <w:sz w:val="15"/>
          <w:szCs w:val="15"/>
          <w:color w:val="auto"/>
        </w:rPr>
        <w:t>--------</w:t>
      </w:r>
    </w:p>
    <w:p>
      <w:pPr>
        <w:jc w:val="center"/>
        <w:ind w:right="9359"/>
        <w:spacing w:after="0" w:line="237" w:lineRule="auto"/>
        <w:rPr>
          <w:sz w:val="20"/>
          <w:szCs w:val="20"/>
          <w:color w:val="auto"/>
        </w:rPr>
      </w:pPr>
      <w:r>
        <w:rPr>
          <w:rFonts w:ascii="Courier New" w:cs="Courier New" w:eastAsia="Courier New" w:hAnsi="Courier New"/>
          <w:sz w:val="15"/>
          <w:szCs w:val="15"/>
          <w:color w:val="auto"/>
        </w:rPr>
        <w:t>Risk free</w:t>
      </w:r>
    </w:p>
    <w:p>
      <w:pPr>
        <w:jc w:val="center"/>
        <w:ind w:right="9359"/>
        <w:spacing w:after="0" w:line="238" w:lineRule="auto"/>
        <w:rPr>
          <w:sz w:val="20"/>
          <w:szCs w:val="20"/>
          <w:color w:val="auto"/>
        </w:rPr>
      </w:pPr>
      <w:r>
        <w:rPr>
          <w:rFonts w:ascii="Courier New" w:cs="Courier New" w:eastAsia="Courier New" w:hAnsi="Courier New"/>
          <w:sz w:val="15"/>
          <w:szCs w:val="15"/>
          <w:color w:val="auto"/>
        </w:rPr>
        <w:t>interest</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rate 6.00%</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5.74%</w:t>
      </w:r>
    </w:p>
    <w:p>
      <w:pPr>
        <w:jc w:val="center"/>
        <w:ind w:right="9359"/>
        <w:spacing w:after="0" w:line="237" w:lineRule="auto"/>
        <w:rPr>
          <w:sz w:val="20"/>
          <w:szCs w:val="20"/>
          <w:color w:val="auto"/>
        </w:rPr>
      </w:pPr>
      <w:r>
        <w:rPr>
          <w:rFonts w:ascii="Courier New" w:cs="Courier New" w:eastAsia="Courier New" w:hAnsi="Courier New"/>
          <w:sz w:val="15"/>
          <w:szCs w:val="15"/>
          <w:color w:val="auto"/>
        </w:rPr>
        <w:t>5.50%</w:t>
      </w:r>
    </w:p>
    <w:p>
      <w:pPr>
        <w:jc w:val="center"/>
        <w:ind w:right="9359"/>
        <w:spacing w:after="0" w:line="238" w:lineRule="auto"/>
        <w:rPr>
          <w:sz w:val="20"/>
          <w:szCs w:val="20"/>
          <w:color w:val="auto"/>
        </w:rPr>
      </w:pPr>
      <w:r>
        <w:rPr>
          <w:rFonts w:ascii="Courier New" w:cs="Courier New" w:eastAsia="Courier New" w:hAnsi="Courier New"/>
          <w:sz w:val="15"/>
          <w:szCs w:val="15"/>
          <w:color w:val="auto"/>
        </w:rPr>
        <w:t>Expect</w:t>
      </w:r>
    </w:p>
    <w:p>
      <w:pPr>
        <w:jc w:val="center"/>
        <w:ind w:right="9359"/>
        <w:spacing w:after="0" w:line="237" w:lineRule="auto"/>
        <w:rPr>
          <w:sz w:val="20"/>
          <w:szCs w:val="20"/>
          <w:color w:val="auto"/>
        </w:rPr>
      </w:pPr>
      <w:r>
        <w:rPr>
          <w:rFonts w:ascii="Courier New" w:cs="Courier New" w:eastAsia="Courier New" w:hAnsi="Courier New"/>
          <w:sz w:val="15"/>
          <w:szCs w:val="15"/>
          <w:color w:val="auto"/>
        </w:rPr>
        <w:t>life</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(months) 6</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and 12 6</w:t>
      </w:r>
    </w:p>
    <w:p>
      <w:pPr>
        <w:jc w:val="center"/>
        <w:ind w:right="9359"/>
        <w:spacing w:after="0" w:line="237" w:lineRule="auto"/>
        <w:rPr>
          <w:sz w:val="20"/>
          <w:szCs w:val="20"/>
          <w:color w:val="auto"/>
        </w:rPr>
      </w:pPr>
      <w:r>
        <w:rPr>
          <w:rFonts w:ascii="Courier New" w:cs="Courier New" w:eastAsia="Courier New" w:hAnsi="Courier New"/>
          <w:sz w:val="15"/>
          <w:szCs w:val="15"/>
          <w:color w:val="auto"/>
        </w:rPr>
        <w:t>and 12 6</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Volatility</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0.55 0.55</w:t>
      </w:r>
    </w:p>
    <w:p>
      <w:pPr>
        <w:jc w:val="center"/>
        <w:ind w:right="9359"/>
        <w:spacing w:after="0" w:line="237" w:lineRule="auto"/>
        <w:rPr>
          <w:sz w:val="20"/>
          <w:szCs w:val="20"/>
          <w:color w:val="auto"/>
        </w:rPr>
      </w:pPr>
      <w:r>
        <w:rPr>
          <w:rFonts w:ascii="Courier New" w:cs="Courier New" w:eastAsia="Courier New" w:hAnsi="Courier New"/>
          <w:sz w:val="15"/>
          <w:szCs w:val="15"/>
          <w:color w:val="auto"/>
        </w:rPr>
        <w:t>0.77</w:t>
      </w:r>
    </w:p>
    <w:p>
      <w:pPr>
        <w:jc w:val="center"/>
        <w:ind w:right="9359"/>
        <w:spacing w:after="0" w:line="238" w:lineRule="auto"/>
        <w:rPr>
          <w:sz w:val="20"/>
          <w:szCs w:val="20"/>
          <w:color w:val="auto"/>
        </w:rPr>
      </w:pPr>
      <w:r>
        <w:rPr>
          <w:rFonts w:ascii="Courier New" w:cs="Courier New" w:eastAsia="Courier New" w:hAnsi="Courier New"/>
          <w:sz w:val="15"/>
          <w:szCs w:val="15"/>
          <w:color w:val="auto"/>
        </w:rPr>
        <w:t>Dividends</w:t>
      </w:r>
    </w:p>
    <w:p>
      <w:pPr>
        <w:spacing w:after="0" w:line="5"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4"/>
          <w:szCs w:val="14"/>
          <w:color w:val="auto"/>
        </w:rPr>
        <w:t>yield 0.00</w:t>
      </w:r>
    </w:p>
    <w:p>
      <w:pPr>
        <w:spacing w:after="0" w:line="3" w:lineRule="exact"/>
        <w:rPr>
          <w:sz w:val="20"/>
          <w:szCs w:val="20"/>
          <w:color w:val="auto"/>
        </w:rPr>
      </w:pPr>
    </w:p>
    <w:p>
      <w:pPr>
        <w:jc w:val="center"/>
        <w:ind w:right="9359"/>
        <w:spacing w:after="0"/>
        <w:rPr>
          <w:sz w:val="20"/>
          <w:szCs w:val="20"/>
          <w:color w:val="auto"/>
        </w:rPr>
      </w:pPr>
      <w:r>
        <w:rPr>
          <w:rFonts w:ascii="Courier New" w:cs="Courier New" w:eastAsia="Courier New" w:hAnsi="Courier New"/>
          <w:sz w:val="15"/>
          <w:szCs w:val="15"/>
          <w:color w:val="auto"/>
        </w:rPr>
        <w:t>0.00 0.00</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135" w:right="1440" w:bottom="1440" w:gutter="0" w:footer="0" w:header="0"/>
        </w:sectPr>
      </w:pPr>
    </w:p>
    <w:bookmarkStart w:id="25" w:name="page26"/>
    <w:bookmarkEnd w:id="25"/>
    <w:p>
      <w:pPr>
        <w:ind w:left="440" w:hanging="430"/>
        <w:spacing w:after="0"/>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4099" w:firstLine="262"/>
        <w:spacing w:after="0" w:line="234" w:lineRule="auto"/>
        <w:rPr>
          <w:sz w:val="20"/>
          <w:szCs w:val="20"/>
          <w:color w:val="auto"/>
        </w:rPr>
      </w:pPr>
      <w:r>
        <w:rPr>
          <w:rFonts w:ascii="Courier New" w:cs="Courier New" w:eastAsia="Courier New" w:hAnsi="Courier New"/>
          <w:sz w:val="15"/>
          <w:szCs w:val="15"/>
          <w:color w:val="auto"/>
        </w:rPr>
        <w:t>The components of the provision for income taxes are as follows (in thousands):</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1996 1997 1998 ------------------</w:t>
      </w:r>
    </w:p>
    <w:p>
      <w:pPr>
        <w:ind w:left="100"/>
        <w:spacing w:after="0" w:line="237" w:lineRule="auto"/>
        <w:rPr>
          <w:sz w:val="20"/>
          <w:szCs w:val="20"/>
          <w:color w:val="auto"/>
        </w:rPr>
      </w:pPr>
      <w:r>
        <w:rPr>
          <w:rFonts w:ascii="Courier New" w:cs="Courier New" w:eastAsia="Courier New" w:hAnsi="Courier New"/>
          <w:sz w:val="15"/>
          <w:szCs w:val="15"/>
          <w:color w:val="auto"/>
        </w:rPr>
        <w:t>---------------- Federal-current</w:t>
      </w:r>
    </w:p>
    <w:p>
      <w:pPr>
        <w:ind w:left="220"/>
        <w:spacing w:after="0" w:line="238" w:lineRule="auto"/>
        <w:rPr>
          <w:sz w:val="20"/>
          <w:szCs w:val="20"/>
          <w:color w:val="auto"/>
        </w:rPr>
      </w:pPr>
      <w:r>
        <w:rPr>
          <w:rFonts w:ascii="Courier New" w:cs="Courier New" w:eastAsia="Courier New" w:hAnsi="Courier New"/>
          <w:sz w:val="15"/>
          <w:szCs w:val="15"/>
          <w:color w:val="auto"/>
        </w:rPr>
        <w:t>payable $ 152 $ 3,185 $ 5,284</w:t>
      </w:r>
    </w:p>
    <w:p>
      <w:pPr>
        <w:ind w:left="280"/>
        <w:spacing w:after="0" w:line="237" w:lineRule="auto"/>
        <w:rPr>
          <w:sz w:val="20"/>
          <w:szCs w:val="20"/>
          <w:color w:val="auto"/>
        </w:rPr>
      </w:pPr>
      <w:r>
        <w:rPr>
          <w:rFonts w:ascii="Courier New" w:cs="Courier New" w:eastAsia="Courier New" w:hAnsi="Courier New"/>
          <w:sz w:val="15"/>
          <w:szCs w:val="15"/>
          <w:color w:val="auto"/>
        </w:rPr>
        <w:t>Federal-deferred 3,172 (802)</w:t>
      </w:r>
    </w:p>
    <w:p>
      <w:pPr>
        <w:spacing w:after="0" w:line="5" w:lineRule="exact"/>
        <w:rPr>
          <w:sz w:val="20"/>
          <w:szCs w:val="20"/>
          <w:color w:val="auto"/>
        </w:rPr>
      </w:pPr>
    </w:p>
    <w:p>
      <w:pPr>
        <w:ind w:left="140" w:right="7299" w:hanging="88"/>
        <w:spacing w:after="0" w:line="261" w:lineRule="auto"/>
        <w:tabs>
          <w:tab w:leader="none" w:pos="577"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State-current payable 5 452 686 State deferred 612 (142) 61</w:t>
      </w:r>
    </w:p>
    <w:p>
      <w:pPr>
        <w:spacing w:after="0" w:line="321" w:lineRule="exact"/>
        <w:rPr>
          <w:sz w:val="20"/>
          <w:szCs w:val="20"/>
          <w:color w:val="auto"/>
        </w:rPr>
      </w:pPr>
    </w:p>
    <w:p>
      <w:pPr>
        <w:ind w:left="400" w:hanging="348"/>
        <w:spacing w:after="0"/>
        <w:tabs>
          <w:tab w:leader="none" w:pos="4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660" w:right="7339" w:hanging="564"/>
        <w:spacing w:after="0" w:line="234" w:lineRule="auto"/>
        <w:tabs>
          <w:tab w:leader="none" w:pos="616"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for income tax $ 940 $ 2,308 $ 4,298</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19" w:firstLine="262"/>
        <w:spacing w:after="0" w:line="234" w:lineRule="auto"/>
        <w:rPr>
          <w:sz w:val="20"/>
          <w:szCs w:val="20"/>
          <w:color w:val="auto"/>
        </w:rPr>
      </w:pPr>
      <w:r>
        <w:rPr>
          <w:rFonts w:ascii="Courier New" w:cs="Courier New" w:eastAsia="Courier New" w:hAnsi="Courier New"/>
          <w:sz w:val="15"/>
          <w:szCs w:val="15"/>
          <w:color w:val="auto"/>
        </w:rPr>
        <w:t>The reconciliation of the statutory federal income tax to the effective rate is as follows (as a percent of pretax income):</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1996 1997 1998 ------------</w:t>
      </w:r>
    </w:p>
    <w:p>
      <w:pPr>
        <w:ind w:left="220"/>
        <w:spacing w:after="0" w:line="237" w:lineRule="auto"/>
        <w:rPr>
          <w:sz w:val="20"/>
          <w:szCs w:val="20"/>
          <w:color w:val="auto"/>
        </w:rPr>
      </w:pPr>
      <w:r>
        <w:rPr>
          <w:rFonts w:ascii="Courier New" w:cs="Courier New" w:eastAsia="Courier New" w:hAnsi="Courier New"/>
          <w:sz w:val="15"/>
          <w:szCs w:val="15"/>
          <w:color w:val="auto"/>
        </w:rPr>
        <w:t>--------------- Federal</w:t>
      </w:r>
    </w:p>
    <w:p>
      <w:pPr>
        <w:jc w:val="center"/>
        <w:ind w:right="7779"/>
        <w:spacing w:after="0" w:line="238" w:lineRule="auto"/>
        <w:rPr>
          <w:sz w:val="20"/>
          <w:szCs w:val="20"/>
          <w:color w:val="auto"/>
        </w:rPr>
      </w:pPr>
      <w:r>
        <w:rPr>
          <w:rFonts w:ascii="Courier New" w:cs="Courier New" w:eastAsia="Courier New" w:hAnsi="Courier New"/>
          <w:sz w:val="15"/>
          <w:szCs w:val="15"/>
          <w:color w:val="auto"/>
        </w:rPr>
        <w:t>statutory tax rate 34% 34%</w:t>
      </w:r>
    </w:p>
    <w:p>
      <w:pPr>
        <w:jc w:val="center"/>
        <w:ind w:right="7779"/>
        <w:spacing w:after="0" w:line="237" w:lineRule="auto"/>
        <w:rPr>
          <w:sz w:val="20"/>
          <w:szCs w:val="20"/>
          <w:color w:val="auto"/>
        </w:rPr>
      </w:pPr>
      <w:r>
        <w:rPr>
          <w:rFonts w:ascii="Courier New" w:cs="Courier New" w:eastAsia="Courier New" w:hAnsi="Courier New"/>
          <w:sz w:val="15"/>
          <w:szCs w:val="15"/>
          <w:color w:val="auto"/>
        </w:rPr>
        <w:t>35% State tax, net of</w:t>
      </w:r>
    </w:p>
    <w:p>
      <w:pPr>
        <w:ind w:left="140"/>
        <w:spacing w:after="0" w:line="238" w:lineRule="auto"/>
        <w:rPr>
          <w:sz w:val="20"/>
          <w:szCs w:val="20"/>
          <w:color w:val="auto"/>
        </w:rPr>
      </w:pPr>
      <w:r>
        <w:rPr>
          <w:rFonts w:ascii="Courier New" w:cs="Courier New" w:eastAsia="Courier New" w:hAnsi="Courier New"/>
          <w:sz w:val="15"/>
          <w:szCs w:val="15"/>
          <w:color w:val="auto"/>
        </w:rPr>
        <w:t>federal tax benefit 6 5 4</w:t>
      </w:r>
    </w:p>
    <w:p>
      <w:pPr>
        <w:ind w:left="60"/>
        <w:spacing w:after="0" w:line="237" w:lineRule="auto"/>
        <w:rPr>
          <w:sz w:val="20"/>
          <w:szCs w:val="20"/>
          <w:color w:val="auto"/>
        </w:rPr>
      </w:pPr>
      <w:r>
        <w:rPr>
          <w:rFonts w:ascii="Courier New" w:cs="Courier New" w:eastAsia="Courier New" w:hAnsi="Courier New"/>
          <w:sz w:val="15"/>
          <w:szCs w:val="15"/>
          <w:color w:val="auto"/>
        </w:rPr>
        <w:t>Permanent differences 3 (3)</w:t>
      </w:r>
    </w:p>
    <w:p>
      <w:pPr>
        <w:ind w:left="100"/>
        <w:spacing w:after="0" w:line="238" w:lineRule="auto"/>
        <w:rPr>
          <w:sz w:val="20"/>
          <w:szCs w:val="20"/>
          <w:color w:val="auto"/>
        </w:rPr>
      </w:pPr>
      <w:r>
        <w:rPr>
          <w:rFonts w:ascii="Courier New" w:cs="Courier New" w:eastAsia="Courier New" w:hAnsi="Courier New"/>
          <w:sz w:val="15"/>
          <w:szCs w:val="15"/>
          <w:color w:val="auto"/>
        </w:rPr>
        <w:t>1 Tax credits utilized (4)</w:t>
      </w:r>
    </w:p>
    <w:p>
      <w:pPr>
        <w:spacing w:after="0" w:line="5" w:lineRule="exact"/>
        <w:rPr>
          <w:sz w:val="20"/>
          <w:szCs w:val="20"/>
          <w:color w:val="auto"/>
        </w:rPr>
      </w:pPr>
    </w:p>
    <w:p>
      <w:pPr>
        <w:jc w:val="both"/>
        <w:ind w:left="140" w:right="7879" w:hanging="45"/>
        <w:spacing w:after="0" w:line="254" w:lineRule="auto"/>
        <w:tabs>
          <w:tab w:leader="none" w:pos="446"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(5) Utilization of net operating losses (19) 0 0</w:t>
      </w:r>
    </w:p>
    <w:p>
      <w:pPr>
        <w:ind w:left="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Change in valuation</w:t>
      </w:r>
    </w:p>
    <w:p>
      <w:pPr>
        <w:ind w:left="100"/>
        <w:spacing w:after="0" w:line="238" w:lineRule="auto"/>
        <w:rPr>
          <w:sz w:val="20"/>
          <w:szCs w:val="20"/>
          <w:color w:val="auto"/>
        </w:rPr>
      </w:pPr>
      <w:r>
        <w:rPr>
          <w:rFonts w:ascii="Courier New" w:cs="Courier New" w:eastAsia="Courier New" w:hAnsi="Courier New"/>
          <w:sz w:val="15"/>
          <w:szCs w:val="15"/>
          <w:color w:val="auto"/>
        </w:rPr>
        <w:t>allowance (14) 9 3 Other 4</w:t>
      </w:r>
    </w:p>
    <w:p>
      <w:pPr>
        <w:ind w:left="400" w:hanging="349"/>
        <w:spacing w:after="0" w:line="237" w:lineRule="auto"/>
        <w:tabs>
          <w:tab w:leader="none" w:pos="4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w:t>
      </w:r>
    </w:p>
    <w:p>
      <w:pPr>
        <w:spacing w:after="0" w:line="5" w:lineRule="exact"/>
        <w:rPr>
          <w:rFonts w:ascii="Courier New" w:cs="Courier New" w:eastAsia="Courier New" w:hAnsi="Courier New"/>
          <w:sz w:val="15"/>
          <w:szCs w:val="15"/>
          <w:color w:val="auto"/>
        </w:rPr>
      </w:pPr>
    </w:p>
    <w:p>
      <w:pPr>
        <w:jc w:val="both"/>
        <w:ind w:left="260" w:right="7999" w:hanging="44"/>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Provision for income tax 10% 37% 37%</w:t>
      </w:r>
    </w:p>
    <w:p>
      <w:pPr>
        <w:spacing w:after="0" w:line="231"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4019" w:firstLine="262"/>
        <w:spacing w:after="0" w:line="234" w:lineRule="auto"/>
        <w:rPr>
          <w:sz w:val="20"/>
          <w:szCs w:val="20"/>
          <w:color w:val="auto"/>
        </w:rPr>
      </w:pPr>
      <w:r>
        <w:rPr>
          <w:rFonts w:ascii="Courier New" w:cs="Courier New" w:eastAsia="Courier New" w:hAnsi="Courier New"/>
          <w:sz w:val="15"/>
          <w:szCs w:val="15"/>
          <w:color w:val="auto"/>
        </w:rPr>
        <w:t>The significant components of deferred tax assets are as follows (in thousands):</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1997 1998 -------</w:t>
      </w:r>
    </w:p>
    <w:p>
      <w:pPr>
        <w:ind w:left="320"/>
        <w:spacing w:after="0" w:line="237" w:lineRule="auto"/>
        <w:rPr>
          <w:sz w:val="20"/>
          <w:szCs w:val="20"/>
          <w:color w:val="auto"/>
        </w:rPr>
      </w:pPr>
      <w:r>
        <w:rPr>
          <w:rFonts w:ascii="Courier New" w:cs="Courier New" w:eastAsia="Courier New" w:hAnsi="Courier New"/>
          <w:sz w:val="15"/>
          <w:szCs w:val="15"/>
          <w:color w:val="auto"/>
        </w:rPr>
        <w:t>-----------</w:t>
      </w:r>
    </w:p>
    <w:p>
      <w:pPr>
        <w:jc w:val="center"/>
        <w:ind w:right="8659"/>
        <w:spacing w:after="0" w:line="238" w:lineRule="auto"/>
        <w:rPr>
          <w:sz w:val="20"/>
          <w:szCs w:val="20"/>
          <w:color w:val="auto"/>
        </w:rPr>
      </w:pPr>
      <w:r>
        <w:rPr>
          <w:rFonts w:ascii="Courier New" w:cs="Courier New" w:eastAsia="Courier New" w:hAnsi="Courier New"/>
          <w:sz w:val="15"/>
          <w:szCs w:val="15"/>
          <w:color w:val="auto"/>
        </w:rPr>
        <w:t>Foreign loss</w:t>
      </w:r>
    </w:p>
    <w:p>
      <w:pPr>
        <w:jc w:val="center"/>
        <w:ind w:right="8659"/>
        <w:spacing w:after="0" w:line="237" w:lineRule="auto"/>
        <w:rPr>
          <w:sz w:val="20"/>
          <w:szCs w:val="20"/>
          <w:color w:val="auto"/>
        </w:rPr>
      </w:pPr>
      <w:r>
        <w:rPr>
          <w:rFonts w:ascii="Courier New" w:cs="Courier New" w:eastAsia="Courier New" w:hAnsi="Courier New"/>
          <w:sz w:val="15"/>
          <w:szCs w:val="15"/>
          <w:color w:val="auto"/>
        </w:rPr>
        <w:t>carryforward $</w:t>
      </w:r>
    </w:p>
    <w:p>
      <w:pPr>
        <w:jc w:val="center"/>
        <w:ind w:right="8659"/>
        <w:spacing w:after="0" w:line="238" w:lineRule="auto"/>
        <w:rPr>
          <w:sz w:val="20"/>
          <w:szCs w:val="20"/>
          <w:color w:val="auto"/>
        </w:rPr>
      </w:pPr>
      <w:r>
        <w:rPr>
          <w:rFonts w:ascii="Courier New" w:cs="Courier New" w:eastAsia="Courier New" w:hAnsi="Courier New"/>
          <w:sz w:val="15"/>
          <w:szCs w:val="15"/>
          <w:color w:val="auto"/>
        </w:rPr>
        <w:t>961 $ 2,124 Tax</w:t>
      </w:r>
    </w:p>
    <w:p>
      <w:pPr>
        <w:jc w:val="center"/>
        <w:ind w:right="8659"/>
        <w:spacing w:after="0" w:line="237" w:lineRule="auto"/>
        <w:rPr>
          <w:sz w:val="20"/>
          <w:szCs w:val="20"/>
          <w:color w:val="auto"/>
        </w:rPr>
      </w:pPr>
      <w:r>
        <w:rPr>
          <w:rFonts w:ascii="Courier New" w:cs="Courier New" w:eastAsia="Courier New" w:hAnsi="Courier New"/>
          <w:sz w:val="15"/>
          <w:szCs w:val="15"/>
          <w:color w:val="auto"/>
        </w:rPr>
        <w:t>credit</w:t>
      </w:r>
    </w:p>
    <w:p>
      <w:pPr>
        <w:jc w:val="center"/>
        <w:ind w:right="8659"/>
        <w:spacing w:after="0" w:line="238" w:lineRule="auto"/>
        <w:rPr>
          <w:sz w:val="20"/>
          <w:szCs w:val="20"/>
          <w:color w:val="auto"/>
        </w:rPr>
      </w:pPr>
      <w:r>
        <w:rPr>
          <w:rFonts w:ascii="Courier New" w:cs="Courier New" w:eastAsia="Courier New" w:hAnsi="Courier New"/>
          <w:sz w:val="15"/>
          <w:szCs w:val="15"/>
          <w:color w:val="auto"/>
        </w:rPr>
        <w:t>carryforwards</w:t>
      </w:r>
    </w:p>
    <w:p>
      <w:pPr>
        <w:jc w:val="center"/>
        <w:ind w:right="8659"/>
        <w:spacing w:after="0" w:line="237" w:lineRule="auto"/>
        <w:rPr>
          <w:sz w:val="20"/>
          <w:szCs w:val="20"/>
          <w:color w:val="auto"/>
        </w:rPr>
      </w:pPr>
      <w:r>
        <w:rPr>
          <w:rFonts w:ascii="Courier New" w:cs="Courier New" w:eastAsia="Courier New" w:hAnsi="Courier New"/>
          <w:sz w:val="15"/>
          <w:szCs w:val="15"/>
          <w:color w:val="auto"/>
        </w:rPr>
        <w:t>1,360 600</w:t>
      </w:r>
    </w:p>
    <w:p>
      <w:pPr>
        <w:jc w:val="center"/>
        <w:ind w:right="8659"/>
        <w:spacing w:after="0" w:line="238" w:lineRule="auto"/>
        <w:rPr>
          <w:sz w:val="20"/>
          <w:szCs w:val="20"/>
          <w:color w:val="auto"/>
        </w:rPr>
      </w:pPr>
      <w:r>
        <w:rPr>
          <w:rFonts w:ascii="Courier New" w:cs="Courier New" w:eastAsia="Courier New" w:hAnsi="Courier New"/>
          <w:sz w:val="15"/>
          <w:szCs w:val="15"/>
          <w:color w:val="auto"/>
        </w:rPr>
        <w:t>Reserves 862</w:t>
      </w:r>
    </w:p>
    <w:p>
      <w:pPr>
        <w:jc w:val="center"/>
        <w:ind w:right="8659"/>
        <w:spacing w:after="0" w:line="238" w:lineRule="auto"/>
        <w:rPr>
          <w:sz w:val="20"/>
          <w:szCs w:val="20"/>
          <w:color w:val="auto"/>
        </w:rPr>
      </w:pPr>
      <w:r>
        <w:rPr>
          <w:rFonts w:ascii="Courier New" w:cs="Courier New" w:eastAsia="Courier New" w:hAnsi="Courier New"/>
          <w:sz w:val="15"/>
          <w:szCs w:val="15"/>
          <w:color w:val="auto"/>
        </w:rPr>
        <w:t>1,525 Accrued</w:t>
      </w:r>
    </w:p>
    <w:p>
      <w:pPr>
        <w:jc w:val="center"/>
        <w:ind w:right="8659"/>
        <w:spacing w:after="0" w:line="237" w:lineRule="auto"/>
        <w:rPr>
          <w:sz w:val="20"/>
          <w:szCs w:val="20"/>
          <w:color w:val="auto"/>
        </w:rPr>
      </w:pPr>
      <w:r>
        <w:rPr>
          <w:rFonts w:ascii="Courier New" w:cs="Courier New" w:eastAsia="Courier New" w:hAnsi="Courier New"/>
          <w:sz w:val="15"/>
          <w:szCs w:val="15"/>
          <w:color w:val="auto"/>
        </w:rPr>
        <w:t>expenses 1,798</w:t>
      </w:r>
    </w:p>
    <w:p>
      <w:pPr>
        <w:jc w:val="center"/>
        <w:ind w:right="8659"/>
        <w:spacing w:after="0" w:line="238" w:lineRule="auto"/>
        <w:rPr>
          <w:sz w:val="20"/>
          <w:szCs w:val="20"/>
          <w:color w:val="auto"/>
        </w:rPr>
      </w:pPr>
      <w:r>
        <w:rPr>
          <w:rFonts w:ascii="Courier New" w:cs="Courier New" w:eastAsia="Courier New" w:hAnsi="Courier New"/>
          <w:sz w:val="15"/>
          <w:szCs w:val="15"/>
          <w:color w:val="auto"/>
        </w:rPr>
        <w:t>1,367 Deferred</w:t>
      </w:r>
    </w:p>
    <w:p>
      <w:pPr>
        <w:jc w:val="center"/>
        <w:ind w:right="8659"/>
        <w:spacing w:after="0" w:line="237" w:lineRule="auto"/>
        <w:rPr>
          <w:sz w:val="20"/>
          <w:szCs w:val="20"/>
          <w:color w:val="auto"/>
        </w:rPr>
      </w:pPr>
      <w:r>
        <w:rPr>
          <w:rFonts w:ascii="Courier New" w:cs="Courier New" w:eastAsia="Courier New" w:hAnsi="Courier New"/>
          <w:sz w:val="15"/>
          <w:szCs w:val="15"/>
          <w:color w:val="auto"/>
        </w:rPr>
        <w:t>revenue 788 2,232</w:t>
      </w:r>
    </w:p>
    <w:p>
      <w:pPr>
        <w:jc w:val="center"/>
        <w:ind w:right="8659"/>
        <w:spacing w:after="0" w:line="238" w:lineRule="auto"/>
        <w:rPr>
          <w:sz w:val="20"/>
          <w:szCs w:val="20"/>
          <w:color w:val="auto"/>
        </w:rPr>
      </w:pPr>
      <w:r>
        <w:rPr>
          <w:rFonts w:ascii="Courier New" w:cs="Courier New" w:eastAsia="Courier New" w:hAnsi="Courier New"/>
          <w:sz w:val="15"/>
          <w:szCs w:val="15"/>
          <w:color w:val="auto"/>
        </w:rPr>
        <w:t>Other 499 (91)</w:t>
      </w:r>
    </w:p>
    <w:p>
      <w:pPr>
        <w:jc w:val="center"/>
        <w:ind w:right="8659"/>
        <w:spacing w:after="0" w:line="237" w:lineRule="auto"/>
        <w:rPr>
          <w:sz w:val="20"/>
          <w:szCs w:val="20"/>
          <w:color w:val="auto"/>
        </w:rPr>
      </w:pPr>
      <w:r>
        <w:rPr>
          <w:rFonts w:ascii="Courier New" w:cs="Courier New" w:eastAsia="Courier New" w:hAnsi="Courier New"/>
          <w:sz w:val="15"/>
          <w:szCs w:val="15"/>
          <w:color w:val="auto"/>
        </w:rPr>
        <w:t>Valuation</w:t>
      </w:r>
    </w:p>
    <w:p>
      <w:pPr>
        <w:jc w:val="center"/>
        <w:ind w:right="8659"/>
        <w:spacing w:after="0" w:line="238" w:lineRule="auto"/>
        <w:rPr>
          <w:sz w:val="20"/>
          <w:szCs w:val="20"/>
          <w:color w:val="auto"/>
        </w:rPr>
      </w:pPr>
      <w:r>
        <w:rPr>
          <w:rFonts w:ascii="Courier New" w:cs="Courier New" w:eastAsia="Courier New" w:hAnsi="Courier New"/>
          <w:sz w:val="15"/>
          <w:szCs w:val="15"/>
          <w:color w:val="auto"/>
        </w:rPr>
        <w:t>allowance (576)</w:t>
      </w:r>
    </w:p>
    <w:p>
      <w:pPr>
        <w:ind w:left="580" w:hanging="529"/>
        <w:spacing w:after="0" w:line="238" w:lineRule="auto"/>
        <w:tabs>
          <w:tab w:leader="none" w:pos="5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Net</w:t>
      </w:r>
    </w:p>
    <w:p>
      <w:pPr>
        <w:jc w:val="center"/>
        <w:ind w:right="8659"/>
        <w:spacing w:after="0" w:line="238" w:lineRule="auto"/>
        <w:rPr>
          <w:sz w:val="20"/>
          <w:szCs w:val="20"/>
          <w:color w:val="auto"/>
        </w:rPr>
      </w:pPr>
      <w:r>
        <w:rPr>
          <w:rFonts w:ascii="Courier New" w:cs="Courier New" w:eastAsia="Courier New" w:hAnsi="Courier New"/>
          <w:sz w:val="15"/>
          <w:szCs w:val="15"/>
          <w:color w:val="auto"/>
        </w:rPr>
        <w:t>deferred tax</w:t>
      </w:r>
    </w:p>
    <w:p>
      <w:pPr>
        <w:jc w:val="center"/>
        <w:ind w:right="8659"/>
        <w:spacing w:after="0" w:line="237" w:lineRule="auto"/>
        <w:rPr>
          <w:sz w:val="20"/>
          <w:szCs w:val="20"/>
          <w:color w:val="auto"/>
        </w:rPr>
      </w:pPr>
      <w:r>
        <w:rPr>
          <w:rFonts w:ascii="Courier New" w:cs="Courier New" w:eastAsia="Courier New" w:hAnsi="Courier New"/>
          <w:sz w:val="15"/>
          <w:szCs w:val="15"/>
          <w:color w:val="auto"/>
        </w:rPr>
        <w:t>assets $ 5,692 $</w:t>
      </w:r>
    </w:p>
    <w:p>
      <w:pPr>
        <w:jc w:val="center"/>
        <w:ind w:right="8659"/>
        <w:spacing w:after="0" w:line="238" w:lineRule="auto"/>
        <w:rPr>
          <w:sz w:val="20"/>
          <w:szCs w:val="20"/>
          <w:color w:val="auto"/>
        </w:rPr>
      </w:pPr>
      <w:r>
        <w:rPr>
          <w:rFonts w:ascii="Courier New" w:cs="Courier New" w:eastAsia="Courier New" w:hAnsi="Courier New"/>
          <w:sz w:val="15"/>
          <w:szCs w:val="15"/>
          <w:color w:val="auto"/>
        </w:rPr>
        <w:t>6,794</w:t>
      </w:r>
    </w:p>
    <w:p>
      <w:pPr>
        <w:spacing w:after="0" w:line="5" w:lineRule="exact"/>
        <w:rPr>
          <w:sz w:val="20"/>
          <w:szCs w:val="20"/>
          <w:color w:val="auto"/>
        </w:rPr>
      </w:pPr>
    </w:p>
    <w:p>
      <w:pPr>
        <w:jc w:val="center"/>
        <w:ind w:right="865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8659"/>
        <w:spacing w:after="0"/>
        <w:rPr>
          <w:sz w:val="20"/>
          <w:szCs w:val="20"/>
          <w:color w:val="auto"/>
        </w:rPr>
      </w:pPr>
      <w:r>
        <w:rPr>
          <w:rFonts w:ascii="Courier New" w:cs="Courier New" w:eastAsia="Courier New" w:hAnsi="Courier New"/>
          <w:sz w:val="15"/>
          <w:szCs w:val="15"/>
          <w:color w:val="auto"/>
        </w:rPr>
        <w:t>Current deferred</w:t>
      </w:r>
    </w:p>
    <w:p>
      <w:pPr>
        <w:jc w:val="center"/>
        <w:ind w:right="8659"/>
        <w:spacing w:after="0" w:line="237" w:lineRule="auto"/>
        <w:rPr>
          <w:sz w:val="20"/>
          <w:szCs w:val="20"/>
          <w:color w:val="auto"/>
        </w:rPr>
      </w:pPr>
      <w:r>
        <w:rPr>
          <w:rFonts w:ascii="Courier New" w:cs="Courier New" w:eastAsia="Courier New" w:hAnsi="Courier New"/>
          <w:sz w:val="15"/>
          <w:szCs w:val="15"/>
          <w:color w:val="auto"/>
        </w:rPr>
        <w:t>tax assets $</w:t>
      </w:r>
    </w:p>
    <w:p>
      <w:pPr>
        <w:jc w:val="center"/>
        <w:ind w:right="8659"/>
        <w:spacing w:after="0" w:line="238" w:lineRule="auto"/>
        <w:rPr>
          <w:sz w:val="20"/>
          <w:szCs w:val="20"/>
          <w:color w:val="auto"/>
        </w:rPr>
      </w:pPr>
      <w:r>
        <w:rPr>
          <w:rFonts w:ascii="Courier New" w:cs="Courier New" w:eastAsia="Courier New" w:hAnsi="Courier New"/>
          <w:sz w:val="15"/>
          <w:szCs w:val="15"/>
          <w:color w:val="auto"/>
        </w:rPr>
        <w:t>4,133 $ 4,934</w:t>
      </w:r>
    </w:p>
    <w:p>
      <w:pPr>
        <w:jc w:val="center"/>
        <w:ind w:right="8659"/>
        <w:spacing w:after="0" w:line="237" w:lineRule="auto"/>
        <w:rPr>
          <w:sz w:val="20"/>
          <w:szCs w:val="20"/>
          <w:color w:val="auto"/>
        </w:rPr>
      </w:pPr>
      <w:r>
        <w:rPr>
          <w:rFonts w:ascii="Courier New" w:cs="Courier New" w:eastAsia="Courier New" w:hAnsi="Courier New"/>
          <w:sz w:val="15"/>
          <w:szCs w:val="15"/>
          <w:color w:val="auto"/>
        </w:rPr>
        <w:t>Non-current</w:t>
      </w:r>
    </w:p>
    <w:p>
      <w:pPr>
        <w:jc w:val="center"/>
        <w:ind w:right="8659"/>
        <w:spacing w:after="0" w:line="238" w:lineRule="auto"/>
        <w:rPr>
          <w:sz w:val="20"/>
          <w:szCs w:val="20"/>
          <w:color w:val="auto"/>
        </w:rPr>
      </w:pPr>
      <w:r>
        <w:rPr>
          <w:rFonts w:ascii="Courier New" w:cs="Courier New" w:eastAsia="Courier New" w:hAnsi="Courier New"/>
          <w:sz w:val="15"/>
          <w:szCs w:val="15"/>
          <w:color w:val="auto"/>
        </w:rPr>
        <w:t>deferred tax</w:t>
      </w:r>
    </w:p>
    <w:p>
      <w:pPr>
        <w:jc w:val="center"/>
        <w:ind w:right="8659"/>
        <w:spacing w:after="0" w:line="237" w:lineRule="auto"/>
        <w:rPr>
          <w:sz w:val="20"/>
          <w:szCs w:val="20"/>
          <w:color w:val="auto"/>
        </w:rPr>
      </w:pPr>
      <w:r>
        <w:rPr>
          <w:rFonts w:ascii="Courier New" w:cs="Courier New" w:eastAsia="Courier New" w:hAnsi="Courier New"/>
          <w:sz w:val="15"/>
          <w:szCs w:val="15"/>
          <w:color w:val="auto"/>
        </w:rPr>
        <w:t>assets 1,559</w:t>
      </w:r>
    </w:p>
    <w:p>
      <w:pPr>
        <w:jc w:val="center"/>
        <w:ind w:right="8659"/>
        <w:spacing w:after="0" w:line="238" w:lineRule="auto"/>
        <w:rPr>
          <w:sz w:val="20"/>
          <w:szCs w:val="20"/>
          <w:color w:val="auto"/>
        </w:rPr>
      </w:pPr>
      <w:r>
        <w:rPr>
          <w:rFonts w:ascii="Courier New" w:cs="Courier New" w:eastAsia="Courier New" w:hAnsi="Courier New"/>
          <w:sz w:val="15"/>
          <w:szCs w:val="15"/>
          <w:color w:val="auto"/>
        </w:rPr>
        <w:t>1,860 -----------</w:t>
      </w:r>
    </w:p>
    <w:p>
      <w:pPr>
        <w:ind w:left="320"/>
        <w:spacing w:after="0" w:line="237" w:lineRule="auto"/>
        <w:rPr>
          <w:sz w:val="20"/>
          <w:szCs w:val="20"/>
          <w:color w:val="auto"/>
        </w:rPr>
      </w:pPr>
      <w:r>
        <w:rPr>
          <w:rFonts w:ascii="Courier New" w:cs="Courier New" w:eastAsia="Courier New" w:hAnsi="Courier New"/>
          <w:sz w:val="15"/>
          <w:szCs w:val="15"/>
          <w:color w:val="auto"/>
        </w:rPr>
        <w:t>------- Net</w:t>
      </w:r>
    </w:p>
    <w:p>
      <w:pPr>
        <w:jc w:val="center"/>
        <w:ind w:right="8659"/>
        <w:spacing w:after="0" w:line="238" w:lineRule="auto"/>
        <w:rPr>
          <w:sz w:val="20"/>
          <w:szCs w:val="20"/>
          <w:color w:val="auto"/>
        </w:rPr>
      </w:pPr>
      <w:r>
        <w:rPr>
          <w:rFonts w:ascii="Courier New" w:cs="Courier New" w:eastAsia="Courier New" w:hAnsi="Courier New"/>
          <w:sz w:val="15"/>
          <w:szCs w:val="15"/>
          <w:color w:val="auto"/>
        </w:rPr>
        <w:t>deferred tax</w:t>
      </w:r>
    </w:p>
    <w:p>
      <w:pPr>
        <w:jc w:val="center"/>
        <w:ind w:right="8659"/>
        <w:spacing w:after="0" w:line="238" w:lineRule="auto"/>
        <w:rPr>
          <w:sz w:val="20"/>
          <w:szCs w:val="20"/>
          <w:color w:val="auto"/>
        </w:rPr>
      </w:pPr>
      <w:r>
        <w:rPr>
          <w:rFonts w:ascii="Courier New" w:cs="Courier New" w:eastAsia="Courier New" w:hAnsi="Courier New"/>
          <w:sz w:val="15"/>
          <w:szCs w:val="15"/>
          <w:color w:val="auto"/>
        </w:rPr>
        <w:t>assets $ 5,692 $</w:t>
      </w:r>
    </w:p>
    <w:p>
      <w:pPr>
        <w:jc w:val="center"/>
        <w:ind w:right="8659"/>
        <w:spacing w:after="0" w:line="237" w:lineRule="auto"/>
        <w:rPr>
          <w:sz w:val="20"/>
          <w:szCs w:val="20"/>
          <w:color w:val="auto"/>
        </w:rPr>
      </w:pPr>
      <w:r>
        <w:rPr>
          <w:rFonts w:ascii="Courier New" w:cs="Courier New" w:eastAsia="Courier New" w:hAnsi="Courier New"/>
          <w:sz w:val="15"/>
          <w:szCs w:val="15"/>
          <w:color w:val="auto"/>
        </w:rPr>
        <w:t>6,794</w:t>
      </w:r>
    </w:p>
    <w:p>
      <w:pPr>
        <w:spacing w:after="0" w:line="5" w:lineRule="exact"/>
        <w:rPr>
          <w:sz w:val="20"/>
          <w:szCs w:val="20"/>
          <w:color w:val="auto"/>
        </w:rPr>
      </w:pPr>
    </w:p>
    <w:p>
      <w:pPr>
        <w:jc w:val="center"/>
        <w:ind w:right="8659"/>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The Company has not recorded a valuation allowance for those deferred tax assets that management believes are more likely than not to be realized through taxable income in the carryback period or through future taxable income.</w:t>
      </w:r>
    </w:p>
    <w:p>
      <w:pPr>
        <w:spacing w:after="0" w:line="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However, at December 31, 1998, a valuation allowance of approximately $963,000 has been recorded. This valuation allowance is provided because of the uncertainty regarding realization of certain foreign tax net operating losses as a result of the limited profitable operating history in certain foreign tax jurisdictions.</w:t>
      </w:r>
    </w:p>
    <w:p>
      <w:pPr>
        <w:spacing w:after="0" w:line="174" w:lineRule="exact"/>
        <w:rPr>
          <w:sz w:val="20"/>
          <w:szCs w:val="20"/>
          <w:color w:val="auto"/>
        </w:rPr>
      </w:pPr>
    </w:p>
    <w:p>
      <w:pPr>
        <w:ind w:right="3839" w:firstLine="437"/>
        <w:spacing w:after="0" w:line="235" w:lineRule="auto"/>
        <w:rPr>
          <w:sz w:val="20"/>
          <w:szCs w:val="20"/>
          <w:color w:val="auto"/>
        </w:rPr>
      </w:pPr>
      <w:r>
        <w:rPr>
          <w:rFonts w:ascii="Courier New" w:cs="Courier New" w:eastAsia="Courier New" w:hAnsi="Courier New"/>
          <w:sz w:val="15"/>
          <w:szCs w:val="15"/>
          <w:color w:val="auto"/>
        </w:rPr>
        <w:t>At December 31, 1998, the Company had a foreign loss carryforward of $6,069,000 and state tax credit carryforwards totalling $923,000. The carryforwards will expire between 2001 and 2008.</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449" w:right="1440" w:bottom="349" w:gutter="0" w:footer="0" w:header="0"/>
        </w:sectPr>
      </w:pPr>
    </w:p>
    <w:bookmarkStart w:id="26" w:name="page27"/>
    <w:bookmarkEnd w:id="26"/>
    <w:p>
      <w:pPr>
        <w:ind w:left="440" w:hanging="343"/>
        <w:spacing w:after="0"/>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 AND MAJOR CUSTOMERS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accordance with Statement of Financial Accounting Standards (SFAS) No. 131, "Disclosures about Segments of an Enterprise and Related Information," the Company is required to disclose information about its products, services, the geographic area in which it operates and major customers. The Company operates in a single industry segment encompassing the design, development, marketing and technical support for front-office automation software.</w:t>
      </w:r>
    </w:p>
    <w:p>
      <w:pPr>
        <w:spacing w:after="0" w:line="166"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following are revenues and long-lived assets by geographic area as of and for the years ended December 31 (in thousands):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4280" w:type="dxa"/>
            <w:vAlign w:val="bottom"/>
            <w:gridSpan w:val="4"/>
          </w:tcPr>
          <w:p>
            <w:pPr>
              <w:spacing w:after="0"/>
              <w:rPr>
                <w:sz w:val="20"/>
                <w:szCs w:val="20"/>
                <w:color w:val="auto"/>
              </w:rPr>
            </w:pPr>
            <w:r>
              <w:rPr>
                <w:rFonts w:ascii="Courier New" w:cs="Courier New" w:eastAsia="Courier New" w:hAnsi="Courier New"/>
                <w:sz w:val="15"/>
                <w:szCs w:val="15"/>
                <w:color w:val="auto"/>
                <w:w w:val="96"/>
              </w:rPr>
              <w:t>Revenues Long-Lived Assets ----------------------</w:t>
            </w:r>
          </w:p>
        </w:tc>
      </w:tr>
      <w:tr>
        <w:trPr>
          <w:trHeight w:val="168"/>
        </w:trPr>
        <w:tc>
          <w:tcPr>
            <w:tcW w:w="1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2"/>
              </w:rPr>
              <w:t>-------- -----------------</w:t>
            </w:r>
          </w:p>
        </w:tc>
        <w:tc>
          <w:tcPr>
            <w:tcW w:w="2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1996 1997 1998 1997</w:t>
            </w:r>
          </w:p>
        </w:tc>
      </w:tr>
      <w:tr>
        <w:trPr>
          <w:trHeight w:val="168"/>
        </w:trPr>
        <w:tc>
          <w:tcPr>
            <w:tcW w:w="19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1998 --------------------------------------------</w:t>
            </w:r>
          </w:p>
        </w:tc>
        <w:tc>
          <w:tcPr>
            <w:tcW w:w="7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1960" w:type="dxa"/>
            <w:vAlign w:val="bottom"/>
            <w:gridSpan w:val="2"/>
          </w:tcPr>
          <w:p>
            <w:pPr>
              <w:spacing w:after="0"/>
              <w:rPr>
                <w:sz w:val="20"/>
                <w:szCs w:val="20"/>
                <w:color w:val="auto"/>
              </w:rPr>
            </w:pPr>
            <w:r>
              <w:rPr>
                <w:rFonts w:ascii="Courier New" w:cs="Courier New" w:eastAsia="Courier New" w:hAnsi="Courier New"/>
                <w:sz w:val="12"/>
                <w:szCs w:val="12"/>
                <w:color w:val="auto"/>
                <w:w w:val="81"/>
              </w:rPr>
              <w:t>------ U.S. .....................</w:t>
            </w:r>
          </w:p>
        </w:tc>
        <w:tc>
          <w:tcPr>
            <w:tcW w:w="74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$48,620 $79,121</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$ 97,928 $7,639</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$7,257</w:t>
            </w:r>
          </w:p>
        </w:tc>
        <w:tc>
          <w:tcPr>
            <w:tcW w:w="23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International ............</w:t>
            </w:r>
          </w:p>
        </w:tc>
      </w:tr>
      <w:tr>
        <w:trPr>
          <w:trHeight w:val="168"/>
        </w:trPr>
        <w:tc>
          <w:tcPr>
            <w:tcW w:w="1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7,702 9,096 32,582 972</w:t>
            </w:r>
          </w:p>
        </w:tc>
        <w:tc>
          <w:tcPr>
            <w:tcW w:w="2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1,180 --------------------</w:t>
            </w:r>
          </w:p>
        </w:tc>
      </w:tr>
      <w:tr>
        <w:trPr>
          <w:trHeight w:val="168"/>
        </w:trPr>
        <w:tc>
          <w:tcPr>
            <w:tcW w:w="1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1"/>
              </w:rPr>
              <w:t>------------------------------</w:t>
            </w:r>
          </w:p>
        </w:tc>
        <w:tc>
          <w:tcPr>
            <w:tcW w:w="740" w:type="dxa"/>
            <w:vAlign w:val="bottom"/>
          </w:tcPr>
          <w:p>
            <w:pPr>
              <w:spacing w:after="0"/>
              <w:rPr>
                <w:sz w:val="14"/>
                <w:szCs w:val="14"/>
                <w:color w:val="auto"/>
              </w:rPr>
            </w:pP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$56,322</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$88,217 $130,510</w:t>
            </w:r>
          </w:p>
        </w:tc>
      </w:tr>
      <w:tr>
        <w:trPr>
          <w:trHeight w:val="168"/>
        </w:trPr>
        <w:tc>
          <w:tcPr>
            <w:tcW w:w="1400" w:type="dxa"/>
            <w:vAlign w:val="bottom"/>
          </w:tcPr>
          <w:p>
            <w:pPr>
              <w:spacing w:after="0"/>
              <w:rPr>
                <w:sz w:val="14"/>
                <w:szCs w:val="14"/>
                <w:color w:val="auto"/>
              </w:rPr>
            </w:pP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$8,611 $8,437</w:t>
            </w:r>
          </w:p>
        </w:tc>
        <w:tc>
          <w:tcPr>
            <w:tcW w:w="158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No one customer accounted for more than 10% of total revenues in 1996, 1997 and 1998.</w:t>
      </w:r>
    </w:p>
    <w:p>
      <w:pPr>
        <w:spacing w:after="0" w:line="167" w:lineRule="exact"/>
        <w:rPr>
          <w:sz w:val="20"/>
          <w:szCs w:val="20"/>
          <w:color w:val="auto"/>
        </w:rPr>
      </w:pPr>
    </w:p>
    <w:p>
      <w:pPr>
        <w:ind w:left="440" w:hanging="430"/>
        <w:spacing w:after="0"/>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PLAN</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Effective August 1991, the Company began a voluntary 401(k) plan covering substantially all employees. The plan provides for discretionary employer contributions. No employer contributions were made or authorized in 1996, 1997 or 1998.</w:t>
      </w:r>
    </w:p>
    <w:p>
      <w:pPr>
        <w:spacing w:after="0" w:line="169" w:lineRule="exact"/>
        <w:rPr>
          <w:sz w:val="20"/>
          <w:szCs w:val="20"/>
          <w:color w:val="auto"/>
        </w:rPr>
      </w:pPr>
    </w:p>
    <w:p>
      <w:pPr>
        <w:ind w:left="440" w:hanging="430"/>
        <w:spacing w:after="0"/>
        <w:tabs>
          <w:tab w:leader="none" w:pos="4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March 12, 1999, the Board of Directors approved an amendment to the current ESPP. The Company anticipates that the shares available for future purchase under the current plan will be depleted on or before April 30, 2000. The Board approved the following amendment to include one final six-month offering period commencing May 1, 1999 and ending October 31, 1999. All other terms for participation by employees will remain the same. The current plan will terminate after this final purchase period. Additionally, the Board approved the new 1999 Employee Stock Purchase Plan (subject to stockholder approval) to include an initial pool of 1,000,000 shares available for purchase under the Plan plus an annual increase to the shares reserved under the Plan on the first day of each fiscal year in 2000, 2001, 2002, 2003 and 2004 equal to the lesser of (i) 500,000, (ii) 5% of the Company's common stock outstanding on the last day of the preceding fiscal year, or (iii) a lesser number of shares as determined by the Board, for stock purchases. The new Plan has a term of 20 years.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449" w:right="1440" w:bottom="1440" w:gutter="0" w:footer="0" w:header="0"/>
        </w:sectPr>
      </w:pPr>
    </w:p>
    <w:bookmarkStart w:id="27" w:name="page28"/>
    <w:bookmarkEnd w:id="27"/>
    <w:p>
      <w:pPr>
        <w:jc w:val="center"/>
        <w:ind w:right="3219"/>
        <w:spacing w:after="0"/>
        <w:rPr>
          <w:sz w:val="20"/>
          <w:szCs w:val="20"/>
          <w:color w:val="auto"/>
        </w:rPr>
      </w:pPr>
      <w:r>
        <w:rPr>
          <w:rFonts w:ascii="Courier New" w:cs="Courier New" w:eastAsia="Courier New" w:hAnsi="Courier New"/>
          <w:sz w:val="15"/>
          <w:szCs w:val="15"/>
          <w:color w:val="auto"/>
        </w:rPr>
        <w:t>CLARIFY INC.</w:t>
      </w:r>
    </w:p>
    <w:p>
      <w:pPr>
        <w:jc w:val="center"/>
        <w:ind w:right="3299"/>
        <w:spacing w:after="0" w:line="237" w:lineRule="auto"/>
        <w:rPr>
          <w:sz w:val="20"/>
          <w:szCs w:val="20"/>
          <w:color w:val="auto"/>
        </w:rPr>
      </w:pPr>
      <w:r>
        <w:rPr>
          <w:rFonts w:ascii="Courier New" w:cs="Courier New" w:eastAsia="Courier New" w:hAnsi="Courier New"/>
          <w:sz w:val="15"/>
          <w:szCs w:val="15"/>
          <w:color w:val="auto"/>
        </w:rPr>
        <w:t>REPORT OF INDEPENDENT ACCOUNTANTS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CLARIFY, INC.</w:t>
      </w:r>
    </w:p>
    <w:p>
      <w:pPr>
        <w:spacing w:after="0" w:line="173"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In our opinion, the accompanying consolidated balance sheets and the related consolidated statements of income, of stockholders' equity and of cash flows present fairly, in all material respects, the financial position of Clarify, Inc. and its subsidiaries at December 31, 1997 and 1998, and the results of their operations and their cash flows in each of the three years in the period ended December 31, 1998, in conformity with generally accepted accounting principles. These financial statements are the responsibility of the Company's management; our responsibility is to express an opinion on these financial statements based on our audits. We conducted our audit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 Coopers LLP</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Jose, California, January 19, 1999</w:t>
      </w:r>
    </w:p>
    <w:p>
      <w:pPr>
        <w:spacing w:after="0" w:line="237" w:lineRule="auto"/>
        <w:rPr>
          <w:sz w:val="20"/>
          <w:szCs w:val="20"/>
          <w:color w:val="auto"/>
        </w:rPr>
      </w:pPr>
      <w:r>
        <w:rPr>
          <w:rFonts w:ascii="Courier New" w:cs="Courier New" w:eastAsia="Courier New" w:hAnsi="Courier New"/>
          <w:sz w:val="15"/>
          <w:szCs w:val="15"/>
          <w:color w:val="auto"/>
        </w:rPr>
        <w:t>except for Note 11 for which the date is March 12,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449" w:right="1440" w:bottom="1440" w:gutter="0" w:footer="0" w:header="0"/>
        </w:sectPr>
      </w:pPr>
    </w:p>
    <w:bookmarkStart w:id="28" w:name="page29"/>
    <w:bookmarkEnd w:id="28"/>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w:t>
      </w:r>
    </w:p>
    <w:p>
      <w:pPr>
        <w:spacing w:after="0" w:line="237" w:lineRule="auto"/>
        <w:rPr>
          <w:sz w:val="20"/>
          <w:szCs w:val="20"/>
          <w:color w:val="auto"/>
        </w:rPr>
      </w:pPr>
      <w:r>
        <w:rPr>
          <w:rFonts w:ascii="Courier New" w:cs="Courier New" w:eastAsia="Courier New" w:hAnsi="Courier New"/>
          <w:sz w:val="15"/>
          <w:szCs w:val="15"/>
          <w:color w:val="auto"/>
        </w:rPr>
        <w:t>Nortel Networks Corporation</w:t>
      </w:r>
    </w:p>
    <w:p>
      <w:pPr>
        <w:spacing w:after="0" w:line="238" w:lineRule="auto"/>
        <w:rPr>
          <w:sz w:val="20"/>
          <w:szCs w:val="20"/>
          <w:color w:val="auto"/>
        </w:rPr>
      </w:pPr>
      <w:r>
        <w:rPr>
          <w:rFonts w:ascii="Courier New" w:cs="Courier New" w:eastAsia="Courier New" w:hAnsi="Courier New"/>
          <w:sz w:val="15"/>
          <w:szCs w:val="15"/>
          <w:color w:val="auto"/>
        </w:rPr>
        <w:t>Brampton, Ontario (Canada)</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have audited the accompanying combined balance sheet of the Clarify business ("Clarify") of Nortel Networks Corporation ("Nortel Networks") as of December 31, 2000, and the related combined statements of operations, net investment and cash flows for the period from March 17, 2000 (acquisition date) to December 31, 2000. We have also audited the accompanying consolidated balance sheet of the predecessor of the Clarify business, Clarify Inc., as of December 31, 1999 and the related consolidated statements of operations, stockholders' equity and cash flows for the year then ended, and for the period from January 1, 2000 to March 16, 2000. These financial statements are the responsibility of Nortel Networks' management. Our responsibility is to express an opinion on these financial statements based on our audits.</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combined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discussed in Note 1 to the financial statements, the balance sheet of the Clarify business of Nortel Networks as of December 31, 2000 includes the net assets acquired by Nortel Networks in its purchase of Clarify on March 16, 2000, after giving effect to the allocation of Nortel Networks' purchase price to Clarify's net assets and to the changes in the net assets of Clarify subsequent to the acquisition; the related combined statements of operations, net investment and cash flows reflect the results of operations and the cash flows of Clarify subsequent to such acquisition after giving effect to the allocation of Nortel Networks' purchase price to Clarify's net assets.</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our opinion, such combined financial statements present fairly, in all material respects, the financial position of the Clarify business of Nortel Networks as of December 31, 2000, and the results of its operations and its cash flows for the period from March 17, 2000 to December 31, 2000 in conformity with accounting principles generally accepted in the United States of America. Also, in our opinion, the above-mentioned consolidated financial statements of the predecessor of Clarify present fairly, in all material respects, its financial position as of December 31, 1999 and its results of operations and its cash flows for the year ended December 31, 1999, and for the period from January 1, 2000 to March 16, 2000, in conformity with accounting principles generally accepted in the United States of America.</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7, 2002</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449" w:right="1440" w:bottom="1440" w:gutter="0" w:footer="0" w:header="0"/>
        </w:sectPr>
      </w:pPr>
    </w:p>
    <w:bookmarkStart w:id="29" w:name="page30"/>
    <w:bookmarkEnd w:id="29"/>
    <w:p>
      <w:pPr>
        <w:jc w:val="center"/>
        <w:ind w:right="3240"/>
        <w:spacing w:after="0"/>
        <w:rPr>
          <w:sz w:val="20"/>
          <w:szCs w:val="20"/>
          <w:color w:val="auto"/>
        </w:rPr>
      </w:pPr>
      <w:r>
        <w:rPr>
          <w:rFonts w:ascii="Courier New" w:cs="Courier New" w:eastAsia="Courier New" w:hAnsi="Courier New"/>
          <w:sz w:val="15"/>
          <w:szCs w:val="15"/>
          <w:color w:val="auto"/>
        </w:rPr>
        <w:t>CLARIFY</w:t>
      </w:r>
    </w:p>
    <w:p>
      <w:pPr>
        <w:jc w:val="center"/>
        <w:ind w:right="3240"/>
        <w:spacing w:after="0" w:line="237" w:lineRule="auto"/>
        <w:rPr>
          <w:sz w:val="20"/>
          <w:szCs w:val="20"/>
          <w:color w:val="auto"/>
        </w:rPr>
      </w:pPr>
      <w:r>
        <w:rPr>
          <w:rFonts w:ascii="Courier New" w:cs="Courier New" w:eastAsia="Courier New" w:hAnsi="Courier New"/>
          <w:sz w:val="15"/>
          <w:szCs w:val="15"/>
          <w:color w:val="auto"/>
        </w:rPr>
        <w:t>(A BUSINESS OF NORTEL NETWORKS CORPORATION)</w:t>
      </w:r>
    </w:p>
    <w:p>
      <w:pPr>
        <w:spacing w:after="0" w:line="167"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BALANCE SHEETS</w:t>
      </w:r>
    </w:p>
    <w:p>
      <w:pPr>
        <w:jc w:val="center"/>
        <w:ind w:right="3320"/>
        <w:spacing w:after="0" w:line="237" w:lineRule="auto"/>
        <w:rPr>
          <w:sz w:val="20"/>
          <w:szCs w:val="20"/>
          <w:color w:val="auto"/>
        </w:rPr>
      </w:pPr>
      <w:r>
        <w:rPr>
          <w:rFonts w:ascii="Courier New" w:cs="Courier New" w:eastAsia="Courier New" w:hAnsi="Courier New"/>
          <w:sz w:val="15"/>
          <w:szCs w:val="15"/>
          <w:color w:val="auto"/>
        </w:rPr>
        <w:t>(In thousands, except par value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60" w:type="dxa"/>
            <w:vAlign w:val="bottom"/>
          </w:tcPr>
          <w:p>
            <w:pPr>
              <w:spacing w:after="0"/>
              <w:rPr>
                <w:sz w:val="14"/>
                <w:szCs w:val="14"/>
                <w:color w:val="auto"/>
              </w:rPr>
            </w:pPr>
          </w:p>
        </w:tc>
        <w:tc>
          <w:tcPr>
            <w:tcW w:w="16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Predecessor</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Company</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360" w:type="dxa"/>
            <w:vAlign w:val="bottom"/>
          </w:tcPr>
          <w:p>
            <w:pPr>
              <w:spacing w:after="0"/>
              <w:rPr>
                <w:sz w:val="14"/>
                <w:szCs w:val="14"/>
                <w:color w:val="auto"/>
              </w:rPr>
            </w:pPr>
          </w:p>
        </w:tc>
        <w:tc>
          <w:tcPr>
            <w:tcW w:w="16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December 31,</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7360" w:type="dxa"/>
            <w:vAlign w:val="bottom"/>
          </w:tcPr>
          <w:p>
            <w:pPr>
              <w:jc w:val="right"/>
              <w:ind w:right="3247"/>
              <w:spacing w:after="0" w:line="168" w:lineRule="exact"/>
              <w:rPr>
                <w:sz w:val="20"/>
                <w:szCs w:val="20"/>
                <w:color w:val="auto"/>
              </w:rPr>
            </w:pPr>
            <w:r>
              <w:rPr>
                <w:rFonts w:ascii="Courier New" w:cs="Courier New" w:eastAsia="Courier New" w:hAnsi="Courier New"/>
                <w:sz w:val="15"/>
                <w:szCs w:val="15"/>
                <w:color w:val="auto"/>
              </w:rPr>
              <w:t>ASSETS</w:t>
            </w:r>
          </w:p>
        </w:tc>
        <w:tc>
          <w:tcPr>
            <w:tcW w:w="52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736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3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Cash and cash equivalents ....................................................</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37,491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13,459</w:t>
            </w: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Short-term investments .......................................................</w:t>
            </w:r>
          </w:p>
        </w:tc>
        <w:tc>
          <w:tcPr>
            <w:tcW w:w="5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21,210</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9"/>
              </w:rPr>
              <w:t>Accounts receivable, net of allowance for doubtful accounts and returns</w:t>
            </w: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of $5,894 in 1999 and $876 in 2000 .........................................</w:t>
            </w:r>
          </w:p>
        </w:tc>
        <w:tc>
          <w:tcPr>
            <w:tcW w:w="5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76,243</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94,058</w:t>
            </w: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Prepaid expenses and other current assets.....................................</w:t>
            </w:r>
          </w:p>
        </w:tc>
        <w:tc>
          <w:tcPr>
            <w:tcW w:w="5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7,696</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8,868</w:t>
            </w: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Deferred tax assets ..........................................................</w:t>
            </w:r>
          </w:p>
        </w:tc>
        <w:tc>
          <w:tcPr>
            <w:tcW w:w="5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7,518</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12,208</w:t>
            </w: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Receivable from Nortel Networks Corporation ..................................</w:t>
            </w:r>
          </w:p>
        </w:tc>
        <w:tc>
          <w:tcPr>
            <w:tcW w:w="5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9,426</w:t>
            </w:r>
          </w:p>
        </w:tc>
      </w:tr>
      <w:tr>
        <w:trPr>
          <w:trHeight w:val="168"/>
        </w:trPr>
        <w:tc>
          <w:tcPr>
            <w:tcW w:w="736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5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150,158</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138,019</w:t>
            </w: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Property and equipment, net ....................................................</w:t>
            </w:r>
          </w:p>
        </w:tc>
        <w:tc>
          <w:tcPr>
            <w:tcW w:w="5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16,984</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15,735</w:t>
            </w: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Long-term investments ..........................................................</w:t>
            </w:r>
          </w:p>
        </w:tc>
        <w:tc>
          <w:tcPr>
            <w:tcW w:w="5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19,587</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Noncurrent deferred tax assets .................................................</w:t>
            </w:r>
          </w:p>
        </w:tc>
        <w:tc>
          <w:tcPr>
            <w:tcW w:w="5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3,267</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20,404</w:t>
            </w: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Other noncurrent assets ........................................................</w:t>
            </w:r>
          </w:p>
        </w:tc>
        <w:tc>
          <w:tcPr>
            <w:tcW w:w="5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1,146</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1,187</w:t>
            </w: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Acquired intangibles, net ......................................................</w:t>
            </w:r>
          </w:p>
        </w:tc>
        <w:tc>
          <w:tcPr>
            <w:tcW w:w="5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14,959</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1,450,595</w:t>
            </w:r>
          </w:p>
        </w:tc>
      </w:tr>
      <w:tr>
        <w:trPr>
          <w:trHeight w:val="168"/>
        </w:trPr>
        <w:tc>
          <w:tcPr>
            <w:tcW w:w="736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Total assets ...................................................................</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206,101</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$1,625,940</w:t>
            </w:r>
          </w:p>
        </w:tc>
      </w:tr>
      <w:tr>
        <w:trPr>
          <w:trHeight w:val="168"/>
        </w:trPr>
        <w:tc>
          <w:tcPr>
            <w:tcW w:w="736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36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LIABILITIES AND STOCKHOLDERS' EQUITY / NET INVESTMENT</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73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Accounts payable .............................................................</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17,800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15,065</w:t>
            </w: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Payroll-related accruals .....................................................</w:t>
            </w:r>
          </w:p>
        </w:tc>
        <w:tc>
          <w:tcPr>
            <w:tcW w:w="5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14,384</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12,146</w:t>
            </w: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Other accrued liabilities ....................................................</w:t>
            </w:r>
          </w:p>
        </w:tc>
        <w:tc>
          <w:tcPr>
            <w:tcW w:w="5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10,014</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13,036</w:t>
            </w: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Income taxes payable .........................................................</w:t>
            </w:r>
          </w:p>
        </w:tc>
        <w:tc>
          <w:tcPr>
            <w:tcW w:w="5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205</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4,216</w:t>
            </w: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Unearned revenue .............................................................</w:t>
            </w:r>
          </w:p>
        </w:tc>
        <w:tc>
          <w:tcPr>
            <w:tcW w:w="5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36,504</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56,230</w:t>
            </w:r>
          </w:p>
        </w:tc>
      </w:tr>
      <w:tr>
        <w:trPr>
          <w:trHeight w:val="168"/>
        </w:trPr>
        <w:tc>
          <w:tcPr>
            <w:tcW w:w="736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5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78,907</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100,693</w:t>
            </w:r>
          </w:p>
        </w:tc>
      </w:tr>
      <w:tr>
        <w:trPr>
          <w:trHeight w:val="168"/>
        </w:trPr>
        <w:tc>
          <w:tcPr>
            <w:tcW w:w="736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(Note 5)</w:t>
            </w: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7360" w:type="dxa"/>
            <w:vAlign w:val="bottom"/>
          </w:tcPr>
          <w:p>
            <w:pPr>
              <w:spacing w:after="0"/>
              <w:rPr>
                <w:sz w:val="20"/>
                <w:szCs w:val="20"/>
                <w:color w:val="auto"/>
              </w:rPr>
            </w:pPr>
            <w:r>
              <w:rPr>
                <w:rFonts w:ascii="Courier New" w:cs="Courier New" w:eastAsia="Courier New" w:hAnsi="Courier New"/>
                <w:sz w:val="15"/>
                <w:szCs w:val="15"/>
                <w:color w:val="auto"/>
              </w:rPr>
              <w:t>Stockholders' equity/net investment:</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Nortel Networks Corporation net investment ...................................</w:t>
            </w:r>
          </w:p>
        </w:tc>
        <w:tc>
          <w:tcPr>
            <w:tcW w:w="5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1,525,247</w:t>
            </w: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Preferred stock, $.0001 par value, 5,000 shares authorized; none outstanding .</w:t>
            </w:r>
          </w:p>
        </w:tc>
        <w:tc>
          <w:tcPr>
            <w:tcW w:w="5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Common stock, $.0001 par value, 55,000 shares authorized; 24,060 shares issued</w:t>
            </w: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and outstanding in 1999 ....................................................</w:t>
            </w:r>
          </w:p>
        </w:tc>
        <w:tc>
          <w:tcPr>
            <w:tcW w:w="5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Additional paid-in-capital ...................................................</w:t>
            </w:r>
          </w:p>
        </w:tc>
        <w:tc>
          <w:tcPr>
            <w:tcW w:w="5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100,508</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Accumulated other comprehensive loss .........................................</w:t>
            </w:r>
          </w:p>
        </w:tc>
        <w:tc>
          <w:tcPr>
            <w:tcW w:w="52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(803)</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Retained earnings ............................................................</w:t>
            </w:r>
          </w:p>
        </w:tc>
        <w:tc>
          <w:tcPr>
            <w:tcW w:w="5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27,487</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36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stockholders' equity/net investment ...........................</w:t>
            </w:r>
          </w:p>
        </w:tc>
        <w:tc>
          <w:tcPr>
            <w:tcW w:w="5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127,194</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1,525,247</w:t>
            </w:r>
          </w:p>
        </w:tc>
      </w:tr>
      <w:tr>
        <w:trPr>
          <w:trHeight w:val="168"/>
        </w:trPr>
        <w:tc>
          <w:tcPr>
            <w:tcW w:w="736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Total liabilities and stockholders' equity/net investment ......................</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206,101</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$1,625,940</w:t>
            </w:r>
          </w:p>
        </w:tc>
      </w:tr>
      <w:tr>
        <w:trPr>
          <w:trHeight w:val="168"/>
        </w:trPr>
        <w:tc>
          <w:tcPr>
            <w:tcW w:w="736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340"/>
          </w:cols>
          <w:pgMar w:left="220" w:top="785" w:right="1339" w:bottom="1440" w:gutter="0" w:footer="0" w:header="0"/>
        </w:sectPr>
      </w:pPr>
    </w:p>
    <w:bookmarkStart w:id="30" w:name="page31"/>
    <w:bookmarkEnd w:id="30"/>
    <w:p>
      <w:pPr>
        <w:jc w:val="center"/>
        <w:ind w:right="3139"/>
        <w:spacing w:after="0"/>
        <w:rPr>
          <w:sz w:val="20"/>
          <w:szCs w:val="20"/>
          <w:color w:val="auto"/>
        </w:rPr>
      </w:pPr>
      <w:r>
        <w:rPr>
          <w:rFonts w:ascii="Courier New" w:cs="Courier New" w:eastAsia="Courier New" w:hAnsi="Courier New"/>
          <w:sz w:val="15"/>
          <w:szCs w:val="15"/>
          <w:color w:val="auto"/>
        </w:rPr>
        <w:t>CLARIFY</w:t>
      </w:r>
    </w:p>
    <w:p>
      <w:pPr>
        <w:jc w:val="center"/>
        <w:ind w:right="3139"/>
        <w:spacing w:after="0" w:line="237" w:lineRule="auto"/>
        <w:rPr>
          <w:sz w:val="20"/>
          <w:szCs w:val="20"/>
          <w:color w:val="auto"/>
        </w:rPr>
      </w:pPr>
      <w:r>
        <w:rPr>
          <w:rFonts w:ascii="Courier New" w:cs="Courier New" w:eastAsia="Courier New" w:hAnsi="Courier New"/>
          <w:sz w:val="15"/>
          <w:szCs w:val="15"/>
          <w:color w:val="auto"/>
        </w:rPr>
        <w:t>(A BUSINESS OF NORTEL NETWORKS CORPORATION)</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 OF OPERATIONS</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40" w:type="dxa"/>
            <w:vAlign w:val="bottom"/>
            <w:gridSpan w:val="2"/>
          </w:tcPr>
          <w:p>
            <w:pPr>
              <w:jc w:val="right"/>
              <w:ind w:right="927"/>
              <w:spacing w:after="0"/>
              <w:rPr>
                <w:sz w:val="20"/>
                <w:szCs w:val="20"/>
                <w:color w:val="auto"/>
              </w:rPr>
            </w:pPr>
            <w:r>
              <w:rPr>
                <w:rFonts w:ascii="Courier New" w:cs="Courier New" w:eastAsia="Courier New" w:hAnsi="Courier New"/>
                <w:sz w:val="15"/>
                <w:szCs w:val="15"/>
                <w:color w:val="auto"/>
              </w:rPr>
              <w:t>Predecessor Company</w:t>
            </w:r>
          </w:p>
        </w:tc>
        <w:tc>
          <w:tcPr>
            <w:tcW w:w="144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3500" w:type="dxa"/>
            <w:vAlign w:val="bottom"/>
            <w:gridSpan w:val="3"/>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r>
      <w:tr>
        <w:trPr>
          <w:trHeight w:val="168"/>
        </w:trPr>
        <w:tc>
          <w:tcPr>
            <w:tcW w:w="3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Period from</w:t>
            </w:r>
          </w:p>
        </w:tc>
        <w:tc>
          <w:tcPr>
            <w:tcW w:w="144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Period From</w:t>
            </w:r>
          </w:p>
        </w:tc>
      </w:tr>
      <w:tr>
        <w:trPr>
          <w:trHeight w:val="168"/>
        </w:trPr>
        <w:tc>
          <w:tcPr>
            <w:tcW w:w="3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January 1,</w:t>
            </w:r>
          </w:p>
        </w:tc>
        <w:tc>
          <w:tcPr>
            <w:tcW w:w="144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8"/>
              </w:rPr>
              <w:t>March 17,</w:t>
            </w:r>
          </w:p>
        </w:tc>
      </w:tr>
      <w:tr>
        <w:trPr>
          <w:trHeight w:val="168"/>
        </w:trPr>
        <w:tc>
          <w:tcPr>
            <w:tcW w:w="3720" w:type="dxa"/>
            <w:vAlign w:val="bottom"/>
          </w:tcPr>
          <w:p>
            <w:pPr>
              <w:spacing w:after="0"/>
              <w:rPr>
                <w:sz w:val="14"/>
                <w:szCs w:val="14"/>
                <w:color w:val="auto"/>
              </w:rPr>
            </w:pPr>
          </w:p>
        </w:tc>
        <w:tc>
          <w:tcPr>
            <w:tcW w:w="18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Year Ended</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2000 to</w:t>
            </w:r>
          </w:p>
        </w:tc>
        <w:tc>
          <w:tcPr>
            <w:tcW w:w="144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5"/>
              </w:rPr>
              <w:t>2000 to</w:t>
            </w:r>
          </w:p>
        </w:tc>
      </w:tr>
      <w:tr>
        <w:trPr>
          <w:trHeight w:val="168"/>
        </w:trPr>
        <w:tc>
          <w:tcPr>
            <w:tcW w:w="3720" w:type="dxa"/>
            <w:vAlign w:val="bottom"/>
          </w:tcPr>
          <w:p>
            <w:pPr>
              <w:spacing w:after="0"/>
              <w:rPr>
                <w:sz w:val="14"/>
                <w:szCs w:val="14"/>
                <w:color w:val="auto"/>
              </w:rPr>
            </w:pPr>
          </w:p>
        </w:tc>
        <w:tc>
          <w:tcPr>
            <w:tcW w:w="18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December 31,</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March 16,</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4"/>
              </w:rPr>
              <w:t>1999</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720" w:type="dxa"/>
            <w:vAlign w:val="bottom"/>
          </w:tcPr>
          <w:p>
            <w:pPr>
              <w:spacing w:after="0"/>
              <w:rPr>
                <w:sz w:val="14"/>
                <w:szCs w:val="14"/>
                <w:color w:val="auto"/>
              </w:rPr>
            </w:pPr>
          </w:p>
        </w:tc>
        <w:tc>
          <w:tcPr>
            <w:tcW w:w="18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37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License fees .......................</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134,687</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4,330</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$ 159,647</w:t>
            </w:r>
          </w:p>
        </w:tc>
      </w:tr>
      <w:tr>
        <w:trPr>
          <w:trHeight w:val="168"/>
        </w:trPr>
        <w:tc>
          <w:tcPr>
            <w:tcW w:w="37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Services ...........................</w:t>
            </w:r>
          </w:p>
        </w:tc>
        <w:tc>
          <w:tcPr>
            <w:tcW w:w="66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96,010</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22,293</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118,292</w:t>
            </w:r>
          </w:p>
        </w:tc>
      </w:tr>
      <w:tr>
        <w:trPr>
          <w:trHeight w:val="168"/>
        </w:trPr>
        <w:tc>
          <w:tcPr>
            <w:tcW w:w="3720" w:type="dxa"/>
            <w:vAlign w:val="bottom"/>
          </w:tcPr>
          <w:p>
            <w:pPr>
              <w:spacing w:after="0"/>
              <w:rPr>
                <w:sz w:val="14"/>
                <w:szCs w:val="14"/>
                <w:color w:val="auto"/>
              </w:rPr>
            </w:pPr>
          </w:p>
        </w:tc>
        <w:tc>
          <w:tcPr>
            <w:tcW w:w="18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Total revenues ............</w:t>
            </w:r>
          </w:p>
        </w:tc>
        <w:tc>
          <w:tcPr>
            <w:tcW w:w="66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5"/>
              </w:rPr>
              <w:t>230,697</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26,623</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277,939</w:t>
            </w:r>
          </w:p>
        </w:tc>
      </w:tr>
      <w:tr>
        <w:trPr>
          <w:trHeight w:val="168"/>
        </w:trPr>
        <w:tc>
          <w:tcPr>
            <w:tcW w:w="3720" w:type="dxa"/>
            <w:vAlign w:val="bottom"/>
          </w:tcPr>
          <w:p>
            <w:pPr>
              <w:spacing w:after="0"/>
              <w:rPr>
                <w:sz w:val="14"/>
                <w:szCs w:val="14"/>
                <w:color w:val="auto"/>
              </w:rPr>
            </w:pPr>
          </w:p>
        </w:tc>
        <w:tc>
          <w:tcPr>
            <w:tcW w:w="18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revenues:</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37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License fees .......................</w:t>
            </w:r>
          </w:p>
        </w:tc>
        <w:tc>
          <w:tcPr>
            <w:tcW w:w="66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3,764</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1,252</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5,522</w:t>
            </w:r>
          </w:p>
        </w:tc>
      </w:tr>
      <w:tr>
        <w:trPr>
          <w:trHeight w:val="168"/>
        </w:trPr>
        <w:tc>
          <w:tcPr>
            <w:tcW w:w="37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Services ...........................</w:t>
            </w:r>
          </w:p>
        </w:tc>
        <w:tc>
          <w:tcPr>
            <w:tcW w:w="66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50,935</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13,397</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59,865</w:t>
            </w:r>
          </w:p>
        </w:tc>
      </w:tr>
      <w:tr>
        <w:trPr>
          <w:trHeight w:val="168"/>
        </w:trPr>
        <w:tc>
          <w:tcPr>
            <w:tcW w:w="3720" w:type="dxa"/>
            <w:vAlign w:val="bottom"/>
          </w:tcPr>
          <w:p>
            <w:pPr>
              <w:spacing w:after="0"/>
              <w:rPr>
                <w:sz w:val="14"/>
                <w:szCs w:val="14"/>
                <w:color w:val="auto"/>
              </w:rPr>
            </w:pPr>
          </w:p>
        </w:tc>
        <w:tc>
          <w:tcPr>
            <w:tcW w:w="18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Total cost of revenues ....</w:t>
            </w:r>
          </w:p>
        </w:tc>
        <w:tc>
          <w:tcPr>
            <w:tcW w:w="66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54,699</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14,649</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65,387</w:t>
            </w:r>
          </w:p>
        </w:tc>
      </w:tr>
      <w:tr>
        <w:trPr>
          <w:trHeight w:val="168"/>
        </w:trPr>
        <w:tc>
          <w:tcPr>
            <w:tcW w:w="3720" w:type="dxa"/>
            <w:vAlign w:val="bottom"/>
          </w:tcPr>
          <w:p>
            <w:pPr>
              <w:spacing w:after="0"/>
              <w:rPr>
                <w:sz w:val="14"/>
                <w:szCs w:val="14"/>
                <w:color w:val="auto"/>
              </w:rPr>
            </w:pPr>
          </w:p>
        </w:tc>
        <w:tc>
          <w:tcPr>
            <w:tcW w:w="18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Gross margin .........................</w:t>
            </w:r>
          </w:p>
        </w:tc>
        <w:tc>
          <w:tcPr>
            <w:tcW w:w="66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5"/>
              </w:rPr>
              <w:t>175,998</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11,974</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212,552</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3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Product development and engineering</w:t>
            </w:r>
          </w:p>
        </w:tc>
        <w:tc>
          <w:tcPr>
            <w:tcW w:w="66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29,837</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9,395</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56,237</w:t>
            </w:r>
          </w:p>
        </w:tc>
      </w:tr>
      <w:tr>
        <w:trPr>
          <w:trHeight w:val="168"/>
        </w:trPr>
        <w:tc>
          <w:tcPr>
            <w:tcW w:w="37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Sales and marketing ................</w:t>
            </w:r>
          </w:p>
        </w:tc>
        <w:tc>
          <w:tcPr>
            <w:tcW w:w="66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101,706</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31,186</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118,784</w:t>
            </w:r>
          </w:p>
        </w:tc>
      </w:tr>
      <w:tr>
        <w:trPr>
          <w:trHeight w:val="168"/>
        </w:trPr>
        <w:tc>
          <w:tcPr>
            <w:tcW w:w="37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General and administrative .........</w:t>
            </w:r>
          </w:p>
        </w:tc>
        <w:tc>
          <w:tcPr>
            <w:tcW w:w="66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14,803</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3,946</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15,648</w:t>
            </w:r>
          </w:p>
        </w:tc>
      </w:tr>
      <w:tr>
        <w:trPr>
          <w:trHeight w:val="168"/>
        </w:trPr>
        <w:tc>
          <w:tcPr>
            <w:tcW w:w="3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In-process research and development</w:t>
            </w:r>
          </w:p>
        </w:tc>
        <w:tc>
          <w:tcPr>
            <w:tcW w:w="66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2,348</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63,939</w:t>
            </w:r>
          </w:p>
        </w:tc>
      </w:tr>
      <w:tr>
        <w:trPr>
          <w:trHeight w:val="168"/>
        </w:trPr>
        <w:tc>
          <w:tcPr>
            <w:tcW w:w="37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Merger-related expenses ............</w:t>
            </w:r>
          </w:p>
        </w:tc>
        <w:tc>
          <w:tcPr>
            <w:tcW w:w="66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2,464</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Amortization of acquired intangibles</w:t>
            </w:r>
          </w:p>
        </w:tc>
        <w:tc>
          <w:tcPr>
            <w:tcW w:w="66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978</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810</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557,223</w:t>
            </w:r>
          </w:p>
        </w:tc>
      </w:tr>
      <w:tr>
        <w:trPr>
          <w:trHeight w:val="168"/>
        </w:trPr>
        <w:tc>
          <w:tcPr>
            <w:tcW w:w="3720" w:type="dxa"/>
            <w:vAlign w:val="bottom"/>
          </w:tcPr>
          <w:p>
            <w:pPr>
              <w:spacing w:after="0"/>
              <w:rPr>
                <w:sz w:val="14"/>
                <w:szCs w:val="14"/>
                <w:color w:val="auto"/>
              </w:rPr>
            </w:pPr>
          </w:p>
        </w:tc>
        <w:tc>
          <w:tcPr>
            <w:tcW w:w="18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Total operating expenses ..</w:t>
            </w:r>
          </w:p>
        </w:tc>
        <w:tc>
          <w:tcPr>
            <w:tcW w:w="66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5"/>
              </w:rPr>
              <w:t>152,136</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45,337</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811,831</w:t>
            </w:r>
          </w:p>
        </w:tc>
      </w:tr>
      <w:tr>
        <w:trPr>
          <w:trHeight w:val="168"/>
        </w:trPr>
        <w:tc>
          <w:tcPr>
            <w:tcW w:w="3720" w:type="dxa"/>
            <w:vAlign w:val="bottom"/>
          </w:tcPr>
          <w:p>
            <w:pPr>
              <w:spacing w:after="0"/>
              <w:rPr>
                <w:sz w:val="14"/>
                <w:szCs w:val="14"/>
                <w:color w:val="auto"/>
              </w:rPr>
            </w:pPr>
          </w:p>
        </w:tc>
        <w:tc>
          <w:tcPr>
            <w:tcW w:w="18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Operating income (loss) ..............</w:t>
            </w:r>
          </w:p>
        </w:tc>
        <w:tc>
          <w:tcPr>
            <w:tcW w:w="66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23,862</w:t>
            </w:r>
          </w:p>
        </w:tc>
        <w:tc>
          <w:tcPr>
            <w:tcW w:w="17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(33,363)</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(599,279)</w:t>
            </w:r>
          </w:p>
        </w:tc>
      </w:tr>
      <w:tr>
        <w:trPr>
          <w:trHeight w:val="168"/>
        </w:trPr>
        <w:tc>
          <w:tcPr>
            <w:tcW w:w="37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Interest income ......................</w:t>
            </w:r>
          </w:p>
        </w:tc>
        <w:tc>
          <w:tcPr>
            <w:tcW w:w="66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2,225</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599</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829</w:t>
            </w:r>
          </w:p>
        </w:tc>
      </w:tr>
      <w:tr>
        <w:trPr>
          <w:trHeight w:val="168"/>
        </w:trPr>
        <w:tc>
          <w:tcPr>
            <w:tcW w:w="37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Interest expense .....................</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7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Other income (expense), net ..........</w:t>
            </w:r>
          </w:p>
        </w:tc>
        <w:tc>
          <w:tcPr>
            <w:tcW w:w="66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539</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214</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(1,678)</w:t>
            </w:r>
          </w:p>
        </w:tc>
      </w:tr>
      <w:tr>
        <w:trPr>
          <w:trHeight w:val="168"/>
        </w:trPr>
        <w:tc>
          <w:tcPr>
            <w:tcW w:w="3720" w:type="dxa"/>
            <w:vAlign w:val="bottom"/>
          </w:tcPr>
          <w:p>
            <w:pPr>
              <w:spacing w:after="0"/>
              <w:rPr>
                <w:sz w:val="14"/>
                <w:szCs w:val="14"/>
                <w:color w:val="auto"/>
              </w:rPr>
            </w:pPr>
          </w:p>
        </w:tc>
        <w:tc>
          <w:tcPr>
            <w:tcW w:w="18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Income (loss) before income taxes ....</w:t>
            </w:r>
          </w:p>
        </w:tc>
        <w:tc>
          <w:tcPr>
            <w:tcW w:w="66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26,585</w:t>
            </w:r>
          </w:p>
        </w:tc>
        <w:tc>
          <w:tcPr>
            <w:tcW w:w="17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(32,554)</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(600,129)</w:t>
            </w:r>
          </w:p>
        </w:tc>
      </w:tr>
      <w:tr>
        <w:trPr>
          <w:trHeight w:val="168"/>
        </w:trPr>
        <w:tc>
          <w:tcPr>
            <w:tcW w:w="37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Provision (benefit) for income taxes .</w:t>
            </w:r>
          </w:p>
        </w:tc>
        <w:tc>
          <w:tcPr>
            <w:tcW w:w="66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11,908</w:t>
            </w:r>
          </w:p>
        </w:tc>
        <w:tc>
          <w:tcPr>
            <w:tcW w:w="17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(14,773)</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(28,194)</w:t>
            </w:r>
          </w:p>
        </w:tc>
      </w:tr>
      <w:tr>
        <w:trPr>
          <w:trHeight w:val="168"/>
        </w:trPr>
        <w:tc>
          <w:tcPr>
            <w:tcW w:w="3720" w:type="dxa"/>
            <w:vAlign w:val="bottom"/>
          </w:tcPr>
          <w:p>
            <w:pPr>
              <w:spacing w:after="0"/>
              <w:rPr>
                <w:sz w:val="14"/>
                <w:szCs w:val="14"/>
                <w:color w:val="auto"/>
              </w:rPr>
            </w:pPr>
          </w:p>
        </w:tc>
        <w:tc>
          <w:tcPr>
            <w:tcW w:w="18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Net income (loss) ....................</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14,677</w:t>
            </w:r>
          </w:p>
        </w:tc>
        <w:tc>
          <w:tcPr>
            <w:tcW w:w="17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(17,781)</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$(571,935)</w:t>
            </w:r>
          </w:p>
        </w:tc>
      </w:tr>
      <w:tr>
        <w:trPr>
          <w:trHeight w:val="168"/>
        </w:trPr>
        <w:tc>
          <w:tcPr>
            <w:tcW w:w="3720" w:type="dxa"/>
            <w:vAlign w:val="bottom"/>
          </w:tcPr>
          <w:p>
            <w:pPr>
              <w:spacing w:after="0"/>
              <w:rPr>
                <w:sz w:val="14"/>
                <w:szCs w:val="14"/>
                <w:color w:val="auto"/>
              </w:rPr>
            </w:pPr>
          </w:p>
        </w:tc>
        <w:tc>
          <w:tcPr>
            <w:tcW w:w="180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785" w:right="1440" w:bottom="1440" w:gutter="0" w:footer="0" w:header="0"/>
        </w:sectPr>
      </w:pPr>
    </w:p>
    <w:bookmarkStart w:id="31" w:name="page32"/>
    <w:bookmarkEnd w:id="31"/>
    <w:p>
      <w:pPr>
        <w:jc w:val="center"/>
        <w:ind w:right="4100"/>
        <w:spacing w:after="0"/>
        <w:rPr>
          <w:sz w:val="20"/>
          <w:szCs w:val="20"/>
          <w:color w:val="auto"/>
        </w:rPr>
      </w:pPr>
      <w:r>
        <w:rPr>
          <w:rFonts w:ascii="Courier New" w:cs="Courier New" w:eastAsia="Courier New" w:hAnsi="Courier New"/>
          <w:sz w:val="15"/>
          <w:szCs w:val="15"/>
          <w:color w:val="auto"/>
        </w:rPr>
        <w:t>CLARIFY</w:t>
      </w:r>
    </w:p>
    <w:p>
      <w:pPr>
        <w:jc w:val="center"/>
        <w:ind w:right="4100"/>
        <w:spacing w:after="0" w:line="237" w:lineRule="auto"/>
        <w:rPr>
          <w:sz w:val="20"/>
          <w:szCs w:val="20"/>
          <w:color w:val="auto"/>
        </w:rPr>
      </w:pPr>
      <w:r>
        <w:rPr>
          <w:rFonts w:ascii="Courier New" w:cs="Courier New" w:eastAsia="Courier New" w:hAnsi="Courier New"/>
          <w:sz w:val="15"/>
          <w:szCs w:val="15"/>
          <w:color w:val="auto"/>
        </w:rPr>
        <w:t>(A BUSINESS OF NORTEL NETWORKS CORPORATION)</w:t>
      </w:r>
    </w:p>
    <w:p>
      <w:pPr>
        <w:spacing w:after="0" w:line="167" w:lineRule="exact"/>
        <w:rPr>
          <w:sz w:val="20"/>
          <w:szCs w:val="20"/>
          <w:color w:val="auto"/>
        </w:rPr>
      </w:pPr>
    </w:p>
    <w:p>
      <w:pPr>
        <w:jc w:val="center"/>
        <w:ind w:right="4100"/>
        <w:spacing w:after="0"/>
        <w:rPr>
          <w:sz w:val="20"/>
          <w:szCs w:val="20"/>
          <w:color w:val="auto"/>
        </w:rPr>
      </w:pPr>
      <w:r>
        <w:rPr>
          <w:rFonts w:ascii="Courier New" w:cs="Courier New" w:eastAsia="Courier New" w:hAnsi="Courier New"/>
          <w:sz w:val="15"/>
          <w:szCs w:val="15"/>
          <w:color w:val="auto"/>
        </w:rPr>
        <w:t>STATEMENTS OF STOCKHOLDERS' EQUITY / NET INVESTMENT</w:t>
      </w:r>
    </w:p>
    <w:p>
      <w:pPr>
        <w:jc w:val="center"/>
        <w:ind w:right="4180"/>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NORTEL</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NETWORKS</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3"/>
              </w:rPr>
              <w:t>OTHER</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DEFERRED</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CORPORATION</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STOCK</w:t>
            </w:r>
          </w:p>
        </w:tc>
        <w:tc>
          <w:tcPr>
            <w:tcW w:w="1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ADDITIONAL</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COMPRE-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COMPRE-</w:t>
            </w:r>
          </w:p>
        </w:tc>
      </w:tr>
      <w:tr>
        <w:trPr>
          <w:trHeight w:val="168"/>
        </w:trPr>
        <w:tc>
          <w:tcPr>
            <w:tcW w:w="4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NET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PAID-IN</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HENSIVE</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COMPEN-</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RETAINED</w:t>
            </w:r>
          </w:p>
        </w:tc>
        <w:tc>
          <w:tcPr>
            <w:tcW w:w="860" w:type="dxa"/>
            <w:vAlign w:val="bottom"/>
          </w:tcPr>
          <w:p>
            <w:pPr>
              <w:spacing w:after="0"/>
              <w:rPr>
                <w:sz w:val="14"/>
                <w:szCs w:val="14"/>
                <w:color w:val="auto"/>
              </w:rPr>
            </w:pPr>
          </w:p>
        </w:tc>
        <w:tc>
          <w:tcPr>
            <w:tcW w:w="9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HENSIVE</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INVESTMENT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SHARES</w:t>
            </w:r>
          </w:p>
        </w:tc>
        <w:tc>
          <w:tcPr>
            <w:tcW w:w="620" w:type="dxa"/>
            <w:vAlign w:val="bottom"/>
            <w:gridSpan w:val="2"/>
          </w:tcPr>
          <w:p>
            <w:pPr>
              <w:jc w:val="right"/>
              <w:ind w:right="32"/>
              <w:spacing w:after="0" w:line="168" w:lineRule="exact"/>
              <w:rPr>
                <w:sz w:val="20"/>
                <w:szCs w:val="20"/>
                <w:color w:val="auto"/>
              </w:rPr>
            </w:pPr>
            <w:r>
              <w:rPr>
                <w:rFonts w:ascii="Courier New" w:cs="Courier New" w:eastAsia="Courier New" w:hAnsi="Courier New"/>
                <w:sz w:val="15"/>
                <w:szCs w:val="15"/>
                <w:color w:val="auto"/>
                <w:w w:val="92"/>
              </w:rPr>
              <w:t>AMOUNT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CAPITAL</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INCOME</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SATION</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EARNINGS</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w:t>
            </w:r>
          </w:p>
        </w:tc>
        <w:tc>
          <w:tcPr>
            <w:tcW w:w="14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w:t>
            </w:r>
          </w:p>
        </w:tc>
      </w:tr>
      <w:tr>
        <w:trPr>
          <w:trHeight w:val="168"/>
        </w:trPr>
        <w:tc>
          <w:tcPr>
            <w:tcW w:w="40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  ----------  -----------  --------</w:t>
            </w: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jc w:val="right"/>
              <w:ind w:right="2207"/>
              <w:spacing w:after="0"/>
              <w:rPr>
                <w:sz w:val="20"/>
                <w:szCs w:val="20"/>
                <w:color w:val="auto"/>
              </w:rPr>
            </w:pPr>
            <w:r>
              <w:rPr>
                <w:rFonts w:ascii="Courier New" w:cs="Courier New" w:eastAsia="Courier New" w:hAnsi="Courier New"/>
                <w:sz w:val="15"/>
                <w:szCs w:val="15"/>
                <w:color w:val="auto"/>
                <w:w w:val="96"/>
              </w:rPr>
              <w:t>Predecessor company:</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Balances, January 1, 1999 .....</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22,168</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2</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$ 59,127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(602)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(18)</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$ 12,810</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$ 71,319</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4040" w:type="dxa"/>
            <w:vAlign w:val="bottom"/>
          </w:tcPr>
          <w:p>
            <w:pPr>
              <w:ind w:left="100"/>
              <w:spacing w:after="0"/>
              <w:rPr>
                <w:sz w:val="20"/>
                <w:szCs w:val="20"/>
                <w:color w:val="auto"/>
              </w:rPr>
            </w:pPr>
            <w:r>
              <w:rPr>
                <w:rFonts w:ascii="Courier New" w:cs="Courier New" w:eastAsia="Courier New" w:hAnsi="Courier New"/>
                <w:sz w:val="15"/>
                <w:szCs w:val="15"/>
                <w:color w:val="auto"/>
              </w:rPr>
              <w:t>Net income ....................</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14,677</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14,677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14,677</w:t>
            </w:r>
          </w:p>
        </w:tc>
      </w:tr>
      <w:tr>
        <w:trPr>
          <w:trHeight w:val="168"/>
        </w:trPr>
        <w:tc>
          <w:tcPr>
            <w:tcW w:w="4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comprehensive loss,</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of tax:</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Translation adjustment .......</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unrealized gain</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on investment ...............</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4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1687"/>
              <w:spacing w:after="0" w:line="168" w:lineRule="exact"/>
              <w:rPr>
                <w:sz w:val="20"/>
                <w:szCs w:val="20"/>
                <w:color w:val="auto"/>
              </w:rPr>
            </w:pPr>
            <w:r>
              <w:rPr>
                <w:rFonts w:ascii="Courier New" w:cs="Courier New" w:eastAsia="Courier New" w:hAnsi="Courier New"/>
                <w:sz w:val="15"/>
                <w:szCs w:val="15"/>
                <w:color w:val="auto"/>
              </w:rPr>
              <w:t>Total comprehensive</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income .................</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14,476</w:t>
            </w:r>
          </w:p>
        </w:tc>
      </w:tr>
      <w:tr>
        <w:trPr>
          <w:trHeight w:val="168"/>
        </w:trPr>
        <w:tc>
          <w:tcPr>
            <w:tcW w:w="4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jc w:val="right"/>
              <w:ind w:right="1167"/>
              <w:spacing w:after="0"/>
              <w:rPr>
                <w:sz w:val="20"/>
                <w:szCs w:val="20"/>
                <w:color w:val="auto"/>
              </w:rPr>
            </w:pPr>
            <w:r>
              <w:rPr>
                <w:rFonts w:ascii="Courier New" w:cs="Courier New" w:eastAsia="Courier New" w:hAnsi="Courier New"/>
                <w:sz w:val="15"/>
                <w:szCs w:val="15"/>
                <w:color w:val="auto"/>
                <w:w w:val="99"/>
              </w:rPr>
              <w:t>Exercise of stock options .....</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1,217</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11,896</w:t>
            </w: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11,896</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0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w w:val="99"/>
              </w:rPr>
              <w:t>Employee stock purchases ......</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5,486</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5,486</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stock issued for</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Newtonian Acquisition ........</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11,162</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11,162</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Amortization of deferred</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stock option compensation ....</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c>
          <w:tcPr>
            <w:tcW w:w="9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Tax benefit from exercise</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nonqualified stock</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options ......................</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12,837</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12,837</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4040" w:type="dxa"/>
            <w:vAlign w:val="bottom"/>
          </w:tcPr>
          <w:p>
            <w:pPr>
              <w:jc w:val="right"/>
              <w:ind w:right="1167"/>
              <w:spacing w:after="0"/>
              <w:rPr>
                <w:sz w:val="20"/>
                <w:szCs w:val="20"/>
                <w:color w:val="auto"/>
              </w:rPr>
            </w:pPr>
            <w:r>
              <w:rPr>
                <w:rFonts w:ascii="Courier New" w:cs="Courier New" w:eastAsia="Courier New" w:hAnsi="Courier New"/>
                <w:sz w:val="15"/>
                <w:szCs w:val="15"/>
                <w:color w:val="auto"/>
                <w:w w:val="99"/>
              </w:rPr>
              <w:t>Balances, December 31, 1999 ...</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24,060</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2</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100,508</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(803)</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27,487</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127,194</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4040" w:type="dxa"/>
            <w:vAlign w:val="bottom"/>
          </w:tcPr>
          <w:p>
            <w:pPr>
              <w:jc w:val="right"/>
              <w:ind w:right="1167"/>
              <w:spacing w:after="0"/>
              <w:rPr>
                <w:sz w:val="20"/>
                <w:szCs w:val="20"/>
                <w:color w:val="auto"/>
              </w:rPr>
            </w:pPr>
            <w:r>
              <w:rPr>
                <w:rFonts w:ascii="Courier New" w:cs="Courier New" w:eastAsia="Courier New" w:hAnsi="Courier New"/>
                <w:sz w:val="15"/>
                <w:szCs w:val="15"/>
                <w:color w:val="auto"/>
                <w:w w:val="99"/>
              </w:rPr>
              <w:t>Net loss ......................</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(17,781)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(17,781)</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$(17,781)</w:t>
            </w:r>
          </w:p>
        </w:tc>
      </w:tr>
      <w:tr>
        <w:trPr>
          <w:trHeight w:val="168"/>
        </w:trPr>
        <w:tc>
          <w:tcPr>
            <w:tcW w:w="4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of tax:</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Translation adjustment .......</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291</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291</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unrealized gain</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on investment ...............</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1687"/>
              <w:spacing w:after="0" w:line="168" w:lineRule="exact"/>
              <w:rPr>
                <w:sz w:val="20"/>
                <w:szCs w:val="20"/>
                <w:color w:val="auto"/>
              </w:rPr>
            </w:pPr>
            <w:r>
              <w:rPr>
                <w:rFonts w:ascii="Courier New" w:cs="Courier New" w:eastAsia="Courier New" w:hAnsi="Courier New"/>
                <w:sz w:val="15"/>
                <w:szCs w:val="15"/>
                <w:color w:val="auto"/>
              </w:rPr>
              <w:t>Total comprehensive</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loss ...................</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 (17,484)</w:t>
            </w:r>
          </w:p>
        </w:tc>
      </w:tr>
      <w:tr>
        <w:trPr>
          <w:trHeight w:val="168"/>
        </w:trPr>
        <w:tc>
          <w:tcPr>
            <w:tcW w:w="4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w w:val="99"/>
              </w:rPr>
              <w:t>Exercise of stock options .....</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3,552</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3,552</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w w:val="99"/>
              </w:rPr>
              <w:t>Employee stock purchases ......</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3,730</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3,730</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Tax benefit from exercise</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nonqualified stock</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options ......................</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4,740</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4,740</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w w:val="99"/>
              </w:rPr>
              <w:t>Balances, March 16, 2000 ......</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24,381</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2</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$112,530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(506)</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9,706</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$121,732</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Balance, March 17, 2000 ........</w:t>
            </w:r>
          </w:p>
        </w:tc>
        <w:tc>
          <w:tcPr>
            <w:tcW w:w="4160" w:type="dxa"/>
            <w:vAlign w:val="bottom"/>
          </w:tcPr>
          <w:p>
            <w:pPr>
              <w:jc w:val="right"/>
              <w:ind w:right="3207"/>
              <w:spacing w:after="0"/>
              <w:rPr>
                <w:sz w:val="20"/>
                <w:szCs w:val="20"/>
                <w:color w:val="auto"/>
              </w:rPr>
            </w:pPr>
            <w:r>
              <w:rPr>
                <w:rFonts w:ascii="Courier New" w:cs="Courier New" w:eastAsia="Courier New" w:hAnsi="Courier New"/>
                <w:sz w:val="15"/>
                <w:szCs w:val="15"/>
                <w:color w:val="auto"/>
                <w:w w:val="95"/>
              </w:rPr>
              <w:t>$2,042,441</w:t>
            </w:r>
          </w:p>
        </w:tc>
        <w:tc>
          <w:tcPr>
            <w:tcW w:w="406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Net loss .......................</w:t>
            </w:r>
          </w:p>
        </w:tc>
        <w:tc>
          <w:tcPr>
            <w:tcW w:w="4160" w:type="dxa"/>
            <w:vAlign w:val="bottom"/>
          </w:tcPr>
          <w:p>
            <w:pPr>
              <w:jc w:val="right"/>
              <w:ind w:right="3127"/>
              <w:spacing w:after="0"/>
              <w:rPr>
                <w:sz w:val="20"/>
                <w:szCs w:val="20"/>
                <w:color w:val="auto"/>
              </w:rPr>
            </w:pPr>
            <w:r>
              <w:rPr>
                <w:rFonts w:ascii="Courier New" w:cs="Courier New" w:eastAsia="Courier New" w:hAnsi="Courier New"/>
                <w:sz w:val="15"/>
                <w:szCs w:val="15"/>
                <w:color w:val="auto"/>
              </w:rPr>
              <w:t>(571,935)</w:t>
            </w:r>
          </w:p>
        </w:tc>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$(571,935)</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4160" w:type="dxa"/>
            <w:vAlign w:val="bottom"/>
          </w:tcPr>
          <w:p>
            <w:pPr>
              <w:spacing w:after="0"/>
              <w:rPr>
                <w:sz w:val="14"/>
                <w:szCs w:val="14"/>
                <w:color w:val="auto"/>
              </w:rPr>
            </w:pPr>
          </w:p>
        </w:tc>
        <w:tc>
          <w:tcPr>
            <w:tcW w:w="406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of tax-translation</w:t>
            </w:r>
          </w:p>
        </w:tc>
        <w:tc>
          <w:tcPr>
            <w:tcW w:w="4160" w:type="dxa"/>
            <w:vAlign w:val="bottom"/>
          </w:tcPr>
          <w:p>
            <w:pPr>
              <w:spacing w:after="0"/>
              <w:rPr>
                <w:sz w:val="14"/>
                <w:szCs w:val="14"/>
                <w:color w:val="auto"/>
              </w:rPr>
            </w:pPr>
          </w:p>
        </w:tc>
        <w:tc>
          <w:tcPr>
            <w:tcW w:w="406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 ...................</w:t>
            </w:r>
          </w:p>
        </w:tc>
        <w:tc>
          <w:tcPr>
            <w:tcW w:w="4160" w:type="dxa"/>
            <w:vAlign w:val="bottom"/>
          </w:tcPr>
          <w:p>
            <w:pPr>
              <w:jc w:val="right"/>
              <w:ind w:right="3207"/>
              <w:spacing w:after="0" w:line="168" w:lineRule="exact"/>
              <w:rPr>
                <w:sz w:val="20"/>
                <w:szCs w:val="20"/>
                <w:color w:val="auto"/>
              </w:rPr>
            </w:pPr>
            <w:r>
              <w:rPr>
                <w:rFonts w:ascii="Courier New" w:cs="Courier New" w:eastAsia="Courier New" w:hAnsi="Courier New"/>
                <w:sz w:val="15"/>
                <w:szCs w:val="15"/>
                <w:color w:val="auto"/>
              </w:rPr>
              <w:t>1,445</w:t>
            </w:r>
          </w:p>
        </w:tc>
        <w:tc>
          <w:tcPr>
            <w:tcW w:w="4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1,445</w:t>
            </w:r>
          </w:p>
        </w:tc>
      </w:tr>
      <w:tr>
        <w:trPr>
          <w:trHeight w:val="168"/>
        </w:trPr>
        <w:tc>
          <w:tcPr>
            <w:tcW w:w="29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comprehensive</w:t>
            </w:r>
          </w:p>
        </w:tc>
        <w:tc>
          <w:tcPr>
            <w:tcW w:w="4160" w:type="dxa"/>
            <w:vAlign w:val="bottom"/>
          </w:tcPr>
          <w:p>
            <w:pPr>
              <w:spacing w:after="0"/>
              <w:rPr>
                <w:sz w:val="14"/>
                <w:szCs w:val="14"/>
                <w:color w:val="auto"/>
              </w:rPr>
            </w:pPr>
          </w:p>
        </w:tc>
        <w:tc>
          <w:tcPr>
            <w:tcW w:w="4060" w:type="dxa"/>
            <w:vAlign w:val="bottom"/>
          </w:tcPr>
          <w:p>
            <w:pPr>
              <w:spacing w:after="0"/>
              <w:rPr>
                <w:sz w:val="14"/>
                <w:szCs w:val="14"/>
                <w:color w:val="auto"/>
              </w:rPr>
            </w:pPr>
          </w:p>
        </w:tc>
      </w:tr>
      <w:tr>
        <w:trPr>
          <w:trHeight w:val="168"/>
        </w:trPr>
        <w:tc>
          <w:tcPr>
            <w:tcW w:w="2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loss .....................</w:t>
            </w:r>
          </w:p>
        </w:tc>
        <w:tc>
          <w:tcPr>
            <w:tcW w:w="4160" w:type="dxa"/>
            <w:vAlign w:val="bottom"/>
          </w:tcPr>
          <w:p>
            <w:pPr>
              <w:spacing w:after="0"/>
              <w:rPr>
                <w:sz w:val="14"/>
                <w:szCs w:val="14"/>
                <w:color w:val="auto"/>
              </w:rPr>
            </w:pPr>
          </w:p>
        </w:tc>
        <w:tc>
          <w:tcPr>
            <w:tcW w:w="4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$(570,490)</w:t>
            </w:r>
          </w:p>
        </w:tc>
      </w:tr>
      <w:tr>
        <w:trPr>
          <w:trHeight w:val="168"/>
        </w:trPr>
        <w:tc>
          <w:tcPr>
            <w:tcW w:w="29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Contribution of Introspect</w:t>
            </w:r>
          </w:p>
        </w:tc>
        <w:tc>
          <w:tcPr>
            <w:tcW w:w="4160" w:type="dxa"/>
            <w:vAlign w:val="bottom"/>
          </w:tcPr>
          <w:p>
            <w:pPr>
              <w:spacing w:after="0"/>
              <w:rPr>
                <w:sz w:val="14"/>
                <w:szCs w:val="14"/>
                <w:color w:val="auto"/>
              </w:rPr>
            </w:pPr>
          </w:p>
        </w:tc>
        <w:tc>
          <w:tcPr>
            <w:tcW w:w="4060" w:type="dxa"/>
            <w:vAlign w:val="bottom"/>
          </w:tcPr>
          <w:p>
            <w:pPr>
              <w:spacing w:after="0"/>
              <w:rPr>
                <w:sz w:val="14"/>
                <w:szCs w:val="14"/>
                <w:color w:val="auto"/>
              </w:rPr>
            </w:pPr>
          </w:p>
        </w:tc>
      </w:tr>
      <w:tr>
        <w:trPr>
          <w:trHeight w:val="168"/>
        </w:trPr>
        <w:tc>
          <w:tcPr>
            <w:tcW w:w="2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Systems, Inc.</w:t>
            </w:r>
          </w:p>
        </w:tc>
        <w:tc>
          <w:tcPr>
            <w:tcW w:w="4160" w:type="dxa"/>
            <w:vAlign w:val="bottom"/>
          </w:tcPr>
          <w:p>
            <w:pPr>
              <w:jc w:val="right"/>
              <w:ind w:right="3207"/>
              <w:spacing w:after="0" w:line="168" w:lineRule="exact"/>
              <w:rPr>
                <w:sz w:val="20"/>
                <w:szCs w:val="20"/>
                <w:color w:val="auto"/>
              </w:rPr>
            </w:pPr>
            <w:r>
              <w:rPr>
                <w:rFonts w:ascii="Courier New" w:cs="Courier New" w:eastAsia="Courier New" w:hAnsi="Courier New"/>
                <w:sz w:val="15"/>
                <w:szCs w:val="15"/>
                <w:color w:val="auto"/>
              </w:rPr>
              <w:t>6,174</w:t>
            </w:r>
          </w:p>
        </w:tc>
        <w:tc>
          <w:tcPr>
            <w:tcW w:w="406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Tax benefit from exercise</w:t>
            </w:r>
          </w:p>
        </w:tc>
        <w:tc>
          <w:tcPr>
            <w:tcW w:w="416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nonqualified stock</w:t>
            </w:r>
          </w:p>
        </w:tc>
        <w:tc>
          <w:tcPr>
            <w:tcW w:w="4160" w:type="dxa"/>
            <w:vAlign w:val="bottom"/>
          </w:tcPr>
          <w:p>
            <w:pPr>
              <w:spacing w:after="0"/>
              <w:rPr>
                <w:sz w:val="14"/>
                <w:szCs w:val="14"/>
                <w:color w:val="auto"/>
              </w:rPr>
            </w:pPr>
          </w:p>
        </w:tc>
        <w:tc>
          <w:tcPr>
            <w:tcW w:w="406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options ......................</w:t>
            </w:r>
          </w:p>
        </w:tc>
        <w:tc>
          <w:tcPr>
            <w:tcW w:w="4160" w:type="dxa"/>
            <w:vAlign w:val="bottom"/>
          </w:tcPr>
          <w:p>
            <w:pPr>
              <w:jc w:val="right"/>
              <w:ind w:right="3207"/>
              <w:spacing w:after="0" w:line="168" w:lineRule="exact"/>
              <w:rPr>
                <w:sz w:val="20"/>
                <w:szCs w:val="20"/>
                <w:color w:val="auto"/>
              </w:rPr>
            </w:pPr>
            <w:r>
              <w:rPr>
                <w:rFonts w:ascii="Courier New" w:cs="Courier New" w:eastAsia="Courier New" w:hAnsi="Courier New"/>
                <w:sz w:val="15"/>
                <w:szCs w:val="15"/>
                <w:color w:val="auto"/>
              </w:rPr>
              <w:t>47,122</w:t>
            </w:r>
          </w:p>
        </w:tc>
        <w:tc>
          <w:tcPr>
            <w:tcW w:w="406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4160" w:type="dxa"/>
            <w:vAlign w:val="bottom"/>
          </w:tcPr>
          <w:p>
            <w:pPr>
              <w:jc w:val="right"/>
              <w:ind w:right="3207"/>
              <w:spacing w:after="0" w:line="168" w:lineRule="exact"/>
              <w:rPr>
                <w:sz w:val="20"/>
                <w:szCs w:val="20"/>
                <w:color w:val="auto"/>
              </w:rPr>
            </w:pPr>
            <w:r>
              <w:rPr>
                <w:rFonts w:ascii="Courier New" w:cs="Courier New" w:eastAsia="Courier New" w:hAnsi="Courier New"/>
                <w:sz w:val="15"/>
                <w:szCs w:val="15"/>
                <w:color w:val="auto"/>
                <w:w w:val="95"/>
              </w:rPr>
              <w:t>----------</w:t>
            </w:r>
          </w:p>
        </w:tc>
        <w:tc>
          <w:tcPr>
            <w:tcW w:w="406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Balance, December 31, 2000 .....</w:t>
            </w:r>
          </w:p>
        </w:tc>
        <w:tc>
          <w:tcPr>
            <w:tcW w:w="4160" w:type="dxa"/>
            <w:vAlign w:val="bottom"/>
          </w:tcPr>
          <w:p>
            <w:pPr>
              <w:jc w:val="right"/>
              <w:ind w:right="3207"/>
              <w:spacing w:after="0"/>
              <w:rPr>
                <w:sz w:val="20"/>
                <w:szCs w:val="20"/>
                <w:color w:val="auto"/>
              </w:rPr>
            </w:pPr>
            <w:r>
              <w:rPr>
                <w:rFonts w:ascii="Courier New" w:cs="Courier New" w:eastAsia="Courier New" w:hAnsi="Courier New"/>
                <w:sz w:val="15"/>
                <w:szCs w:val="15"/>
                <w:color w:val="auto"/>
                <w:w w:val="95"/>
              </w:rPr>
              <w:t>$1,525,247</w:t>
            </w:r>
          </w:p>
        </w:tc>
        <w:tc>
          <w:tcPr>
            <w:tcW w:w="4060" w:type="dxa"/>
            <w:vAlign w:val="bottom"/>
          </w:tcPr>
          <w:p>
            <w:pPr>
              <w:spacing w:after="0"/>
              <w:rPr>
                <w:sz w:val="24"/>
                <w:szCs w:val="24"/>
                <w:color w:val="auto"/>
              </w:rPr>
            </w:pPr>
          </w:p>
        </w:tc>
      </w:tr>
      <w:tr>
        <w:trPr>
          <w:trHeight w:val="168"/>
        </w:trPr>
        <w:tc>
          <w:tcPr>
            <w:tcW w:w="2980" w:type="dxa"/>
            <w:vAlign w:val="bottom"/>
          </w:tcPr>
          <w:p>
            <w:pPr>
              <w:spacing w:after="0"/>
              <w:rPr>
                <w:sz w:val="14"/>
                <w:szCs w:val="14"/>
                <w:color w:val="auto"/>
              </w:rPr>
            </w:pPr>
          </w:p>
        </w:tc>
        <w:tc>
          <w:tcPr>
            <w:tcW w:w="4160" w:type="dxa"/>
            <w:vAlign w:val="bottom"/>
          </w:tcPr>
          <w:p>
            <w:pPr>
              <w:jc w:val="right"/>
              <w:ind w:right="3207"/>
              <w:spacing w:after="0" w:line="168" w:lineRule="exact"/>
              <w:rPr>
                <w:sz w:val="20"/>
                <w:szCs w:val="20"/>
                <w:color w:val="auto"/>
              </w:rPr>
            </w:pPr>
            <w:r>
              <w:rPr>
                <w:rFonts w:ascii="Courier New" w:cs="Courier New" w:eastAsia="Courier New" w:hAnsi="Courier New"/>
                <w:sz w:val="15"/>
                <w:szCs w:val="15"/>
                <w:color w:val="auto"/>
                <w:w w:val="95"/>
              </w:rPr>
              <w:t>==========</w:t>
            </w:r>
          </w:p>
        </w:tc>
        <w:tc>
          <w:tcPr>
            <w:tcW w:w="406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1200"/>
          </w:cols>
          <w:pgMar w:left="220" w:top="785" w:right="479" w:bottom="517" w:gutter="0" w:footer="0" w:header="0"/>
        </w:sectPr>
      </w:pPr>
    </w:p>
    <w:bookmarkStart w:id="32" w:name="page33"/>
    <w:bookmarkEnd w:id="32"/>
    <w:p>
      <w:pPr>
        <w:jc w:val="center"/>
        <w:ind w:right="4620"/>
        <w:spacing w:after="0"/>
        <w:rPr>
          <w:sz w:val="20"/>
          <w:szCs w:val="20"/>
          <w:color w:val="auto"/>
        </w:rPr>
      </w:pPr>
      <w:r>
        <w:rPr>
          <w:rFonts w:ascii="Courier New" w:cs="Courier New" w:eastAsia="Courier New" w:hAnsi="Courier New"/>
          <w:sz w:val="15"/>
          <w:szCs w:val="15"/>
          <w:color w:val="auto"/>
        </w:rPr>
        <w:t>CLARIFY</w:t>
      </w:r>
    </w:p>
    <w:p>
      <w:pPr>
        <w:jc w:val="center"/>
        <w:ind w:right="4620"/>
        <w:spacing w:after="0" w:line="237" w:lineRule="auto"/>
        <w:rPr>
          <w:sz w:val="20"/>
          <w:szCs w:val="20"/>
          <w:color w:val="auto"/>
        </w:rPr>
      </w:pPr>
      <w:r>
        <w:rPr>
          <w:rFonts w:ascii="Courier New" w:cs="Courier New" w:eastAsia="Courier New" w:hAnsi="Courier New"/>
          <w:sz w:val="15"/>
          <w:szCs w:val="15"/>
          <w:color w:val="auto"/>
        </w:rPr>
        <w:t>(A BUSINESS OF NORTEL NETWORKS CORPORATION)</w:t>
      </w:r>
    </w:p>
    <w:p>
      <w:pPr>
        <w:spacing w:after="0" w:line="167"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5"/>
          <w:szCs w:val="15"/>
          <w:color w:val="auto"/>
        </w:rPr>
        <w:t>STATEMENTS OF CASH FLOWS</w:t>
      </w:r>
    </w:p>
    <w:p>
      <w:pPr>
        <w:jc w:val="center"/>
        <w:ind w:right="4720"/>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2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Predecessor Company</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060" w:type="dxa"/>
            <w:vAlign w:val="bottom"/>
          </w:tcPr>
          <w:p>
            <w:pPr>
              <w:spacing w:after="0"/>
              <w:rPr>
                <w:sz w:val="14"/>
                <w:szCs w:val="14"/>
                <w:color w:val="auto"/>
              </w:rPr>
            </w:pPr>
          </w:p>
        </w:tc>
        <w:tc>
          <w:tcPr>
            <w:tcW w:w="3000" w:type="dxa"/>
            <w:vAlign w:val="bottom"/>
            <w:gridSpan w:val="4"/>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Period from</w:t>
            </w:r>
          </w:p>
        </w:tc>
        <w:tc>
          <w:tcPr>
            <w:tcW w:w="13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Period From</w:t>
            </w:r>
          </w:p>
        </w:tc>
      </w:tr>
      <w:tr>
        <w:trPr>
          <w:trHeight w:val="168"/>
        </w:trPr>
        <w:tc>
          <w:tcPr>
            <w:tcW w:w="7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January 1,</w:t>
            </w:r>
          </w:p>
        </w:tc>
        <w:tc>
          <w:tcPr>
            <w:tcW w:w="13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March 17,</w:t>
            </w:r>
          </w:p>
        </w:tc>
      </w:tr>
      <w:tr>
        <w:trPr>
          <w:trHeight w:val="168"/>
        </w:trPr>
        <w:tc>
          <w:tcPr>
            <w:tcW w:w="7060" w:type="dxa"/>
            <w:vAlign w:val="bottom"/>
          </w:tcPr>
          <w:p>
            <w:pPr>
              <w:spacing w:after="0"/>
              <w:rPr>
                <w:sz w:val="14"/>
                <w:szCs w:val="14"/>
                <w:color w:val="auto"/>
              </w:rPr>
            </w:pPr>
          </w:p>
        </w:tc>
        <w:tc>
          <w:tcPr>
            <w:tcW w:w="148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Year Ended</w:t>
            </w:r>
          </w:p>
        </w:tc>
        <w:tc>
          <w:tcPr>
            <w:tcW w:w="4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2000 to</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2000 to</w:t>
            </w:r>
          </w:p>
        </w:tc>
      </w:tr>
      <w:tr>
        <w:trPr>
          <w:trHeight w:val="168"/>
        </w:trPr>
        <w:tc>
          <w:tcPr>
            <w:tcW w:w="7060" w:type="dxa"/>
            <w:vAlign w:val="bottom"/>
          </w:tcPr>
          <w:p>
            <w:pPr>
              <w:spacing w:after="0"/>
              <w:rPr>
                <w:sz w:val="14"/>
                <w:szCs w:val="14"/>
                <w:color w:val="auto"/>
              </w:rPr>
            </w:pPr>
          </w:p>
        </w:tc>
        <w:tc>
          <w:tcPr>
            <w:tcW w:w="148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December 31,</w:t>
            </w:r>
          </w:p>
        </w:tc>
        <w:tc>
          <w:tcPr>
            <w:tcW w:w="15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March 16,</w:t>
            </w:r>
          </w:p>
        </w:tc>
        <w:tc>
          <w:tcPr>
            <w:tcW w:w="13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7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spacing w:after="0"/>
              <w:rPr>
                <w:sz w:val="20"/>
                <w:szCs w:val="20"/>
                <w:color w:val="auto"/>
              </w:rPr>
            </w:pPr>
            <w:r>
              <w:rPr>
                <w:rFonts w:ascii="Courier New" w:cs="Courier New" w:eastAsia="Courier New" w:hAnsi="Courier New"/>
                <w:sz w:val="15"/>
                <w:szCs w:val="15"/>
                <w:color w:val="auto"/>
              </w:rPr>
              <w:t>Cash flows from (used in) operating activities: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Net income (loss)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14,677</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(17,781)</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$(571,935)</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Adjustments to reconcile net income (loss) to net cash provided by (used in)</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operating activities, net of the effects of acquisitions:</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6,829</w:t>
            </w:r>
          </w:p>
        </w:tc>
        <w:tc>
          <w:tcPr>
            <w:tcW w:w="4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2,275</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562,379</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Provision for doubtful accounts and returns ..............................</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2,773</w:t>
            </w:r>
          </w:p>
        </w:tc>
        <w:tc>
          <w:tcPr>
            <w:tcW w:w="4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83</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1,916</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Deferred income taxes ....................................................</w:t>
            </w:r>
          </w:p>
        </w:tc>
        <w:tc>
          <w:tcPr>
            <w:tcW w:w="4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(3,243)</w:t>
            </w:r>
          </w:p>
        </w:tc>
        <w:tc>
          <w:tcPr>
            <w:tcW w:w="4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(19,176)</w:t>
            </w:r>
          </w:p>
        </w:tc>
        <w:tc>
          <w:tcPr>
            <w:tcW w:w="4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(77,007)</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Gain on disposal of assets ...............................................</w:t>
            </w:r>
          </w:p>
        </w:tc>
        <w:tc>
          <w:tcPr>
            <w:tcW w:w="4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(434)</w:t>
            </w:r>
          </w:p>
        </w:tc>
        <w:tc>
          <w:tcPr>
            <w:tcW w:w="4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Write-off of acquired in-process research and development ................</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2,348</w:t>
            </w:r>
          </w:p>
        </w:tc>
        <w:tc>
          <w:tcPr>
            <w:tcW w:w="4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63,939</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Tax benefit from exercise of nonqualified stock options ..................</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12,837</w:t>
            </w:r>
          </w:p>
        </w:tc>
        <w:tc>
          <w:tcPr>
            <w:tcW w:w="4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4,740</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47,122</w:t>
            </w:r>
          </w:p>
        </w:tc>
      </w:tr>
      <w:tr>
        <w:trPr>
          <w:trHeight w:val="168"/>
        </w:trPr>
        <w:tc>
          <w:tcPr>
            <w:tcW w:w="7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Accounts receivable ....................................................</w:t>
            </w:r>
          </w:p>
        </w:tc>
        <w:tc>
          <w:tcPr>
            <w:tcW w:w="4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(33,392)</w:t>
            </w:r>
          </w:p>
        </w:tc>
        <w:tc>
          <w:tcPr>
            <w:tcW w:w="4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26,350</w:t>
            </w:r>
          </w:p>
        </w:tc>
        <w:tc>
          <w:tcPr>
            <w:tcW w:w="4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(46,911)</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Prepaid and other assets ...............................................</w:t>
            </w:r>
          </w:p>
        </w:tc>
        <w:tc>
          <w:tcPr>
            <w:tcW w:w="4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(4,365)</w:t>
            </w:r>
          </w:p>
        </w:tc>
        <w:tc>
          <w:tcPr>
            <w:tcW w:w="4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(27,630)</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25,529</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11,835</w:t>
            </w:r>
          </w:p>
        </w:tc>
        <w:tc>
          <w:tcPr>
            <w:tcW w:w="4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702</w:t>
            </w:r>
          </w:p>
        </w:tc>
        <w:tc>
          <w:tcPr>
            <w:tcW w:w="4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(3,377)</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Payroll-related accruals ...............................................</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4,741</w:t>
            </w:r>
          </w:p>
        </w:tc>
        <w:tc>
          <w:tcPr>
            <w:tcW w:w="4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(4,718)</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2,660</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accrued liabilities ..............................................</w:t>
            </w:r>
          </w:p>
        </w:tc>
        <w:tc>
          <w:tcPr>
            <w:tcW w:w="4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(1,106)</w:t>
            </w:r>
          </w:p>
        </w:tc>
        <w:tc>
          <w:tcPr>
            <w:tcW w:w="4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655</w:t>
            </w:r>
          </w:p>
        </w:tc>
        <w:tc>
          <w:tcPr>
            <w:tcW w:w="4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(42,196)</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Unearned revenue .......................................................</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11,175</w:t>
            </w:r>
          </w:p>
        </w:tc>
        <w:tc>
          <w:tcPr>
            <w:tcW w:w="4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5,828</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14,326</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cash provided by (used in) operating activities ...............</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24,675</w:t>
            </w:r>
          </w:p>
        </w:tc>
        <w:tc>
          <w:tcPr>
            <w:tcW w:w="4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(28,672)</w:t>
            </w:r>
          </w:p>
        </w:tc>
        <w:tc>
          <w:tcPr>
            <w:tcW w:w="4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(23,555)</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(used in) investing activities:</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Purchase of property and equipment .........................................</w:t>
            </w:r>
          </w:p>
        </w:tc>
        <w:tc>
          <w:tcPr>
            <w:tcW w:w="4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(14,545)</w:t>
            </w:r>
          </w:p>
        </w:tc>
        <w:tc>
          <w:tcPr>
            <w:tcW w:w="4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(1,902)</w:t>
            </w:r>
          </w:p>
        </w:tc>
        <w:tc>
          <w:tcPr>
            <w:tcW w:w="4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(9,591)</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Purchase of investments ....................................................</w:t>
            </w:r>
          </w:p>
        </w:tc>
        <w:tc>
          <w:tcPr>
            <w:tcW w:w="4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(158,582)</w:t>
            </w:r>
          </w:p>
        </w:tc>
        <w:tc>
          <w:tcPr>
            <w:tcW w:w="4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Sale and maturities of investments .........................................</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144,133</w:t>
            </w:r>
          </w:p>
        </w:tc>
        <w:tc>
          <w:tcPr>
            <w:tcW w:w="4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15,517</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25,280</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Acquisition of business, net of cash received ..............................</w:t>
            </w:r>
          </w:p>
        </w:tc>
        <w:tc>
          <w:tcPr>
            <w:tcW w:w="4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(6,727)</w:t>
            </w:r>
          </w:p>
        </w:tc>
        <w:tc>
          <w:tcPr>
            <w:tcW w:w="4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Net cash provided by (used in) investing activities ...............</w:t>
            </w:r>
          </w:p>
        </w:tc>
        <w:tc>
          <w:tcPr>
            <w:tcW w:w="48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(35,721)</w:t>
            </w:r>
          </w:p>
        </w:tc>
        <w:tc>
          <w:tcPr>
            <w:tcW w:w="480" w:type="dxa"/>
            <w:vAlign w:val="bottom"/>
          </w:tcPr>
          <w:p>
            <w:pPr>
              <w:spacing w:after="0"/>
              <w:rPr>
                <w:sz w:val="24"/>
                <w:szCs w:val="2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13,615</w:t>
            </w:r>
          </w:p>
        </w:tc>
        <w:tc>
          <w:tcPr>
            <w:tcW w:w="44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15,689</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Proceeds from issuance of common stock, net ................................</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17,382</w:t>
            </w:r>
          </w:p>
        </w:tc>
        <w:tc>
          <w:tcPr>
            <w:tcW w:w="4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7,282</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Receivable from Nortel Networks Corporation ................................</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(9,426)</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Net cash provided by (used in) financing activities ...............</w:t>
            </w:r>
          </w:p>
        </w:tc>
        <w:tc>
          <w:tcPr>
            <w:tcW w:w="48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17,382</w:t>
            </w:r>
          </w:p>
        </w:tc>
        <w:tc>
          <w:tcPr>
            <w:tcW w:w="480" w:type="dxa"/>
            <w:vAlign w:val="bottom"/>
          </w:tcPr>
          <w:p>
            <w:pPr>
              <w:spacing w:after="0"/>
              <w:rPr>
                <w:sz w:val="24"/>
                <w:szCs w:val="2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7,282</w:t>
            </w:r>
          </w:p>
        </w:tc>
        <w:tc>
          <w:tcPr>
            <w:tcW w:w="4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(9,426)</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Net increase (decrease) in cash and cash equivalents .........................</w:t>
            </w:r>
          </w:p>
        </w:tc>
        <w:tc>
          <w:tcPr>
            <w:tcW w:w="48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6,336</w:t>
            </w:r>
          </w:p>
        </w:tc>
        <w:tc>
          <w:tcPr>
            <w:tcW w:w="480" w:type="dxa"/>
            <w:vAlign w:val="bottom"/>
          </w:tcPr>
          <w:p>
            <w:pPr>
              <w:spacing w:after="0"/>
              <w:rPr>
                <w:sz w:val="24"/>
                <w:szCs w:val="2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(7,775)</w:t>
            </w:r>
          </w:p>
        </w:tc>
        <w:tc>
          <w:tcPr>
            <w:tcW w:w="4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(17,292)</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Effect of foreign exchange rate changes on cash ..............................</w:t>
            </w:r>
          </w:p>
        </w:tc>
        <w:tc>
          <w:tcPr>
            <w:tcW w:w="48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(116)</w:t>
            </w:r>
          </w:p>
        </w:tc>
        <w:tc>
          <w:tcPr>
            <w:tcW w:w="480" w:type="dxa"/>
            <w:vAlign w:val="bottom"/>
          </w:tcPr>
          <w:p>
            <w:pPr>
              <w:spacing w:after="0"/>
              <w:rPr>
                <w:sz w:val="24"/>
                <w:szCs w:val="2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320</w:t>
            </w:r>
          </w:p>
        </w:tc>
        <w:tc>
          <w:tcPr>
            <w:tcW w:w="44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715</w:t>
            </w:r>
          </w:p>
        </w:tc>
      </w:tr>
      <w:tr>
        <w:trPr>
          <w:trHeight w:val="336"/>
        </w:trPr>
        <w:tc>
          <w:tcPr>
            <w:tcW w:w="70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Cash and cash equivalents, beginning of period ...............................</w:t>
            </w:r>
          </w:p>
        </w:tc>
        <w:tc>
          <w:tcPr>
            <w:tcW w:w="48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31,271</w:t>
            </w:r>
          </w:p>
        </w:tc>
        <w:tc>
          <w:tcPr>
            <w:tcW w:w="480" w:type="dxa"/>
            <w:vAlign w:val="bottom"/>
          </w:tcPr>
          <w:p>
            <w:pPr>
              <w:spacing w:after="0"/>
              <w:rPr>
                <w:sz w:val="24"/>
                <w:szCs w:val="2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37,491</w:t>
            </w:r>
          </w:p>
        </w:tc>
        <w:tc>
          <w:tcPr>
            <w:tcW w:w="44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30,036</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Cash and cash equivalents, end of period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37,491</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30,036</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13,459</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06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Cash paid during the year for interest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Cash paid during the year for taxes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7,123</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noncash investing and financing activities:</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Change in unrealized holding gains on investments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Common stock issued for business acquisition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11,162</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Contribution of Introspect Systems, Inc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6,174</w:t>
            </w:r>
          </w:p>
        </w:tc>
      </w:tr>
      <w:tr>
        <w:trPr>
          <w:trHeight w:val="168"/>
        </w:trPr>
        <w:tc>
          <w:tcPr>
            <w:tcW w:w="7060" w:type="dxa"/>
            <w:vAlign w:val="bottom"/>
          </w:tcPr>
          <w:p>
            <w:pPr>
              <w:spacing w:after="0"/>
              <w:rPr>
                <w:sz w:val="14"/>
                <w:szCs w:val="14"/>
                <w:color w:val="auto"/>
              </w:rPr>
            </w:pP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1380"/>
          </w:cols>
          <w:pgMar w:left="220" w:top="449" w:right="299" w:bottom="1440" w:gutter="0" w:footer="0" w:header="0"/>
        </w:sectPr>
      </w:pPr>
    </w:p>
    <w:bookmarkStart w:id="33" w:name="page34"/>
    <w:bookmarkEnd w:id="33"/>
    <w:p>
      <w:pPr>
        <w:jc w:val="center"/>
        <w:ind w:right="3149"/>
        <w:spacing w:after="0"/>
        <w:rPr>
          <w:sz w:val="20"/>
          <w:szCs w:val="20"/>
          <w:color w:val="auto"/>
        </w:rPr>
      </w:pPr>
      <w:r>
        <w:rPr>
          <w:rFonts w:ascii="Courier New" w:cs="Courier New" w:eastAsia="Courier New" w:hAnsi="Courier New"/>
          <w:sz w:val="15"/>
          <w:szCs w:val="15"/>
          <w:color w:val="auto"/>
        </w:rPr>
        <w:t>CLARIFY</w:t>
      </w:r>
    </w:p>
    <w:p>
      <w:pPr>
        <w:jc w:val="center"/>
        <w:ind w:right="3149"/>
        <w:spacing w:after="0" w:line="237" w:lineRule="auto"/>
        <w:rPr>
          <w:sz w:val="20"/>
          <w:szCs w:val="20"/>
          <w:color w:val="auto"/>
        </w:rPr>
      </w:pPr>
      <w:r>
        <w:rPr>
          <w:rFonts w:ascii="Courier New" w:cs="Courier New" w:eastAsia="Courier New" w:hAnsi="Courier New"/>
          <w:sz w:val="15"/>
          <w:szCs w:val="15"/>
          <w:color w:val="auto"/>
        </w:rPr>
        <w:t>(A BUSINESS OF NORTEL NETWORKS CORPORATION)</w:t>
      </w:r>
    </w:p>
    <w:p>
      <w:pPr>
        <w:spacing w:after="0" w:line="167" w:lineRule="exact"/>
        <w:rPr>
          <w:sz w:val="20"/>
          <w:szCs w:val="20"/>
          <w:color w:val="auto"/>
        </w:rPr>
      </w:pPr>
    </w:p>
    <w:p>
      <w:pPr>
        <w:jc w:val="center"/>
        <w:ind w:right="3149"/>
        <w:spacing w:after="0"/>
        <w:rPr>
          <w:sz w:val="20"/>
          <w:szCs w:val="20"/>
          <w:color w:val="auto"/>
        </w:rPr>
      </w:pPr>
      <w:r>
        <w:rPr>
          <w:rFonts w:ascii="Courier New" w:cs="Courier New" w:eastAsia="Courier New" w:hAnsi="Courier New"/>
          <w:sz w:val="15"/>
          <w:szCs w:val="15"/>
          <w:color w:val="auto"/>
        </w:rPr>
        <w:t>NOTES TO FINANCIAL STATEMENTS</w:t>
      </w:r>
    </w:p>
    <w:p>
      <w:pPr>
        <w:spacing w:after="0" w:line="5" w:lineRule="exact"/>
        <w:rPr>
          <w:sz w:val="20"/>
          <w:szCs w:val="20"/>
          <w:color w:val="auto"/>
        </w:rPr>
      </w:pPr>
    </w:p>
    <w:p>
      <w:pPr>
        <w:jc w:val="center"/>
        <w:ind w:left="320" w:right="700"/>
        <w:spacing w:after="0" w:line="235" w:lineRule="auto"/>
        <w:rPr>
          <w:sz w:val="20"/>
          <w:szCs w:val="20"/>
          <w:color w:val="auto"/>
        </w:rPr>
      </w:pPr>
      <w:r>
        <w:rPr>
          <w:rFonts w:ascii="Courier New" w:cs="Courier New" w:eastAsia="Courier New" w:hAnsi="Courier New"/>
          <w:sz w:val="15"/>
          <w:szCs w:val="15"/>
          <w:color w:val="auto"/>
        </w:rPr>
        <w:t>YEAR ENDED DECEMBER 31, 1999 (PREDECESSOR COMPANY), PERIOD FROM JANUARY 1, 2000 THROUGH MARCH 16, 2000 (PREDECESSOR COMPANY) AND PERIOD FROM MARCH 17, 2000</w:t>
      </w:r>
    </w:p>
    <w:p>
      <w:pPr>
        <w:ind w:left="2450"/>
        <w:spacing w:after="0" w:line="238" w:lineRule="auto"/>
        <w:rPr>
          <w:sz w:val="20"/>
          <w:szCs w:val="20"/>
          <w:color w:val="auto"/>
        </w:rPr>
      </w:pPr>
      <w:r>
        <w:rPr>
          <w:rFonts w:ascii="Courier New" w:cs="Courier New" w:eastAsia="Courier New" w:hAnsi="Courier New"/>
          <w:sz w:val="15"/>
          <w:szCs w:val="15"/>
          <w:color w:val="auto"/>
        </w:rPr>
        <w:t>THROUGH DECEMBER 31, 2000</w:t>
      </w:r>
    </w:p>
    <w:p>
      <w:pPr>
        <w:spacing w:after="0" w:line="167" w:lineRule="exact"/>
        <w:rPr>
          <w:sz w:val="20"/>
          <w:szCs w:val="20"/>
          <w:color w:val="auto"/>
        </w:rPr>
      </w:pPr>
    </w:p>
    <w:p>
      <w:pPr>
        <w:ind w:left="530" w:hanging="530"/>
        <w:spacing w:after="0"/>
        <w:tabs>
          <w:tab w:leader="none" w:pos="53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OF THE COMPANY</w:t>
      </w:r>
    </w:p>
    <w:p>
      <w:pPr>
        <w:spacing w:after="0" w:line="172" w:lineRule="exact"/>
        <w:rPr>
          <w:rFonts w:ascii="Courier New" w:cs="Courier New" w:eastAsia="Courier New" w:hAnsi="Courier New"/>
          <w:sz w:val="15"/>
          <w:szCs w:val="15"/>
          <w:color w:val="auto"/>
        </w:rPr>
      </w:pPr>
    </w:p>
    <w:p>
      <w:pPr>
        <w:ind w:left="53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16 2000, Nortel Networks Limited (then known as Nortel Networks Corporation), currently the principal operating subsidiary of Nortel Networks Corporation ("Nortel Networks"), acquired all of the issued and outstanding shares of Clarify Inc. ("Clarify"), a Delaware corporation, in a transaction ("the Acquisition") that was accounted for using the purchase method (the on-going business is also referred to as "Clarify"). Clarify was founded in August 1990 to develop, market and support adaptable client/server application software designed to address the external and internal service, support, and product quality needs of today's global enterprises. Clarify markets its software and services through its direct sales organization and other Nortel Networks sales organizations.</w:t>
      </w:r>
    </w:p>
    <w:p>
      <w:pPr>
        <w:spacing w:after="0" w:line="173" w:lineRule="exact"/>
        <w:rPr>
          <w:rFonts w:ascii="Courier New" w:cs="Courier New" w:eastAsia="Courier New" w:hAnsi="Courier New"/>
          <w:sz w:val="15"/>
          <w:szCs w:val="15"/>
          <w:color w:val="auto"/>
        </w:rPr>
      </w:pPr>
    </w:p>
    <w:p>
      <w:pPr>
        <w:ind w:left="53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a result of the ownership change, the accompanying financial statements reflect the effect of the purchase accounting adjustments that relate to Clarify in accordance with Staff Accounting Bulletin No. 54 of the United States Securities and Exchange Commission. The financial statements of Clarify for the period prior to the March 16, 2000 acquisition date are referred to herein as the Predecessor Company financial statements. The aggregate purchase price allocated to Clarify as of March 16, 2000 was $2,083 million. The allocation of the purchase price, based on the estimated fair value of the net assets, was to net tangible assets of $18 million, in-process research and development ("IPR&amp;D") of $64 million, acquired technology of $210 million, and goodwill of $1,791 million. The goodwill is being amortized over three years, and the acquired technology is being amortized over two years. On August 24, 2000, a division of Nortel Networks acquired specified assets and assumed specified liabilities of Introspect Systems, Inc. ("ISI"), a privately held Clarify implementation and training consultancy. This acquisition was contributed to Clarify. The aggregate purchase price was approximately $7 million of which Nortel Networks paid $6.2 million on behalf of Clarify and other acquisition costs of $0.8 million were paid by Clarify. The allocation of the purchase price was to goodwill of $6.7 million and net intangible assets of $0.3 million. The goodwill is being amortized over three years.</w:t>
      </w:r>
    </w:p>
    <w:p>
      <w:pPr>
        <w:spacing w:after="0" w:line="175" w:lineRule="exact"/>
        <w:rPr>
          <w:rFonts w:ascii="Courier New" w:cs="Courier New" w:eastAsia="Courier New" w:hAnsi="Courier New"/>
          <w:sz w:val="15"/>
          <w:szCs w:val="15"/>
          <w:color w:val="auto"/>
        </w:rPr>
      </w:pPr>
    </w:p>
    <w:p>
      <w:pPr>
        <w:ind w:left="5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December 31, 2000, Nortel Networks merged Clarify into another Nortel Networks' legal entity and Clarify ceased to exist as a separate legal entity. The accompanying financial statements reflect the carved-out operations and financial position of Clarify as if it had been a stand-alone entity for the period from March 17, 2000 to December 31, 2000. The financial statements therefore include revenue and cost of sales of Clarify's product, as well as personnel, facilities and other expenses which were directly attributable to Clarify's general and administrative, research and development, and sales and marketing activities.</w:t>
      </w:r>
    </w:p>
    <w:p>
      <w:pPr>
        <w:spacing w:after="0" w:line="165" w:lineRule="exact"/>
        <w:rPr>
          <w:rFonts w:ascii="Courier New" w:cs="Courier New" w:eastAsia="Courier New" w:hAnsi="Courier New"/>
          <w:sz w:val="15"/>
          <w:szCs w:val="15"/>
          <w:color w:val="auto"/>
        </w:rPr>
      </w:pPr>
    </w:p>
    <w:p>
      <w:pPr>
        <w:ind w:left="5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Subsequent to the acquisition, certain functions and processes (including, but not limited to, cash management, processing of receivables and certain payables, legal services, and payroll ("centralized services")) were transitioned during the period from March 17, 2000 to December 31, 2000 to be performed centrally by Nortel Networks for Clarify. Costs for these services are billed to Clarify based on actual usage and are included in Clarify's statement of operations. These costs totaled $167.4 million for the period from March 17, 2000 to December 31, 2000. Although management is unable to determine the actual costs that would have been incurred if the services performed by Nortel Networks had been purchased from independent third parties, management considers the allocation methodology</w:t>
      </w:r>
    </w:p>
    <w:p>
      <w:pPr>
        <w:spacing w:after="0" w:line="158"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9"/>
          </w:cols>
          <w:pgMar w:left="230" w:top="449" w:right="1440" w:bottom="1440" w:gutter="0" w:footer="0" w:header="0"/>
        </w:sectPr>
      </w:pPr>
    </w:p>
    <w:bookmarkStart w:id="34" w:name="page35"/>
    <w:bookmarkEnd w:id="34"/>
    <w:p>
      <w:pPr>
        <w:ind w:left="530" w:right="3319"/>
        <w:spacing w:after="0" w:line="235" w:lineRule="auto"/>
        <w:rPr>
          <w:sz w:val="20"/>
          <w:szCs w:val="20"/>
          <w:color w:val="auto"/>
        </w:rPr>
      </w:pPr>
      <w:r>
        <w:rPr>
          <w:rFonts w:ascii="Courier New" w:cs="Courier New" w:eastAsia="Courier New" w:hAnsi="Courier New"/>
          <w:sz w:val="15"/>
          <w:szCs w:val="15"/>
          <w:color w:val="auto"/>
        </w:rPr>
        <w:t>described to be reasonable. The financial position, results of operations and cash flows of Clarify may differ from those that would have been achieved had Clarify operated independent of Nortel Networks for the period after March 16, 2000.</w:t>
      </w:r>
    </w:p>
    <w:p>
      <w:pPr>
        <w:spacing w:after="0" w:line="169" w:lineRule="exact"/>
        <w:rPr>
          <w:sz w:val="20"/>
          <w:szCs w:val="20"/>
          <w:color w:val="auto"/>
        </w:rPr>
      </w:pPr>
    </w:p>
    <w:p>
      <w:pPr>
        <w:ind w:left="530" w:hanging="530"/>
        <w:spacing w:after="0"/>
        <w:tabs>
          <w:tab w:leader="none" w:pos="53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w:t>
      </w:r>
    </w:p>
    <w:p>
      <w:pPr>
        <w:spacing w:after="0" w:line="172" w:lineRule="exact"/>
        <w:rPr>
          <w:rFonts w:ascii="Courier New" w:cs="Courier New" w:eastAsia="Courier New" w:hAnsi="Courier New"/>
          <w:sz w:val="15"/>
          <w:szCs w:val="15"/>
          <w:color w:val="auto"/>
        </w:rPr>
      </w:pPr>
    </w:p>
    <w:p>
      <w:pPr>
        <w:ind w:left="53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Basis of Financial Statements - The accompanying combined financial statements of the Clarify business of Nortel Networks include the net assets acquired by Nortel Networks in its purchase of Clarify on March 16, 2000, and the results of Clarify's operations and its cash flows for the period from March 17, 2000 to December 31, 2000, after giving effect to the allocation of Nortel Networks' purchase price to Clarify's net assets, to the changes in net assets of Clarify subsequent to the acquisition and to allocations of certain operating costs provided by Nortel Networks (see Note 1). Accordingly, such financial statements do not purport to be those of Clarify as a separate corporate entity prepared on a historical cost basis of accounting. The accompanying financial statements of Clarify for periods presented prior to March 17, 2000 represent the stand-alone consolidated financial statements of Clarify. All significant intercompany balances and transactions have been eliminated. The functional currency for the majority of Clarify's foreign operations is the applicable local currency. The translation from the applicable foreign currency to U.S. dollars is performed for balance sheet accounts using current exchange rates in effect at the balance sheet date and for revenue and expense accounts using the weighted average exchange rate during the period. Adjustments resulting from such translation are reflected in accumulated other comprehensive income. Gains or losses resulting from foreign currency transactions are included in the results of operations.</w:t>
      </w:r>
    </w:p>
    <w:p>
      <w:pPr>
        <w:spacing w:after="0" w:line="175" w:lineRule="exact"/>
        <w:rPr>
          <w:rFonts w:ascii="Courier New" w:cs="Courier New" w:eastAsia="Courier New" w:hAnsi="Courier New"/>
          <w:sz w:val="15"/>
          <w:szCs w:val="15"/>
          <w:color w:val="auto"/>
        </w:rPr>
      </w:pPr>
    </w:p>
    <w:p>
      <w:pPr>
        <w:ind w:left="53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Use of Estimates - 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allowance for doubtful accounts, valuation of IPR&amp;D and estimated useful life of tangible and intangible assets.</w:t>
      </w:r>
    </w:p>
    <w:p>
      <w:pPr>
        <w:spacing w:after="0" w:line="165" w:lineRule="exact"/>
        <w:rPr>
          <w:rFonts w:ascii="Courier New" w:cs="Courier New" w:eastAsia="Courier New" w:hAnsi="Courier New"/>
          <w:sz w:val="15"/>
          <w:szCs w:val="15"/>
          <w:color w:val="auto"/>
        </w:rPr>
      </w:pPr>
    </w:p>
    <w:p>
      <w:pPr>
        <w:ind w:left="5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 - Clarify considers cash and all highly liquid investments purchased with a remaining maturity of less than three months at the date of purchase to be cash equivalents. Short-term and long-term investments are classified as available-for-sale and are carried at fair market value. Unrealized holding gains and losses on such investments are reported, net of related taxes, as a part of accumulated other comprehensive income. Realized gains and losses on sales of such investments are reported in earnings and computed using the specific identification cost method.</w:t>
      </w:r>
    </w:p>
    <w:p>
      <w:pPr>
        <w:spacing w:after="0" w:line="178" w:lineRule="exact"/>
        <w:rPr>
          <w:rFonts w:ascii="Courier New" w:cs="Courier New" w:eastAsia="Courier New" w:hAnsi="Courier New"/>
          <w:sz w:val="15"/>
          <w:szCs w:val="15"/>
          <w:color w:val="auto"/>
        </w:rPr>
      </w:pPr>
    </w:p>
    <w:p>
      <w:pPr>
        <w:ind w:left="53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reported for cash equivalents, accounts receivables and other financial instruments are considered to approximate fair value based upon comparable market information available at the respective balance sheet dates.</w:t>
      </w:r>
    </w:p>
    <w:p>
      <w:pPr>
        <w:spacing w:after="0" w:line="175" w:lineRule="exact"/>
        <w:rPr>
          <w:rFonts w:ascii="Courier New" w:cs="Courier New" w:eastAsia="Courier New" w:hAnsi="Courier New"/>
          <w:sz w:val="15"/>
          <w:szCs w:val="15"/>
          <w:color w:val="auto"/>
        </w:rPr>
      </w:pPr>
    </w:p>
    <w:p>
      <w:pPr>
        <w:ind w:left="5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instruments that potentially subject Clarify to concentrations of credit risk comprise principally cash and cash equivalents, investments and trade accounts receivable. Cash and cash equivalents and investments are, for the most part, held by three major financial institutions. Deposits held with banks may exceed the amount of insurance provided on such deposits. These deposits may</w:t>
      </w:r>
    </w:p>
    <w:p>
      <w:pPr>
        <w:spacing w:after="0" w:line="33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9"/>
          </w:cols>
          <w:pgMar w:left="230" w:top="455" w:right="1440" w:bottom="1440" w:gutter="0" w:footer="0" w:header="0"/>
        </w:sectPr>
      </w:pPr>
    </w:p>
    <w:bookmarkStart w:id="35" w:name="page36"/>
    <w:bookmarkEnd w:id="35"/>
    <w:p>
      <w:pPr>
        <w:ind w:right="3239"/>
        <w:spacing w:after="0" w:line="236" w:lineRule="auto"/>
        <w:rPr>
          <w:sz w:val="20"/>
          <w:szCs w:val="20"/>
          <w:color w:val="auto"/>
        </w:rPr>
      </w:pPr>
      <w:r>
        <w:rPr>
          <w:rFonts w:ascii="Courier New" w:cs="Courier New" w:eastAsia="Courier New" w:hAnsi="Courier New"/>
          <w:sz w:val="15"/>
          <w:szCs w:val="15"/>
          <w:color w:val="auto"/>
        </w:rPr>
        <w:t>generally be redeemed upon demand and, therefore, bear minimal risk. Clarify's customer base is dispersed across many different geographic areas throughout the United States, Europe and Asia and consists principally of companies in the networking equipment, high-end software, telecommunications and computer systems industries. Clarify performs ongoing credit evaluations of its customers and maintains an allowance for potential credit losses. Collateral, such as letters of credit and bank guarantees, is generally not required.</w:t>
      </w:r>
    </w:p>
    <w:p>
      <w:pPr>
        <w:spacing w:after="0" w:line="177"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the normal course of business, Clarify has exposures to foreign currency fluctuations arising from foreign currency sales and purchases and intercompany transactions, among other things. Prior to its acquisition by Nortel Networks, Clarify used foreign exchange forward contracts to limit its exposure to foreign exchange losses arising from foreign currency payables and receivables. Clarify evaluated its net exposure therefrom and entered into forward contracts to hedge the net exposure over a specified amount. Gains and losses on these contracts served as hedges in that they offset fluctuations that would otherwise impact Clarify's financial results. Costs associated with entering into such contracts were generally amortized over the life of the instruments and are not material to Clarify's consolidated financial results. After its acquisition by Nortel Networks, Clarify no longer engaged in foreign currency hedging activities to offset its net foreign currency exposure.</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At December 31, 1999, Clarify had foreign currency forward contracts outstanding to hedge foreign currency intercompany accounts receivable and accounts payable. The total aggregate fair value and the net unrealized loss on foreign exchange contracts for the year ended December 31, 1999 were $15.0 million and $88,000, respectively.</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Revenue Recognition - Clarify's revenue is derived from primarily two sources, across many industries: (i) product license revenue, derived primarily from product sales to customers, including large-scale enterprises; and (ii) service and support revenue, derived primarily from providing software updates, support, training and consulting services to customers.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Clarify applies the provisions of Statement of Position (SOP) 97-2, Software Revenue Recognition, as amended, and recognizes product revenue upon delivery if a signed contract and customer purchase order exists, the fee is fixed and determinable and collection of resulting receivables is probable.</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For contracts with multiple obligations (e.g., deliverable and undeliverable products, maintenance and other services), Clarify allocates revenue to each component of the contract based on objective evidence of its fair value, which is specific to Clarify, or for products not being sold separately, the price established by management ("VSOE"). If VSOE cannot be determined, the entire transaction is deferred until such time as VSOE exists for the undelivered product. Clarify recognizes revenue allocated to maintenance fees for ongoing customer support and product updates ratably over the period of the maintenance contract. Payments for maintenance fees are generally made in advance and are nonrefundable. For revenue allocated to training and consulting services, Clarify recognizes revenue as the related services are performed. Contracts that have extended payment terms are recognized as the amounts become due (if the terms are greater than 90 days).</w:t>
      </w:r>
    </w:p>
    <w:p>
      <w:pPr>
        <w:spacing w:after="0" w:line="15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699"/>
          </w:cols>
          <w:pgMar w:left="760" w:top="624" w:right="1440" w:bottom="1440" w:gutter="0" w:footer="0" w:header="0"/>
        </w:sectPr>
      </w:pPr>
    </w:p>
    <w:bookmarkStart w:id="36" w:name="page37"/>
    <w:bookmarkEnd w:id="36"/>
    <w:p>
      <w:pPr>
        <w:ind w:right="3239"/>
        <w:spacing w:after="0" w:line="255" w:lineRule="auto"/>
        <w:rPr>
          <w:sz w:val="20"/>
          <w:szCs w:val="20"/>
          <w:color w:val="auto"/>
        </w:rPr>
      </w:pPr>
      <w:r>
        <w:rPr>
          <w:rFonts w:ascii="Courier New" w:cs="Courier New" w:eastAsia="Courier New" w:hAnsi="Courier New"/>
          <w:sz w:val="14"/>
          <w:szCs w:val="14"/>
          <w:color w:val="auto"/>
        </w:rPr>
        <w:t>Property and Equipment - Property and equipment are stated at cost. Depreciation is computed using the straight-line method over the estimated useful lives of the related assets (generally three to five years). Leasehold improvements are amortized over the lesser of their useful lives or the term of the lease. Upon disposal, the assets and related accumulated depreciation are removed from Clarify's accounts, and the resulting gains or losses are reflected in the statement of operations.</w:t>
      </w:r>
    </w:p>
    <w:p>
      <w:pPr>
        <w:spacing w:after="0" w:line="166"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When events and circumstances warrant a review, Clarify evaluates the carrying values of long-lived assets, certain identifiable intangibles, and goodwill related to those assets to be held and used in accordance with Statement of Financial Accounting Standards ("SFAS") No. 121, Accounting for the Impairment of Long-lived Assets and for Long-lived Assets to be Disposed Of. An impairment review is performed whenever events or circumstances indicate that the carrying value may not be recoverable. Certain factors that Clarify considers important which could trigger an impairment review include, but are not limited to, significant underperformance relative to historical or projected future operating results, significant changes in the manner of use of the acquired assets or the strategy for Clarify's overall business, and significant negative industry or economic trends.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carrying values of long-lived assets, certain identifiable intangibles, and goodwill related to those assets are considered impaired when the anticipated undiscounted cash flow from such assets is less than their carrying values. In that event, a loss is recognized based on the amount by which the carrying value exceeds the fair value. Fair value is determined using the anticipated cash flows discounted at a rate commensurate with the risk involved. Losses on long-lived assets to be disposed of are determined in a similar manner, except that fair values are reduced by the cost to dispose of such assets.</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Income Taxes - Deferred tax assets and liabilities are determined based on differences between financial reporting and tax bases of assets and liabilities and are measured using the enacted tax rates and laws that will be in effect when the differences are expected to reverse. Clarify is required to adjust its deferred tax liabilities in the period when tax rates or the provisions of the income tax laws change. Valuation allowances are established when necessary to reduce deferred tax assets to the amounts expected to be realized.</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Product Development and Engineering Expenditures - Costs related to research, design and development of products are charged to product development and engineering expenses as incurred. Software development costs are capitalized beginning when a product's technological feasibility has been established and ending when a product is available for general release to customers. Generally, Clarify's products are released soon after technological feasibility has been established. As a result, costs subsequent to achieving technological feasibility have not been significant and all software development costs have, therefore, been expensed.</w:t>
      </w:r>
    </w:p>
    <w:p>
      <w:pPr>
        <w:spacing w:after="0" w:line="179"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Advertising Costs - Advertising costs are expensed as incurred and totaled $2,617,000 for the year ended December 31, 1999, $980,000 for the period January 1 to March 16, 2000 and $689,000 for the period March 17 to December 31, 2000.</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Stock-Based Compensation - SFAS No. 123, Accounting for Stock-Based Compensation, encourages but does not require companies to record compensation cost for stock-based compensation plans at fair value. Clarify has chosen to continue to account for employee stock options using the intrinsic value method prescribed by Accounting Principles Board ("APB") Opinion No. 25, Accounting for Stock</w:t>
      </w:r>
    </w:p>
    <w:p>
      <w:pPr>
        <w:spacing w:after="0" w:line="33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699"/>
          </w:cols>
          <w:pgMar w:left="760" w:top="792" w:right="1440" w:bottom="1440" w:gutter="0" w:footer="0" w:header="0"/>
        </w:sectPr>
      </w:pPr>
    </w:p>
    <w:bookmarkStart w:id="37" w:name="page38"/>
    <w:bookmarkEnd w:id="37"/>
    <w:p>
      <w:pPr>
        <w:ind w:right="3399"/>
        <w:spacing w:after="0" w:line="235" w:lineRule="auto"/>
        <w:rPr>
          <w:sz w:val="20"/>
          <w:szCs w:val="20"/>
          <w:color w:val="auto"/>
        </w:rPr>
      </w:pPr>
      <w:r>
        <w:rPr>
          <w:rFonts w:ascii="Courier New" w:cs="Courier New" w:eastAsia="Courier New" w:hAnsi="Courier New"/>
          <w:sz w:val="15"/>
          <w:szCs w:val="15"/>
          <w:color w:val="auto"/>
        </w:rPr>
        <w:t>Issued to Employees. Accordingly, compensation cost for stock options is measured as the excess, if any, of the quoted market price of Clarify's stock at the date of the grant over the amount an employee must pay to acquire the stock.</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Reclassifications - Certain reclassifications have been made to the 1999 financial statements to conform with the 2000 financial statement presentation. The reclassifications had no impact on net loss or stockholders' equity.</w:t>
      </w:r>
    </w:p>
    <w:p>
      <w:pPr>
        <w:spacing w:after="0" w:line="17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Recently Issued Accounting Standards - In August 2001, the Financial Accounting Standards Board (the "FASB") issued SFAS No. 144, Accounting for the Impairment or Disposal of Long-Lived Assets, which addresses financial accounting and reporting for the impairment or disposal of long-lived assets. This Statement supersedes SFAS No. 121, and the accounting and reporting provisions of APB 30, for the disposal of a segment of a business. The provisions of SFAS No. 144 are required to be adopted by Clarify effective January 1, 2002. Clarify has not yet determined the effect that the adoption of SFAS No. 144 will have on its business, results of operations, and financial condition.</w:t>
      </w:r>
    </w:p>
    <w:p>
      <w:pPr>
        <w:spacing w:after="0" w:line="16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June 2001, the FASB issued SFAS No. 141, Business Combinations, effective for business combinations initiated after June 30, 2001, and SFAS No. 142, Goodwill and Other Intangible Assets, effective for fiscal years beginning after December 15, 2001. SFAS No. 141 transitional rules require that the purchase method of accounting be used for all business combinations initiated after June 30, 2001. As a result, the pooling-of-interests method is now prohibited. SFAS No. 142 changes the accounting for goodwill from an amortization method to an impairment-only approach. Thus, amortization of goodwill, including goodwill recorded in past business combinations, and intangibles with an indefinite life, will cease upon adoption of this Statement, which for Clarify will be January 1, 2002. However, for any acquisitions completed after June 30, 2001, goodwill and intangible assets with an indefinite life will not be amortized. The adoption of SFAS No. 141 will not have an impact on the business, results of operations, and financial condition of Clarify. The first of the required SFAS No. 142 impairment tests will be performed during 2002 and Clarify has not yet determined the effect that the adoption of SFAS No. 142 will have on its business, results of operations, and financial condition.</w:t>
      </w:r>
    </w:p>
    <w:p>
      <w:pPr>
        <w:spacing w:after="0" w:line="17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which establishes accounting and reporting standards for derivative instruments and hedging activities. It requires that an entity recognize all derivatives as either assets or liabilities in the statement of financial position and measure those instruments at fair value. SFAS No. 133 will be effective for Clarify's fiscal year 2001. Management has determined that this statement will not have a significant impact on Clarify.</w:t>
      </w:r>
    </w:p>
    <w:p>
      <w:pPr>
        <w:spacing w:after="0" w:line="339"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9699"/>
          </w:cols>
          <w:pgMar w:left="760" w:top="792" w:right="1440" w:bottom="1440" w:gutter="0" w:footer="0" w:header="0"/>
        </w:sectPr>
      </w:pPr>
    </w:p>
    <w:bookmarkStart w:id="38" w:name="page39"/>
    <w:bookmarkEnd w:id="38"/>
    <w:p>
      <w:pPr>
        <w:ind w:left="540" w:hanging="530"/>
        <w:spacing w:after="0"/>
        <w:tabs>
          <w:tab w:leader="none" w:pos="5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839" w:firstLine="525"/>
        <w:spacing w:after="0" w:line="234" w:lineRule="auto"/>
        <w:rPr>
          <w:sz w:val="20"/>
          <w:szCs w:val="20"/>
          <w:color w:val="auto"/>
        </w:rPr>
      </w:pPr>
      <w:r>
        <w:rPr>
          <w:rFonts w:ascii="Courier New" w:cs="Courier New" w:eastAsia="Courier New" w:hAnsi="Courier New"/>
          <w:sz w:val="15"/>
          <w:szCs w:val="15"/>
          <w:color w:val="auto"/>
        </w:rPr>
        <w:t>Property and equipment at December 31 consists of the following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394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Leasehold improvements ..................</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4,305</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7,531</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w:t>
            </w:r>
          </w:p>
        </w:tc>
        <w:tc>
          <w:tcPr>
            <w:tcW w:w="44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9,446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3,335</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fixtures ..................</w:t>
            </w:r>
          </w:p>
        </w:tc>
        <w:tc>
          <w:tcPr>
            <w:tcW w:w="44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8,543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5,825</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Purchased software ......................</w:t>
            </w:r>
          </w:p>
        </w:tc>
        <w:tc>
          <w:tcPr>
            <w:tcW w:w="44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4,947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4,200</w:t>
            </w:r>
          </w:p>
        </w:tc>
      </w:tr>
      <w:tr>
        <w:trPr>
          <w:trHeight w:val="168"/>
        </w:trPr>
        <w:tc>
          <w:tcPr>
            <w:tcW w:w="394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27,241</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20,891</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depreciation and amortization</w:t>
            </w:r>
          </w:p>
        </w:tc>
        <w:tc>
          <w:tcPr>
            <w:tcW w:w="44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(10,257)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(5,156)</w:t>
            </w:r>
          </w:p>
        </w:tc>
      </w:tr>
      <w:tr>
        <w:trPr>
          <w:trHeight w:val="168"/>
        </w:trPr>
        <w:tc>
          <w:tcPr>
            <w:tcW w:w="394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Property and equipment, net .............</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16,984</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$ 15,735</w:t>
            </w:r>
          </w:p>
        </w:tc>
      </w:tr>
      <w:tr>
        <w:trPr>
          <w:trHeight w:val="168"/>
        </w:trPr>
        <w:tc>
          <w:tcPr>
            <w:tcW w:w="3940" w:type="dxa"/>
            <w:vAlign w:val="bottom"/>
          </w:tcPr>
          <w:p>
            <w:pPr>
              <w:spacing w:after="0"/>
              <w:rPr>
                <w:sz w:val="14"/>
                <w:szCs w:val="14"/>
                <w:color w:val="auto"/>
              </w:rPr>
            </w:pPr>
          </w:p>
        </w:tc>
        <w:tc>
          <w:tcPr>
            <w:tcW w:w="1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540" w:hanging="530"/>
        <w:spacing w:after="0"/>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ACQUIRED INTANGIBLES</w:t>
      </w:r>
    </w:p>
    <w:p>
      <w:pPr>
        <w:spacing w:after="0" w:line="172" w:lineRule="exact"/>
        <w:rPr>
          <w:rFonts w:ascii="Courier New" w:cs="Courier New" w:eastAsia="Courier New" w:hAnsi="Courier New"/>
          <w:sz w:val="15"/>
          <w:szCs w:val="15"/>
          <w:color w:val="auto"/>
        </w:rPr>
      </w:pPr>
    </w:p>
    <w:p>
      <w:pPr>
        <w:ind w:left="540" w:right="40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Acquired intangibles at December 31 consist of the following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88"/>
              </w:rPr>
              <w:t>1999</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2800" w:type="dxa"/>
            <w:vAlign w:val="bottom"/>
          </w:tcPr>
          <w:p>
            <w:pPr>
              <w:spacing w:after="0"/>
              <w:rPr>
                <w:sz w:val="14"/>
                <w:szCs w:val="14"/>
                <w:color w:val="auto"/>
              </w:rPr>
            </w:pPr>
          </w:p>
        </w:tc>
        <w:tc>
          <w:tcPr>
            <w:tcW w:w="21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Acquired technology ......</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5,280</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210,147</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w:t>
            </w:r>
          </w:p>
        </w:tc>
        <w:tc>
          <w:tcPr>
            <w:tcW w:w="80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10,657</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1,797,671</w:t>
            </w:r>
          </w:p>
        </w:tc>
      </w:tr>
      <w:tr>
        <w:trPr>
          <w:trHeight w:val="168"/>
        </w:trPr>
        <w:tc>
          <w:tcPr>
            <w:tcW w:w="2800" w:type="dxa"/>
            <w:vAlign w:val="bottom"/>
          </w:tcPr>
          <w:p>
            <w:pPr>
              <w:spacing w:after="0"/>
              <w:rPr>
                <w:sz w:val="14"/>
                <w:szCs w:val="14"/>
                <w:color w:val="auto"/>
              </w:rPr>
            </w:pPr>
          </w:p>
        </w:tc>
        <w:tc>
          <w:tcPr>
            <w:tcW w:w="21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15,937</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2,007,818</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amortization</w:t>
            </w:r>
          </w:p>
        </w:tc>
        <w:tc>
          <w:tcPr>
            <w:tcW w:w="8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(978)</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(557,223)</w:t>
            </w:r>
          </w:p>
        </w:tc>
      </w:tr>
      <w:tr>
        <w:trPr>
          <w:trHeight w:val="168"/>
        </w:trPr>
        <w:tc>
          <w:tcPr>
            <w:tcW w:w="2800" w:type="dxa"/>
            <w:vAlign w:val="bottom"/>
          </w:tcPr>
          <w:p>
            <w:pPr>
              <w:spacing w:after="0"/>
              <w:rPr>
                <w:sz w:val="14"/>
                <w:szCs w:val="14"/>
                <w:color w:val="auto"/>
              </w:rPr>
            </w:pPr>
          </w:p>
        </w:tc>
        <w:tc>
          <w:tcPr>
            <w:tcW w:w="21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Acquired intangibles, net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14,959</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$ 1,450,595</w:t>
            </w:r>
          </w:p>
        </w:tc>
      </w:tr>
      <w:tr>
        <w:trPr>
          <w:trHeight w:val="168"/>
        </w:trPr>
        <w:tc>
          <w:tcPr>
            <w:tcW w:w="2800" w:type="dxa"/>
            <w:vAlign w:val="bottom"/>
          </w:tcPr>
          <w:p>
            <w:pPr>
              <w:spacing w:after="0"/>
              <w:rPr>
                <w:sz w:val="14"/>
                <w:szCs w:val="14"/>
                <w:color w:val="auto"/>
              </w:rPr>
            </w:pPr>
          </w:p>
        </w:tc>
        <w:tc>
          <w:tcPr>
            <w:tcW w:w="210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540" w:hanging="530"/>
        <w:spacing w:after="0"/>
        <w:tabs>
          <w:tab w:leader="none" w:pos="5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72" w:lineRule="exact"/>
        <w:rPr>
          <w:rFonts w:ascii="Courier New" w:cs="Courier New" w:eastAsia="Courier New" w:hAnsi="Courier New"/>
          <w:sz w:val="15"/>
          <w:szCs w:val="15"/>
          <w:color w:val="auto"/>
        </w:rPr>
      </w:pPr>
    </w:p>
    <w:p>
      <w:pPr>
        <w:ind w:left="5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Clarify leases its principal operating facility and off-site sales offices under operating leases expiring no later than 2007. Future minimum lease payments under these leases, as of December 31, 2000, are as follows (in thousands):</w:t>
      </w:r>
    </w:p>
    <w:p>
      <w:pPr>
        <w:spacing w:after="0" w:line="200" w:lineRule="exact"/>
        <w:rPr>
          <w:sz w:val="20"/>
          <w:szCs w:val="20"/>
          <w:color w:val="auto"/>
        </w:rPr>
      </w:pPr>
    </w:p>
    <w:p>
      <w:pPr>
        <w:spacing w:after="0" w:line="305"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$ 8,823</w:t>
            </w:r>
          </w:p>
        </w:tc>
      </w:tr>
      <w:tr>
        <w:trPr>
          <w:trHeight w:val="168"/>
        </w:trPr>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2002 ...............</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8,985</w:t>
            </w:r>
          </w:p>
        </w:tc>
      </w:tr>
      <w:tr>
        <w:trPr>
          <w:trHeight w:val="168"/>
        </w:trPr>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2003 ...............</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9,154</w:t>
            </w:r>
          </w:p>
        </w:tc>
      </w:tr>
      <w:tr>
        <w:trPr>
          <w:trHeight w:val="168"/>
        </w:trPr>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2004 ...............</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8,883</w:t>
            </w:r>
          </w:p>
        </w:tc>
      </w:tr>
      <w:tr>
        <w:trPr>
          <w:trHeight w:val="168"/>
        </w:trPr>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2005 ...............</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8,376</w:t>
            </w:r>
          </w:p>
        </w:tc>
      </w:tr>
      <w:tr>
        <w:trPr>
          <w:trHeight w:val="168"/>
        </w:trPr>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Thereafter ...............</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12,031</w:t>
            </w:r>
          </w:p>
        </w:tc>
      </w:tr>
      <w:tr>
        <w:trPr>
          <w:trHeight w:val="168"/>
        </w:trPr>
        <w:tc>
          <w:tcPr>
            <w:tcW w:w="23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$56,252</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540" w:right="3499"/>
        <w:spacing w:after="0" w:line="258" w:lineRule="auto"/>
        <w:rPr>
          <w:sz w:val="20"/>
          <w:szCs w:val="20"/>
          <w:color w:val="auto"/>
        </w:rPr>
      </w:pPr>
      <w:r>
        <w:rPr>
          <w:rFonts w:ascii="Courier New" w:cs="Courier New" w:eastAsia="Courier New" w:hAnsi="Courier New"/>
          <w:sz w:val="14"/>
          <w:szCs w:val="14"/>
          <w:color w:val="auto"/>
        </w:rPr>
        <w:t>Rent expense was approximately $7,274,000 in 1999, $2,457,000 for the period from January 1, 2000 through March 16, 2000, and $10,729,000 for the period from March 17, 2000 through December 31, 2000.</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449" w:right="1440" w:bottom="1440" w:gutter="0" w:footer="0" w:header="0"/>
        </w:sectPr>
      </w:pPr>
    </w:p>
    <w:bookmarkStart w:id="39" w:name="page40"/>
    <w:bookmarkEnd w:id="39"/>
    <w:p>
      <w:pPr>
        <w:ind w:left="530" w:hanging="530"/>
        <w:spacing w:after="0"/>
        <w:tabs>
          <w:tab w:leader="none" w:pos="53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PLANS</w:t>
      </w:r>
    </w:p>
    <w:p>
      <w:pPr>
        <w:spacing w:after="0" w:line="166" w:lineRule="exact"/>
        <w:rPr>
          <w:rFonts w:ascii="Courier New" w:cs="Courier New" w:eastAsia="Courier New" w:hAnsi="Courier New"/>
          <w:sz w:val="15"/>
          <w:szCs w:val="15"/>
          <w:color w:val="auto"/>
        </w:rPr>
      </w:pP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Stock-Based Compensation Plans</w:t>
      </w:r>
    </w:p>
    <w:p>
      <w:pPr>
        <w:spacing w:after="0" w:line="172" w:lineRule="exact"/>
        <w:rPr>
          <w:rFonts w:ascii="Courier New" w:cs="Courier New" w:eastAsia="Courier New" w:hAnsi="Courier New"/>
          <w:sz w:val="15"/>
          <w:szCs w:val="15"/>
          <w:color w:val="auto"/>
        </w:rPr>
      </w:pPr>
    </w:p>
    <w:p>
      <w:pPr>
        <w:ind w:left="5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acquisition of Clarify by Nortel Networks, all stock option plans were assumed by Nortel Networks; however, no Clarify options were granted subsequent to the acquisition. Canadian regulatory requirements do not allow further options to be granted without stockholder approval.</w:t>
      </w:r>
    </w:p>
    <w:p>
      <w:pPr>
        <w:spacing w:after="0" w:line="173" w:lineRule="exact"/>
        <w:rPr>
          <w:rFonts w:ascii="Courier New" w:cs="Courier New" w:eastAsia="Courier New" w:hAnsi="Courier New"/>
          <w:sz w:val="15"/>
          <w:szCs w:val="15"/>
          <w:color w:val="auto"/>
        </w:rPr>
      </w:pPr>
    </w:p>
    <w:p>
      <w:pPr>
        <w:ind w:left="53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1995 Stock Option/Stock Issuance Plan - Clarify's 1995 Stock Option/Stock Issuance Plan (the "1995 Plan"), which serves as the successor equity incentive program to Clarify's 1991 Stock Option/Stock Issuance Plan (the "1991 Plan), is divided into three separate components: (i) the Discretionary Option Grant Program under which eligible individuals may, at the discretion of the Plan Administrator, be granted incentive or nonstatutory stock options to purchase shares of common stock at an exercise price not less than 100% or 85%, respectively, of their fair market value on the grant date; (ii) the Stock Issuance Program under which individuals may, at the Plan Administrator's discretion, be issued shares of common stock directly either by the purchase of such shares at a price not less than 85% of their fair market value at the time of issuance or in consideration of the past performance of services; and (iii) the Automatic Option Grant program under which nonstatutory stock option grants will be automatically made at periodic intervals to eligible nonemployee Board members to purchase shares of common stock at an exercise price equal to 100% of their fair market value on the grant date. Options are exercisable at times and in increments as specified by the Plan Administrator and generally expire ten years after grant.</w:t>
      </w:r>
    </w:p>
    <w:p>
      <w:pPr>
        <w:spacing w:after="0" w:line="174" w:lineRule="exact"/>
        <w:rPr>
          <w:rFonts w:ascii="Courier New" w:cs="Courier New" w:eastAsia="Courier New" w:hAnsi="Courier New"/>
          <w:sz w:val="15"/>
          <w:szCs w:val="15"/>
          <w:color w:val="auto"/>
        </w:rPr>
      </w:pPr>
    </w:p>
    <w:p>
      <w:pPr>
        <w:ind w:left="53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May 9, 1997, the Compensation Committee of the Board of Directors approved the repricing of certain outstanding stock options under Clarify's 1995 Plan with exercise prices in excess of the fair market value on May 9, 1997. Each employee or officer who elected prior to May 9, 1997 to participate in the repricing program received a new option with an exercise price of $13.50 per share (the fair market value on May 9, 1997). Each repriced option retained its original vesting schedule except that no portion of the option could be exercised prior to December 9, 1997 and no vesting accrued between May 9, 1997 and December 9, 1997. Certain options granted within 12 months of May 9, 1997 were subject to a longer vesting schedule. Approximately 1,008,000 shares of Clarify common stock subject to stock options were repriced pursuant to this program.</w:t>
      </w:r>
    </w:p>
    <w:p>
      <w:pPr>
        <w:spacing w:after="0" w:line="164" w:lineRule="exact"/>
        <w:rPr>
          <w:rFonts w:ascii="Courier New" w:cs="Courier New" w:eastAsia="Courier New" w:hAnsi="Courier New"/>
          <w:sz w:val="15"/>
          <w:szCs w:val="15"/>
          <w:color w:val="auto"/>
        </w:rPr>
      </w:pPr>
    </w:p>
    <w:p>
      <w:pPr>
        <w:ind w:left="5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1999 NonEmployee Directors' Option Plan - In October 1998, the Board of Directors approved the new NonEmployee Directors' Option Plan to include an initial pool of 300,000 shares of Clarify common stock available for issuance under the plan. This plan replaced the automatic grant program of the 1995 Stock Option/Stock Issuance Plan. Options are exercisable at times and in increments as specified by the Plan Administrator and generally expire ten years after grant date.</w:t>
      </w:r>
    </w:p>
    <w:p>
      <w:pPr>
        <w:spacing w:after="0" w:line="338"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9"/>
          </w:cols>
          <w:pgMar w:left="230" w:top="785"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Option activity for all plans is summarized as follows:</w:t>
            </w: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5060" w:type="dxa"/>
            <w:vAlign w:val="bottom"/>
          </w:tcPr>
          <w:p>
            <w:pPr>
              <w:spacing w:after="0"/>
              <w:rPr>
                <w:sz w:val="24"/>
                <w:szCs w:val="24"/>
                <w:color w:val="auto"/>
              </w:rPr>
            </w:pPr>
          </w:p>
        </w:tc>
        <w:tc>
          <w:tcPr>
            <w:tcW w:w="290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Outstanding Options</w:t>
            </w:r>
          </w:p>
        </w:tc>
      </w:tr>
      <w:tr>
        <w:trPr>
          <w:trHeight w:val="168"/>
        </w:trPr>
        <w:tc>
          <w:tcPr>
            <w:tcW w:w="5060" w:type="dxa"/>
            <w:vAlign w:val="bottom"/>
          </w:tcPr>
          <w:p>
            <w:pPr>
              <w:spacing w:after="0"/>
              <w:rPr>
                <w:sz w:val="14"/>
                <w:szCs w:val="14"/>
                <w:color w:val="auto"/>
              </w:rPr>
            </w:pPr>
          </w:p>
        </w:tc>
        <w:tc>
          <w:tcPr>
            <w:tcW w:w="290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5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Average</w:t>
            </w:r>
          </w:p>
        </w:tc>
      </w:tr>
      <w:tr>
        <w:trPr>
          <w:trHeight w:val="168"/>
        </w:trPr>
        <w:tc>
          <w:tcPr>
            <w:tcW w:w="5060" w:type="dxa"/>
            <w:vAlign w:val="bottom"/>
          </w:tcPr>
          <w:p>
            <w:pPr>
              <w:spacing w:after="0"/>
              <w:rPr>
                <w:sz w:val="14"/>
                <w:szCs w:val="14"/>
                <w:color w:val="auto"/>
              </w:rPr>
            </w:pPr>
          </w:p>
        </w:tc>
        <w:tc>
          <w:tcPr>
            <w:tcW w:w="1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Number of</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Exercise Price</w:t>
            </w:r>
          </w:p>
        </w:tc>
      </w:tr>
      <w:tr>
        <w:trPr>
          <w:trHeight w:val="168"/>
        </w:trPr>
        <w:tc>
          <w:tcPr>
            <w:tcW w:w="5060" w:type="dxa"/>
            <w:vAlign w:val="bottom"/>
          </w:tcPr>
          <w:p>
            <w:pPr>
              <w:spacing w:after="0"/>
              <w:rPr>
                <w:sz w:val="14"/>
                <w:szCs w:val="14"/>
                <w:color w:val="auto"/>
              </w:rPr>
            </w:pP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Shares</w:t>
            </w:r>
          </w:p>
        </w:tc>
        <w:tc>
          <w:tcPr>
            <w:tcW w:w="14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per Share</w:t>
            </w:r>
          </w:p>
        </w:tc>
      </w:tr>
      <w:tr>
        <w:trPr>
          <w:trHeight w:val="168"/>
        </w:trPr>
        <w:tc>
          <w:tcPr>
            <w:tcW w:w="5060" w:type="dxa"/>
            <w:vAlign w:val="bottom"/>
          </w:tcPr>
          <w:p>
            <w:pPr>
              <w:spacing w:after="0"/>
              <w:rPr>
                <w:sz w:val="14"/>
                <w:szCs w:val="14"/>
                <w:color w:val="auto"/>
              </w:rPr>
            </w:pPr>
          </w:p>
        </w:tc>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60" w:type="dxa"/>
            <w:vAlign w:val="bottom"/>
          </w:tcPr>
          <w:p>
            <w:pPr>
              <w:spacing w:after="0"/>
              <w:rPr>
                <w:sz w:val="20"/>
                <w:szCs w:val="20"/>
                <w:color w:val="auto"/>
              </w:rPr>
            </w:pPr>
            <w:r>
              <w:rPr>
                <w:rFonts w:ascii="Courier New" w:cs="Courier New" w:eastAsia="Courier New" w:hAnsi="Courier New"/>
                <w:sz w:val="15"/>
                <w:szCs w:val="15"/>
                <w:color w:val="auto"/>
              </w:rPr>
              <w:t>Outstanding, January 1, 1999 (1,343,100 exercisable</w:t>
            </w: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0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at a weighted average price of $8.30) .............</w:t>
            </w:r>
          </w:p>
        </w:tc>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4,857,600</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11.59</w:t>
            </w:r>
          </w:p>
        </w:tc>
      </w:tr>
      <w:tr>
        <w:trPr>
          <w:trHeight w:val="336"/>
        </w:trPr>
        <w:tc>
          <w:tcPr>
            <w:tcW w:w="506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6"/>
              </w:rPr>
              <w:t>Options granted .....................................</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3,800,100</w:t>
            </w:r>
          </w:p>
        </w:tc>
        <w:tc>
          <w:tcPr>
            <w:tcW w:w="56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37.70</w:t>
            </w:r>
          </w:p>
        </w:tc>
      </w:tr>
      <w:tr>
        <w:trPr>
          <w:trHeight w:val="168"/>
        </w:trPr>
        <w:tc>
          <w:tcPr>
            <w:tcW w:w="50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6"/>
              </w:rPr>
              <w:t>Options exercised ...................................</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(1,216,500)</w:t>
            </w:r>
          </w:p>
        </w:tc>
        <w:tc>
          <w:tcPr>
            <w:tcW w:w="5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9.62</w:t>
            </w:r>
          </w:p>
        </w:tc>
      </w:tr>
      <w:tr>
        <w:trPr>
          <w:trHeight w:val="168"/>
        </w:trPr>
        <w:tc>
          <w:tcPr>
            <w:tcW w:w="50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6"/>
              </w:rPr>
              <w:t>Options cancelled ...................................</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(649,000)</w:t>
            </w:r>
          </w:p>
        </w:tc>
        <w:tc>
          <w:tcPr>
            <w:tcW w:w="5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18.13</w:t>
            </w:r>
          </w:p>
        </w:tc>
      </w:tr>
      <w:tr>
        <w:trPr>
          <w:trHeight w:val="168"/>
        </w:trPr>
        <w:tc>
          <w:tcPr>
            <w:tcW w:w="5060" w:type="dxa"/>
            <w:vAlign w:val="bottom"/>
          </w:tcPr>
          <w:p>
            <w:pPr>
              <w:spacing w:after="0"/>
              <w:rPr>
                <w:sz w:val="14"/>
                <w:szCs w:val="14"/>
                <w:color w:val="auto"/>
              </w:rPr>
            </w:pPr>
          </w:p>
        </w:tc>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6"/>
              </w:rPr>
              <w:t>Outstanding, December 31, 1999 (1,543,700 exercisable</w:t>
            </w: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at a weighted average price of $12.75) ............</w:t>
            </w:r>
          </w:p>
        </w:tc>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6,792,200</w:t>
            </w:r>
          </w:p>
        </w:tc>
        <w:tc>
          <w:tcPr>
            <w:tcW w:w="5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25.93</w:t>
            </w:r>
          </w:p>
        </w:tc>
      </w:tr>
      <w:tr>
        <w:trPr>
          <w:trHeight w:val="336"/>
        </w:trPr>
        <w:tc>
          <w:tcPr>
            <w:tcW w:w="506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6"/>
              </w:rPr>
              <w:t>Options granted .....................................</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394,705</w:t>
            </w:r>
          </w:p>
        </w:tc>
        <w:tc>
          <w:tcPr>
            <w:tcW w:w="56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133.31</w:t>
            </w:r>
          </w:p>
        </w:tc>
      </w:tr>
      <w:tr>
        <w:trPr>
          <w:trHeight w:val="168"/>
        </w:trPr>
        <w:tc>
          <w:tcPr>
            <w:tcW w:w="50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6"/>
              </w:rPr>
              <w:t>Options exercised ...................................</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(266,876)</w:t>
            </w:r>
          </w:p>
        </w:tc>
        <w:tc>
          <w:tcPr>
            <w:tcW w:w="5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13.30</w:t>
            </w:r>
          </w:p>
        </w:tc>
      </w:tr>
      <w:tr>
        <w:trPr>
          <w:trHeight w:val="168"/>
        </w:trPr>
        <w:tc>
          <w:tcPr>
            <w:tcW w:w="50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6"/>
              </w:rPr>
              <w:t>Options cancelled ...................................</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(151,128)</w:t>
            </w:r>
          </w:p>
        </w:tc>
        <w:tc>
          <w:tcPr>
            <w:tcW w:w="5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18.13</w:t>
            </w:r>
          </w:p>
        </w:tc>
      </w:tr>
      <w:tr>
        <w:trPr>
          <w:trHeight w:val="168"/>
        </w:trPr>
        <w:tc>
          <w:tcPr>
            <w:tcW w:w="5060" w:type="dxa"/>
            <w:vAlign w:val="bottom"/>
          </w:tcPr>
          <w:p>
            <w:pPr>
              <w:spacing w:after="0"/>
              <w:rPr>
                <w:sz w:val="14"/>
                <w:szCs w:val="14"/>
                <w:color w:val="auto"/>
              </w:rPr>
            </w:pPr>
          </w:p>
        </w:tc>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6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March 16, 2000 (1,560,912 exercisable</w:t>
            </w: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at a weighted average price of $10.09) ............</w:t>
            </w:r>
          </w:p>
        </w:tc>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6,768,901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32.86</w:t>
            </w:r>
          </w:p>
        </w:tc>
      </w:tr>
      <w:tr>
        <w:trPr>
          <w:trHeight w:val="168"/>
        </w:trPr>
        <w:tc>
          <w:tcPr>
            <w:tcW w:w="5060" w:type="dxa"/>
            <w:vAlign w:val="bottom"/>
          </w:tcPr>
          <w:p>
            <w:pPr>
              <w:spacing w:after="0"/>
              <w:rPr>
                <w:sz w:val="14"/>
                <w:szCs w:val="14"/>
                <w:color w:val="auto"/>
              </w:rPr>
            </w:pPr>
          </w:p>
        </w:tc>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The weighted average fair values of options granted during 1999 and between January 1, 2000 and March 16, 2000 was $24.48 and $84.13,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Nortel Networks Stock Option Plans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After the acquisition of Clarify by Nortel Networks in March 2000, certain employees of Clarify received grants of nonqualifying stock options under Nortel Networks stock option plans. The stock options were granted at the market price on the date of grant and expire on the tenth anniversary date. The stock options granted generally vest over three years.</w:t>
      </w:r>
    </w:p>
    <w:p>
      <w:pPr>
        <w:spacing w:after="0" w:line="15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9699"/>
          </w:cols>
          <w:pgMar w:left="760" w:top="617" w:right="1440" w:bottom="1440" w:gutter="0" w:footer="0" w:header="0"/>
        </w:sectPr>
      </w:pPr>
    </w:p>
    <w:bookmarkStart w:id="41" w:name="page42"/>
    <w:bookmarkEnd w:id="41"/>
    <w:p>
      <w:pPr>
        <w:ind w:right="3320"/>
        <w:spacing w:after="0" w:line="234" w:lineRule="auto"/>
        <w:rPr>
          <w:sz w:val="20"/>
          <w:szCs w:val="20"/>
          <w:color w:val="auto"/>
        </w:rPr>
      </w:pPr>
      <w:r>
        <w:rPr>
          <w:rFonts w:ascii="Courier New" w:cs="Courier New" w:eastAsia="Courier New" w:hAnsi="Courier New"/>
          <w:sz w:val="15"/>
          <w:szCs w:val="15"/>
          <w:color w:val="auto"/>
        </w:rPr>
        <w:t>Additional information with respect to stock options under the Nortel Networks' plans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324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Outstanding Options (1)</w:t>
            </w:r>
          </w:p>
        </w:tc>
      </w:tr>
      <w:tr>
        <w:trPr>
          <w:trHeight w:val="168"/>
        </w:trPr>
        <w:tc>
          <w:tcPr>
            <w:tcW w:w="5940" w:type="dxa"/>
            <w:vAlign w:val="bottom"/>
          </w:tcPr>
          <w:p>
            <w:pPr>
              <w:spacing w:after="0"/>
              <w:rPr>
                <w:sz w:val="14"/>
                <w:szCs w:val="14"/>
                <w:color w:val="auto"/>
              </w:rPr>
            </w:pPr>
          </w:p>
        </w:tc>
        <w:tc>
          <w:tcPr>
            <w:tcW w:w="32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Weighted</w:t>
            </w:r>
          </w:p>
        </w:tc>
      </w:tr>
      <w:tr>
        <w:trPr>
          <w:trHeight w:val="168"/>
        </w:trPr>
        <w:tc>
          <w:tcPr>
            <w:tcW w:w="5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5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Exercise</w:t>
            </w:r>
          </w:p>
        </w:tc>
      </w:tr>
      <w:tr>
        <w:trPr>
          <w:trHeight w:val="168"/>
        </w:trPr>
        <w:tc>
          <w:tcPr>
            <w:tcW w:w="5940" w:type="dxa"/>
            <w:vAlign w:val="bottom"/>
          </w:tcPr>
          <w:p>
            <w:pPr>
              <w:spacing w:after="0"/>
              <w:rPr>
                <w:sz w:val="14"/>
                <w:szCs w:val="14"/>
                <w:color w:val="auto"/>
              </w:rPr>
            </w:pP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Number</w:t>
            </w:r>
          </w:p>
        </w:tc>
        <w:tc>
          <w:tcPr>
            <w:tcW w:w="4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5940" w:type="dxa"/>
            <w:vAlign w:val="bottom"/>
          </w:tcPr>
          <w:p>
            <w:pPr>
              <w:spacing w:after="0"/>
              <w:rPr>
                <w:sz w:val="14"/>
                <w:szCs w:val="14"/>
                <w:color w:val="auto"/>
              </w:rPr>
            </w:pP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of Shares</w:t>
            </w:r>
          </w:p>
        </w:tc>
        <w:tc>
          <w:tcPr>
            <w:tcW w:w="48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per Share</w:t>
            </w:r>
          </w:p>
        </w:tc>
      </w:tr>
      <w:tr>
        <w:trPr>
          <w:trHeight w:val="168"/>
        </w:trPr>
        <w:tc>
          <w:tcPr>
            <w:tcW w:w="594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40" w:type="dxa"/>
            <w:vAlign w:val="bottom"/>
          </w:tcPr>
          <w:p>
            <w:pPr>
              <w:spacing w:after="0"/>
              <w:rPr>
                <w:sz w:val="20"/>
                <w:szCs w:val="20"/>
                <w:color w:val="auto"/>
              </w:rPr>
            </w:pPr>
            <w:r>
              <w:rPr>
                <w:rFonts w:ascii="Courier New" w:cs="Courier New" w:eastAsia="Courier New" w:hAnsi="Courier New"/>
                <w:sz w:val="15"/>
                <w:szCs w:val="15"/>
                <w:color w:val="auto"/>
              </w:rPr>
              <w:t>Outstanding, March 17, 2000 (2) ................................</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17,563,412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12.64</w:t>
            </w:r>
          </w:p>
        </w:tc>
      </w:tr>
      <w:tr>
        <w:trPr>
          <w:trHeight w:val="336"/>
        </w:trPr>
        <w:tc>
          <w:tcPr>
            <w:tcW w:w="5940" w:type="dxa"/>
            <w:vAlign w:val="bottom"/>
          </w:tcPr>
          <w:p>
            <w:pPr>
              <w:spacing w:after="0"/>
              <w:rPr>
                <w:sz w:val="20"/>
                <w:szCs w:val="20"/>
                <w:color w:val="auto"/>
              </w:rPr>
            </w:pPr>
            <w:r>
              <w:rPr>
                <w:rFonts w:ascii="Courier New" w:cs="Courier New" w:eastAsia="Courier New" w:hAnsi="Courier New"/>
                <w:sz w:val="15"/>
                <w:szCs w:val="15"/>
                <w:color w:val="auto"/>
              </w:rPr>
              <w:t>Options held by Nortel Networks employees transferred to Clarify</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33,500</w:t>
            </w: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13.04</w:t>
            </w:r>
          </w:p>
        </w:tc>
      </w:tr>
      <w:tr>
        <w:trPr>
          <w:trHeight w:val="168"/>
        </w:trPr>
        <w:tc>
          <w:tcPr>
            <w:tcW w:w="594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 ................................................</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580,055</w:t>
            </w:r>
          </w:p>
        </w:tc>
        <w:tc>
          <w:tcPr>
            <w:tcW w:w="4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57.88</w:t>
            </w:r>
          </w:p>
        </w:tc>
      </w:tr>
      <w:tr>
        <w:trPr>
          <w:trHeight w:val="168"/>
        </w:trPr>
        <w:tc>
          <w:tcPr>
            <w:tcW w:w="594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exercised ..............................................</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(4,929,163)</w:t>
            </w:r>
          </w:p>
        </w:tc>
        <w:tc>
          <w:tcPr>
            <w:tcW w:w="4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6.73</w:t>
            </w:r>
          </w:p>
        </w:tc>
      </w:tr>
      <w:tr>
        <w:trPr>
          <w:trHeight w:val="168"/>
        </w:trPr>
        <w:tc>
          <w:tcPr>
            <w:tcW w:w="594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cancelled (employee terminations and transfers) ........</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(1,091,890)</w:t>
            </w:r>
          </w:p>
        </w:tc>
        <w:tc>
          <w:tcPr>
            <w:tcW w:w="4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15.30</w:t>
            </w:r>
          </w:p>
        </w:tc>
      </w:tr>
      <w:tr>
        <w:trPr>
          <w:trHeight w:val="168"/>
        </w:trPr>
        <w:tc>
          <w:tcPr>
            <w:tcW w:w="594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40" w:type="dxa"/>
            <w:vAlign w:val="bottom"/>
          </w:tcPr>
          <w:p>
            <w:pPr>
              <w:spacing w:after="0"/>
              <w:rPr>
                <w:sz w:val="20"/>
                <w:szCs w:val="20"/>
                <w:color w:val="auto"/>
              </w:rPr>
            </w:pPr>
            <w:r>
              <w:rPr>
                <w:rFonts w:ascii="Courier New" w:cs="Courier New" w:eastAsia="Courier New" w:hAnsi="Courier New"/>
                <w:sz w:val="15"/>
                <w:szCs w:val="15"/>
                <w:color w:val="auto"/>
              </w:rPr>
              <w:t>Outstanding December 31, 2000 (5,907,361 exercisable at a</w:t>
            </w:r>
          </w:p>
        </w:tc>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9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weighted average price of $9.38) .............................</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12,155,914</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16.97</w:t>
            </w:r>
          </w:p>
        </w:tc>
      </w:tr>
      <w:tr>
        <w:trPr>
          <w:trHeight w:val="168"/>
        </w:trPr>
        <w:tc>
          <w:tcPr>
            <w:tcW w:w="594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1240" w:right="3500" w:hanging="531"/>
        <w:spacing w:after="0" w:line="235" w:lineRule="auto"/>
        <w:tabs>
          <w:tab w:leader="none" w:pos="12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May 5, 2000, Nortel Networks implemented a two-for-one stock split with respect to its common shares and, as a result, the stock option information has been restated to reflect the stock split.</w:t>
      </w:r>
    </w:p>
    <w:p>
      <w:pPr>
        <w:spacing w:after="0" w:line="175" w:lineRule="exact"/>
        <w:rPr>
          <w:rFonts w:ascii="Courier New" w:cs="Courier New" w:eastAsia="Courier New" w:hAnsi="Courier New"/>
          <w:sz w:val="15"/>
          <w:szCs w:val="15"/>
          <w:color w:val="auto"/>
        </w:rPr>
      </w:pPr>
    </w:p>
    <w:p>
      <w:pPr>
        <w:ind w:left="1240" w:right="3320" w:hanging="531"/>
        <w:spacing w:after="0" w:line="235" w:lineRule="auto"/>
        <w:tabs>
          <w:tab w:leader="none" w:pos="12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terms of the Acquisition, Nortel Networks assumed outstanding options to purchase 17,563,412 shares of common stock of Nortel Networks under the Clarify stock option plans at March 16, 2000.</w:t>
      </w:r>
    </w:p>
    <w:p>
      <w:pPr>
        <w:spacing w:after="0" w:line="175" w:lineRule="exact"/>
        <w:rPr>
          <w:sz w:val="20"/>
          <w:szCs w:val="20"/>
          <w:color w:val="auto"/>
        </w:rPr>
      </w:pPr>
    </w:p>
    <w:p>
      <w:pPr>
        <w:ind w:left="540" w:right="3400"/>
        <w:spacing w:after="0" w:line="234" w:lineRule="auto"/>
        <w:rPr>
          <w:sz w:val="20"/>
          <w:szCs w:val="20"/>
          <w:color w:val="auto"/>
        </w:rPr>
      </w:pPr>
      <w:r>
        <w:rPr>
          <w:rFonts w:ascii="Courier New" w:cs="Courier New" w:eastAsia="Courier New" w:hAnsi="Courier New"/>
          <w:sz w:val="15"/>
          <w:szCs w:val="15"/>
          <w:color w:val="auto"/>
        </w:rPr>
        <w:t>The following information applies to options outstanding at December 31, 2000:</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Options Outstanding</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8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80" w:type="dxa"/>
            <w:vAlign w:val="bottom"/>
            <w:gridSpan w:val="2"/>
          </w:tcPr>
          <w:p>
            <w:pPr>
              <w:ind w:left="400"/>
              <w:spacing w:after="0"/>
              <w:rPr>
                <w:sz w:val="20"/>
                <w:szCs w:val="20"/>
                <w:color w:val="auto"/>
              </w:rPr>
            </w:pPr>
            <w:r>
              <w:rPr>
                <w:rFonts w:ascii="Courier New" w:cs="Courier New" w:eastAsia="Courier New" w:hAnsi="Courier New"/>
                <w:sz w:val="14"/>
                <w:szCs w:val="14"/>
                <w:color w:val="auto"/>
                <w:w w:val="74"/>
              </w:rPr>
              <w:t>----------------------------------------------</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7"/>
              </w:rPr>
              <w:t>Weighted</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4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6"/>
              </w:rPr>
              <w:t>Remaining</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Weighted</w:t>
            </w:r>
          </w:p>
        </w:tc>
        <w:tc>
          <w:tcPr>
            <w:tcW w:w="1440" w:type="dxa"/>
            <w:vAlign w:val="bottom"/>
          </w:tcPr>
          <w:p>
            <w:pPr>
              <w:spacing w:after="0"/>
              <w:rPr>
                <w:sz w:val="14"/>
                <w:szCs w:val="14"/>
                <w:color w:val="auto"/>
              </w:rPr>
            </w:pPr>
          </w:p>
        </w:tc>
        <w:tc>
          <w:tcPr>
            <w:tcW w:w="144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1700" w:type="dxa"/>
            <w:vAlign w:val="bottom"/>
            <w:gridSpan w:val="3"/>
          </w:tcPr>
          <w:p>
            <w:pPr>
              <w:jc w:val="right"/>
              <w:ind w:right="667"/>
              <w:spacing w:after="0" w:line="168" w:lineRule="exact"/>
              <w:rPr>
                <w:sz w:val="20"/>
                <w:szCs w:val="20"/>
                <w:color w:val="auto"/>
              </w:rPr>
            </w:pPr>
            <w:r>
              <w:rPr>
                <w:rFonts w:ascii="Courier New" w:cs="Courier New" w:eastAsia="Courier New" w:hAnsi="Courier New"/>
                <w:sz w:val="15"/>
                <w:szCs w:val="15"/>
                <w:color w:val="auto"/>
              </w:rPr>
              <w:t>Range of</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Number</w:t>
            </w:r>
          </w:p>
        </w:tc>
        <w:tc>
          <w:tcPr>
            <w:tcW w:w="1740" w:type="dxa"/>
            <w:vAlign w:val="bottom"/>
          </w:tcPr>
          <w:p>
            <w:pPr>
              <w:jc w:val="center"/>
              <w:ind w:left="347"/>
              <w:spacing w:after="0" w:line="168" w:lineRule="exact"/>
              <w:rPr>
                <w:sz w:val="20"/>
                <w:szCs w:val="20"/>
                <w:color w:val="auto"/>
              </w:rPr>
            </w:pPr>
            <w:r>
              <w:rPr>
                <w:rFonts w:ascii="Courier New" w:cs="Courier New" w:eastAsia="Courier New" w:hAnsi="Courier New"/>
                <w:sz w:val="15"/>
                <w:szCs w:val="15"/>
                <w:color w:val="auto"/>
                <w:w w:val="96"/>
              </w:rPr>
              <w:t>Contractual</w:t>
            </w:r>
          </w:p>
        </w:tc>
        <w:tc>
          <w:tcPr>
            <w:tcW w:w="36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Average</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Number</w:t>
            </w:r>
          </w:p>
        </w:tc>
        <w:tc>
          <w:tcPr>
            <w:tcW w:w="48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Average</w:t>
            </w:r>
          </w:p>
        </w:tc>
      </w:tr>
      <w:tr>
        <w:trPr>
          <w:trHeight w:val="168"/>
        </w:trPr>
        <w:tc>
          <w:tcPr>
            <w:tcW w:w="17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Exercise Prices</w:t>
            </w:r>
          </w:p>
        </w:tc>
        <w:tc>
          <w:tcPr>
            <w:tcW w:w="15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Outstanding</w:t>
            </w:r>
          </w:p>
        </w:tc>
        <w:tc>
          <w:tcPr>
            <w:tcW w:w="174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8"/>
              </w:rPr>
              <w:t>Life (Years)</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Exercise Price</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Exercisable</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Exercise Price</w:t>
            </w:r>
          </w:p>
        </w:tc>
      </w:tr>
      <w:tr>
        <w:trPr>
          <w:trHeight w:val="168"/>
        </w:trPr>
        <w:tc>
          <w:tcPr>
            <w:tcW w:w="880" w:type="dxa"/>
            <w:vAlign w:val="bottom"/>
            <w:gridSpan w:val="2"/>
          </w:tcPr>
          <w:p>
            <w:pPr>
              <w:spacing w:after="0"/>
              <w:rPr>
                <w:sz w:val="20"/>
                <w:szCs w:val="20"/>
                <w:color w:val="auto"/>
              </w:rPr>
            </w:pPr>
            <w:r>
              <w:rPr>
                <w:rFonts w:ascii="Courier New" w:cs="Courier New" w:eastAsia="Courier New" w:hAnsi="Courier New"/>
                <w:sz w:val="12"/>
                <w:szCs w:val="12"/>
                <w:color w:val="auto"/>
                <w:w w:val="79"/>
              </w:rPr>
              <w:t>---------------</w:t>
            </w:r>
          </w:p>
        </w:tc>
        <w:tc>
          <w:tcPr>
            <w:tcW w:w="82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4"/>
              </w:rPr>
              <w:t>----</w:t>
            </w: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 w:type="dxa"/>
            <w:vAlign w:val="bottom"/>
          </w:tcPr>
          <w:p>
            <w:pPr>
              <w:jc w:val="right"/>
              <w:ind w:right="8"/>
              <w:spacing w:after="0"/>
              <w:rPr>
                <w:sz w:val="20"/>
                <w:szCs w:val="20"/>
                <w:color w:val="auto"/>
              </w:rPr>
            </w:pPr>
            <w:r>
              <w:rPr>
                <w:rFonts w:ascii="Courier New" w:cs="Courier New" w:eastAsia="Courier New" w:hAnsi="Courier New"/>
                <w:sz w:val="15"/>
                <w:szCs w:val="15"/>
                <w:color w:val="auto"/>
                <w:w w:val="92"/>
              </w:rPr>
              <w:t>$ 0.01</w:t>
            </w:r>
          </w:p>
        </w:tc>
        <w:tc>
          <w:tcPr>
            <w:tcW w:w="28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8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4.99</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2,288,606</w:t>
            </w:r>
          </w:p>
        </w:tc>
        <w:tc>
          <w:tcPr>
            <w:tcW w:w="174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4"/>
              </w:rPr>
              <w:t>6.56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3.31</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1,703,632</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3.48</w:t>
            </w:r>
          </w:p>
        </w:tc>
      </w:tr>
      <w:tr>
        <w:trPr>
          <w:trHeight w:val="168"/>
        </w:trPr>
        <w:tc>
          <w:tcPr>
            <w:tcW w:w="6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5.00</w:t>
            </w:r>
          </w:p>
        </w:tc>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7.99</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2,178,986</w:t>
            </w:r>
          </w:p>
        </w:tc>
        <w:tc>
          <w:tcPr>
            <w:tcW w:w="174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4"/>
              </w:rPr>
              <w:t>7.10</w:t>
            </w:r>
          </w:p>
        </w:tc>
        <w:tc>
          <w:tcPr>
            <w:tcW w:w="36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5.87</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1,550,422</w:t>
            </w:r>
          </w:p>
        </w:tc>
        <w:tc>
          <w:tcPr>
            <w:tcW w:w="4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5.94</w:t>
            </w:r>
          </w:p>
        </w:tc>
      </w:tr>
      <w:tr>
        <w:trPr>
          <w:trHeight w:val="168"/>
        </w:trPr>
        <w:tc>
          <w:tcPr>
            <w:tcW w:w="6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8.00</w:t>
            </w:r>
          </w:p>
        </w:tc>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9.99</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1,698,317</w:t>
            </w:r>
          </w:p>
        </w:tc>
        <w:tc>
          <w:tcPr>
            <w:tcW w:w="174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4"/>
              </w:rPr>
              <w:t>7.91</w:t>
            </w:r>
          </w:p>
        </w:tc>
        <w:tc>
          <w:tcPr>
            <w:tcW w:w="36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8.86</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1,045,883</w:t>
            </w:r>
          </w:p>
        </w:tc>
        <w:tc>
          <w:tcPr>
            <w:tcW w:w="4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8.92</w:t>
            </w:r>
          </w:p>
        </w:tc>
      </w:tr>
      <w:tr>
        <w:trPr>
          <w:trHeight w:val="168"/>
        </w:trPr>
        <w:tc>
          <w:tcPr>
            <w:tcW w:w="6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10.00</w:t>
            </w:r>
          </w:p>
        </w:tc>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14.99</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1,706,279</w:t>
            </w:r>
          </w:p>
        </w:tc>
        <w:tc>
          <w:tcPr>
            <w:tcW w:w="174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4"/>
              </w:rPr>
              <w:t>8.33</w:t>
            </w:r>
          </w:p>
        </w:tc>
        <w:tc>
          <w:tcPr>
            <w:tcW w:w="36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12.81</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634,239</w:t>
            </w:r>
          </w:p>
        </w:tc>
        <w:tc>
          <w:tcPr>
            <w:tcW w:w="4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12.99</w:t>
            </w:r>
          </w:p>
        </w:tc>
      </w:tr>
      <w:tr>
        <w:trPr>
          <w:trHeight w:val="168"/>
        </w:trPr>
        <w:tc>
          <w:tcPr>
            <w:tcW w:w="6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15.00</w:t>
            </w:r>
          </w:p>
        </w:tc>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19.99</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1,528,483</w:t>
            </w:r>
          </w:p>
        </w:tc>
        <w:tc>
          <w:tcPr>
            <w:tcW w:w="174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4"/>
              </w:rPr>
              <w:t>8.66</w:t>
            </w:r>
          </w:p>
        </w:tc>
        <w:tc>
          <w:tcPr>
            <w:tcW w:w="36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17.63</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600,877</w:t>
            </w:r>
          </w:p>
        </w:tc>
        <w:tc>
          <w:tcPr>
            <w:tcW w:w="4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17.64</w:t>
            </w:r>
          </w:p>
        </w:tc>
      </w:tr>
      <w:tr>
        <w:trPr>
          <w:trHeight w:val="168"/>
        </w:trPr>
        <w:tc>
          <w:tcPr>
            <w:tcW w:w="6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20.00</w:t>
            </w:r>
          </w:p>
        </w:tc>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39.99</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1,175,362</w:t>
            </w:r>
          </w:p>
        </w:tc>
        <w:tc>
          <w:tcPr>
            <w:tcW w:w="174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4"/>
              </w:rPr>
              <w:t>8.96</w:t>
            </w:r>
          </w:p>
        </w:tc>
        <w:tc>
          <w:tcPr>
            <w:tcW w:w="36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30.24</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310,559</w:t>
            </w:r>
          </w:p>
        </w:tc>
        <w:tc>
          <w:tcPr>
            <w:tcW w:w="4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29.22</w:t>
            </w:r>
          </w:p>
        </w:tc>
      </w:tr>
      <w:tr>
        <w:trPr>
          <w:trHeight w:val="168"/>
        </w:trPr>
        <w:tc>
          <w:tcPr>
            <w:tcW w:w="6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40.00</w:t>
            </w:r>
          </w:p>
        </w:tc>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59.99</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1,032,946</w:t>
            </w:r>
          </w:p>
        </w:tc>
        <w:tc>
          <w:tcPr>
            <w:tcW w:w="174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4"/>
              </w:rPr>
              <w:t>9.09</w:t>
            </w:r>
          </w:p>
        </w:tc>
        <w:tc>
          <w:tcPr>
            <w:tcW w:w="36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48.47</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61,749</w:t>
            </w:r>
          </w:p>
        </w:tc>
        <w:tc>
          <w:tcPr>
            <w:tcW w:w="4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48.51</w:t>
            </w:r>
          </w:p>
        </w:tc>
      </w:tr>
      <w:tr>
        <w:trPr>
          <w:trHeight w:val="168"/>
        </w:trPr>
        <w:tc>
          <w:tcPr>
            <w:tcW w:w="6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60.00</w:t>
            </w:r>
          </w:p>
        </w:tc>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80.69</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546,935</w:t>
            </w:r>
          </w:p>
        </w:tc>
        <w:tc>
          <w:tcPr>
            <w:tcW w:w="174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4"/>
              </w:rPr>
              <w:t>9.31</w:t>
            </w:r>
          </w:p>
        </w:tc>
        <w:tc>
          <w:tcPr>
            <w:tcW w:w="36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65.34</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0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w w:val="92"/>
              </w:rPr>
              <w:t>$ 0.01</w:t>
            </w:r>
          </w:p>
        </w:tc>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80.69</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12,155,914</w:t>
            </w:r>
          </w:p>
        </w:tc>
        <w:tc>
          <w:tcPr>
            <w:tcW w:w="174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4"/>
              </w:rPr>
              <w:t>7.72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16.97</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5,907,361</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9.38</w:t>
            </w:r>
          </w:p>
        </w:tc>
      </w:tr>
      <w:tr>
        <w:trPr>
          <w:trHeight w:val="168"/>
        </w:trPr>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ind w:left="540" w:right="3240"/>
        <w:spacing w:after="0" w:line="255" w:lineRule="auto"/>
        <w:rPr>
          <w:sz w:val="20"/>
          <w:szCs w:val="20"/>
          <w:color w:val="auto"/>
        </w:rPr>
      </w:pPr>
      <w:r>
        <w:rPr>
          <w:rFonts w:ascii="Courier New" w:cs="Courier New" w:eastAsia="Courier New" w:hAnsi="Courier New"/>
          <w:sz w:val="14"/>
          <w:szCs w:val="14"/>
          <w:color w:val="auto"/>
        </w:rPr>
        <w:t>Employee Stock Purchase Plan ("ESPP") - The purpose of the ESPP is to provide eligible employees of Clarify with a means of acquiring common stock of Clarify through payroll deductions. The plan consists of four six-month purchase periods in each two-year offering period. Employees purchase stock at 85% of the market value at either the beginning of the offering period or at the end of the purchase period, whichever price is lower. No participant may purchase more than $25,000 worth of common stock in any calendar year. Employees may end their participation in the offering at any time during the offering period, and participation ends automatically on termination of employment with Clarify.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40"/>
          </w:cols>
          <w:pgMar w:left="220" w:top="624" w:right="1439" w:bottom="1440" w:gutter="0" w:footer="0" w:header="0"/>
        </w:sectPr>
      </w:pPr>
    </w:p>
    <w:bookmarkStart w:id="42" w:name="page43"/>
    <w:bookmarkEnd w:id="42"/>
    <w:p>
      <w:pPr>
        <w:ind w:left="800" w:right="3319"/>
        <w:spacing w:after="0" w:line="256" w:lineRule="auto"/>
        <w:rPr>
          <w:sz w:val="20"/>
          <w:szCs w:val="20"/>
          <w:color w:val="auto"/>
        </w:rPr>
      </w:pPr>
      <w:r>
        <w:rPr>
          <w:rFonts w:ascii="Courier New" w:cs="Courier New" w:eastAsia="Courier New" w:hAnsi="Courier New"/>
          <w:sz w:val="14"/>
          <w:szCs w:val="14"/>
          <w:color w:val="auto"/>
        </w:rPr>
        <w:t>During 1999, approximately 414,000 shares of Clarify common stock were sold through the ESPP. During the period January 1, 2000 to March 16, 2000 approximately 54,000 shares of Clarify common stock were sold through the ESPP. Pursuant to the terms of the Acquisition, the ESPP was cancelled immediately prior to the closing of the Acquisition.</w:t>
      </w:r>
    </w:p>
    <w:p>
      <w:pPr>
        <w:spacing w:after="0" w:line="163"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Stock-Based Compensation - Clarify has adopted the disclosure provisions of SFAS No. 123. If compensation cost for the 1995 Plan and the ESPP had been determined based on the fair value on the grant dates for all awards since January 1, 1995 consistent with the provisions of SFAS No. 123, Clarify's net income (loss) would have been reduced (increased) to the pro forma amounts indicated below (in thousands):</w:t>
      </w:r>
    </w:p>
    <w:p>
      <w:pPr>
        <w:sectPr>
          <w:pgSz w:w="11900" w:h="16838" w:orient="portrait"/>
          <w:cols w:equalWidth="0" w:num="1">
            <w:col w:w="10239"/>
          </w:cols>
          <w:pgMar w:left="220" w:top="624"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left="3600"/>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jc w:val="center"/>
        <w:ind w:left="3600"/>
        <w:spacing w:after="0"/>
        <w:rPr>
          <w:sz w:val="20"/>
          <w:szCs w:val="20"/>
          <w:color w:val="auto"/>
        </w:rPr>
      </w:pPr>
      <w:r>
        <w:rPr>
          <w:rFonts w:ascii="Courier New" w:cs="Courier New" w:eastAsia="Courier New" w:hAnsi="Courier New"/>
          <w:sz w:val="14"/>
          <w:szCs w:val="14"/>
          <w:color w:val="auto"/>
        </w:rPr>
        <w:t>DECEMBER 31,</w:t>
      </w:r>
    </w:p>
    <w:p>
      <w:pPr>
        <w:spacing w:after="0" w:line="3" w:lineRule="exact"/>
        <w:rPr>
          <w:sz w:val="20"/>
          <w:szCs w:val="20"/>
          <w:color w:val="auto"/>
        </w:rPr>
      </w:pPr>
    </w:p>
    <w:p>
      <w:pPr>
        <w:jc w:val="center"/>
        <w:ind w:left="3600"/>
        <w:spacing w:after="0"/>
        <w:rPr>
          <w:sz w:val="20"/>
          <w:szCs w:val="20"/>
          <w:color w:val="auto"/>
        </w:rPr>
      </w:pPr>
      <w:r>
        <w:rPr>
          <w:rFonts w:ascii="Courier New" w:cs="Courier New" w:eastAsia="Courier New" w:hAnsi="Courier New"/>
          <w:sz w:val="15"/>
          <w:szCs w:val="15"/>
          <w:color w:val="auto"/>
        </w:rPr>
        <w:t>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4"/>
          <w:szCs w:val="14"/>
          <w:color w:val="auto"/>
        </w:rPr>
        <w:t>JANUARY 1 TO</w:t>
      </w:r>
    </w:p>
    <w:p>
      <w:pPr>
        <w:spacing w:after="0" w:line="10"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4"/>
          <w:szCs w:val="14"/>
          <w:color w:val="auto"/>
        </w:rPr>
        <w:t>TO MARCH 16,</w:t>
      </w:r>
    </w:p>
    <w:p>
      <w:pPr>
        <w:spacing w:after="0" w:line="3"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5"/>
          <w:szCs w:val="15"/>
          <w:color w:val="auto"/>
        </w:rPr>
        <w:t>2000</w:t>
      </w:r>
    </w:p>
    <w:p>
      <w:pPr>
        <w:spacing w:after="0" w:line="173" w:lineRule="exact"/>
        <w:rPr>
          <w:sz w:val="20"/>
          <w:szCs w:val="20"/>
          <w:color w:val="auto"/>
        </w:rPr>
      </w:pPr>
    </w:p>
    <w:p>
      <w:pPr>
        <w:sectPr>
          <w:pgSz w:w="11900" w:h="16838" w:orient="portrait"/>
          <w:cols w:equalWidth="0" w:num="2">
            <w:col w:w="4640" w:space="260"/>
            <w:col w:w="533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Pro forma net income (loss)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$2,139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$(35,487)</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3340" w:space="440"/>
            <w:col w:w="520" w:space="700"/>
            <w:col w:w="5239"/>
          </w:cols>
          <w:pgMar w:left="220" w:top="624" w:right="1440" w:bottom="1440" w:gutter="0" w:footer="0" w:header="0"/>
          <w:type w:val="continuous"/>
        </w:sectPr>
      </w:pPr>
    </w:p>
    <w:p>
      <w:pPr>
        <w:spacing w:after="0" w:line="314"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Pro forma net income (loss) reflects only options granted since January 1, 1995. Therefore, the full impact of calculating compensation cost under SFAS 123 is not reflected in the pro forma amounts presented above because compensation cost is reflected over the options' vesting period of generally four or five years and compensation cost for options granted prior to January 1, 1995 is not considered. Pro forma net income (loss) disclosure for the period after March 16, 2000 reflecting the fair value on the grant dates of options to purchase Nortel Networks common stock granted to Clarify employees, or held by Nortel Networks employees transferred to the Clarify business, is not considered meaningful.</w:t>
      </w:r>
    </w:p>
    <w:p>
      <w:pPr>
        <w:spacing w:after="0" w:line="180" w:lineRule="exact"/>
        <w:rPr>
          <w:sz w:val="20"/>
          <w:szCs w:val="20"/>
          <w:color w:val="auto"/>
        </w:rPr>
      </w:pPr>
    </w:p>
    <w:p>
      <w:pPr>
        <w:ind w:left="800" w:right="3399"/>
        <w:spacing w:after="0" w:line="235"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options-pricing model with the following weighted-average assumptions used: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w w:val="95"/>
              </w:rPr>
              <w:t>JANUARY 1,</w:t>
            </w:r>
          </w:p>
        </w:tc>
      </w:tr>
      <w:tr>
        <w:trPr>
          <w:trHeight w:val="168"/>
        </w:trPr>
        <w:tc>
          <w:tcPr>
            <w:tcW w:w="2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w:t>
            </w:r>
          </w:p>
        </w:tc>
      </w:tr>
      <w:tr>
        <w:trPr>
          <w:trHeight w:val="168"/>
        </w:trPr>
        <w:tc>
          <w:tcPr>
            <w:tcW w:w="2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MARCH 16,</w:t>
            </w:r>
          </w:p>
        </w:tc>
      </w:tr>
      <w:tr>
        <w:trPr>
          <w:trHeight w:val="168"/>
        </w:trPr>
        <w:tc>
          <w:tcPr>
            <w:tcW w:w="294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294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Risk free interest rate ........</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life (years) ..........</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Volatility .....................</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0.82</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0.82</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yield .................</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800" w:right="3499"/>
        <w:spacing w:after="0" w:line="235" w:lineRule="auto"/>
        <w:rPr>
          <w:sz w:val="20"/>
          <w:szCs w:val="20"/>
          <w:color w:val="auto"/>
        </w:rPr>
      </w:pPr>
      <w:r>
        <w:rPr>
          <w:rFonts w:ascii="Courier New" w:cs="Courier New" w:eastAsia="Courier New" w:hAnsi="Courier New"/>
          <w:sz w:val="15"/>
          <w:szCs w:val="15"/>
          <w:color w:val="auto"/>
        </w:rPr>
        <w:t>The fair value of employees' stock purchase rights under the ESPP in 1999 was estimated using the Black-Scholes model with the following assumptions. The plan was cancelled in 2000:</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Risk free interest rate</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5.50%</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life (months)</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Volatility</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0.82</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yield</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720" w:type="dxa"/>
            <w:vAlign w:val="bottom"/>
          </w:tcPr>
          <w:p>
            <w:pPr>
              <w:spacing w:after="0"/>
              <w:rPr>
                <w:sz w:val="24"/>
                <w:szCs w:val="2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w:t>
            </w:r>
          </w:p>
        </w:tc>
      </w:tr>
    </w:tbl>
    <w:p>
      <w:pPr>
        <w:sectPr>
          <w:pgSz w:w="11900" w:h="16838" w:orient="portrait"/>
          <w:cols w:equalWidth="0" w:num="1">
            <w:col w:w="10239"/>
          </w:cols>
          <w:pgMar w:left="220" w:top="624" w:right="1440" w:bottom="1440" w:gutter="0" w:footer="0" w:header="0"/>
          <w:type w:val="continuous"/>
        </w:sectPr>
      </w:pPr>
    </w:p>
    <w:bookmarkStart w:id="43" w:name="page44"/>
    <w:bookmarkEnd w:id="43"/>
    <w:p>
      <w:pPr>
        <w:ind w:left="800" w:hanging="790"/>
        <w:spacing w:after="0"/>
        <w:tabs>
          <w:tab w:leader="none" w:pos="8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2" w:lineRule="exact"/>
        <w:rPr>
          <w:rFonts w:ascii="Courier New" w:cs="Courier New" w:eastAsia="Courier New" w:hAnsi="Courier New"/>
          <w:sz w:val="15"/>
          <w:szCs w:val="15"/>
          <w:color w:val="auto"/>
        </w:rPr>
      </w:pPr>
    </w:p>
    <w:p>
      <w:pPr>
        <w:ind w:left="800" w:right="35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components of the provision for income taxes are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gridSpan w:val="3"/>
          </w:tcPr>
          <w:p>
            <w:pPr>
              <w:jc w:val="right"/>
              <w:ind w:right="667"/>
              <w:spacing w:after="0"/>
              <w:rPr>
                <w:sz w:val="20"/>
                <w:szCs w:val="20"/>
                <w:color w:val="auto"/>
              </w:rPr>
            </w:pPr>
            <w:r>
              <w:rPr>
                <w:rFonts w:ascii="Courier New" w:cs="Courier New" w:eastAsia="Courier New" w:hAnsi="Courier New"/>
                <w:sz w:val="15"/>
                <w:szCs w:val="15"/>
                <w:color w:val="auto"/>
              </w:rPr>
              <w:t>PREDECESSOR COMPANY</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PERIOD FROM</w:t>
            </w:r>
          </w:p>
        </w:tc>
        <w:tc>
          <w:tcPr>
            <w:tcW w:w="12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PERIOD FROM</w:t>
            </w:r>
          </w:p>
        </w:tc>
      </w:tr>
      <w:tr>
        <w:trPr>
          <w:trHeight w:val="168"/>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JANUARY 1</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MARCH 17,</w:t>
            </w:r>
          </w:p>
        </w:tc>
      </w:tr>
      <w:tr>
        <w:trPr>
          <w:trHeight w:val="168"/>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YEAR ENDED</w:t>
            </w:r>
          </w:p>
        </w:tc>
        <w:tc>
          <w:tcPr>
            <w:tcW w:w="300" w:type="dxa"/>
            <w:vAlign w:val="bottom"/>
          </w:tcPr>
          <w:p>
            <w:pPr>
              <w:spacing w:after="0"/>
              <w:rPr>
                <w:sz w:val="14"/>
                <w:szCs w:val="14"/>
                <w:color w:val="auto"/>
              </w:rPr>
            </w:pP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5"/>
              </w:rPr>
              <w:t>2000 TO</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 TO</w:t>
            </w:r>
          </w:p>
        </w:tc>
      </w:tr>
      <w:tr>
        <w:trPr>
          <w:trHeight w:val="168"/>
        </w:trPr>
        <w:tc>
          <w:tcPr>
            <w:tcW w:w="3420" w:type="dxa"/>
            <w:vAlign w:val="bottom"/>
          </w:tcPr>
          <w:p>
            <w:pPr>
              <w:spacing w:after="0"/>
              <w:rPr>
                <w:sz w:val="14"/>
                <w:szCs w:val="14"/>
                <w:color w:val="auto"/>
              </w:rPr>
            </w:pPr>
          </w:p>
        </w:tc>
        <w:tc>
          <w:tcPr>
            <w:tcW w:w="15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DECEMBER 31,</w:t>
            </w:r>
          </w:p>
        </w:tc>
        <w:tc>
          <w:tcPr>
            <w:tcW w:w="300" w:type="dxa"/>
            <w:vAlign w:val="bottom"/>
          </w:tcPr>
          <w:p>
            <w:pPr>
              <w:spacing w:after="0"/>
              <w:rPr>
                <w:sz w:val="14"/>
                <w:szCs w:val="14"/>
                <w:color w:val="auto"/>
              </w:rPr>
            </w:pP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MARCH 16,</w:t>
            </w:r>
          </w:p>
        </w:tc>
        <w:tc>
          <w:tcPr>
            <w:tcW w:w="12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Federal - current payable</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1,506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 deferred</w:t>
            </w:r>
          </w:p>
        </w:tc>
        <w:tc>
          <w:tcPr>
            <w:tcW w:w="36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(2,545)</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(17,837)</w:t>
            </w:r>
          </w:p>
        </w:tc>
        <w:tc>
          <w:tcPr>
            <w:tcW w:w="3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(68,315)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 current payable</w:t>
            </w:r>
          </w:p>
        </w:tc>
        <w:tc>
          <w:tcPr>
            <w:tcW w:w="3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177</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 deferred</w:t>
            </w:r>
          </w:p>
        </w:tc>
        <w:tc>
          <w:tcPr>
            <w:tcW w:w="36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(521)</w:t>
            </w:r>
          </w:p>
        </w:tc>
        <w:tc>
          <w:tcPr>
            <w:tcW w:w="3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(2,500)</w:t>
            </w:r>
          </w:p>
        </w:tc>
        <w:tc>
          <w:tcPr>
            <w:tcW w:w="3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(8,692)</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 current payable</w:t>
            </w:r>
          </w:p>
        </w:tc>
        <w:tc>
          <w:tcPr>
            <w:tcW w:w="3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454</w:t>
            </w:r>
          </w:p>
        </w:tc>
        <w:tc>
          <w:tcPr>
            <w:tcW w:w="3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1,691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3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1,161</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 in lieu of taxes attributable</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employer's stock option plans</w:t>
            </w:r>
          </w:p>
        </w:tc>
        <w:tc>
          <w:tcPr>
            <w:tcW w:w="3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12,837</w:t>
            </w:r>
          </w:p>
        </w:tc>
        <w:tc>
          <w:tcPr>
            <w:tcW w:w="30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4,740</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47,122</w:t>
            </w:r>
          </w:p>
        </w:tc>
      </w:tr>
      <w:tr>
        <w:trPr>
          <w:trHeight w:val="168"/>
        </w:trPr>
        <w:tc>
          <w:tcPr>
            <w:tcW w:w="3420" w:type="dxa"/>
            <w:vAlign w:val="bottom"/>
          </w:tcPr>
          <w:p>
            <w:pPr>
              <w:spacing w:after="0"/>
              <w:rPr>
                <w:sz w:val="14"/>
                <w:szCs w:val="14"/>
                <w:color w:val="auto"/>
              </w:rPr>
            </w:pPr>
          </w:p>
        </w:tc>
        <w:tc>
          <w:tcPr>
            <w:tcW w:w="15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11,908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(14,773)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(28,194)</w:t>
            </w:r>
          </w:p>
        </w:tc>
      </w:tr>
      <w:tr>
        <w:trPr>
          <w:trHeight w:val="168"/>
        </w:trPr>
        <w:tc>
          <w:tcPr>
            <w:tcW w:w="3420" w:type="dxa"/>
            <w:vAlign w:val="bottom"/>
          </w:tcPr>
          <w:p>
            <w:pPr>
              <w:spacing w:after="0"/>
              <w:rPr>
                <w:sz w:val="14"/>
                <w:szCs w:val="14"/>
                <w:color w:val="auto"/>
              </w:rPr>
            </w:pPr>
          </w:p>
        </w:tc>
        <w:tc>
          <w:tcPr>
            <w:tcW w:w="15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3679"/>
        <w:spacing w:after="0" w:line="261" w:lineRule="auto"/>
        <w:rPr>
          <w:sz w:val="20"/>
          <w:szCs w:val="20"/>
          <w:color w:val="auto"/>
        </w:rPr>
      </w:pPr>
      <w:r>
        <w:rPr>
          <w:rFonts w:ascii="Courier New" w:cs="Courier New" w:eastAsia="Courier New" w:hAnsi="Courier New"/>
          <w:sz w:val="14"/>
          <w:szCs w:val="14"/>
          <w:color w:val="auto"/>
        </w:rPr>
        <w:t>The reconciliation of the statutory federal income tax rate to the effective rate is as follows (as a percent of pretax income):</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336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PREDECESSOR COMPANY</w:t>
            </w:r>
          </w:p>
        </w:tc>
        <w:tc>
          <w:tcPr>
            <w:tcW w:w="136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336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PERIOD FROM</w:t>
            </w:r>
          </w:p>
        </w:tc>
        <w:tc>
          <w:tcPr>
            <w:tcW w:w="13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6"/>
              </w:rPr>
              <w:t>PERIOD FROM</w:t>
            </w:r>
          </w:p>
        </w:tc>
      </w:tr>
      <w:tr>
        <w:trPr>
          <w:trHeight w:val="168"/>
        </w:trPr>
        <w:tc>
          <w:tcPr>
            <w:tcW w:w="3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JANUARY 1</w:t>
            </w:r>
          </w:p>
        </w:tc>
        <w:tc>
          <w:tcPr>
            <w:tcW w:w="13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MARCH 17,</w:t>
            </w:r>
          </w:p>
        </w:tc>
      </w:tr>
      <w:tr>
        <w:trPr>
          <w:trHeight w:val="168"/>
        </w:trPr>
        <w:tc>
          <w:tcPr>
            <w:tcW w:w="3420" w:type="dxa"/>
            <w:vAlign w:val="bottom"/>
          </w:tcPr>
          <w:p>
            <w:pPr>
              <w:spacing w:after="0"/>
              <w:rPr>
                <w:sz w:val="14"/>
                <w:szCs w:val="14"/>
                <w:color w:val="auto"/>
              </w:rPr>
            </w:pP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YEAR ENDED</w:t>
            </w: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2000 TO</w:t>
            </w:r>
          </w:p>
        </w:tc>
        <w:tc>
          <w:tcPr>
            <w:tcW w:w="13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2000 TO</w:t>
            </w:r>
          </w:p>
        </w:tc>
      </w:tr>
      <w:tr>
        <w:trPr>
          <w:trHeight w:val="168"/>
        </w:trPr>
        <w:tc>
          <w:tcPr>
            <w:tcW w:w="3420" w:type="dxa"/>
            <w:vAlign w:val="bottom"/>
          </w:tcPr>
          <w:p>
            <w:pPr>
              <w:spacing w:after="0"/>
              <w:rPr>
                <w:sz w:val="14"/>
                <w:szCs w:val="14"/>
                <w:color w:val="auto"/>
              </w:rPr>
            </w:pP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DECEMBER 31,</w:t>
            </w:r>
          </w:p>
        </w:tc>
        <w:tc>
          <w:tcPr>
            <w:tcW w:w="15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MARCH 16,</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420" w:type="dxa"/>
            <w:vAlign w:val="bottom"/>
          </w:tcPr>
          <w:p>
            <w:pPr>
              <w:spacing w:after="0"/>
              <w:rPr>
                <w:sz w:val="14"/>
                <w:szCs w:val="14"/>
                <w:color w:val="auto"/>
              </w:rPr>
            </w:pP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1999</w:t>
            </w: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Federal statutory tax rate</w:t>
            </w:r>
          </w:p>
        </w:tc>
        <w:tc>
          <w:tcPr>
            <w:tcW w:w="1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w:t>
            </w:r>
          </w:p>
        </w:tc>
        <w:tc>
          <w:tcPr>
            <w:tcW w:w="15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tax, net of federal tax benefit</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Tax credits earned</w:t>
            </w: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In-process R&amp;D</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Nondeductible merger costs and goodwill</w:t>
            </w:r>
          </w:p>
        </w:tc>
        <w:tc>
          <w:tcPr>
            <w:tcW w:w="1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1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w:t>
            </w:r>
          </w:p>
        </w:tc>
        <w:tc>
          <w:tcPr>
            <w:tcW w:w="15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168"/>
        </w:trPr>
        <w:tc>
          <w:tcPr>
            <w:tcW w:w="3420" w:type="dxa"/>
            <w:vAlign w:val="bottom"/>
          </w:tcPr>
          <w:p>
            <w:pPr>
              <w:spacing w:after="0"/>
              <w:rPr>
                <w:sz w:val="14"/>
                <w:szCs w:val="14"/>
                <w:color w:val="auto"/>
              </w:rPr>
            </w:pP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420" w:type="dxa"/>
            <w:vAlign w:val="bottom"/>
          </w:tcPr>
          <w:p>
            <w:pPr>
              <w:spacing w:after="0"/>
              <w:rPr>
                <w:sz w:val="24"/>
                <w:szCs w:val="24"/>
                <w:color w:val="auto"/>
              </w:rPr>
            </w:pPr>
          </w:p>
        </w:tc>
        <w:tc>
          <w:tcPr>
            <w:tcW w:w="1840" w:type="dxa"/>
            <w:vAlign w:val="bottom"/>
          </w:tcPr>
          <w:p>
            <w:pPr>
              <w:jc w:val="right"/>
              <w:ind w:right="1587"/>
              <w:spacing w:after="0"/>
              <w:rPr>
                <w:sz w:val="20"/>
                <w:szCs w:val="20"/>
                <w:color w:val="auto"/>
              </w:rPr>
            </w:pPr>
            <w:r>
              <w:rPr>
                <w:rFonts w:ascii="Courier New" w:cs="Courier New" w:eastAsia="Courier New" w:hAnsi="Courier New"/>
                <w:sz w:val="15"/>
                <w:szCs w:val="15"/>
                <w:color w:val="auto"/>
                <w:w w:val="88"/>
              </w:rPr>
              <w:t>38</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The significant components of the deferred tax assets and liabilities as of</w:t>
      </w:r>
    </w:p>
    <w:p>
      <w:pPr>
        <w:spacing w:after="0" w:line="237" w:lineRule="auto"/>
        <w:rPr>
          <w:sz w:val="20"/>
          <w:szCs w:val="20"/>
          <w:color w:val="auto"/>
        </w:rPr>
      </w:pPr>
      <w:r>
        <w:rPr>
          <w:rFonts w:ascii="Courier New" w:cs="Courier New" w:eastAsia="Courier New" w:hAnsi="Courier New"/>
          <w:sz w:val="15"/>
          <w:szCs w:val="15"/>
          <w:color w:val="auto"/>
        </w:rPr>
        <w:t>December 31 are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Loss carryforwards</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4,101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$ 66,602</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Tax credit carryforwards</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862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9,003</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Reserves</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2,247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expenses</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2,721</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471</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revenue</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2,283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2,835</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Purchased technology</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(1,936)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(49,516)</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1,470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4,891</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(2,124)</w:t>
            </w:r>
          </w:p>
        </w:tc>
      </w:tr>
      <w:tr>
        <w:trPr>
          <w:trHeight w:val="168"/>
        </w:trPr>
        <w:tc>
          <w:tcPr>
            <w:tcW w:w="23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Net deferred tax assets</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$ 10,785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$ 32,612</w:t>
            </w:r>
          </w:p>
        </w:tc>
      </w:tr>
      <w:tr>
        <w:trPr>
          <w:trHeight w:val="168"/>
        </w:trPr>
        <w:tc>
          <w:tcPr>
            <w:tcW w:w="23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Clarify has not recorded a valuation allowance for those deferred tax assets that management believes will more likely than not be realized through taxable income in the carryback period or through future taxable income. However, at December 31, 2000, a valuation allowance of approximately $2,124,000 has been recorded because of the uncertainty regarding the realization of certain foreign net operating losses due to the limited profitable operating history in certain foreign jurisdictions. The valuation allowance increased by $1,161,000 during the period from January 1, 2000 to March 16, 2000, due to uncertainty with respect to realizing tax benefits from current period foreign net operating losses.</w:t>
      </w:r>
    </w:p>
    <w:p>
      <w:pPr>
        <w:spacing w:after="0" w:line="180"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Clarify has net operating loss carryforwards available to offset future federal and state taxable income of $166,000,000 and $138,000,000, respectively, expiring through 2020. Clarify has tax credit carryforwards available to offset future federal and California state income taxes of $6,000,000 and $4,600,000 and such federal credits expire through 2020. Such net operating losses and tax credits are available to offset taxable income and income taxes, respectively, of other Nortel Networks entities in Nortel Networks' consolidated tax returns.</w:t>
      </w:r>
    </w:p>
    <w:p>
      <w:pPr>
        <w:spacing w:after="0" w:line="172" w:lineRule="exact"/>
        <w:rPr>
          <w:sz w:val="20"/>
          <w:szCs w:val="20"/>
          <w:color w:val="auto"/>
        </w:rPr>
      </w:pPr>
    </w:p>
    <w:p>
      <w:pPr>
        <w:ind w:left="800" w:hanging="790"/>
        <w:spacing w:after="0"/>
        <w:tabs>
          <w:tab w:leader="none" w:pos="8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 - NORTEL NETWORKS</w:t>
      </w:r>
    </w:p>
    <w:p>
      <w:pPr>
        <w:spacing w:after="0" w:line="172" w:lineRule="exact"/>
        <w:rPr>
          <w:rFonts w:ascii="Courier New" w:cs="Courier New" w:eastAsia="Courier New" w:hAnsi="Courier New"/>
          <w:sz w:val="15"/>
          <w:szCs w:val="15"/>
          <w:color w:val="auto"/>
        </w:rPr>
      </w:pPr>
    </w:p>
    <w:p>
      <w:pPr>
        <w:ind w:left="800" w:right="33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table presents intercompany transactions and the balance between Clarify and Nortel Networks and its affiliates for the period from March 17, 2000 through December 31, 2000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Balance at beginning of period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Net cash transfer to Nortel Networks</w:t>
            </w:r>
          </w:p>
        </w:tc>
        <w:tc>
          <w:tcPr>
            <w:tcW w:w="4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151,496</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transfer to Nortel Networks</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20,969</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Fringe and other benefits processed by Nortel Networks</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(89,385)</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Purchases/payments processed by Nortel Networks</w:t>
            </w:r>
          </w:p>
        </w:tc>
        <w:tc>
          <w:tcPr>
            <w:tcW w:w="4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(77,991)</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transfer to Nortel Networks</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4,337</w:t>
            </w:r>
          </w:p>
        </w:tc>
      </w:tr>
      <w:tr>
        <w:trPr>
          <w:trHeight w:val="168"/>
        </w:trPr>
        <w:tc>
          <w:tcPr>
            <w:tcW w:w="50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Balance due from Nortel Networks at end of period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9,426</w:t>
            </w:r>
          </w:p>
        </w:tc>
      </w:tr>
      <w:tr>
        <w:trPr>
          <w:trHeight w:val="168"/>
        </w:trPr>
        <w:tc>
          <w:tcPr>
            <w:tcW w:w="50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040" w:type="dxa"/>
            <w:vAlign w:val="bottom"/>
          </w:tcPr>
          <w:p>
            <w:pPr>
              <w:ind w:left="3420"/>
              <w:spacing w:after="0"/>
              <w:rPr>
                <w:sz w:val="20"/>
                <w:szCs w:val="20"/>
                <w:color w:val="auto"/>
              </w:rPr>
            </w:pPr>
            <w:r>
              <w:rPr>
                <w:rFonts w:ascii="Courier New" w:cs="Courier New" w:eastAsia="Courier New" w:hAnsi="Courier New"/>
                <w:sz w:val="15"/>
                <w:szCs w:val="15"/>
                <w:color w:val="auto"/>
              </w:rPr>
              <w:t>39</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45" w:name="page46"/>
    <w:bookmarkEnd w:id="45"/>
    <w:p>
      <w:pPr>
        <w:ind w:left="800"/>
        <w:spacing w:after="0"/>
        <w:rPr>
          <w:sz w:val="20"/>
          <w:szCs w:val="20"/>
          <w:color w:val="auto"/>
        </w:rPr>
      </w:pPr>
      <w:r>
        <w:rPr>
          <w:rFonts w:ascii="Courier New" w:cs="Courier New" w:eastAsia="Courier New" w:hAnsi="Courier New"/>
          <w:sz w:val="14"/>
          <w:szCs w:val="14"/>
          <w:color w:val="auto"/>
        </w:rPr>
        <w:t>Clarify has deployed its customer relationship management software to</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other Nortel Networks operating units between 1999 and 2000. Clarify</w:t>
      </w:r>
    </w:p>
    <w:p>
      <w:pPr>
        <w:ind w:left="800"/>
        <w:spacing w:after="0" w:line="237" w:lineRule="auto"/>
        <w:rPr>
          <w:sz w:val="20"/>
          <w:szCs w:val="20"/>
          <w:color w:val="auto"/>
        </w:rPr>
      </w:pPr>
      <w:r>
        <w:rPr>
          <w:rFonts w:ascii="Courier New" w:cs="Courier New" w:eastAsia="Courier New" w:hAnsi="Courier New"/>
          <w:sz w:val="15"/>
          <w:szCs w:val="15"/>
          <w:color w:val="auto"/>
        </w:rPr>
        <w:t>recognized revenues from such Nortel Networks operating units of</w:t>
      </w:r>
    </w:p>
    <w:p>
      <w:pPr>
        <w:ind w:left="800"/>
        <w:spacing w:after="0" w:line="238" w:lineRule="auto"/>
        <w:rPr>
          <w:sz w:val="20"/>
          <w:szCs w:val="20"/>
          <w:color w:val="auto"/>
        </w:rPr>
      </w:pPr>
      <w:r>
        <w:rPr>
          <w:rFonts w:ascii="Courier New" w:cs="Courier New" w:eastAsia="Courier New" w:hAnsi="Courier New"/>
          <w:sz w:val="15"/>
          <w:szCs w:val="15"/>
          <w:color w:val="auto"/>
        </w:rPr>
        <w:t>$5,072,000 and $258,000 for the year ended December 31, 1999 and for</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period from January 1, 2000 through March 16, 2000, respectively.</w:t>
      </w:r>
    </w:p>
    <w:p>
      <w:pPr>
        <w:spacing w:after="0" w:line="1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 revenues from Nortel Networks or its affiliates have been recognized</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subsequent to the Acquisition. The cost of sales associated with the</w:t>
      </w:r>
    </w:p>
    <w:p>
      <w:pPr>
        <w:ind w:left="800"/>
        <w:spacing w:after="0" w:line="237" w:lineRule="auto"/>
        <w:rPr>
          <w:sz w:val="20"/>
          <w:szCs w:val="20"/>
          <w:color w:val="auto"/>
        </w:rPr>
      </w:pPr>
      <w:r>
        <w:rPr>
          <w:rFonts w:ascii="Courier New" w:cs="Courier New" w:eastAsia="Courier New" w:hAnsi="Courier New"/>
          <w:sz w:val="15"/>
          <w:szCs w:val="15"/>
          <w:color w:val="auto"/>
        </w:rPr>
        <w:t>software was not significant.</w:t>
      </w:r>
    </w:p>
    <w:p>
      <w:pPr>
        <w:spacing w:after="0" w:line="167" w:lineRule="exact"/>
        <w:rPr>
          <w:sz w:val="20"/>
          <w:szCs w:val="20"/>
          <w:color w:val="auto"/>
        </w:rPr>
      </w:pPr>
    </w:p>
    <w:p>
      <w:pPr>
        <w:ind w:left="800" w:hanging="703"/>
        <w:spacing w:after="0"/>
        <w:tabs>
          <w:tab w:leader="none" w:pos="8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 AND MAJOR CUSTOMERS</w:t>
      </w:r>
    </w:p>
    <w:p>
      <w:pPr>
        <w:spacing w:after="0" w:line="172" w:lineRule="exact"/>
        <w:rPr>
          <w:rFonts w:ascii="Courier New" w:cs="Courier New" w:eastAsia="Courier New" w:hAnsi="Courier New"/>
          <w:sz w:val="15"/>
          <w:szCs w:val="15"/>
          <w:color w:val="auto"/>
        </w:rPr>
      </w:pPr>
    </w:p>
    <w:p>
      <w:pPr>
        <w:ind w:left="80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accordance with Statement of Financial Accounting Standards (SFAS) No. 131, "Disclosures about Segments of an Enterprise and Related Information," the Company is required to disclose information about its products, services, the geographic area in which it operates and major customers. The Company operates in a single industry segment encompassing the design, development, marketing and technical support for front-office automation software.</w:t>
      </w:r>
    </w:p>
    <w:p>
      <w:pPr>
        <w:spacing w:after="0" w:line="160"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The following are revenues by geographic area (in thousands):</w:t>
      </w:r>
    </w:p>
    <w:p>
      <w:pPr>
        <w:spacing w:after="0" w:line="335"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PREDECESSOR COMPANY ---</w:t>
      </w:r>
    </w:p>
    <w:p>
      <w:pPr>
        <w:ind w:left="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180" w:right="8299" w:firstLine="4"/>
        <w:spacing w:after="0" w:line="254" w:lineRule="auto"/>
        <w:tabs>
          <w:tab w:leader="none" w:pos="35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PERIOD FROM PERIOD FROM JANUARY 1 MARCH</w:t>
      </w:r>
    </w:p>
    <w:p>
      <w:pPr>
        <w:ind w:left="100"/>
        <w:spacing w:after="0" w:line="231" w:lineRule="auto"/>
        <w:rPr>
          <w:sz w:val="20"/>
          <w:szCs w:val="20"/>
          <w:color w:val="auto"/>
        </w:rPr>
      </w:pPr>
      <w:r>
        <w:rPr>
          <w:rFonts w:ascii="Courier New" w:cs="Courier New" w:eastAsia="Courier New" w:hAnsi="Courier New"/>
          <w:sz w:val="15"/>
          <w:szCs w:val="15"/>
          <w:color w:val="auto"/>
        </w:rPr>
        <w:t>17, YEAR ENDED 2000 TO</w:t>
      </w:r>
    </w:p>
    <w:p>
      <w:pPr>
        <w:ind w:left="180"/>
        <w:spacing w:after="0" w:line="238" w:lineRule="auto"/>
        <w:rPr>
          <w:sz w:val="20"/>
          <w:szCs w:val="20"/>
          <w:color w:val="auto"/>
        </w:rPr>
      </w:pPr>
      <w:r>
        <w:rPr>
          <w:rFonts w:ascii="Courier New" w:cs="Courier New" w:eastAsia="Courier New" w:hAnsi="Courier New"/>
          <w:sz w:val="15"/>
          <w:szCs w:val="15"/>
          <w:color w:val="auto"/>
        </w:rPr>
        <w:t>2000 TO DECEMBER 31,</w:t>
      </w:r>
    </w:p>
    <w:p>
      <w:pPr>
        <w:ind w:left="100"/>
        <w:spacing w:after="0" w:line="237" w:lineRule="auto"/>
        <w:rPr>
          <w:sz w:val="20"/>
          <w:szCs w:val="20"/>
          <w:color w:val="auto"/>
        </w:rPr>
      </w:pPr>
      <w:r>
        <w:rPr>
          <w:rFonts w:ascii="Courier New" w:cs="Courier New" w:eastAsia="Courier New" w:hAnsi="Courier New"/>
          <w:sz w:val="15"/>
          <w:szCs w:val="15"/>
          <w:color w:val="auto"/>
        </w:rPr>
        <w:t>MARCH 16, DECEMBER 31,</w:t>
      </w:r>
    </w:p>
    <w:p>
      <w:pPr>
        <w:ind w:left="60"/>
        <w:spacing w:after="0" w:line="238" w:lineRule="auto"/>
        <w:rPr>
          <w:sz w:val="20"/>
          <w:szCs w:val="20"/>
          <w:color w:val="auto"/>
        </w:rPr>
      </w:pPr>
      <w:r>
        <w:rPr>
          <w:rFonts w:ascii="Courier New" w:cs="Courier New" w:eastAsia="Courier New" w:hAnsi="Courier New"/>
          <w:sz w:val="15"/>
          <w:szCs w:val="15"/>
          <w:color w:val="auto"/>
        </w:rPr>
        <w:t>1999 2000 2000 --------</w:t>
      </w:r>
    </w:p>
    <w:p>
      <w:pPr>
        <w:ind w:left="480" w:hanging="428"/>
        <w:spacing w:after="0" w:line="238" w:lineRule="auto"/>
        <w:tabs>
          <w:tab w:leader="none" w:pos="4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4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United</w:t>
      </w:r>
    </w:p>
    <w:tbl>
      <w:tblPr>
        <w:tblLayout w:type="fixed"/>
        <w:tblInd w:w="100" w:type="dxa"/>
        <w:tblCellMar>
          <w:top w:w="0" w:type="dxa"/>
          <w:left w:w="0" w:type="dxa"/>
          <w:bottom w:w="0" w:type="dxa"/>
          <w:right w:w="0" w:type="dxa"/>
        </w:tblCellMar>
      </w:tblPr>
      <w:tr>
        <w:trPr>
          <w:trHeight w:val="169"/>
        </w:trPr>
        <w:tc>
          <w:tcPr>
            <w:tcW w:w="1920" w:type="dxa"/>
            <w:vAlign w:val="bottom"/>
            <w:gridSpan w:val="2"/>
          </w:tcPr>
          <w:p>
            <w:pPr>
              <w:jc w:val="center"/>
              <w:spacing w:after="0" w:line="169" w:lineRule="exact"/>
              <w:rPr>
                <w:sz w:val="20"/>
                <w:szCs w:val="20"/>
                <w:color w:val="auto"/>
              </w:rPr>
            </w:pPr>
            <w:r>
              <w:rPr>
                <w:rFonts w:ascii="Courier New" w:cs="Courier New" w:eastAsia="Courier New" w:hAnsi="Courier New"/>
                <w:sz w:val="15"/>
                <w:szCs w:val="15"/>
                <w:color w:val="auto"/>
                <w:w w:val="96"/>
              </w:rPr>
              <w:t>States...........</w:t>
            </w:r>
          </w:p>
        </w:tc>
      </w:tr>
      <w:tr>
        <w:trPr>
          <w:trHeight w:val="168"/>
        </w:trPr>
        <w:tc>
          <w:tcPr>
            <w:tcW w:w="19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178,590 20,660 183,977</w:t>
            </w:r>
          </w:p>
        </w:tc>
      </w:tr>
      <w:tr>
        <w:trPr>
          <w:trHeight w:val="168"/>
        </w:trPr>
        <w:tc>
          <w:tcPr>
            <w:tcW w:w="19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United</w:t>
            </w:r>
          </w:p>
        </w:tc>
      </w:tr>
      <w:tr>
        <w:trPr>
          <w:trHeight w:val="168"/>
        </w:trPr>
        <w:tc>
          <w:tcPr>
            <w:tcW w:w="19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Kingdom..........</w:t>
            </w:r>
          </w:p>
        </w:tc>
      </w:tr>
      <w:tr>
        <w:trPr>
          <w:trHeight w:val="168"/>
        </w:trPr>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23,854 2,850</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41,909</w:t>
            </w:r>
          </w:p>
        </w:tc>
      </w:tr>
      <w:tr>
        <w:trPr>
          <w:trHeight w:val="168"/>
        </w:trPr>
        <w:tc>
          <w:tcPr>
            <w:tcW w:w="126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7"/>
              </w:rPr>
              <w:t>Other</w:t>
            </w:r>
          </w:p>
        </w:tc>
        <w:tc>
          <w:tcPr>
            <w:tcW w:w="660" w:type="dxa"/>
            <w:vAlign w:val="bottom"/>
          </w:tcPr>
          <w:p>
            <w:pPr>
              <w:spacing w:after="0"/>
              <w:rPr>
                <w:sz w:val="14"/>
                <w:szCs w:val="14"/>
                <w:color w:val="auto"/>
              </w:rPr>
            </w:pPr>
          </w:p>
        </w:tc>
      </w:tr>
    </w:tbl>
    <w:p>
      <w:pPr>
        <w:ind w:left="280"/>
        <w:spacing w:after="0" w:line="237" w:lineRule="auto"/>
        <w:rPr>
          <w:sz w:val="20"/>
          <w:szCs w:val="20"/>
          <w:color w:val="auto"/>
        </w:rPr>
      </w:pPr>
      <w:r>
        <w:rPr>
          <w:rFonts w:ascii="Courier New" w:cs="Courier New" w:eastAsia="Courier New" w:hAnsi="Courier New"/>
          <w:sz w:val="15"/>
          <w:szCs w:val="15"/>
          <w:color w:val="auto"/>
        </w:rPr>
        <w:t>International.....</w:t>
      </w:r>
    </w:p>
    <w:p>
      <w:pPr>
        <w:ind w:left="60"/>
        <w:spacing w:after="0" w:line="238" w:lineRule="auto"/>
        <w:rPr>
          <w:sz w:val="20"/>
          <w:szCs w:val="20"/>
          <w:color w:val="auto"/>
        </w:rPr>
      </w:pPr>
      <w:r>
        <w:rPr>
          <w:rFonts w:ascii="Courier New" w:cs="Courier New" w:eastAsia="Courier New" w:hAnsi="Courier New"/>
          <w:sz w:val="15"/>
          <w:szCs w:val="15"/>
          <w:color w:val="auto"/>
        </w:rPr>
        <w:t>28,253 3,113 52,053 ---</w:t>
      </w:r>
    </w:p>
    <w:p>
      <w:pPr>
        <w:ind w:left="660" w:hanging="433"/>
        <w:spacing w:after="0" w:line="237" w:lineRule="auto"/>
        <w:tabs>
          <w:tab w:leader="none" w:pos="6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Total...................</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230,697 26,623 277,939</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42" w:lineRule="exact"/>
        <w:rPr>
          <w:sz w:val="20"/>
          <w:szCs w:val="20"/>
          <w:color w:val="auto"/>
        </w:rPr>
      </w:pPr>
    </w:p>
    <w:p>
      <w:pPr>
        <w:jc w:val="both"/>
        <w:ind w:left="800" w:right="3399" w:firstLine="262"/>
        <w:spacing w:after="0" w:line="235" w:lineRule="auto"/>
        <w:rPr>
          <w:sz w:val="20"/>
          <w:szCs w:val="20"/>
          <w:color w:val="auto"/>
        </w:rPr>
      </w:pPr>
      <w:r>
        <w:rPr>
          <w:rFonts w:ascii="Courier New" w:cs="Courier New" w:eastAsia="Courier New" w:hAnsi="Courier New"/>
          <w:sz w:val="15"/>
          <w:szCs w:val="15"/>
          <w:color w:val="auto"/>
        </w:rPr>
        <w:t>Long-lived assets outside of the United States are immaterial. No one customer accounted for more than 10% of total revenues for any of the above periods.</w:t>
      </w:r>
    </w:p>
    <w:p>
      <w:pPr>
        <w:spacing w:after="0" w:line="167" w:lineRule="exact"/>
        <w:rPr>
          <w:sz w:val="20"/>
          <w:szCs w:val="20"/>
          <w:color w:val="auto"/>
        </w:rPr>
      </w:pPr>
    </w:p>
    <w:p>
      <w:pPr>
        <w:ind w:left="800" w:hanging="790"/>
        <w:spacing w:after="0"/>
        <w:tabs>
          <w:tab w:leader="none" w:pos="8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PLAN</w:t>
      </w:r>
    </w:p>
    <w:p>
      <w:pPr>
        <w:spacing w:after="0" w:line="172" w:lineRule="exact"/>
        <w:rPr>
          <w:rFonts w:ascii="Courier New" w:cs="Courier New" w:eastAsia="Courier New" w:hAnsi="Courier New"/>
          <w:sz w:val="15"/>
          <w:szCs w:val="15"/>
          <w:color w:val="auto"/>
        </w:rPr>
      </w:pPr>
    </w:p>
    <w:p>
      <w:pPr>
        <w:ind w:left="80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August 1991, Clarify began a voluntary 401(k) plan covering substantially all employees. The plan provides for discretionary employer contributions. No employer contributions were made or authorized in 1999 and 2000. This plan was discontinued at the time of the Nortel Networks' acquisition.</w:t>
      </w:r>
    </w:p>
    <w:p>
      <w:pPr>
        <w:spacing w:after="0" w:line="167"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2" w:lineRule="exact"/>
        <w:rPr>
          <w:rFonts w:ascii="Courier New" w:cs="Courier New" w:eastAsia="Courier New" w:hAnsi="Courier New"/>
          <w:sz w:val="15"/>
          <w:szCs w:val="15"/>
          <w:color w:val="auto"/>
        </w:rPr>
      </w:pPr>
    </w:p>
    <w:p>
      <w:pPr>
        <w:ind w:left="80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28, 2001, Nortel Networks sold substantially all assets used in its Clarify business, including patents, intellectual property, and trademarks, for approximately $200 million in cash to Amdocs Limited ("Amdocs"). Under the agreement, Amdocs assumed existing customer contracts, as well as certain leased office space.</w:t>
      </w:r>
    </w:p>
    <w:p>
      <w:pPr>
        <w:spacing w:after="0" w:line="173" w:lineRule="exact"/>
        <w:rPr>
          <w:rFonts w:ascii="Courier New" w:cs="Courier New" w:eastAsia="Courier New" w:hAnsi="Courier New"/>
          <w:sz w:val="15"/>
          <w:szCs w:val="15"/>
          <w:color w:val="auto"/>
        </w:rPr>
      </w:pPr>
    </w:p>
    <w:p>
      <w:pPr>
        <w:ind w:left="80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Clarify, as part of its review of financial results for the three months ended June 30, 2001, also performed an assessment of the remaining carrying values of intangible assets. The assessment was performed in light of the significant negative industry and economic trends impacting both Clarify's current operations and expected future growth rates. The conclusion of that assessment was that the decline in market conditions within Clarify's industry was significant and other than temporary. As a result, Clarify recorded an approximately $905 million write down of intangible assets in the three months ended June 30, 2001, based on the amount by which the carrying amount of these assets exceeded the fair value.</w:t>
      </w:r>
    </w:p>
    <w:p>
      <w:pPr>
        <w:spacing w:after="0" w:line="173" w:lineRule="exact"/>
        <w:rPr>
          <w:rFonts w:ascii="Courier New" w:cs="Courier New" w:eastAsia="Courier New" w:hAnsi="Courier New"/>
          <w:sz w:val="15"/>
          <w:szCs w:val="15"/>
          <w:color w:val="auto"/>
        </w:rPr>
      </w:pPr>
    </w:p>
    <w:p>
      <w:pPr>
        <w:ind w:left="3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792" w:right="1440" w:bottom="1440" w:gutter="0" w:footer="0" w:header="0"/>
        </w:sectPr>
      </w:pPr>
    </w:p>
    <w:bookmarkStart w:id="46" w:name="page47"/>
    <w:bookmarkEnd w:id="46"/>
    <w:p>
      <w:pPr>
        <w:jc w:val="center"/>
        <w:ind w:right="3139"/>
        <w:spacing w:after="0"/>
        <w:rPr>
          <w:sz w:val="20"/>
          <w:szCs w:val="20"/>
          <w:color w:val="auto"/>
        </w:rPr>
      </w:pPr>
      <w:r>
        <w:rPr>
          <w:rFonts w:ascii="Courier New" w:cs="Courier New" w:eastAsia="Courier New" w:hAnsi="Courier New"/>
          <w:sz w:val="15"/>
          <w:szCs w:val="15"/>
          <w:color w:val="auto"/>
        </w:rPr>
        <w:t>CLARIFY</w:t>
      </w:r>
    </w:p>
    <w:p>
      <w:pPr>
        <w:jc w:val="center"/>
        <w:ind w:right="3139"/>
        <w:spacing w:after="0" w:line="237" w:lineRule="auto"/>
        <w:rPr>
          <w:sz w:val="20"/>
          <w:szCs w:val="20"/>
          <w:color w:val="auto"/>
        </w:rPr>
      </w:pPr>
      <w:r>
        <w:rPr>
          <w:rFonts w:ascii="Courier New" w:cs="Courier New" w:eastAsia="Courier New" w:hAnsi="Courier New"/>
          <w:sz w:val="15"/>
          <w:szCs w:val="15"/>
          <w:color w:val="auto"/>
        </w:rPr>
        <w:t>(A BUSINESS OF NORTEL NETWORKS CORPORATION)</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 OF NET ASSETS (UNAUDITED)</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DECEMBER 31,</w:t>
            </w:r>
          </w:p>
        </w:tc>
        <w:tc>
          <w:tcPr>
            <w:tcW w:w="13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5"/>
              </w:rPr>
              <w:t>SEPTEMBER 30,</w:t>
            </w:r>
          </w:p>
        </w:tc>
      </w:tr>
      <w:tr>
        <w:trPr>
          <w:trHeight w:val="168"/>
        </w:trPr>
        <w:tc>
          <w:tcPr>
            <w:tcW w:w="5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2000</w:t>
            </w:r>
          </w:p>
        </w:tc>
        <w:tc>
          <w:tcPr>
            <w:tcW w:w="34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ind w:left="2540"/>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13,459</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21,678</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 net of allowance for doubtful accounts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6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and returns of $876 in 2000 and $3,195 in 2001</w:t>
            </w:r>
          </w:p>
        </w:tc>
        <w:tc>
          <w:tcPr>
            <w:tcW w:w="3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94,058</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44,053</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3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8,868</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3,330</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tax assets</w:t>
            </w:r>
          </w:p>
        </w:tc>
        <w:tc>
          <w:tcPr>
            <w:tcW w:w="3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12,208</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37,791</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Receivable from Nortel Networks Corporation</w:t>
            </w:r>
          </w:p>
        </w:tc>
        <w:tc>
          <w:tcPr>
            <w:tcW w:w="3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9,426</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ind w:left="980"/>
              <w:spacing w:after="0"/>
              <w:rPr>
                <w:sz w:val="20"/>
                <w:szCs w:val="20"/>
                <w:color w:val="auto"/>
              </w:rPr>
            </w:pPr>
            <w:r>
              <w:rPr>
                <w:rFonts w:ascii="Courier New" w:cs="Courier New" w:eastAsia="Courier New" w:hAnsi="Courier New"/>
                <w:sz w:val="15"/>
                <w:szCs w:val="15"/>
                <w:color w:val="auto"/>
              </w:rPr>
              <w:t>Total current assets</w:t>
            </w:r>
          </w:p>
        </w:tc>
        <w:tc>
          <w:tcPr>
            <w:tcW w:w="360" w:type="dxa"/>
            <w:vAlign w:val="bottom"/>
          </w:tcPr>
          <w:p>
            <w:pPr>
              <w:spacing w:after="0"/>
              <w:rPr>
                <w:sz w:val="24"/>
                <w:szCs w:val="2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138,019</w:t>
            </w:r>
          </w:p>
        </w:tc>
        <w:tc>
          <w:tcPr>
            <w:tcW w:w="34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106,852</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360" w:type="dxa"/>
            <w:vAlign w:val="bottom"/>
          </w:tcPr>
          <w:p>
            <w:pPr>
              <w:spacing w:after="0"/>
              <w:rPr>
                <w:sz w:val="24"/>
                <w:szCs w:val="2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15,735</w:t>
            </w:r>
          </w:p>
        </w:tc>
        <w:tc>
          <w:tcPr>
            <w:tcW w:w="34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6,445</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Noncurrent deferred tax assets</w:t>
            </w:r>
          </w:p>
        </w:tc>
        <w:tc>
          <w:tcPr>
            <w:tcW w:w="360" w:type="dxa"/>
            <w:vAlign w:val="bottom"/>
          </w:tcPr>
          <w:p>
            <w:pPr>
              <w:spacing w:after="0"/>
              <w:rPr>
                <w:sz w:val="24"/>
                <w:szCs w:val="2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20,404</w:t>
            </w:r>
          </w:p>
        </w:tc>
        <w:tc>
          <w:tcPr>
            <w:tcW w:w="34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27,755</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360" w:type="dxa"/>
            <w:vAlign w:val="bottom"/>
          </w:tcPr>
          <w:p>
            <w:pPr>
              <w:spacing w:after="0"/>
              <w:rPr>
                <w:sz w:val="24"/>
                <w:szCs w:val="2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1,187</w:t>
            </w:r>
          </w:p>
        </w:tc>
        <w:tc>
          <w:tcPr>
            <w:tcW w:w="34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Acquired intangibles, net</w:t>
            </w:r>
          </w:p>
        </w:tc>
        <w:tc>
          <w:tcPr>
            <w:tcW w:w="360" w:type="dxa"/>
            <w:vAlign w:val="bottom"/>
          </w:tcPr>
          <w:p>
            <w:pPr>
              <w:spacing w:after="0"/>
              <w:rPr>
                <w:sz w:val="24"/>
                <w:szCs w:val="2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1,450,595</w:t>
            </w:r>
          </w:p>
        </w:tc>
        <w:tc>
          <w:tcPr>
            <w:tcW w:w="34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155,557</w:t>
            </w:r>
          </w:p>
        </w:tc>
      </w:tr>
      <w:tr>
        <w:trPr>
          <w:trHeight w:val="168"/>
        </w:trPr>
        <w:tc>
          <w:tcPr>
            <w:tcW w:w="5600" w:type="dxa"/>
            <w:vAlign w:val="bottom"/>
          </w:tcPr>
          <w:p>
            <w:pPr>
              <w:spacing w:after="0"/>
              <w:rPr>
                <w:sz w:val="14"/>
                <w:szCs w:val="14"/>
                <w:color w:val="auto"/>
              </w:rPr>
            </w:pP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$1,625,940</w:t>
            </w: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296,609</w:t>
            </w:r>
          </w:p>
        </w:tc>
      </w:tr>
      <w:tr>
        <w:trPr>
          <w:trHeight w:val="168"/>
        </w:trPr>
        <w:tc>
          <w:tcPr>
            <w:tcW w:w="5600" w:type="dxa"/>
            <w:vAlign w:val="bottom"/>
          </w:tcPr>
          <w:p>
            <w:pPr>
              <w:spacing w:after="0"/>
              <w:rPr>
                <w:sz w:val="14"/>
                <w:szCs w:val="14"/>
                <w:color w:val="auto"/>
              </w:rPr>
            </w:pP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ind w:left="2380"/>
              <w:spacing w:after="0"/>
              <w:rPr>
                <w:sz w:val="20"/>
                <w:szCs w:val="20"/>
                <w:color w:val="auto"/>
              </w:rPr>
            </w:pPr>
            <w:r>
              <w:rPr>
                <w:rFonts w:ascii="Courier New" w:cs="Courier New" w:eastAsia="Courier New" w:hAnsi="Courier New"/>
                <w:sz w:val="15"/>
                <w:szCs w:val="15"/>
                <w:color w:val="auto"/>
              </w:rPr>
              <w:t>LIABILITIES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15,065</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1,499</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Payable to Nortel Networks Corporation</w:t>
            </w:r>
          </w:p>
        </w:tc>
        <w:tc>
          <w:tcPr>
            <w:tcW w:w="3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63,403</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Payroll-related accruals</w:t>
            </w:r>
          </w:p>
        </w:tc>
        <w:tc>
          <w:tcPr>
            <w:tcW w:w="3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12,146</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3,903</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accrued liabilities</w:t>
            </w:r>
          </w:p>
        </w:tc>
        <w:tc>
          <w:tcPr>
            <w:tcW w:w="3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13,036</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20,308</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3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4,216</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Unearned revenue</w:t>
            </w:r>
          </w:p>
        </w:tc>
        <w:tc>
          <w:tcPr>
            <w:tcW w:w="3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56,230</w:t>
            </w:r>
          </w:p>
        </w:tc>
        <w:tc>
          <w:tcPr>
            <w:tcW w:w="3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37,978</w:t>
            </w:r>
          </w:p>
        </w:tc>
      </w:tr>
      <w:tr>
        <w:trPr>
          <w:trHeight w:val="168"/>
        </w:trPr>
        <w:tc>
          <w:tcPr>
            <w:tcW w:w="5600" w:type="dxa"/>
            <w:vAlign w:val="bottom"/>
          </w:tcPr>
          <w:p>
            <w:pPr>
              <w:spacing w:after="0"/>
              <w:rPr>
                <w:sz w:val="14"/>
                <w:szCs w:val="14"/>
                <w:color w:val="auto"/>
              </w:rPr>
            </w:pP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100,693</w:t>
            </w: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127,091</w:t>
            </w:r>
          </w:p>
        </w:tc>
      </w:tr>
      <w:tr>
        <w:trPr>
          <w:trHeight w:val="168"/>
        </w:trPr>
        <w:tc>
          <w:tcPr>
            <w:tcW w:w="5600" w:type="dxa"/>
            <w:vAlign w:val="bottom"/>
          </w:tcPr>
          <w:p>
            <w:pPr>
              <w:spacing w:after="0"/>
              <w:rPr>
                <w:sz w:val="14"/>
                <w:szCs w:val="14"/>
                <w:color w:val="auto"/>
              </w:rPr>
            </w:pP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600" w:type="dxa"/>
            <w:vAlign w:val="bottom"/>
          </w:tcPr>
          <w:p>
            <w:pPr>
              <w:spacing w:after="0"/>
              <w:rPr>
                <w:sz w:val="20"/>
                <w:szCs w:val="20"/>
                <w:color w:val="auto"/>
              </w:rPr>
            </w:pPr>
            <w:r>
              <w:rPr>
                <w:rFonts w:ascii="Courier New" w:cs="Courier New" w:eastAsia="Courier New" w:hAnsi="Courier New"/>
                <w:sz w:val="15"/>
                <w:szCs w:val="15"/>
                <w:color w:val="auto"/>
              </w:rPr>
              <w:t>Net assets</w:t>
            </w: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$1,525,247</w:t>
            </w: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169,518</w:t>
            </w:r>
          </w:p>
        </w:tc>
      </w:tr>
      <w:tr>
        <w:trPr>
          <w:trHeight w:val="168"/>
        </w:trPr>
        <w:tc>
          <w:tcPr>
            <w:tcW w:w="5600" w:type="dxa"/>
            <w:vAlign w:val="bottom"/>
          </w:tcPr>
          <w:p>
            <w:pPr>
              <w:spacing w:after="0"/>
              <w:rPr>
                <w:sz w:val="14"/>
                <w:szCs w:val="14"/>
                <w:color w:val="auto"/>
              </w:rPr>
            </w:pP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449" w:right="1440" w:bottom="1440" w:gutter="0" w:footer="0" w:header="0"/>
        </w:sectPr>
      </w:pPr>
    </w:p>
    <w:bookmarkStart w:id="47" w:name="page48"/>
    <w:bookmarkEnd w:id="47"/>
    <w:p>
      <w:pPr>
        <w:jc w:val="center"/>
        <w:ind w:right="3139"/>
        <w:spacing w:after="0"/>
        <w:rPr>
          <w:sz w:val="20"/>
          <w:szCs w:val="20"/>
          <w:color w:val="auto"/>
        </w:rPr>
      </w:pPr>
      <w:r>
        <w:rPr>
          <w:rFonts w:ascii="Courier New" w:cs="Courier New" w:eastAsia="Courier New" w:hAnsi="Courier New"/>
          <w:sz w:val="15"/>
          <w:szCs w:val="15"/>
          <w:color w:val="auto"/>
        </w:rPr>
        <w:t>CLARIFY</w:t>
      </w:r>
    </w:p>
    <w:p>
      <w:pPr>
        <w:jc w:val="center"/>
        <w:ind w:right="3139"/>
        <w:spacing w:after="0" w:line="237" w:lineRule="auto"/>
        <w:rPr>
          <w:sz w:val="20"/>
          <w:szCs w:val="20"/>
          <w:color w:val="auto"/>
        </w:rPr>
      </w:pPr>
      <w:r>
        <w:rPr>
          <w:rFonts w:ascii="Courier New" w:cs="Courier New" w:eastAsia="Courier New" w:hAnsi="Courier New"/>
          <w:sz w:val="15"/>
          <w:szCs w:val="15"/>
          <w:color w:val="auto"/>
        </w:rPr>
        <w:t>(A BUSINESS OF NORTEL NETWORKS CORPORATION)</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 OF OPERATIONS (UNAUDITED)</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58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6"/>
              </w:rPr>
              <w:t>PREDECESSOR</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5"/>
              </w:rPr>
              <w:t>COMPANY</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58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PERIOD FROM</w:t>
            </w:r>
          </w:p>
        </w:tc>
        <w:tc>
          <w:tcPr>
            <w:tcW w:w="16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PERIOD FROM</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JANUARY 1,</w:t>
            </w:r>
          </w:p>
        </w:tc>
        <w:tc>
          <w:tcPr>
            <w:tcW w:w="3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MARCH 17,</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NINE MONTHS</w:t>
            </w:r>
          </w:p>
        </w:tc>
      </w:tr>
      <w:tr>
        <w:trPr>
          <w:trHeight w:val="168"/>
        </w:trPr>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5"/>
              </w:rPr>
              <w:t>2000 TO</w:t>
            </w:r>
          </w:p>
        </w:tc>
        <w:tc>
          <w:tcPr>
            <w:tcW w:w="34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2000 TO</w:t>
            </w:r>
          </w:p>
        </w:tc>
        <w:tc>
          <w:tcPr>
            <w:tcW w:w="32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MARCH 16,</w:t>
            </w:r>
          </w:p>
        </w:tc>
        <w:tc>
          <w:tcPr>
            <w:tcW w:w="16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SEPTEMBER 30,</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SEPTEMBER 30,</w:t>
            </w:r>
          </w:p>
        </w:tc>
      </w:tr>
      <w:tr>
        <w:trPr>
          <w:trHeight w:val="168"/>
        </w:trPr>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c>
          <w:tcPr>
            <w:tcW w:w="340" w:type="dxa"/>
            <w:vAlign w:val="bottom"/>
          </w:tcPr>
          <w:p>
            <w:pPr>
              <w:spacing w:after="0"/>
              <w:rPr>
                <w:sz w:val="14"/>
                <w:szCs w:val="14"/>
                <w:color w:val="auto"/>
              </w:rPr>
            </w:pPr>
          </w:p>
        </w:tc>
        <w:tc>
          <w:tcPr>
            <w:tcW w:w="12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License fees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4,330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116,538</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48,792</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Services</w:t>
            </w:r>
          </w:p>
        </w:tc>
        <w:tc>
          <w:tcPr>
            <w:tcW w:w="3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22,293</w:t>
            </w:r>
          </w:p>
        </w:tc>
        <w:tc>
          <w:tcPr>
            <w:tcW w:w="3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78,983</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110,943</w:t>
            </w:r>
          </w:p>
        </w:tc>
      </w:tr>
      <w:tr>
        <w:trPr>
          <w:trHeight w:val="168"/>
        </w:trPr>
        <w:tc>
          <w:tcPr>
            <w:tcW w:w="360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rPr>
              <w:t>Total revenues</w:t>
            </w:r>
          </w:p>
        </w:tc>
        <w:tc>
          <w:tcPr>
            <w:tcW w:w="340" w:type="dxa"/>
            <w:vAlign w:val="bottom"/>
          </w:tcPr>
          <w:p>
            <w:pPr>
              <w:spacing w:after="0"/>
              <w:rPr>
                <w:sz w:val="24"/>
                <w:szCs w:val="2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26,623</w:t>
            </w:r>
          </w:p>
        </w:tc>
        <w:tc>
          <w:tcPr>
            <w:tcW w:w="340" w:type="dxa"/>
            <w:vAlign w:val="bottom"/>
          </w:tcPr>
          <w:p>
            <w:pPr>
              <w:spacing w:after="0"/>
              <w:rPr>
                <w:sz w:val="24"/>
                <w:szCs w:val="24"/>
                <w:color w:val="auto"/>
              </w:rPr>
            </w:pP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195,521</w:t>
            </w:r>
          </w:p>
        </w:tc>
        <w:tc>
          <w:tcPr>
            <w:tcW w:w="320" w:type="dxa"/>
            <w:vAlign w:val="bottom"/>
          </w:tcPr>
          <w:p>
            <w:pPr>
              <w:spacing w:after="0"/>
              <w:rPr>
                <w:sz w:val="24"/>
                <w:szCs w:val="24"/>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159,735</w:t>
            </w:r>
          </w:p>
        </w:tc>
      </w:tr>
      <w:tr>
        <w:trPr>
          <w:trHeight w:val="168"/>
        </w:trPr>
        <w:tc>
          <w:tcPr>
            <w:tcW w:w="360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License fees</w:t>
            </w:r>
          </w:p>
        </w:tc>
        <w:tc>
          <w:tcPr>
            <w:tcW w:w="3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1,252</w:t>
            </w:r>
          </w:p>
        </w:tc>
        <w:tc>
          <w:tcPr>
            <w:tcW w:w="3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3,907</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2,800</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Services</w:t>
            </w:r>
          </w:p>
        </w:tc>
        <w:tc>
          <w:tcPr>
            <w:tcW w:w="3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13,397</w:t>
            </w:r>
          </w:p>
        </w:tc>
        <w:tc>
          <w:tcPr>
            <w:tcW w:w="3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37,065</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53,756</w:t>
            </w:r>
          </w:p>
        </w:tc>
      </w:tr>
      <w:tr>
        <w:trPr>
          <w:trHeight w:val="168"/>
        </w:trPr>
        <w:tc>
          <w:tcPr>
            <w:tcW w:w="360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rPr>
              <w:t>Total cost of revenues</w:t>
            </w:r>
          </w:p>
        </w:tc>
        <w:tc>
          <w:tcPr>
            <w:tcW w:w="340" w:type="dxa"/>
            <w:vAlign w:val="bottom"/>
          </w:tcPr>
          <w:p>
            <w:pPr>
              <w:spacing w:after="0"/>
              <w:rPr>
                <w:sz w:val="24"/>
                <w:szCs w:val="2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14,649</w:t>
            </w:r>
          </w:p>
        </w:tc>
        <w:tc>
          <w:tcPr>
            <w:tcW w:w="340" w:type="dxa"/>
            <w:vAlign w:val="bottom"/>
          </w:tcPr>
          <w:p>
            <w:pPr>
              <w:spacing w:after="0"/>
              <w:rPr>
                <w:sz w:val="24"/>
                <w:szCs w:val="24"/>
                <w:color w:val="auto"/>
              </w:rPr>
            </w:pP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40,972</w:t>
            </w:r>
          </w:p>
        </w:tc>
        <w:tc>
          <w:tcPr>
            <w:tcW w:w="320" w:type="dxa"/>
            <w:vAlign w:val="bottom"/>
          </w:tcPr>
          <w:p>
            <w:pPr>
              <w:spacing w:after="0"/>
              <w:rPr>
                <w:sz w:val="24"/>
                <w:szCs w:val="24"/>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56,556</w:t>
            </w:r>
          </w:p>
        </w:tc>
      </w:tr>
      <w:tr>
        <w:trPr>
          <w:trHeight w:val="168"/>
        </w:trPr>
        <w:tc>
          <w:tcPr>
            <w:tcW w:w="360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340" w:type="dxa"/>
            <w:vAlign w:val="bottom"/>
          </w:tcPr>
          <w:p>
            <w:pPr>
              <w:spacing w:after="0"/>
              <w:rPr>
                <w:sz w:val="24"/>
                <w:szCs w:val="2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11,974</w:t>
            </w:r>
          </w:p>
        </w:tc>
        <w:tc>
          <w:tcPr>
            <w:tcW w:w="340" w:type="dxa"/>
            <w:vAlign w:val="bottom"/>
          </w:tcPr>
          <w:p>
            <w:pPr>
              <w:spacing w:after="0"/>
              <w:rPr>
                <w:sz w:val="24"/>
                <w:szCs w:val="24"/>
                <w:color w:val="auto"/>
              </w:rPr>
            </w:pP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154,549</w:t>
            </w:r>
          </w:p>
        </w:tc>
        <w:tc>
          <w:tcPr>
            <w:tcW w:w="320" w:type="dxa"/>
            <w:vAlign w:val="bottom"/>
          </w:tcPr>
          <w:p>
            <w:pPr>
              <w:spacing w:after="0"/>
              <w:rPr>
                <w:sz w:val="24"/>
                <w:szCs w:val="24"/>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103,179</w:t>
            </w:r>
          </w:p>
        </w:tc>
      </w:tr>
      <w:tr>
        <w:trPr>
          <w:trHeight w:val="168"/>
        </w:trPr>
        <w:tc>
          <w:tcPr>
            <w:tcW w:w="360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Product development and engineering</w:t>
            </w:r>
          </w:p>
        </w:tc>
        <w:tc>
          <w:tcPr>
            <w:tcW w:w="3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9,395</w:t>
            </w:r>
          </w:p>
        </w:tc>
        <w:tc>
          <w:tcPr>
            <w:tcW w:w="3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30,429</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50,244</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Sales and marketing</w:t>
            </w:r>
          </w:p>
        </w:tc>
        <w:tc>
          <w:tcPr>
            <w:tcW w:w="3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31,186</w:t>
            </w:r>
          </w:p>
        </w:tc>
        <w:tc>
          <w:tcPr>
            <w:tcW w:w="3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82,774</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92,304</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3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3,946</w:t>
            </w:r>
          </w:p>
        </w:tc>
        <w:tc>
          <w:tcPr>
            <w:tcW w:w="3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8,290</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30,749</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In-process research and development</w:t>
            </w:r>
          </w:p>
        </w:tc>
        <w:tc>
          <w:tcPr>
            <w:tcW w:w="3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63,939</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acquired intangibles</w:t>
            </w:r>
          </w:p>
        </w:tc>
        <w:tc>
          <w:tcPr>
            <w:tcW w:w="3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810</w:t>
            </w:r>
          </w:p>
        </w:tc>
        <w:tc>
          <w:tcPr>
            <w:tcW w:w="3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380,315</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389,584</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Special charges</w:t>
            </w:r>
          </w:p>
        </w:tc>
        <w:tc>
          <w:tcPr>
            <w:tcW w:w="340" w:type="dxa"/>
            <w:vAlign w:val="bottom"/>
          </w:tcPr>
          <w:p>
            <w:pPr>
              <w:spacing w:after="0"/>
              <w:rPr>
                <w:sz w:val="14"/>
                <w:szCs w:val="14"/>
                <w:color w:val="auto"/>
              </w:rPr>
            </w:pP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932,104</w:t>
            </w:r>
          </w:p>
        </w:tc>
      </w:tr>
      <w:tr>
        <w:trPr>
          <w:trHeight w:val="168"/>
        </w:trPr>
        <w:tc>
          <w:tcPr>
            <w:tcW w:w="360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rPr>
              <w:t>Total operating expenses</w:t>
            </w:r>
          </w:p>
        </w:tc>
        <w:tc>
          <w:tcPr>
            <w:tcW w:w="340" w:type="dxa"/>
            <w:vAlign w:val="bottom"/>
          </w:tcPr>
          <w:p>
            <w:pPr>
              <w:spacing w:after="0"/>
              <w:rPr>
                <w:sz w:val="24"/>
                <w:szCs w:val="2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45,337</w:t>
            </w:r>
          </w:p>
        </w:tc>
        <w:tc>
          <w:tcPr>
            <w:tcW w:w="340" w:type="dxa"/>
            <w:vAlign w:val="bottom"/>
          </w:tcPr>
          <w:p>
            <w:pPr>
              <w:spacing w:after="0"/>
              <w:rPr>
                <w:sz w:val="24"/>
                <w:szCs w:val="24"/>
                <w:color w:val="auto"/>
              </w:rPr>
            </w:pP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565,747</w:t>
            </w:r>
          </w:p>
        </w:tc>
        <w:tc>
          <w:tcPr>
            <w:tcW w:w="320" w:type="dxa"/>
            <w:vAlign w:val="bottom"/>
          </w:tcPr>
          <w:p>
            <w:pPr>
              <w:spacing w:after="0"/>
              <w:rPr>
                <w:sz w:val="24"/>
                <w:szCs w:val="24"/>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1,494,985</w:t>
            </w:r>
          </w:p>
        </w:tc>
      </w:tr>
      <w:tr>
        <w:trPr>
          <w:trHeight w:val="168"/>
        </w:trPr>
        <w:tc>
          <w:tcPr>
            <w:tcW w:w="360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340" w:type="dxa"/>
            <w:vAlign w:val="bottom"/>
          </w:tcPr>
          <w:p>
            <w:pPr>
              <w:spacing w:after="0"/>
              <w:rPr>
                <w:sz w:val="24"/>
                <w:szCs w:val="2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(33,363)</w:t>
            </w:r>
          </w:p>
        </w:tc>
        <w:tc>
          <w:tcPr>
            <w:tcW w:w="34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(411,198)</w:t>
            </w:r>
          </w:p>
        </w:tc>
        <w:tc>
          <w:tcPr>
            <w:tcW w:w="32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(1,391,806)</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340" w:type="dxa"/>
            <w:vAlign w:val="bottom"/>
          </w:tcPr>
          <w:p>
            <w:pPr>
              <w:spacing w:after="0"/>
              <w:rPr>
                <w:sz w:val="24"/>
                <w:szCs w:val="2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599</w:t>
            </w:r>
          </w:p>
        </w:tc>
        <w:tc>
          <w:tcPr>
            <w:tcW w:w="340" w:type="dxa"/>
            <w:vAlign w:val="bottom"/>
          </w:tcPr>
          <w:p>
            <w:pPr>
              <w:spacing w:after="0"/>
              <w:rPr>
                <w:sz w:val="24"/>
                <w:szCs w:val="24"/>
                <w:color w:val="auto"/>
              </w:rPr>
            </w:pP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670</w:t>
            </w:r>
          </w:p>
        </w:tc>
        <w:tc>
          <w:tcPr>
            <w:tcW w:w="320" w:type="dxa"/>
            <w:vAlign w:val="bottom"/>
          </w:tcPr>
          <w:p>
            <w:pPr>
              <w:spacing w:after="0"/>
              <w:rPr>
                <w:sz w:val="24"/>
                <w:szCs w:val="24"/>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40" w:type="dxa"/>
            <w:vAlign w:val="bottom"/>
          </w:tcPr>
          <w:p>
            <w:pPr>
              <w:spacing w:after="0"/>
              <w:rPr>
                <w:sz w:val="24"/>
                <w:szCs w:val="2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w:t>
            </w:r>
          </w:p>
        </w:tc>
        <w:tc>
          <w:tcPr>
            <w:tcW w:w="34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24"/>
                <w:szCs w:val="24"/>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340" w:type="dxa"/>
            <w:vAlign w:val="bottom"/>
          </w:tcPr>
          <w:p>
            <w:pPr>
              <w:spacing w:after="0"/>
              <w:rPr>
                <w:sz w:val="24"/>
                <w:szCs w:val="2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214</w:t>
            </w:r>
          </w:p>
        </w:tc>
        <w:tc>
          <w:tcPr>
            <w:tcW w:w="34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(1,461)</w:t>
            </w:r>
          </w:p>
        </w:tc>
        <w:tc>
          <w:tcPr>
            <w:tcW w:w="320" w:type="dxa"/>
            <w:vAlign w:val="bottom"/>
          </w:tcPr>
          <w:p>
            <w:pPr>
              <w:spacing w:after="0"/>
              <w:rPr>
                <w:sz w:val="24"/>
                <w:szCs w:val="24"/>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Loss before income taxes</w:t>
            </w:r>
          </w:p>
        </w:tc>
        <w:tc>
          <w:tcPr>
            <w:tcW w:w="340" w:type="dxa"/>
            <w:vAlign w:val="bottom"/>
          </w:tcPr>
          <w:p>
            <w:pPr>
              <w:spacing w:after="0"/>
              <w:rPr>
                <w:sz w:val="24"/>
                <w:szCs w:val="2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(32,554)</w:t>
            </w:r>
          </w:p>
        </w:tc>
        <w:tc>
          <w:tcPr>
            <w:tcW w:w="34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(411,990)</w:t>
            </w:r>
          </w:p>
        </w:tc>
        <w:tc>
          <w:tcPr>
            <w:tcW w:w="32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(1,391,611)</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Benefit from income taxes</w:t>
            </w:r>
          </w:p>
        </w:tc>
        <w:tc>
          <w:tcPr>
            <w:tcW w:w="340" w:type="dxa"/>
            <w:vAlign w:val="bottom"/>
          </w:tcPr>
          <w:p>
            <w:pPr>
              <w:spacing w:after="0"/>
              <w:rPr>
                <w:sz w:val="24"/>
                <w:szCs w:val="2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(14,773)</w:t>
            </w:r>
          </w:p>
        </w:tc>
        <w:tc>
          <w:tcPr>
            <w:tcW w:w="340" w:type="dxa"/>
            <w:vAlign w:val="bottom"/>
          </w:tcPr>
          <w:p>
            <w:pPr>
              <w:spacing w:after="0"/>
              <w:rPr>
                <w:sz w:val="24"/>
                <w:szCs w:val="24"/>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(22,108)</w:t>
            </w:r>
          </w:p>
        </w:tc>
        <w:tc>
          <w:tcPr>
            <w:tcW w:w="32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(38,280)</w:t>
            </w:r>
          </w:p>
        </w:tc>
      </w:tr>
      <w:tr>
        <w:trPr>
          <w:trHeight w:val="168"/>
        </w:trPr>
        <w:tc>
          <w:tcPr>
            <w:tcW w:w="360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(17,781)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(389,882)</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$(1,353,331)</w:t>
            </w:r>
          </w:p>
        </w:tc>
      </w:tr>
      <w:tr>
        <w:trPr>
          <w:trHeight w:val="168"/>
        </w:trPr>
        <w:tc>
          <w:tcPr>
            <w:tcW w:w="3600" w:type="dxa"/>
            <w:vAlign w:val="bottom"/>
          </w:tcPr>
          <w:p>
            <w:pPr>
              <w:spacing w:after="0"/>
              <w:rPr>
                <w:sz w:val="14"/>
                <w:szCs w:val="14"/>
                <w:color w:val="auto"/>
              </w:rPr>
            </w:pP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17" w:right="1440" w:bottom="1440" w:gutter="0" w:footer="0" w:header="0"/>
        </w:sectPr>
      </w:pPr>
    </w:p>
    <w:bookmarkStart w:id="48" w:name="page49"/>
    <w:bookmarkEnd w:id="48"/>
    <w:p>
      <w:pPr>
        <w:jc w:val="center"/>
        <w:ind w:right="3840"/>
        <w:spacing w:after="0"/>
        <w:rPr>
          <w:sz w:val="20"/>
          <w:szCs w:val="20"/>
          <w:color w:val="auto"/>
        </w:rPr>
      </w:pPr>
      <w:r>
        <w:rPr>
          <w:rFonts w:ascii="Courier New" w:cs="Courier New" w:eastAsia="Courier New" w:hAnsi="Courier New"/>
          <w:sz w:val="15"/>
          <w:szCs w:val="15"/>
          <w:color w:val="auto"/>
        </w:rPr>
        <w:t>CLARIFY</w:t>
      </w:r>
    </w:p>
    <w:p>
      <w:pPr>
        <w:jc w:val="center"/>
        <w:ind w:right="3840"/>
        <w:spacing w:after="0" w:line="237" w:lineRule="auto"/>
        <w:rPr>
          <w:sz w:val="20"/>
          <w:szCs w:val="20"/>
          <w:color w:val="auto"/>
        </w:rPr>
      </w:pPr>
      <w:r>
        <w:rPr>
          <w:rFonts w:ascii="Courier New" w:cs="Courier New" w:eastAsia="Courier New" w:hAnsi="Courier New"/>
          <w:sz w:val="15"/>
          <w:szCs w:val="15"/>
          <w:color w:val="auto"/>
        </w:rPr>
        <w:t>(A BUSINESS OF NORTEL NETWORKS CORPORATION)</w:t>
      </w:r>
    </w:p>
    <w:p>
      <w:pPr>
        <w:spacing w:after="0" w:line="167"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STATEMENTS OF CASH FLOWS (UNAUDITED)</w:t>
      </w:r>
    </w:p>
    <w:p>
      <w:pPr>
        <w:jc w:val="center"/>
        <w:ind w:right="3920"/>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PREDECESSOR</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8"/>
              </w:rPr>
              <w:t>COMPANY</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8"/>
              </w:rPr>
              <w:t>-------</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PERIOD FROM</w:t>
            </w:r>
          </w:p>
        </w:tc>
        <w:tc>
          <w:tcPr>
            <w:tcW w:w="16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PERIOD FROM</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JANUARY 1,</w:t>
            </w:r>
          </w:p>
        </w:tc>
        <w:tc>
          <w:tcPr>
            <w:tcW w:w="40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MARCH 17,</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NINE MONTHS</w:t>
            </w:r>
          </w:p>
        </w:tc>
      </w:tr>
      <w:tr>
        <w:trPr>
          <w:trHeight w:val="168"/>
        </w:trPr>
        <w:tc>
          <w:tcPr>
            <w:tcW w:w="6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8"/>
              </w:rPr>
              <w:t>2000 TO</w:t>
            </w:r>
          </w:p>
        </w:tc>
        <w:tc>
          <w:tcPr>
            <w:tcW w:w="40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 TO</w:t>
            </w:r>
          </w:p>
        </w:tc>
        <w:tc>
          <w:tcPr>
            <w:tcW w:w="40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6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6"/>
              </w:rPr>
              <w:t>MARCH 16,</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SEPTEMBER 30,</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SEPTEMBER 30,</w:t>
            </w:r>
          </w:p>
        </w:tc>
      </w:tr>
      <w:tr>
        <w:trPr>
          <w:trHeight w:val="168"/>
        </w:trPr>
        <w:tc>
          <w:tcPr>
            <w:tcW w:w="6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12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Cash flows from (used in) operating activities: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loss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(17,781)</w:t>
            </w:r>
          </w:p>
        </w:tc>
        <w:tc>
          <w:tcPr>
            <w:tcW w:w="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(389,882)</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$(1,353,331)</w:t>
            </w: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loss to net cash provided by (used in)</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operating activities, net of the effects of acquisitions:</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2,275</w:t>
            </w:r>
          </w:p>
        </w:tc>
        <w:tc>
          <w:tcPr>
            <w:tcW w:w="40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387,790</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394,820</w:t>
            </w: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Special Charges</w:t>
            </w:r>
          </w:p>
        </w:tc>
        <w:tc>
          <w:tcPr>
            <w:tcW w:w="3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910,804</w:t>
            </w: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Provision for doubtful accounts and returns</w:t>
            </w:r>
          </w:p>
        </w:tc>
        <w:tc>
          <w:tcPr>
            <w:tcW w:w="3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83</w:t>
            </w:r>
          </w:p>
        </w:tc>
        <w:tc>
          <w:tcPr>
            <w:tcW w:w="40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744</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4,856</w:t>
            </w: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income taxes .</w:t>
            </w:r>
          </w:p>
        </w:tc>
        <w:tc>
          <w:tcPr>
            <w:tcW w:w="3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(19,176)</w:t>
            </w:r>
          </w:p>
        </w:tc>
        <w:tc>
          <w:tcPr>
            <w:tcW w:w="40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(62,483)</w:t>
            </w:r>
          </w:p>
        </w:tc>
        <w:tc>
          <w:tcPr>
            <w:tcW w:w="4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(32,934)</w:t>
            </w: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Write-off of acquired in-process research and development</w:t>
            </w:r>
          </w:p>
        </w:tc>
        <w:tc>
          <w:tcPr>
            <w:tcW w:w="3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63,939</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Tax benefit from exercise of nonqualified stock options</w:t>
            </w:r>
          </w:p>
        </w:tc>
        <w:tc>
          <w:tcPr>
            <w:tcW w:w="3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4,740</w:t>
            </w:r>
          </w:p>
        </w:tc>
        <w:tc>
          <w:tcPr>
            <w:tcW w:w="40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31,415</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1,285</w:t>
            </w:r>
          </w:p>
        </w:tc>
      </w:tr>
      <w:tr>
        <w:trPr>
          <w:trHeight w:val="168"/>
        </w:trPr>
        <w:tc>
          <w:tcPr>
            <w:tcW w:w="6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3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3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26,350</w:t>
            </w:r>
          </w:p>
        </w:tc>
        <w:tc>
          <w:tcPr>
            <w:tcW w:w="40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(26,179)</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45,149</w:t>
            </w:r>
          </w:p>
        </w:tc>
      </w:tr>
      <w:tr>
        <w:trPr>
          <w:trHeight w:val="168"/>
        </w:trPr>
        <w:tc>
          <w:tcPr>
            <w:tcW w:w="63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Prepaid and other assets</w:t>
            </w:r>
          </w:p>
        </w:tc>
        <w:tc>
          <w:tcPr>
            <w:tcW w:w="3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(27,630)</w:t>
            </w:r>
          </w:p>
        </w:tc>
        <w:tc>
          <w:tcPr>
            <w:tcW w:w="40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28,328</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6,725</w:t>
            </w:r>
          </w:p>
        </w:tc>
      </w:tr>
      <w:tr>
        <w:trPr>
          <w:trHeight w:val="168"/>
        </w:trPr>
        <w:tc>
          <w:tcPr>
            <w:tcW w:w="63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3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702</w:t>
            </w:r>
          </w:p>
        </w:tc>
        <w:tc>
          <w:tcPr>
            <w:tcW w:w="40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(4,237)</w:t>
            </w:r>
          </w:p>
        </w:tc>
        <w:tc>
          <w:tcPr>
            <w:tcW w:w="4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(13,566)</w:t>
            </w:r>
          </w:p>
        </w:tc>
      </w:tr>
      <w:tr>
        <w:trPr>
          <w:trHeight w:val="168"/>
        </w:trPr>
        <w:tc>
          <w:tcPr>
            <w:tcW w:w="63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Payroll-related accruals</w:t>
            </w:r>
          </w:p>
        </w:tc>
        <w:tc>
          <w:tcPr>
            <w:tcW w:w="3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(4,718)</w:t>
            </w:r>
          </w:p>
        </w:tc>
        <w:tc>
          <w:tcPr>
            <w:tcW w:w="40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3,622</w:t>
            </w:r>
          </w:p>
        </w:tc>
        <w:tc>
          <w:tcPr>
            <w:tcW w:w="4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(8,243)</w:t>
            </w:r>
          </w:p>
        </w:tc>
      </w:tr>
      <w:tr>
        <w:trPr>
          <w:trHeight w:val="168"/>
        </w:trPr>
        <w:tc>
          <w:tcPr>
            <w:tcW w:w="63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accrued liabilities</w:t>
            </w:r>
          </w:p>
        </w:tc>
        <w:tc>
          <w:tcPr>
            <w:tcW w:w="3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655</w:t>
            </w:r>
          </w:p>
        </w:tc>
        <w:tc>
          <w:tcPr>
            <w:tcW w:w="40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(24,361)</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3,056</w:t>
            </w:r>
          </w:p>
        </w:tc>
      </w:tr>
      <w:tr>
        <w:trPr>
          <w:trHeight w:val="168"/>
        </w:trPr>
        <w:tc>
          <w:tcPr>
            <w:tcW w:w="63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Unearned revenue</w:t>
            </w:r>
          </w:p>
        </w:tc>
        <w:tc>
          <w:tcPr>
            <w:tcW w:w="3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5,828</w:t>
            </w:r>
          </w:p>
        </w:tc>
        <w:tc>
          <w:tcPr>
            <w:tcW w:w="40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9,179</w:t>
            </w:r>
          </w:p>
        </w:tc>
        <w:tc>
          <w:tcPr>
            <w:tcW w:w="4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(18,252)</w:t>
            </w:r>
          </w:p>
        </w:tc>
      </w:tr>
      <w:tr>
        <w:trPr>
          <w:trHeight w:val="168"/>
        </w:trPr>
        <w:tc>
          <w:tcPr>
            <w:tcW w:w="6360" w:type="dxa"/>
            <w:vAlign w:val="bottom"/>
          </w:tcPr>
          <w:p>
            <w:pPr>
              <w:spacing w:after="0"/>
              <w:rPr>
                <w:sz w:val="14"/>
                <w:szCs w:val="14"/>
                <w:color w:val="auto"/>
              </w:rPr>
            </w:pPr>
          </w:p>
        </w:tc>
        <w:tc>
          <w:tcPr>
            <w:tcW w:w="16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ind w:left="980"/>
              <w:spacing w:after="0"/>
              <w:rPr>
                <w:sz w:val="20"/>
                <w:szCs w:val="20"/>
                <w:color w:val="auto"/>
              </w:rPr>
            </w:pPr>
            <w:r>
              <w:rPr>
                <w:rFonts w:ascii="Courier New" w:cs="Courier New" w:eastAsia="Courier New" w:hAnsi="Courier New"/>
                <w:sz w:val="15"/>
                <w:szCs w:val="15"/>
                <w:color w:val="auto"/>
              </w:rPr>
              <w:t>Net cash provided by (used in) operating activities</w:t>
            </w:r>
          </w:p>
        </w:tc>
        <w:tc>
          <w:tcPr>
            <w:tcW w:w="380" w:type="dxa"/>
            <w:vAlign w:val="bottom"/>
          </w:tcPr>
          <w:p>
            <w:pPr>
              <w:spacing w:after="0"/>
              <w:rPr>
                <w:sz w:val="24"/>
                <w:szCs w:val="2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(28,672)</w:t>
            </w:r>
          </w:p>
        </w:tc>
        <w:tc>
          <w:tcPr>
            <w:tcW w:w="400" w:type="dxa"/>
            <w:vAlign w:val="bottom"/>
          </w:tcPr>
          <w:p>
            <w:pPr>
              <w:spacing w:after="0"/>
              <w:rPr>
                <w:sz w:val="24"/>
                <w:szCs w:val="24"/>
                <w:color w:val="auto"/>
              </w:rPr>
            </w:pP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17,875</w:t>
            </w:r>
          </w:p>
        </w:tc>
        <w:tc>
          <w:tcPr>
            <w:tcW w:w="40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(59,631)</w:t>
            </w:r>
          </w:p>
        </w:tc>
      </w:tr>
      <w:tr>
        <w:trPr>
          <w:trHeight w:val="168"/>
        </w:trPr>
        <w:tc>
          <w:tcPr>
            <w:tcW w:w="6360" w:type="dxa"/>
            <w:vAlign w:val="bottom"/>
          </w:tcPr>
          <w:p>
            <w:pPr>
              <w:spacing w:after="0"/>
              <w:rPr>
                <w:sz w:val="14"/>
                <w:szCs w:val="14"/>
                <w:color w:val="auto"/>
              </w:rPr>
            </w:pPr>
          </w:p>
        </w:tc>
        <w:tc>
          <w:tcPr>
            <w:tcW w:w="16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Cash flows from (used in) investing activities: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of property and equipment</w:t>
            </w:r>
          </w:p>
        </w:tc>
        <w:tc>
          <w:tcPr>
            <w:tcW w:w="3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(1,902)</w:t>
            </w:r>
          </w:p>
        </w:tc>
        <w:tc>
          <w:tcPr>
            <w:tcW w:w="40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(3,743)</w:t>
            </w:r>
          </w:p>
        </w:tc>
        <w:tc>
          <w:tcPr>
            <w:tcW w:w="4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(1,399)</w:t>
            </w: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 and maturities of investments</w:t>
            </w:r>
          </w:p>
        </w:tc>
        <w:tc>
          <w:tcPr>
            <w:tcW w:w="3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15,517</w:t>
            </w:r>
          </w:p>
        </w:tc>
        <w:tc>
          <w:tcPr>
            <w:tcW w:w="40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25,280</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16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ind w:left="980"/>
              <w:spacing w:after="0"/>
              <w:rPr>
                <w:sz w:val="20"/>
                <w:szCs w:val="20"/>
                <w:color w:val="auto"/>
              </w:rPr>
            </w:pPr>
            <w:r>
              <w:rPr>
                <w:rFonts w:ascii="Courier New" w:cs="Courier New" w:eastAsia="Courier New" w:hAnsi="Courier New"/>
                <w:sz w:val="15"/>
                <w:szCs w:val="15"/>
                <w:color w:val="auto"/>
              </w:rPr>
              <w:t>Net cash provided by (used for) investing activities</w:t>
            </w:r>
          </w:p>
        </w:tc>
        <w:tc>
          <w:tcPr>
            <w:tcW w:w="38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13,615</w:t>
            </w:r>
          </w:p>
        </w:tc>
        <w:tc>
          <w:tcPr>
            <w:tcW w:w="400" w:type="dxa"/>
            <w:vAlign w:val="bottom"/>
          </w:tcPr>
          <w:p>
            <w:pPr>
              <w:spacing w:after="0"/>
              <w:rPr>
                <w:sz w:val="24"/>
                <w:szCs w:val="24"/>
                <w:color w:val="auto"/>
              </w:rPr>
            </w:pP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21,537</w:t>
            </w:r>
          </w:p>
        </w:tc>
        <w:tc>
          <w:tcPr>
            <w:tcW w:w="40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(1,399)</w:t>
            </w:r>
          </w:p>
        </w:tc>
      </w:tr>
      <w:tr>
        <w:trPr>
          <w:trHeight w:val="168"/>
        </w:trPr>
        <w:tc>
          <w:tcPr>
            <w:tcW w:w="6360" w:type="dxa"/>
            <w:vAlign w:val="bottom"/>
          </w:tcPr>
          <w:p>
            <w:pPr>
              <w:spacing w:after="0"/>
              <w:rPr>
                <w:sz w:val="14"/>
                <w:szCs w:val="14"/>
                <w:color w:val="auto"/>
              </w:rPr>
            </w:pPr>
          </w:p>
        </w:tc>
        <w:tc>
          <w:tcPr>
            <w:tcW w:w="16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issuance of common stock, net</w:t>
            </w:r>
          </w:p>
        </w:tc>
        <w:tc>
          <w:tcPr>
            <w:tcW w:w="3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7,282</w:t>
            </w:r>
          </w:p>
        </w:tc>
        <w:tc>
          <w:tcPr>
            <w:tcW w:w="40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Receivable/payable to Nortel Networks Corporation</w:t>
            </w:r>
          </w:p>
        </w:tc>
        <w:tc>
          <w:tcPr>
            <w:tcW w:w="3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(5,209)</w:t>
            </w:r>
          </w:p>
        </w:tc>
        <w:tc>
          <w:tcPr>
            <w:tcW w:w="4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69,146</w:t>
            </w:r>
          </w:p>
        </w:tc>
      </w:tr>
      <w:tr>
        <w:trPr>
          <w:trHeight w:val="168"/>
        </w:trPr>
        <w:tc>
          <w:tcPr>
            <w:tcW w:w="6360" w:type="dxa"/>
            <w:vAlign w:val="bottom"/>
          </w:tcPr>
          <w:p>
            <w:pPr>
              <w:spacing w:after="0"/>
              <w:rPr>
                <w:sz w:val="14"/>
                <w:szCs w:val="14"/>
                <w:color w:val="auto"/>
              </w:rPr>
            </w:pPr>
          </w:p>
        </w:tc>
        <w:tc>
          <w:tcPr>
            <w:tcW w:w="16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ind w:left="980"/>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38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7,282</w:t>
            </w:r>
          </w:p>
        </w:tc>
        <w:tc>
          <w:tcPr>
            <w:tcW w:w="400" w:type="dxa"/>
            <w:vAlign w:val="bottom"/>
          </w:tcPr>
          <w:p>
            <w:pPr>
              <w:spacing w:after="0"/>
              <w:rPr>
                <w:sz w:val="24"/>
                <w:szCs w:val="2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(5,209)</w:t>
            </w:r>
          </w:p>
        </w:tc>
        <w:tc>
          <w:tcPr>
            <w:tcW w:w="40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69,146</w:t>
            </w:r>
          </w:p>
        </w:tc>
      </w:tr>
      <w:tr>
        <w:trPr>
          <w:trHeight w:val="168"/>
        </w:trPr>
        <w:tc>
          <w:tcPr>
            <w:tcW w:w="6360" w:type="dxa"/>
            <w:vAlign w:val="bottom"/>
          </w:tcPr>
          <w:p>
            <w:pPr>
              <w:spacing w:after="0"/>
              <w:rPr>
                <w:sz w:val="14"/>
                <w:szCs w:val="14"/>
                <w:color w:val="auto"/>
              </w:rPr>
            </w:pPr>
          </w:p>
        </w:tc>
        <w:tc>
          <w:tcPr>
            <w:tcW w:w="16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380" w:type="dxa"/>
            <w:vAlign w:val="bottom"/>
          </w:tcPr>
          <w:p>
            <w:pPr>
              <w:spacing w:after="0"/>
              <w:rPr>
                <w:sz w:val="24"/>
                <w:szCs w:val="2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(7,775)</w:t>
            </w:r>
          </w:p>
        </w:tc>
        <w:tc>
          <w:tcPr>
            <w:tcW w:w="400" w:type="dxa"/>
            <w:vAlign w:val="bottom"/>
          </w:tcPr>
          <w:p>
            <w:pPr>
              <w:spacing w:after="0"/>
              <w:rPr>
                <w:sz w:val="24"/>
                <w:szCs w:val="24"/>
                <w:color w:val="auto"/>
              </w:rPr>
            </w:pP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34,203</w:t>
            </w:r>
          </w:p>
        </w:tc>
        <w:tc>
          <w:tcPr>
            <w:tcW w:w="40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8,116</w:t>
            </w:r>
          </w:p>
        </w:tc>
      </w:tr>
      <w:tr>
        <w:trPr>
          <w:trHeight w:val="168"/>
        </w:trPr>
        <w:tc>
          <w:tcPr>
            <w:tcW w:w="6360" w:type="dxa"/>
            <w:vAlign w:val="bottom"/>
          </w:tcPr>
          <w:p>
            <w:pPr>
              <w:spacing w:after="0"/>
              <w:rPr>
                <w:sz w:val="14"/>
                <w:szCs w:val="14"/>
                <w:color w:val="auto"/>
              </w:rPr>
            </w:pPr>
          </w:p>
        </w:tc>
        <w:tc>
          <w:tcPr>
            <w:tcW w:w="16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Effect of foreign exchange rate changes on cash</w:t>
            </w:r>
          </w:p>
        </w:tc>
        <w:tc>
          <w:tcPr>
            <w:tcW w:w="38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320</w:t>
            </w:r>
          </w:p>
        </w:tc>
        <w:tc>
          <w:tcPr>
            <w:tcW w:w="400" w:type="dxa"/>
            <w:vAlign w:val="bottom"/>
          </w:tcPr>
          <w:p>
            <w:pPr>
              <w:spacing w:after="0"/>
              <w:rPr>
                <w:sz w:val="24"/>
                <w:szCs w:val="24"/>
                <w:color w:val="auto"/>
              </w:rPr>
            </w:pP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466</w:t>
            </w:r>
          </w:p>
        </w:tc>
        <w:tc>
          <w:tcPr>
            <w:tcW w:w="40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38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37,491</w:t>
            </w:r>
          </w:p>
        </w:tc>
        <w:tc>
          <w:tcPr>
            <w:tcW w:w="400" w:type="dxa"/>
            <w:vAlign w:val="bottom"/>
          </w:tcPr>
          <w:p>
            <w:pPr>
              <w:spacing w:after="0"/>
              <w:rPr>
                <w:sz w:val="24"/>
                <w:szCs w:val="24"/>
                <w:color w:val="auto"/>
              </w:rPr>
            </w:pP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30,036</w:t>
            </w:r>
          </w:p>
        </w:tc>
        <w:tc>
          <w:tcPr>
            <w:tcW w:w="40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13,459</w:t>
            </w:r>
          </w:p>
        </w:tc>
      </w:tr>
      <w:tr>
        <w:trPr>
          <w:trHeight w:val="168"/>
        </w:trPr>
        <w:tc>
          <w:tcPr>
            <w:tcW w:w="6360" w:type="dxa"/>
            <w:vAlign w:val="bottom"/>
          </w:tcPr>
          <w:p>
            <w:pPr>
              <w:spacing w:after="0"/>
              <w:rPr>
                <w:sz w:val="14"/>
                <w:szCs w:val="14"/>
                <w:color w:val="auto"/>
              </w:rPr>
            </w:pPr>
          </w:p>
        </w:tc>
        <w:tc>
          <w:tcPr>
            <w:tcW w:w="16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30,036</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64,705</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21,678</w:t>
            </w:r>
          </w:p>
        </w:tc>
      </w:tr>
      <w:tr>
        <w:trPr>
          <w:trHeight w:val="168"/>
        </w:trPr>
        <w:tc>
          <w:tcPr>
            <w:tcW w:w="6360" w:type="dxa"/>
            <w:vAlign w:val="bottom"/>
          </w:tcPr>
          <w:p>
            <w:pPr>
              <w:spacing w:after="0"/>
              <w:rPr>
                <w:sz w:val="14"/>
                <w:szCs w:val="14"/>
                <w:color w:val="auto"/>
              </w:rPr>
            </w:pPr>
          </w:p>
        </w:tc>
        <w:tc>
          <w:tcPr>
            <w:tcW w:w="16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during the period for interest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16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during the period for taxes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w:t>
            </w:r>
          </w:p>
        </w:tc>
        <w:tc>
          <w:tcPr>
            <w:tcW w:w="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125</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16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Supplemental disclosure of noncash investing and financing activities: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unrealized holding gains on investments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w:t>
            </w:r>
          </w:p>
        </w:tc>
        <w:tc>
          <w:tcPr>
            <w:tcW w:w="40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16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Contribution of Introspect Systems, Inc</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6,174</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16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940"/>
          </w:cols>
          <w:pgMar w:left="220" w:top="449" w:right="739" w:bottom="1440" w:gutter="0" w:footer="0" w:header="0"/>
        </w:sectPr>
      </w:pPr>
    </w:p>
    <w:bookmarkStart w:id="49" w:name="page50"/>
    <w:bookmarkEnd w:id="49"/>
    <w:p>
      <w:pPr>
        <w:jc w:val="center"/>
        <w:ind w:right="3139"/>
        <w:spacing w:after="0"/>
        <w:rPr>
          <w:sz w:val="20"/>
          <w:szCs w:val="20"/>
          <w:color w:val="auto"/>
        </w:rPr>
      </w:pPr>
      <w:r>
        <w:rPr>
          <w:rFonts w:ascii="Courier New" w:cs="Courier New" w:eastAsia="Courier New" w:hAnsi="Courier New"/>
          <w:sz w:val="15"/>
          <w:szCs w:val="15"/>
          <w:color w:val="auto"/>
        </w:rPr>
        <w:t>CLARIFY</w:t>
      </w:r>
    </w:p>
    <w:p>
      <w:pPr>
        <w:jc w:val="center"/>
        <w:ind w:right="3139"/>
        <w:spacing w:after="0" w:line="237" w:lineRule="auto"/>
        <w:rPr>
          <w:sz w:val="20"/>
          <w:szCs w:val="20"/>
          <w:color w:val="auto"/>
        </w:rPr>
      </w:pPr>
      <w:r>
        <w:rPr>
          <w:rFonts w:ascii="Courier New" w:cs="Courier New" w:eastAsia="Courier New" w:hAnsi="Courier New"/>
          <w:sz w:val="15"/>
          <w:szCs w:val="15"/>
          <w:color w:val="auto"/>
        </w:rPr>
        <w:t>(A BUSINESS OF NORTEL NETWORKS CORPORATION)</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NOTES TO FINANCIAL STATEMENTS (UNAUDITED)</w:t>
      </w:r>
    </w:p>
    <w:p>
      <w:pPr>
        <w:spacing w:after="0" w:line="173" w:lineRule="exact"/>
        <w:rPr>
          <w:sz w:val="20"/>
          <w:szCs w:val="20"/>
          <w:color w:val="auto"/>
        </w:rPr>
      </w:pPr>
    </w:p>
    <w:p>
      <w:pPr>
        <w:jc w:val="center"/>
        <w:ind w:right="3319"/>
        <w:spacing w:after="0" w:line="235" w:lineRule="auto"/>
        <w:rPr>
          <w:sz w:val="20"/>
          <w:szCs w:val="20"/>
          <w:color w:val="auto"/>
        </w:rPr>
      </w:pPr>
      <w:r>
        <w:rPr>
          <w:rFonts w:ascii="Courier New" w:cs="Courier New" w:eastAsia="Courier New" w:hAnsi="Courier New"/>
          <w:sz w:val="15"/>
          <w:szCs w:val="15"/>
          <w:color w:val="auto"/>
        </w:rPr>
        <w:t>NINE MONTHS ENDED SEPTEMBER 30, 2001, PERIOD FROM JANUARY 1, 2000 THROUGH MARCH 16, 2000 (PREDECESSOR COMPANY) AND PERIOD FROM MARCH 17, 2000 THROUGH SEPTEMBER 30, 2000 (THOUSANDS OF DOLLARS UNLESS OTHERWISE STATED)(CONTINUED)</w:t>
      </w:r>
    </w:p>
    <w:p>
      <w:pPr>
        <w:spacing w:after="0" w:line="167" w:lineRule="exact"/>
        <w:rPr>
          <w:sz w:val="20"/>
          <w:szCs w:val="20"/>
          <w:color w:val="auto"/>
        </w:rPr>
      </w:pPr>
    </w:p>
    <w:p>
      <w:pPr>
        <w:ind w:left="800" w:hanging="790"/>
        <w:spacing w:after="0"/>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OF THE COMPANY</w:t>
      </w:r>
    </w:p>
    <w:p>
      <w:pPr>
        <w:spacing w:after="0" w:line="172" w:lineRule="exact"/>
        <w:rPr>
          <w:rFonts w:ascii="Courier New" w:cs="Courier New" w:eastAsia="Courier New" w:hAnsi="Courier New"/>
          <w:sz w:val="15"/>
          <w:szCs w:val="15"/>
          <w:color w:val="auto"/>
        </w:rPr>
      </w:pPr>
    </w:p>
    <w:p>
      <w:pPr>
        <w:ind w:left="80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16, 2000, Nortel Networks Limited (then known as Nortel Networks Corporation), currently the principal operating subsidiary of Nortel Networks Corporation ("Nortel Networks") acquired all of the issued and outstanding shares of Clarify Inc. ("Clarify"), a Delaware corporation, in a transaction (the "Acquisition") that was accounted for using the purchase method (the on-going business is also referred to as "Clarify"). Clarify was founded in August 1990 to develop, market and support adaptable client/server application software designed to address the external and internal service, support, and product quality needs of today's global enterprises. Clarify markets its software and services through its direct sales organization and other Nortel Networks sales organizations.</w:t>
      </w:r>
    </w:p>
    <w:p>
      <w:pPr>
        <w:spacing w:after="0" w:line="173" w:lineRule="exact"/>
        <w:rPr>
          <w:rFonts w:ascii="Courier New" w:cs="Courier New" w:eastAsia="Courier New" w:hAnsi="Courier New"/>
          <w:sz w:val="15"/>
          <w:szCs w:val="15"/>
          <w:color w:val="auto"/>
        </w:rPr>
      </w:pPr>
    </w:p>
    <w:p>
      <w:pPr>
        <w:ind w:left="80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a result of the ownership change, the accompanying financial statements reflect the effect of the purchase accounting adjustments that relate to Clarify in accordance with Staff Accounting Bulletin No. 54 of the United States Securities and Exchange Commission. The financial statements of Clarify for the period prior to the March 16, 2000 acquisition date are referred to herein as the Predecessor Company financial statements. The aggregate purchase price allocated to Clarify as of March 16, 2000 was $2,083 million. The allocation of the purchase price, based on the estimated fair value of the net assets was to net tangible assets of $18 million, in-process research and development ("IPR&amp;D") of $64 million, acquired technology of $210 million, and goodwill of $1,791 million. The goodwill is being amortized over 3 years and the acquired technology is being amortized over 2 years. On August 24, 2000, a division of Nortel Networks acquired specified assets and assumed specified liabilities of Introspect Systems, Inc. ("ISI"), a privately held Clarify implementation and training consultancy. This acquisition was made on behalf of Clarify. The aggregate purchase price was approximately $7.0 million of which Nortel Networks paid $6.2 million on behalf of Clarify and other acquisition costs of $0.8 million were paid by Clarify. The allocation of the purchase price was to goodwill of $6.7 million and net tangible assets of $0.3 million. The goodwill is being amortized over 3 years.</w:t>
      </w:r>
    </w:p>
    <w:p>
      <w:pPr>
        <w:spacing w:after="0" w:line="175" w:lineRule="exact"/>
        <w:rPr>
          <w:rFonts w:ascii="Courier New" w:cs="Courier New" w:eastAsia="Courier New" w:hAnsi="Courier New"/>
          <w:sz w:val="15"/>
          <w:szCs w:val="15"/>
          <w:color w:val="auto"/>
        </w:rPr>
      </w:pPr>
    </w:p>
    <w:p>
      <w:pPr>
        <w:ind w:left="80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December 31, 2000, Nortel Networks merged Clarify into another Nortel Networks' legal entity and Clarify ceased to exist as a separate legal entity. The accompanying financial statements reflect the carved-out operations and financial position of Clarify as if it had been a stand alone entity for all periods presented. The financial statements therefore include revenue and cost of sales of Clarify's product, as well as personnel, facilities and other expenses which were directly attributable to Clarify's general and administrative, research and development, and sales and marketing activities.</w:t>
      </w:r>
    </w:p>
    <w:p>
      <w:pPr>
        <w:spacing w:after="0" w:line="165" w:lineRule="exact"/>
        <w:rPr>
          <w:rFonts w:ascii="Courier New" w:cs="Courier New" w:eastAsia="Courier New" w:hAnsi="Courier New"/>
          <w:sz w:val="15"/>
          <w:szCs w:val="15"/>
          <w:color w:val="auto"/>
        </w:rPr>
      </w:pPr>
    </w:p>
    <w:p>
      <w:pPr>
        <w:ind w:left="80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Subsequent to the acquisition, certain functions and processes (including, but not limited to; cash management, processing of receivables and certain payables, legal services, and payroll ("centralized services")) were transitioned during the period from March 17, 2000 to December 31, 2000 to be performed centrally by Nortel Networks for Clarify. Costs for these services are billed to Clarify based on actual usage and are included in Clarify's statement of operations. Although management is unable to determine the actual cost that would have been incurred if the services performed by Nortel Networks had been purchased from independent third parties, management considers the allocation methodology described to be reasonable. The financial position, results of operations and cash flows of Clarify may</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449" w:right="1440" w:bottom="1440" w:gutter="0" w:footer="0" w:header="0"/>
        </w:sectPr>
      </w:pPr>
    </w:p>
    <w:bookmarkStart w:id="50" w:name="page51"/>
    <w:bookmarkEnd w:id="50"/>
    <w:p>
      <w:pPr>
        <w:jc w:val="both"/>
        <w:ind w:left="800" w:right="3499"/>
        <w:spacing w:after="0" w:line="261" w:lineRule="auto"/>
        <w:rPr>
          <w:sz w:val="20"/>
          <w:szCs w:val="20"/>
          <w:color w:val="auto"/>
        </w:rPr>
      </w:pPr>
      <w:r>
        <w:rPr>
          <w:rFonts w:ascii="Courier New" w:cs="Courier New" w:eastAsia="Courier New" w:hAnsi="Courier New"/>
          <w:sz w:val="14"/>
          <w:szCs w:val="14"/>
          <w:color w:val="auto"/>
        </w:rPr>
        <w:t>differ from those that would have been achieved had Clarify operated independent of Nortel Networks for the periods after March 16, 2000.</w:t>
      </w:r>
    </w:p>
    <w:p>
      <w:pPr>
        <w:spacing w:after="0" w:line="153" w:lineRule="exact"/>
        <w:rPr>
          <w:sz w:val="20"/>
          <w:szCs w:val="20"/>
          <w:color w:val="auto"/>
        </w:rPr>
      </w:pPr>
    </w:p>
    <w:p>
      <w:pPr>
        <w:ind w:left="800" w:hanging="790"/>
        <w:spacing w:after="0"/>
        <w:tabs>
          <w:tab w:leader="none" w:pos="8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CHARGES</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Special charges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5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NINE MONTHS</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PROVISION</w:t>
            </w:r>
          </w:p>
        </w:tc>
      </w:tr>
      <w:tr>
        <w:trPr>
          <w:trHeight w:val="168"/>
        </w:trPr>
        <w:tc>
          <w:tcPr>
            <w:tcW w:w="2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ENDED</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gridSpan w:val="2"/>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BALANCE AS AT</w:t>
            </w:r>
          </w:p>
        </w:tc>
      </w:tr>
      <w:tr>
        <w:trPr>
          <w:trHeight w:val="168"/>
        </w:trPr>
        <w:tc>
          <w:tcPr>
            <w:tcW w:w="2860" w:type="dxa"/>
            <w:vAlign w:val="bottom"/>
          </w:tcPr>
          <w:p>
            <w:pPr>
              <w:spacing w:after="0"/>
              <w:rPr>
                <w:sz w:val="14"/>
                <w:szCs w:val="14"/>
                <w:color w:val="auto"/>
              </w:rPr>
            </w:pPr>
          </w:p>
        </w:tc>
        <w:tc>
          <w:tcPr>
            <w:tcW w:w="15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SEPTEMBER 30,</w:t>
            </w:r>
          </w:p>
        </w:tc>
        <w:tc>
          <w:tcPr>
            <w:tcW w:w="360" w:type="dxa"/>
            <w:vAlign w:val="bottom"/>
          </w:tcPr>
          <w:p>
            <w:pPr>
              <w:spacing w:after="0"/>
              <w:rPr>
                <w:sz w:val="14"/>
                <w:szCs w:val="14"/>
                <w:color w:val="auto"/>
              </w:rPr>
            </w:pPr>
          </w:p>
        </w:tc>
        <w:tc>
          <w:tcPr>
            <w:tcW w:w="2320" w:type="dxa"/>
            <w:vAlign w:val="bottom"/>
            <w:gridSpan w:val="3"/>
          </w:tcPr>
          <w:p>
            <w:pPr>
              <w:jc w:val="right"/>
              <w:ind w:right="327"/>
              <w:spacing w:after="0" w:line="168" w:lineRule="exact"/>
              <w:rPr>
                <w:sz w:val="20"/>
                <w:szCs w:val="20"/>
                <w:color w:val="auto"/>
              </w:rPr>
            </w:pPr>
            <w:r>
              <w:rPr>
                <w:rFonts w:ascii="Courier New" w:cs="Courier New" w:eastAsia="Courier New" w:hAnsi="Courier New"/>
                <w:sz w:val="15"/>
                <w:szCs w:val="15"/>
                <w:color w:val="auto"/>
              </w:rPr>
              <w:t>CUMULATIVE DRAWDOWNS</w:t>
            </w:r>
          </w:p>
        </w:tc>
        <w:tc>
          <w:tcPr>
            <w:tcW w:w="1340" w:type="dxa"/>
            <w:vAlign w:val="bottom"/>
            <w:gridSpan w:val="2"/>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SEPTEMBER 30,</w:t>
            </w:r>
          </w:p>
        </w:tc>
      </w:tr>
      <w:tr>
        <w:trPr>
          <w:trHeight w:val="168"/>
        </w:trPr>
        <w:tc>
          <w:tcPr>
            <w:tcW w:w="2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20" w:type="dxa"/>
            <w:vAlign w:val="bottom"/>
            <w:gridSpan w:val="3"/>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CASH</w:t>
            </w:r>
          </w:p>
        </w:tc>
        <w:tc>
          <w:tcPr>
            <w:tcW w:w="3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NON-CASH</w:t>
            </w:r>
          </w:p>
        </w:tc>
        <w:tc>
          <w:tcPr>
            <w:tcW w:w="3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2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3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Restructuring activities: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Workforce reduction</w:t>
            </w:r>
          </w:p>
        </w:tc>
        <w:tc>
          <w:tcPr>
            <w:tcW w:w="4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6,668</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4,243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2,425</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Contract settlement</w:t>
            </w: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8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lease costs</w:t>
            </w:r>
          </w:p>
        </w:tc>
        <w:tc>
          <w:tcPr>
            <w:tcW w:w="42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14,632</w:t>
            </w: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14,632</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Plant and equipment writedowns</w:t>
            </w:r>
          </w:p>
        </w:tc>
        <w:tc>
          <w:tcPr>
            <w:tcW w:w="42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5,804</w:t>
            </w: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5,804</w:t>
            </w:r>
          </w:p>
        </w:tc>
        <w:tc>
          <w:tcPr>
            <w:tcW w:w="3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27,104</w:t>
            </w:r>
          </w:p>
        </w:tc>
        <w:tc>
          <w:tcPr>
            <w:tcW w:w="3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4,243</w:t>
            </w:r>
          </w:p>
        </w:tc>
        <w:tc>
          <w:tcPr>
            <w:tcW w:w="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5,804</w:t>
            </w:r>
          </w:p>
        </w:tc>
        <w:tc>
          <w:tcPr>
            <w:tcW w:w="3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17,057</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Intangible assets write down</w:t>
            </w:r>
          </w:p>
        </w:tc>
        <w:tc>
          <w:tcPr>
            <w:tcW w:w="420" w:type="dxa"/>
            <w:vAlign w:val="bottom"/>
          </w:tcPr>
          <w:p>
            <w:pPr>
              <w:spacing w:after="0"/>
              <w:rPr>
                <w:sz w:val="24"/>
                <w:szCs w:val="2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905,000</w:t>
            </w:r>
          </w:p>
        </w:tc>
        <w:tc>
          <w:tcPr>
            <w:tcW w:w="36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905,000</w:t>
            </w:r>
          </w:p>
        </w:tc>
        <w:tc>
          <w:tcPr>
            <w:tcW w:w="380" w:type="dxa"/>
            <w:vAlign w:val="bottom"/>
          </w:tcPr>
          <w:p>
            <w:pPr>
              <w:spacing w:after="0"/>
              <w:rPr>
                <w:sz w:val="24"/>
                <w:szCs w:val="2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 charges</w:t>
            </w:r>
          </w:p>
        </w:tc>
        <w:tc>
          <w:tcPr>
            <w:tcW w:w="4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932,104</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4,243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910,804</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17,057</w:t>
            </w:r>
          </w:p>
        </w:tc>
      </w:tr>
      <w:tr>
        <w:trPr>
          <w:trHeight w:val="168"/>
        </w:trPr>
        <w:tc>
          <w:tcPr>
            <w:tcW w:w="2860" w:type="dxa"/>
            <w:vAlign w:val="bottom"/>
          </w:tcPr>
          <w:p>
            <w:pPr>
              <w:spacing w:after="0"/>
              <w:rPr>
                <w:sz w:val="14"/>
                <w:szCs w:val="14"/>
                <w:color w:val="auto"/>
              </w:rPr>
            </w:pPr>
          </w:p>
        </w:tc>
        <w:tc>
          <w:tcPr>
            <w:tcW w:w="15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800" w:right="3239"/>
        <w:spacing w:after="0" w:line="235" w:lineRule="auto"/>
        <w:rPr>
          <w:sz w:val="20"/>
          <w:szCs w:val="20"/>
          <w:color w:val="auto"/>
        </w:rPr>
      </w:pPr>
      <w:r>
        <w:rPr>
          <w:rFonts w:ascii="Courier New" w:cs="Courier New" w:eastAsia="Courier New" w:hAnsi="Courier New"/>
          <w:sz w:val="15"/>
          <w:szCs w:val="15"/>
          <w:color w:val="auto"/>
        </w:rPr>
        <w:t>In light of the continued significant downturn in both the industry and economic environment, there has been a continual augmentation of the work plan for Clarify during the first nine months of 2001 to optimize results and drive efficiencies in its business.</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Restructuring activities</w:t>
      </w:r>
    </w:p>
    <w:p>
      <w:pPr>
        <w:spacing w:after="0" w:line="173" w:lineRule="exact"/>
        <w:rPr>
          <w:sz w:val="20"/>
          <w:szCs w:val="20"/>
          <w:color w:val="auto"/>
        </w:rPr>
      </w:pPr>
    </w:p>
    <w:p>
      <w:pPr>
        <w:ind w:left="800" w:right="4019"/>
        <w:spacing w:after="0" w:line="234" w:lineRule="auto"/>
        <w:rPr>
          <w:sz w:val="20"/>
          <w:szCs w:val="20"/>
          <w:color w:val="auto"/>
        </w:rPr>
      </w:pPr>
      <w:r>
        <w:rPr>
          <w:rFonts w:ascii="Courier New" w:cs="Courier New" w:eastAsia="Courier New" w:hAnsi="Courier New"/>
          <w:sz w:val="15"/>
          <w:szCs w:val="15"/>
          <w:color w:val="auto"/>
        </w:rPr>
        <w:t>For the nine months ended September 30, 2001, Clarify recorded restructuring charges of $27,104.</w:t>
      </w:r>
    </w:p>
    <w:p>
      <w:pPr>
        <w:spacing w:after="0" w:line="173"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Workforce reduction charges of $6,668 for the nine months ended September 30, 2001 were related to the cost of severance and benefits associated with approximately 139 employees notified of termination. The workforce reduction was primarily in North America. As at September 30, 2001, the workforce reduction provision balance has been drawn down by cash payments of $4,243, resulting in an ending provision balance of $2,425. The remaining provision is expected to be substantially drawn down by the end of the first quarter of 2002.</w:t>
      </w:r>
    </w:p>
    <w:p>
      <w:pPr>
        <w:spacing w:after="0" w:line="166" w:lineRule="exact"/>
        <w:rPr>
          <w:sz w:val="20"/>
          <w:szCs w:val="20"/>
          <w:color w:val="auto"/>
        </w:rPr>
      </w:pPr>
    </w:p>
    <w:p>
      <w:pPr>
        <w:ind w:left="800" w:right="3319"/>
        <w:spacing w:after="0" w:line="255" w:lineRule="auto"/>
        <w:rPr>
          <w:sz w:val="20"/>
          <w:szCs w:val="20"/>
          <w:color w:val="auto"/>
        </w:rPr>
      </w:pPr>
      <w:r>
        <w:rPr>
          <w:rFonts w:ascii="Courier New" w:cs="Courier New" w:eastAsia="Courier New" w:hAnsi="Courier New"/>
          <w:sz w:val="14"/>
          <w:szCs w:val="14"/>
          <w:color w:val="auto"/>
        </w:rPr>
        <w:t>In conjunction with the above noted workforce reduction, Clarify identified a number of leased facilities comprised of office and warehouse and manufacturing space, as well as leased manufacturing equipment, that were no longer required. As a result, Clarify recorded net lease costs of approximately $14,632 for the nine months ended September 30, 2001. The costs primarily related to Clarify's future</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455" w:right="1440" w:bottom="1440" w:gutter="0" w:footer="0" w:header="0"/>
        </w:sectPr>
      </w:pPr>
    </w:p>
    <w:bookmarkStart w:id="51" w:name="page52"/>
    <w:bookmarkEnd w:id="51"/>
    <w:p>
      <w:pPr>
        <w:ind w:right="3319"/>
        <w:spacing w:after="0" w:line="236" w:lineRule="auto"/>
        <w:rPr>
          <w:sz w:val="20"/>
          <w:szCs w:val="20"/>
          <w:color w:val="auto"/>
        </w:rPr>
      </w:pPr>
      <w:r>
        <w:rPr>
          <w:rFonts w:ascii="Courier New" w:cs="Courier New" w:eastAsia="Courier New" w:hAnsi="Courier New"/>
          <w:sz w:val="15"/>
          <w:szCs w:val="15"/>
          <w:color w:val="auto"/>
        </w:rPr>
        <w:t>contractual obligations under operating leases. Partially offsetting the total lease charge is approximately $11,754 in expected sublease revenue on leases that Clarify cannot terminate. As at September 30, 2001, the provision balance has not yet been drawn down. The provision is expected to be substantially drawn down by the end of the fourth quarter of 2002.</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Plant and equipment write downs of $5,804 for the nine months ended September 30, 2001 consisted of the writedown of leasehold improvements and certain information technology equipment associated with the exiting of the above noted leased facilities.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 write down</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For the nine months ended September 30, 2001, Clarify recorded an intangible assets write down of approximately $905,000.</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Clarify, as part of its review of financial results during the three months ended June 30, 2001, performed an assessment of the carrying values of intangible assets recorded in connection with acquisitions. The assessment during that period was performed in light of the significant negative industry and economic trends impacting both the current operations and expected future growth rates, and the adjustment of technology valuations. The conclusion of that assessment was that the decline in market conditions within the industry was significant and other than temporary. As a result, Clarify recorded a write down of intangible assets of approximately $905,000 in the three months ended June 30, 2001, based on the amount by which the carrying amount of these assets exceeded the fair value.</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Fair value was determined based on discounted future cash flows. The cash flow period used was five years, the discount rate used was 20 percent, and the terminal value was estimated based upon a terminal growth rate of 5 percent. The assumptions supporting the estimated future cash flows, including the discount rate and estimated terminal value, reflect management's best estimates. The discount rate was based upon the weighted average cost of capital as adjusted for the risks associated with the operations.</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Clarify has determined that the remaining intangible asset balances will continue to be amortized on a straight-line basis over the remaining useful lives established at the time of the related acquisition as the remaining useful life of these intangible assets has not changed.</w:t>
      </w:r>
    </w:p>
    <w:p>
      <w:pPr>
        <w:spacing w:after="0" w:line="174"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The conclusion of the assessment performed during the three months ended September 30, 2001 was that no additional write down of intangible assets was required.</w:t>
      </w:r>
    </w:p>
    <w:p>
      <w:pPr>
        <w:spacing w:after="0" w:line="33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9439"/>
          </w:cols>
          <w:pgMar w:left="1020" w:top="455" w:right="1440" w:bottom="1440" w:gutter="0" w:footer="0" w:header="0"/>
        </w:sectPr>
      </w:pPr>
    </w:p>
    <w:bookmarkStart w:id="52" w:name="page53"/>
    <w:bookmarkEnd w:id="52"/>
    <w:p>
      <w:pPr>
        <w:ind w:left="800" w:hanging="790"/>
        <w:spacing w:after="0"/>
        <w:tabs>
          <w:tab w:leader="none" w:pos="8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LOSS</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components of comprehensive loss, net of tax, were as follows:</w:t>
      </w:r>
    </w:p>
    <w:p>
      <w:pPr>
        <w:spacing w:after="0" w:line="200" w:lineRule="exact"/>
        <w:rPr>
          <w:sz w:val="20"/>
          <w:szCs w:val="20"/>
          <w:color w:val="auto"/>
        </w:rPr>
      </w:pPr>
    </w:p>
    <w:p>
      <w:pPr>
        <w:spacing w:after="0" w:line="303" w:lineRule="exact"/>
        <w:rPr>
          <w:sz w:val="20"/>
          <w:szCs w:val="20"/>
          <w:color w:val="auto"/>
        </w:rPr>
      </w:pPr>
    </w:p>
    <w:p>
      <w:pPr>
        <w:jc w:val="center"/>
        <w:ind w:left="3080"/>
        <w:spacing w:after="0"/>
        <w:rPr>
          <w:sz w:val="20"/>
          <w:szCs w:val="20"/>
          <w:color w:val="auto"/>
        </w:rPr>
      </w:pPr>
      <w:r>
        <w:rPr>
          <w:rFonts w:ascii="Courier New" w:cs="Courier New" w:eastAsia="Courier New" w:hAnsi="Courier New"/>
          <w:sz w:val="15"/>
          <w:szCs w:val="15"/>
          <w:color w:val="auto"/>
        </w:rPr>
        <w:t>PREDECESSOR</w:t>
      </w:r>
    </w:p>
    <w:p>
      <w:pPr>
        <w:jc w:val="center"/>
        <w:ind w:left="3080"/>
        <w:spacing w:after="0" w:line="237" w:lineRule="auto"/>
        <w:rPr>
          <w:sz w:val="20"/>
          <w:szCs w:val="20"/>
          <w:color w:val="auto"/>
        </w:rPr>
      </w:pPr>
      <w:r>
        <w:rPr>
          <w:rFonts w:ascii="Courier New" w:cs="Courier New" w:eastAsia="Courier New" w:hAnsi="Courier New"/>
          <w:sz w:val="15"/>
          <w:szCs w:val="15"/>
          <w:color w:val="auto"/>
        </w:rPr>
        <w:t>COMPANY</w:t>
      </w:r>
    </w:p>
    <w:p>
      <w:pPr>
        <w:ind w:left="5000"/>
        <w:spacing w:after="0" w:line="238" w:lineRule="auto"/>
        <w:rPr>
          <w:sz w:val="20"/>
          <w:szCs w:val="20"/>
          <w:color w:val="auto"/>
        </w:rPr>
      </w:pPr>
      <w:r>
        <w:rPr>
          <w:rFonts w:ascii="Courier New" w:cs="Courier New" w:eastAsia="Courier New" w:hAnsi="Courier New"/>
          <w:sz w:val="15"/>
          <w:szCs w:val="15"/>
          <w:color w:val="auto"/>
        </w:rPr>
        <w:t>-------</w:t>
      </w:r>
    </w:p>
    <w:p>
      <w:pPr>
        <w:ind w:left="5000"/>
        <w:spacing w:after="0"/>
        <w:tabs>
          <w:tab w:leader="none" w:pos="6540" w:val="left"/>
        </w:tabs>
        <w:rPr>
          <w:sz w:val="20"/>
          <w:szCs w:val="20"/>
          <w:color w:val="auto"/>
        </w:rPr>
      </w:pPr>
      <w:r>
        <w:rPr>
          <w:rFonts w:ascii="Courier New" w:cs="Courier New" w:eastAsia="Courier New" w:hAnsi="Courier New"/>
          <w:sz w:val="15"/>
          <w:szCs w:val="15"/>
          <w:color w:val="auto"/>
        </w:rPr>
        <w:t>JANUARY 1</w:t>
      </w:r>
      <w:r>
        <w:rPr>
          <w:sz w:val="20"/>
          <w:szCs w:val="20"/>
          <w:color w:val="auto"/>
        </w:rPr>
        <w:tab/>
      </w:r>
      <w:r>
        <w:rPr>
          <w:rFonts w:ascii="Courier New" w:cs="Courier New" w:eastAsia="Courier New" w:hAnsi="Courier New"/>
          <w:sz w:val="14"/>
          <w:szCs w:val="14"/>
          <w:color w:val="auto"/>
        </w:rPr>
        <w:t>MARCH 17,</w:t>
      </w:r>
    </w:p>
    <w:p>
      <w:pPr>
        <w:ind w:left="5080"/>
        <w:spacing w:after="0"/>
        <w:tabs>
          <w:tab w:leader="none" w:pos="6640" w:val="left"/>
        </w:tabs>
        <w:rPr>
          <w:sz w:val="20"/>
          <w:szCs w:val="20"/>
          <w:color w:val="auto"/>
        </w:rPr>
      </w:pPr>
      <w:r>
        <w:rPr>
          <w:rFonts w:ascii="Courier New" w:cs="Courier New" w:eastAsia="Courier New" w:hAnsi="Courier New"/>
          <w:sz w:val="15"/>
          <w:szCs w:val="15"/>
          <w:color w:val="auto"/>
        </w:rPr>
        <w:t>2000 TO</w:t>
      </w:r>
      <w:r>
        <w:rPr>
          <w:sz w:val="20"/>
          <w:szCs w:val="20"/>
          <w:color w:val="auto"/>
        </w:rPr>
        <w:tab/>
      </w:r>
      <w:r>
        <w:rPr>
          <w:rFonts w:ascii="Courier New" w:cs="Courier New" w:eastAsia="Courier New" w:hAnsi="Courier New"/>
          <w:sz w:val="14"/>
          <w:szCs w:val="14"/>
          <w:color w:val="auto"/>
        </w:rPr>
        <w:t>2000 TO</w:t>
      </w:r>
    </w:p>
    <w:p>
      <w:pPr>
        <w:jc w:val="right"/>
        <w:spacing w:after="0"/>
        <w:tabs>
          <w:tab w:leader="none" w:pos="1120" w:val="left"/>
        </w:tabs>
        <w:rPr>
          <w:sz w:val="20"/>
          <w:szCs w:val="20"/>
          <w:color w:val="auto"/>
        </w:rPr>
      </w:pPr>
      <w:r>
        <w:rPr>
          <w:rFonts w:ascii="Courier New" w:cs="Courier New" w:eastAsia="Courier New" w:hAnsi="Courier New"/>
          <w:sz w:val="15"/>
          <w:szCs w:val="15"/>
          <w:color w:val="auto"/>
        </w:rPr>
        <w:t>MARCH 16,</w:t>
      </w:r>
      <w:r>
        <w:rPr>
          <w:sz w:val="20"/>
          <w:szCs w:val="20"/>
          <w:color w:val="auto"/>
        </w:rPr>
        <w:tab/>
      </w:r>
      <w:r>
        <w:rPr>
          <w:rFonts w:ascii="Courier New" w:cs="Courier New" w:eastAsia="Courier New" w:hAnsi="Courier New"/>
          <w:sz w:val="14"/>
          <w:szCs w:val="14"/>
          <w:color w:val="auto"/>
        </w:rPr>
        <w:t>SEPTEMBER 30,</w:t>
      </w:r>
    </w:p>
    <w:p>
      <w:pPr>
        <w:ind w:left="5180"/>
        <w:spacing w:after="0" w:line="238" w:lineRule="auto"/>
        <w:tabs>
          <w:tab w:leader="none" w:pos="672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2000</w:t>
      </w:r>
    </w:p>
    <w:p>
      <w:pPr>
        <w:ind w:left="5180"/>
        <w:spacing w:after="0" w:line="237" w:lineRule="auto"/>
        <w:tabs>
          <w:tab w:leader="none" w:pos="67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none" w:pos="4800" w:val="left"/>
          <w:tab w:leader="none" w:pos="5160" w:val="left"/>
          <w:tab w:leader="none" w:pos="6380" w:val="left"/>
          <w:tab w:leader="none" w:pos="6640" w:val="left"/>
        </w:tabs>
        <w:rPr>
          <w:sz w:val="20"/>
          <w:szCs w:val="20"/>
          <w:color w:val="auto"/>
        </w:rPr>
      </w:pPr>
      <w:r>
        <w:rPr>
          <w:rFonts w:ascii="Courier New" w:cs="Courier New" w:eastAsia="Courier New" w:hAnsi="Courier New"/>
          <w:sz w:val="15"/>
          <w:szCs w:val="15"/>
          <w:color w:val="auto"/>
        </w:rPr>
        <w:t>Net loss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(17,781)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(389,882)</w:t>
      </w:r>
    </w:p>
    <w:p>
      <w:pPr>
        <w:spacing w:after="0" w:line="237" w:lineRule="auto"/>
        <w:rPr>
          <w:sz w:val="20"/>
          <w:szCs w:val="20"/>
          <w:color w:val="auto"/>
        </w:rPr>
      </w:pPr>
      <w:r>
        <w:rPr>
          <w:rFonts w:ascii="Courier New" w:cs="Courier New" w:eastAsia="Courier New" w:hAnsi="Courier New"/>
          <w:sz w:val="15"/>
          <w:szCs w:val="15"/>
          <w:color w:val="auto"/>
        </w:rPr>
        <w:t>Other comprehensive income (loss):</w:t>
      </w:r>
    </w:p>
    <w:p>
      <w:pPr>
        <w:spacing w:after="0"/>
        <w:tabs>
          <w:tab w:leader="none" w:pos="5500" w:val="left"/>
          <w:tab w:leader="none" w:pos="7080" w:val="left"/>
        </w:tabs>
        <w:rPr>
          <w:sz w:val="20"/>
          <w:szCs w:val="20"/>
          <w:color w:val="auto"/>
        </w:rPr>
      </w:pPr>
      <w:r>
        <w:rPr>
          <w:rFonts w:ascii="Courier New" w:cs="Courier New" w:eastAsia="Courier New" w:hAnsi="Courier New"/>
          <w:sz w:val="15"/>
          <w:szCs w:val="15"/>
          <w:color w:val="auto"/>
        </w:rPr>
        <w:t>Change in foreign currency translation adjustment</w:t>
      </w:r>
      <w:r>
        <w:rPr>
          <w:sz w:val="20"/>
          <w:szCs w:val="20"/>
          <w:color w:val="auto"/>
        </w:rPr>
        <w:tab/>
      </w:r>
      <w:r>
        <w:rPr>
          <w:rFonts w:ascii="Courier New" w:cs="Courier New" w:eastAsia="Courier New" w:hAnsi="Courier New"/>
          <w:sz w:val="15"/>
          <w:szCs w:val="15"/>
          <w:color w:val="auto"/>
        </w:rPr>
        <w:t>291</w:t>
      </w:r>
      <w:r>
        <w:rPr>
          <w:sz w:val="20"/>
          <w:szCs w:val="20"/>
          <w:color w:val="auto"/>
        </w:rPr>
        <w:tab/>
      </w:r>
      <w:r>
        <w:rPr>
          <w:rFonts w:ascii="Courier New" w:cs="Courier New" w:eastAsia="Courier New" w:hAnsi="Courier New"/>
          <w:sz w:val="14"/>
          <w:szCs w:val="14"/>
          <w:color w:val="auto"/>
        </w:rPr>
        <w:t>725</w:t>
      </w:r>
    </w:p>
    <w:p>
      <w:pPr>
        <w:spacing w:after="0"/>
        <w:tabs>
          <w:tab w:leader="none" w:pos="5680" w:val="left"/>
          <w:tab w:leader="none" w:pos="7160" w:val="left"/>
        </w:tabs>
        <w:rPr>
          <w:sz w:val="20"/>
          <w:szCs w:val="20"/>
          <w:color w:val="auto"/>
        </w:rPr>
      </w:pPr>
      <w:r>
        <w:rPr>
          <w:rFonts w:ascii="Courier New" w:cs="Courier New" w:eastAsia="Courier New" w:hAnsi="Courier New"/>
          <w:sz w:val="15"/>
          <w:szCs w:val="15"/>
          <w:color w:val="auto"/>
        </w:rPr>
        <w:t>Unrealized gain (loss) on investments - net</w:t>
      </w:r>
      <w:r>
        <w:rPr>
          <w:sz w:val="20"/>
          <w:szCs w:val="20"/>
          <w:color w:val="auto"/>
        </w:rPr>
        <w:tab/>
      </w: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4"/>
          <w:szCs w:val="14"/>
          <w:color w:val="auto"/>
        </w:rPr>
        <w:t>--</w:t>
      </w:r>
    </w:p>
    <w:p>
      <w:pPr>
        <w:ind w:left="4820"/>
        <w:spacing w:after="0" w:line="238" w:lineRule="auto"/>
        <w:tabs>
          <w:tab w:leader="none" w:pos="6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tabs>
          <w:tab w:leader="none" w:pos="4800" w:val="left"/>
          <w:tab w:leader="none" w:pos="5160" w:val="left"/>
          <w:tab w:leader="none" w:pos="6380" w:val="left"/>
          <w:tab w:leader="none" w:pos="6640" w:val="left"/>
        </w:tabs>
        <w:rPr>
          <w:sz w:val="20"/>
          <w:szCs w:val="20"/>
          <w:color w:val="auto"/>
        </w:rPr>
      </w:pPr>
      <w:r>
        <w:rPr>
          <w:rFonts w:ascii="Courier New" w:cs="Courier New" w:eastAsia="Courier New" w:hAnsi="Courier New"/>
          <w:sz w:val="15"/>
          <w:szCs w:val="15"/>
          <w:color w:val="auto"/>
        </w:rPr>
        <w:t>Comprehensive loss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(17,484)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(389,157)</w:t>
      </w:r>
    </w:p>
    <w:p>
      <w:pPr>
        <w:ind w:left="4820"/>
        <w:spacing w:after="0" w:line="238" w:lineRule="auto"/>
        <w:tabs>
          <w:tab w:leader="none" w:pos="6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800" w:hanging="790"/>
        <w:spacing w:after="0"/>
        <w:tabs>
          <w:tab w:leader="none" w:pos="8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PRONOUNCEMENTS</w:t>
      </w:r>
    </w:p>
    <w:p>
      <w:pPr>
        <w:spacing w:after="0" w:line="172" w:lineRule="exact"/>
        <w:rPr>
          <w:rFonts w:ascii="Courier New" w:cs="Courier New" w:eastAsia="Courier New" w:hAnsi="Courier New"/>
          <w:sz w:val="15"/>
          <w:szCs w:val="15"/>
          <w:color w:val="auto"/>
        </w:rPr>
      </w:pPr>
    </w:p>
    <w:p>
      <w:pPr>
        <w:ind w:left="800" w:right="54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2001, the Financial Accounting Standards Board (the "FASB") issued SFAS No. 144, "Accounting for the Impairment or Disposal of Long-Lived Assets" ("SFAS 144"), which addresses financial accounting and reporting for the impairment or disposal of long-lived assets. This Statement supersedes SFAS 121, and the accounting and reporting provisions of APB 30, for the disposal of a segment of a business. The provisions of SFAS 144 are required to be adopted by Clarify effective January 1, 2002. Clarify has not yet determined the effect that the adoption of SFAS 144 will have on its business, results of operations, and financial condition.</w:t>
      </w:r>
    </w:p>
    <w:p>
      <w:pPr>
        <w:spacing w:after="0" w:line="179" w:lineRule="exact"/>
        <w:rPr>
          <w:rFonts w:ascii="Courier New" w:cs="Courier New" w:eastAsia="Courier New" w:hAnsi="Courier New"/>
          <w:sz w:val="15"/>
          <w:szCs w:val="15"/>
          <w:color w:val="auto"/>
        </w:rPr>
      </w:pPr>
    </w:p>
    <w:p>
      <w:pPr>
        <w:ind w:left="800" w:right="540"/>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June 2001, the FASB issued SFAS No. 141, "Business Combinations" ("SFAS 141"), effective for business combinations initiated after June 30, 2001, and SFAS No. 142, "Goodwill and Other Intangible Assets" ("SFAS 142") effective for fiscal years beginning after December 15, 2001. SFAS 141 transitional rules require that the purchase method of accounting be used for all business combinations initiated after June 30, 2001. As a result, the pooling-of-interests method is now prohibited. SFAS 142 changes the accounting for goodwill from an amortization method to an impairment-only approach. Thus, amortization of goodwill, including goodwill recorded in past business combinations, and intangibles with an indefinite life, will cease upon adoption of this Statement, which for Clarify will be January 1, 2002. However, for any acquisitions completed after June 30, 2001, goodwill and intangible assets with an indefinite life will not be amortized.</w:t>
      </w:r>
    </w:p>
    <w:p>
      <w:pPr>
        <w:spacing w:after="0" w:line="163" w:lineRule="exact"/>
        <w:rPr>
          <w:rFonts w:ascii="Courier New" w:cs="Courier New" w:eastAsia="Courier New" w:hAnsi="Courier New"/>
          <w:sz w:val="15"/>
          <w:szCs w:val="15"/>
          <w:color w:val="auto"/>
        </w:rPr>
      </w:pPr>
    </w:p>
    <w:p>
      <w:pPr>
        <w:ind w:left="800" w:right="540"/>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adoption of SFAS 141 will not have an impact on the business, results of operations, and financial condition of Clarify. The first of the required SFAS 142 impairment tests will be performed during 2002</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299"/>
        <w:spacing w:after="0"/>
        <w:rPr>
          <w:sz w:val="20"/>
          <w:szCs w:val="20"/>
          <w:color w:val="auto"/>
        </w:rPr>
      </w:pPr>
      <w:r>
        <w:rPr>
          <w:rFonts w:ascii="Courier New" w:cs="Courier New" w:eastAsia="Courier New" w:hAnsi="Courier New"/>
          <w:sz w:val="14"/>
          <w:szCs w:val="14"/>
          <w:color w:val="auto"/>
        </w:rPr>
        <w:t>NINE MONTHS</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2001</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$(1,353,331)</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(3,542)</w:t>
      </w:r>
    </w:p>
    <w:p>
      <w:pPr>
        <w:ind w:left="8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$(1,356,873)</w:t>
      </w:r>
    </w:p>
    <w:p>
      <w:pPr>
        <w:spacing w:after="0" w:line="238"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540" w:space="420"/>
            <w:col w:w="2279"/>
          </w:cols>
          <w:pgMar w:left="220" w:top="449" w:right="1440" w:bottom="1440" w:gutter="0" w:footer="0" w:header="0"/>
        </w:sectPr>
      </w:pPr>
    </w:p>
    <w:bookmarkStart w:id="53" w:name="page54"/>
    <w:bookmarkEnd w:id="53"/>
    <w:p>
      <w:pPr>
        <w:ind w:left="790" w:right="3239"/>
        <w:spacing w:after="0" w:line="235" w:lineRule="auto"/>
        <w:rPr>
          <w:sz w:val="20"/>
          <w:szCs w:val="20"/>
          <w:color w:val="auto"/>
        </w:rPr>
      </w:pPr>
      <w:r>
        <w:rPr>
          <w:rFonts w:ascii="Courier New" w:cs="Courier New" w:eastAsia="Courier New" w:hAnsi="Courier New"/>
          <w:sz w:val="15"/>
          <w:szCs w:val="15"/>
          <w:color w:val="auto"/>
        </w:rPr>
        <w:t>and Clarify has not yet determined the effect that the adoption of SFAS 142 will have on its business, results of operations, and financial condition.</w:t>
      </w:r>
    </w:p>
    <w:p>
      <w:pPr>
        <w:spacing w:after="0" w:line="167" w:lineRule="exact"/>
        <w:rPr>
          <w:sz w:val="20"/>
          <w:szCs w:val="20"/>
          <w:color w:val="auto"/>
        </w:rPr>
      </w:pPr>
    </w:p>
    <w:p>
      <w:pPr>
        <w:ind w:left="790" w:hanging="790"/>
        <w:spacing w:after="0"/>
        <w:tabs>
          <w:tab w:leader="none" w:pos="79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2" w:lineRule="exact"/>
        <w:rPr>
          <w:rFonts w:ascii="Courier New" w:cs="Courier New" w:eastAsia="Courier New" w:hAnsi="Courier New"/>
          <w:sz w:val="15"/>
          <w:szCs w:val="15"/>
          <w:color w:val="auto"/>
        </w:rPr>
      </w:pPr>
    </w:p>
    <w:p>
      <w:pPr>
        <w:ind w:left="79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28, 2001, Nortel Networks sold substantially all assets used in its Clarify business, including patents, intellectual property, and trademarks, for approximately $200 million in cash to Amdocs Limited ("Amdocs"). Under the agreement, Amdocs assumed existing customer contracts, as well as certain leased office space.</w:t>
      </w:r>
    </w:p>
    <w:p>
      <w:pPr>
        <w:spacing w:after="0" w:line="167" w:lineRule="exact"/>
        <w:rPr>
          <w:rFonts w:ascii="Courier New" w:cs="Courier New" w:eastAsia="Courier New" w:hAnsi="Courier New"/>
          <w:sz w:val="15"/>
          <w:szCs w:val="15"/>
          <w:color w:val="auto"/>
        </w:rPr>
      </w:pPr>
    </w:p>
    <w:p>
      <w:pPr>
        <w:ind w:left="31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spacing w:after="0" w:line="33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9"/>
          </w:cols>
          <w:pgMar w:left="230" w:top="455" w:right="1440" w:bottom="1440" w:gutter="0" w:footer="0" w:header="0"/>
        </w:sectPr>
      </w:pPr>
    </w:p>
    <w:bookmarkStart w:id="54" w:name="page55"/>
    <w:bookmarkEnd w:id="54"/>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AMDOCS LIMITED</w:t>
      </w:r>
    </w:p>
    <w:p>
      <w:pPr>
        <w:sectPr>
          <w:pgSz w:w="11900" w:h="16838" w:orient="portrait"/>
          <w:cols w:equalWidth="0" w:num="1">
            <w:col w:w="10239"/>
          </w:cols>
          <w:pgMar w:left="220" w:top="4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February 11, 2002</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THOMAS G. O'BRIEN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G. O'Brien</w:t>
      </w:r>
    </w:p>
    <w:p>
      <w:pPr>
        <w:spacing w:after="0" w:line="237" w:lineRule="auto"/>
        <w:rPr>
          <w:sz w:val="20"/>
          <w:szCs w:val="20"/>
          <w:color w:val="auto"/>
        </w:rPr>
      </w:pPr>
      <w:r>
        <w:rPr>
          <w:rFonts w:ascii="Courier New" w:cs="Courier New" w:eastAsia="Courier New" w:hAnsi="Courier New"/>
          <w:sz w:val="15"/>
          <w:szCs w:val="15"/>
          <w:color w:val="auto"/>
        </w:rPr>
        <w:t>Treasurer and Secretary</w:t>
      </w:r>
    </w:p>
    <w:p>
      <w:pPr>
        <w:spacing w:after="0" w:line="238" w:lineRule="auto"/>
        <w:rPr>
          <w:sz w:val="20"/>
          <w:szCs w:val="20"/>
          <w:color w:val="auto"/>
        </w:rPr>
      </w:pPr>
      <w:r>
        <w:rPr>
          <w:rFonts w:ascii="Courier New" w:cs="Courier New" w:eastAsia="Courier New" w:hAnsi="Courier New"/>
          <w:sz w:val="15"/>
          <w:szCs w:val="15"/>
          <w:color w:val="auto"/>
        </w:rPr>
        <w:t>Authorized U.S. Representative</w:t>
      </w:r>
    </w:p>
    <w:p>
      <w:pPr>
        <w:sectPr>
          <w:pgSz w:w="11900" w:h="16838" w:orient="portrait"/>
          <w:cols w:equalWidth="0" w:num="2">
            <w:col w:w="3060" w:space="720"/>
            <w:col w:w="6459"/>
          </w:cols>
          <w:pgMar w:left="220" w:top="449" w:right="1440" w:bottom="1440" w:gutter="0" w:footer="0" w:header="0"/>
          <w:type w:val="continuous"/>
        </w:sectPr>
      </w:pPr>
    </w:p>
    <w:bookmarkStart w:id="55" w:name="page56"/>
    <w:bookmarkEnd w:id="55"/>
    <w:p>
      <w:pPr>
        <w:ind w:left="298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71" w:lineRule="exact"/>
        <w:rPr>
          <w:sz w:val="20"/>
          <w:szCs w:val="20"/>
          <w:color w:val="auto"/>
        </w:rPr>
      </w:pPr>
    </w:p>
    <w:p>
      <w:pPr>
        <w:sectPr>
          <w:pgSz w:w="11900" w:h="16838" w:orient="portrait"/>
          <w:cols w:equalWidth="0" w:num="2">
            <w:col w:w="1040" w:space="720"/>
            <w:col w:w="8479"/>
          </w:cols>
          <w:pgMar w:left="220" w:top="45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23.1</w:t>
      </w:r>
    </w:p>
    <w:p>
      <w:pPr>
        <w:spacing w:after="0" w:line="237" w:lineRule="auto"/>
        <w:rPr>
          <w:sz w:val="20"/>
          <w:szCs w:val="20"/>
          <w:color w:val="auto"/>
        </w:rPr>
      </w:pPr>
      <w:r>
        <w:rPr>
          <w:rFonts w:ascii="Courier New" w:cs="Courier New" w:eastAsia="Courier New" w:hAnsi="Courier New"/>
          <w:sz w:val="15"/>
          <w:szCs w:val="15"/>
          <w:color w:val="auto"/>
        </w:rPr>
        <w:t>23.2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Consent of PricewaterhouseCoopers LLP.</w:t>
      </w:r>
    </w:p>
    <w:p>
      <w:pPr>
        <w:spacing w:after="0" w:line="237" w:lineRule="auto"/>
        <w:rPr>
          <w:sz w:val="20"/>
          <w:szCs w:val="20"/>
          <w:color w:val="auto"/>
        </w:rPr>
      </w:pPr>
      <w:r>
        <w:rPr>
          <w:rFonts w:ascii="Courier New" w:cs="Courier New" w:eastAsia="Courier New" w:hAnsi="Courier New"/>
          <w:sz w:val="15"/>
          <w:szCs w:val="15"/>
          <w:color w:val="auto"/>
        </w:rPr>
        <w:t>Consent of Deloitte &amp; Touche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Press Release dated November 28, 2001.</w:t>
      </w:r>
    </w:p>
    <w:p>
      <w:pPr>
        <w:spacing w:after="0" w:line="200" w:lineRule="exact"/>
        <w:rPr>
          <w:sz w:val="20"/>
          <w:szCs w:val="20"/>
          <w:color w:val="auto"/>
        </w:rPr>
      </w:pPr>
    </w:p>
    <w:p>
      <w:pPr>
        <w:sectPr>
          <w:pgSz w:w="11900" w:h="16838" w:orient="portrait"/>
          <w:cols w:equalWidth="0" w:num="2">
            <w:col w:w="1040" w:space="720"/>
            <w:col w:w="8479"/>
          </w:cols>
          <w:pgMar w:left="220" w:top="455" w:right="1440" w:bottom="1440" w:gutter="0" w:footer="0" w:header="0"/>
          <w:type w:val="continuous"/>
        </w:sect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Previously filed.</w:t>
      </w:r>
    </w:p>
    <w:p>
      <w:pPr>
        <w:sectPr>
          <w:pgSz w:w="11900" w:h="16838" w:orient="portrait"/>
          <w:cols w:equalWidth="0" w:num="1">
            <w:col w:w="10239"/>
          </w:cols>
          <w:pgMar w:left="220" w:top="455" w:right="1440" w:bottom="1440" w:gutter="0" w:footer="0" w:header="0"/>
          <w:type w:val="continuous"/>
        </w:sectPr>
      </w:pPr>
    </w:p>
    <w:bookmarkStart w:id="56" w:name="page57"/>
    <w:bookmarkEnd w:id="56"/>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Statements on Form S-8 (No's. 333-91847, 333-92705, 333-31506, 333-34104 and 333-58454) and Form F-3 (No's. 333-39278, 333-44994, 333-57036 and 333-67572) of Amdocs Limited of our report dated January 19, 1999, except for Note 11 for which the date is March 12, 1999 relating to the financial statements of Clarify Inc., which appears in the Report of Foreign Private Issuer on Form 6-K/A of Amdocs Limited dated February 11, 2002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37" w:lineRule="auto"/>
        <w:rPr>
          <w:sz w:val="20"/>
          <w:szCs w:val="20"/>
          <w:color w:val="auto"/>
        </w:rPr>
      </w:pPr>
      <w:r>
        <w:rPr>
          <w:rFonts w:ascii="Courier New" w:cs="Courier New" w:eastAsia="Courier New" w:hAnsi="Courier New"/>
          <w:sz w:val="15"/>
          <w:szCs w:val="15"/>
          <w:color w:val="auto"/>
        </w:rPr>
        <w:t>San Jose, California</w:t>
      </w:r>
    </w:p>
    <w:p>
      <w:pPr>
        <w:spacing w:after="0" w:line="238" w:lineRule="auto"/>
        <w:rPr>
          <w:sz w:val="20"/>
          <w:szCs w:val="20"/>
          <w:color w:val="auto"/>
        </w:rPr>
      </w:pPr>
      <w:r>
        <w:rPr>
          <w:rFonts w:ascii="Courier New" w:cs="Courier New" w:eastAsia="Courier New" w:hAnsi="Courier New"/>
          <w:sz w:val="15"/>
          <w:szCs w:val="15"/>
          <w:color w:val="auto"/>
        </w:rPr>
        <w:t>February 8, 2002</w:t>
      </w:r>
    </w:p>
    <w:p>
      <w:pPr>
        <w:sectPr>
          <w:pgSz w:w="11900" w:h="16838" w:orient="portrait"/>
          <w:cols w:equalWidth="0" w:num="1">
            <w:col w:w="10239"/>
          </w:cols>
          <w:pgMar w:left="220" w:top="471" w:right="1440" w:bottom="1440" w:gutter="0" w:footer="0" w:header="0"/>
        </w:sectPr>
      </w:pPr>
    </w:p>
    <w:bookmarkStart w:id="57" w:name="page58"/>
    <w:bookmarkEnd w:id="57"/>
    <w:p>
      <w:pPr>
        <w:jc w:val="right"/>
        <w:ind w:right="3239"/>
        <w:spacing w:after="0"/>
        <w:rPr>
          <w:sz w:val="20"/>
          <w:szCs w:val="20"/>
          <w:color w:val="auto"/>
        </w:rPr>
      </w:pPr>
      <w:r>
        <w:rPr>
          <w:rFonts w:ascii="Courier New" w:cs="Courier New" w:eastAsia="Courier New" w:hAnsi="Courier New"/>
          <w:sz w:val="15"/>
          <w:szCs w:val="15"/>
          <w:color w:val="auto"/>
        </w:rPr>
        <w:t>EXHIBIT 23.2</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CONSENT OF DELOITTE &amp; TOUCHE LLP, INDEPENDENT AUDITORS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on Form S-8 (No's. 333-91847, 333-92705, 333-31506, 333-34104 and 333-58454) and Form F-3 (No's. 333-39278, 333-44994, 333-57036 and 333-67572) of Amdocs Limited of our report dated January 7, 2002 on the financial statements of Clarify (a business of Nortel Networks Corporation) included in this Amendment No. 1 on Form 6-K/A of Amdocs Limited.</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Jose, California</w:t>
      </w:r>
    </w:p>
    <w:p>
      <w:pPr>
        <w:spacing w:after="0" w:line="237" w:lineRule="auto"/>
        <w:rPr>
          <w:sz w:val="20"/>
          <w:szCs w:val="20"/>
          <w:color w:val="auto"/>
        </w:rPr>
      </w:pPr>
      <w:r>
        <w:rPr>
          <w:rFonts w:ascii="Courier New" w:cs="Courier New" w:eastAsia="Courier New" w:hAnsi="Courier New"/>
          <w:sz w:val="15"/>
          <w:szCs w:val="15"/>
          <w:color w:val="auto"/>
        </w:rPr>
        <w:t>February 8, 2002</w:t>
      </w:r>
    </w:p>
    <w:sectPr>
      <w:pgSz w:w="11900" w:h="16838" w:orient="portrait"/>
      <w:cols w:equalWidth="0" w:num="1">
        <w:col w:w="10239"/>
      </w:cols>
      <w:pgMar w:left="220" w:top="3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lowerLetter"/>
      <w:start w:val="1"/>
    </w:lvl>
  </w:abstractNum>
  <w:abstractNum w:abstractNumId="2">
    <w:nsid w:val="3A95F874"/>
    <w:multiLevelType w:val="hybridMultilevel"/>
    <w:lvl w:ilvl="0">
      <w:lvlJc w:val="left"/>
      <w:lvlText w:val="(%1)"/>
      <w:numFmt w:val="lowerLetter"/>
      <w:start w:val="2"/>
    </w:lvl>
  </w:abstractNum>
  <w:abstractNum w:abstractNumId="3">
    <w:nsid w:val="8138641"/>
    <w:multiLevelType w:val="hybridMultilevel"/>
    <w:lvl w:ilvl="0">
      <w:lvlJc w:val="left"/>
      <w:lvlText w:val="(%1)"/>
      <w:numFmt w:val="lowerRoman"/>
      <w:start w:val="3"/>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decimal"/>
    </w:lvl>
    <w:lvl w:ilvl="1">
      <w:lvlJc w:val="left"/>
      <w:lvlText w:val="(**)"/>
      <w:numFmt w:val="bullet"/>
      <w:start w:val="1"/>
    </w:lvl>
  </w:abstractNum>
  <w:abstractNum w:abstractNumId="6">
    <w:nsid w:val="737B8DDC"/>
    <w:multiLevelType w:val="hybridMultilevel"/>
    <w:lvl w:ilvl="0">
      <w:lvlJc w:val="left"/>
      <w:lvlText w:val="(%1)"/>
      <w:numFmt w:val="decimal"/>
      <w:start w:val="4"/>
    </w:lvl>
  </w:abstractNum>
  <w:abstractNum w:abstractNumId="7">
    <w:nsid w:val="6CEAF087"/>
    <w:multiLevelType w:val="hybridMultilevel"/>
    <w:lvl w:ilvl="0">
      <w:lvlJc w:val="left"/>
      <w:lvlText w:val="(%1)"/>
      <w:numFmt w:val="decimal"/>
      <w:start w:val="602"/>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1."/>
      <w:numFmt w:val="decimal"/>
      <w:start w:val="2"/>
    </w:lvl>
  </w:abstractNum>
  <w:abstractNum w:abstractNumId="12">
    <w:nsid w:val="419AC241"/>
    <w:multiLevelType w:val="hybridMultilevel"/>
    <w:lvl w:ilvl="0">
      <w:lvlJc w:val="left"/>
      <w:lvlText w:val="(%1)"/>
      <w:numFmt w:val="decimal"/>
      <w:start w:val="612"/>
    </w:lvl>
  </w:abstractNum>
  <w:abstractNum w:abstractNumId="13">
    <w:nsid w:val="5577F8E1"/>
    <w:multiLevelType w:val="hybridMultilevel"/>
    <w:lvl w:ilvl="0">
      <w:lvlJc w:val="left"/>
      <w:lvlText w:val="%1."/>
      <w:numFmt w:val="decimal"/>
      <w:start w:val="3"/>
    </w:lvl>
  </w:abstractNum>
  <w:abstractNum w:abstractNumId="14">
    <w:nsid w:val="440BADFC"/>
    <w:multiLevelType w:val="hybridMultilevel"/>
    <w:lvl w:ilvl="0">
      <w:lvlJc w:val="left"/>
      <w:lvlText w:val="(%1)"/>
      <w:numFmt w:val="decimal"/>
      <w:start w:val="91"/>
    </w:lvl>
  </w:abstractNum>
  <w:abstractNum w:abstractNumId="15">
    <w:nsid w:val="5072367"/>
    <w:multiLevelType w:val="hybridMultilevel"/>
    <w:lvl w:ilvl="0">
      <w:lvlJc w:val="left"/>
      <w:lvlText w:val="%1."/>
      <w:numFmt w:val="decimal"/>
      <w:start w:val="4"/>
    </w:lvl>
  </w:abstractNum>
  <w:abstractNum w:abstractNumId="16">
    <w:nsid w:val="3804823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7">
    <w:nsid w:val="77465F01"/>
    <w:multiLevelType w:val="hybridMultilevel"/>
    <w:lvl w:ilvl="0">
      <w:lvlJc w:val="left"/>
      <w:lvlText w:val="----"/>
      <w:numFmt w:val="bullet"/>
      <w:start w:val="1"/>
    </w:lvl>
    <w:lvl w:ilvl="1">
      <w:lvlJc w:val="left"/>
      <w:lvlText w:val="---"/>
      <w:numFmt w:val="bullet"/>
      <w:start w:val="1"/>
    </w:lvl>
  </w:abstractNum>
  <w:abstractNum w:abstractNumId="18">
    <w:nsid w:val="7724C67E"/>
    <w:multiLevelType w:val="hybridMultilevel"/>
    <w:lvl w:ilvl="0">
      <w:lvlJc w:val="left"/>
      <w:lvlText w:val="%1."/>
      <w:numFmt w:val="decimal"/>
      <w:start w:val="5"/>
    </w:lvl>
  </w:abstractNum>
  <w:abstractNum w:abstractNumId="19">
    <w:nsid w:val="5C482A97"/>
    <w:multiLevelType w:val="hybridMultilevel"/>
    <w:lvl w:ilvl="0">
      <w:lvlJc w:val="left"/>
      <w:lvlText w:val="%1."/>
      <w:numFmt w:val="decimal"/>
      <w:start w:val="3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5"/>
    </w:lvl>
    <w:lvl w:ilvl="1">
      <w:lvlJc w:val="left"/>
      <w:lvlText w:val="$"/>
      <w:numFmt w:val="bullet"/>
      <w:start w:val="1"/>
    </w:lvl>
  </w:abstractNum>
  <w:abstractNum w:abstractNumId="22">
    <w:nsid w:val="51EAD36B"/>
    <w:multiLevelType w:val="hybridMultilevel"/>
    <w:lvl w:ilvl="0">
      <w:lvlJc w:val="left"/>
      <w:lvlText w:val="%1."/>
      <w:numFmt w:val="decimal"/>
      <w:start w:val="7"/>
    </w:lvl>
  </w:abstractNum>
  <w:abstractNum w:abstractNumId="23">
    <w:nsid w:val="2D517796"/>
    <w:multiLevelType w:val="hybridMultilevel"/>
    <w:lvl w:ilvl="0">
      <w:lvlJc w:val="left"/>
      <w:lvlText w:val="(%1)"/>
      <w:numFmt w:val="lowerRoman"/>
      <w:start w:val="2"/>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lvl w:ilvl="1">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decimal"/>
      <w:start w:val="8"/>
    </w:lvl>
  </w:abstractNum>
  <w:abstractNum w:abstractNumId="29">
    <w:nsid w:val="2A487CB0"/>
    <w:multiLevelType w:val="hybridMultilevel"/>
    <w:lvl w:ilvl="0">
      <w:lvlJc w:val="left"/>
      <w:lvlText w:val="(%1)"/>
      <w:numFmt w:val="decimal"/>
      <w:start w:val="735"/>
    </w:lvl>
  </w:abstractNum>
  <w:abstractNum w:abstractNumId="30">
    <w:nsid w:val="1D4ED43B"/>
    <w:multiLevelType w:val="hybridMultilevel"/>
    <w:lvl w:ilvl="0">
      <w:lvlJc w:val="left"/>
      <w:lvlText w:val="%1"/>
      <w:numFmt w:val="decimal"/>
      <w:start w:val="387"/>
    </w:lvl>
    <w:lvl w:ilvl="1">
      <w:lvlJc w:val="left"/>
      <w:lvlText w:val="-----"/>
      <w:numFmt w:val="bullet"/>
      <w:start w:val="1"/>
    </w:lvl>
  </w:abstractNum>
  <w:abstractNum w:abstractNumId="31">
    <w:nsid w:val="725A06FB"/>
    <w:multiLevelType w:val="hybridMultilevel"/>
    <w:lvl w:ilvl="0">
      <w:lvlJc w:val="left"/>
      <w:lvlText w:val="(%1)"/>
      <w:numFmt w:val="decimal"/>
      <w:start w:val="4"/>
    </w:lvl>
  </w:abstractNum>
  <w:abstractNum w:abstractNumId="32">
    <w:nsid w:val="2CD89A32"/>
    <w:multiLevelType w:val="hybridMultilevel"/>
    <w:lvl w:ilvl="0">
      <w:lvlJc w:val="left"/>
      <w:lvlText w:val="(%1)"/>
      <w:numFmt w:val="decimal"/>
      <w:start w:val="4"/>
    </w:lvl>
  </w:abstractNum>
  <w:abstractNum w:abstractNumId="33">
    <w:nsid w:val="57E4CCAF"/>
    <w:multiLevelType w:val="hybridMultilevel"/>
    <w:lvl w:ilvl="0">
      <w:lvlJc w:val="left"/>
      <w:lvlText w:val="(%1)"/>
      <w:numFmt w:val="decimal"/>
      <w:start w:val="963"/>
    </w:lvl>
  </w:abstractNum>
  <w:abstractNum w:abstractNumId="34">
    <w:nsid w:val="7A6D8D3C"/>
    <w:multiLevelType w:val="hybridMultilevel"/>
    <w:lvl w:ilvl="0">
      <w:lvlJc w:val="left"/>
      <w:lvlText w:val="%1."/>
      <w:numFmt w:val="decimal"/>
      <w:start w:val="9"/>
    </w:lvl>
  </w:abstractNum>
  <w:abstractNum w:abstractNumId="35">
    <w:nsid w:val="4B588F54"/>
    <w:multiLevelType w:val="hybridMultilevel"/>
    <w:lvl w:ilvl="0">
      <w:lvlJc w:val="left"/>
      <w:lvlText w:val="%1."/>
      <w:numFmt w:val="decimal"/>
      <w:start w:val="10"/>
    </w:lvl>
  </w:abstractNum>
  <w:abstractNum w:abstractNumId="36">
    <w:nsid w:val="542289EC"/>
    <w:multiLevelType w:val="hybridMultilevel"/>
    <w:lvl w:ilvl="0">
      <w:lvlJc w:val="left"/>
      <w:lvlText w:val="%1."/>
      <w:numFmt w:val="decimal"/>
      <w:start w:val="1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2"/>
    </w:lvl>
  </w:abstractNum>
  <w:abstractNum w:abstractNumId="39">
    <w:nsid w:val="7644A45C"/>
    <w:multiLevelType w:val="hybridMultilevel"/>
    <w:lvl w:ilvl="0">
      <w:lvlJc w:val="left"/>
      <w:lvlText w:val="%1."/>
      <w:numFmt w:val="decimal"/>
      <w:start w:val="3"/>
    </w:lvl>
  </w:abstractNum>
  <w:abstractNum w:abstractNumId="40">
    <w:nsid w:val="32FFF902"/>
    <w:multiLevelType w:val="hybridMultilevel"/>
    <w:lvl w:ilvl="0">
      <w:lvlJc w:val="left"/>
      <w:lvlText w:val="%1."/>
      <w:numFmt w:val="decimal"/>
      <w:start w:val="4"/>
    </w:lvl>
  </w:abstractNum>
  <w:abstractNum w:abstractNumId="41">
    <w:nsid w:val="684A481A"/>
    <w:multiLevelType w:val="hybridMultilevel"/>
    <w:lvl w:ilvl="0">
      <w:lvlJc w:val="left"/>
      <w:lvlText w:val="%1."/>
      <w:numFmt w:val="decimal"/>
      <w:start w:val="5"/>
    </w:lvl>
  </w:abstractNum>
  <w:abstractNum w:abstractNumId="42">
    <w:nsid w:val="579478FE"/>
    <w:multiLevelType w:val="hybridMultilevel"/>
    <w:lvl w:ilvl="0">
      <w:lvlJc w:val="left"/>
      <w:lvlText w:val="%1."/>
      <w:numFmt w:val="decimal"/>
      <w:start w:val="6"/>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7"/>
    </w:lvl>
  </w:abstractNum>
  <w:abstractNum w:abstractNumId="45">
    <w:nsid w:val="1BA026FA"/>
    <w:multiLevelType w:val="hybridMultilevel"/>
    <w:lvl w:ilvl="0">
      <w:lvlJc w:val="left"/>
      <w:lvlText w:val="%1."/>
      <w:numFmt w:val="decimal"/>
      <w:start w:val="8"/>
    </w:lvl>
  </w:abstractNum>
  <w:abstractNum w:abstractNumId="46">
    <w:nsid w:val="79A1DEAA"/>
    <w:multiLevelType w:val="hybridMultilevel"/>
    <w:lvl w:ilvl="0">
      <w:lvlJc w:val="left"/>
      <w:lvlText w:val="%1."/>
      <w:numFmt w:val="decimal"/>
      <w:start w:val="9"/>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1."/>
      <w:numFmt w:val="decimal"/>
      <w:start w:val="10"/>
    </w:lvl>
    <w:lvl w:ilvl="1">
      <w:lvlJc w:val="left"/>
      <w:lvlText w:val="*"/>
      <w:numFmt w:val="bullet"/>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2"/>
    </w:lvl>
  </w:abstractNum>
  <w:abstractNum w:abstractNumId="53">
    <w:nsid w:val="23F9C13C"/>
    <w:multiLevelType w:val="hybridMultilevel"/>
    <w:lvl w:ilvl="0">
      <w:lvlJc w:val="left"/>
      <w:lvlText w:val="%1."/>
      <w:numFmt w:val="decimal"/>
      <w:start w:val="3"/>
    </w:lvl>
  </w:abstractNum>
  <w:abstractNum w:abstractNumId="54">
    <w:nsid w:val="649BB77C"/>
    <w:multiLevelType w:val="hybridMultilevel"/>
    <w:lvl w:ilvl="0">
      <w:lvlJc w:val="left"/>
      <w:lvlText w:val="%1."/>
      <w:numFmt w:val="decimal"/>
      <w:start w:val="4"/>
    </w:lvl>
  </w:abstractNum>
  <w:abstractNum w:abstractNumId="55">
    <w:nsid w:val="275AC794"/>
    <w:multiLevelType w:val="hybridMultilevel"/>
    <w:lvl w:ilvl="0">
      <w:lvlJc w:val="left"/>
      <w:lvlText w:val="%1."/>
      <w:numFmt w:val="decimal"/>
      <w:start w:val="5"/>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2019-12-14T21:20:54Z</dcterms:created>
  <dcterms:modified xsi:type="dcterms:W3CDTF">2019-12-14T21:20:54Z</dcterms:modified>
</cp:coreProperties>
</file>