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4"/>
          <w:szCs w:val="24"/>
          <w:color w:val="auto"/>
        </w:rPr>
      </w:pPr>
    </w:p>
    <w:p>
      <w:pPr>
        <w:ind w:left="4560"/>
        <w:spacing w:after="0"/>
        <w:rPr>
          <w:sz w:val="20"/>
          <w:szCs w:val="20"/>
          <w:color w:val="auto"/>
        </w:rPr>
      </w:pPr>
      <w:r>
        <w:rPr>
          <w:rFonts w:ascii="Courier New" w:cs="Courier New" w:eastAsia="Courier New" w:hAnsi="Courier New"/>
          <w:sz w:val="14"/>
          <w:szCs w:val="14"/>
          <w:color w:val="auto"/>
        </w:rPr>
        <w:t>Filed pursuant to Rule 424(a)</w:t>
      </w:r>
    </w:p>
    <w:p>
      <w:pPr>
        <w:spacing w:after="0" w:line="12" w:lineRule="exact"/>
        <w:rPr>
          <w:sz w:val="24"/>
          <w:szCs w:val="24"/>
          <w:color w:val="auto"/>
        </w:rPr>
      </w:pPr>
    </w:p>
    <w:p>
      <w:pPr>
        <w:ind w:left="4560"/>
        <w:spacing w:after="0"/>
        <w:rPr>
          <w:sz w:val="20"/>
          <w:szCs w:val="20"/>
          <w:color w:val="auto"/>
        </w:rPr>
      </w:pPr>
      <w:r>
        <w:rPr>
          <w:rFonts w:ascii="Courier New" w:cs="Courier New" w:eastAsia="Courier New" w:hAnsi="Courier New"/>
          <w:sz w:val="15"/>
          <w:szCs w:val="15"/>
          <w:color w:val="auto"/>
        </w:rPr>
        <w:t>Registration No. 333-75151</w:t>
      </w:r>
    </w:p>
    <w:p>
      <w:pPr>
        <w:spacing w:after="0" w:line="348" w:lineRule="exact"/>
        <w:rPr>
          <w:sz w:val="24"/>
          <w:szCs w:val="24"/>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Subject to Completion. Dated May 14, 1999.</w:t>
      </w:r>
    </w:p>
    <w:p>
      <w:pPr>
        <w:spacing w:after="0" w:line="174"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20,000,000 Shares</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Amdocs is offering 2,000,000 ordinary shares to be sold in the offering. The selling shareholders identified in this prospectus are offering an additional 18,000,000 ordinary shares.</w:t>
      </w:r>
    </w:p>
    <w:p>
      <w:pPr>
        <w:spacing w:after="0" w:line="176" w:lineRule="exact"/>
        <w:rPr>
          <w:sz w:val="24"/>
          <w:szCs w:val="24"/>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the offering described in this prospectus, the Amdocs Automatic Common Exchange Security Trust (the "TRACES Trust") shareholder named in this prospectus is offering up to 10,000,000 ordinary shares (or up to 11,500,000 ordinary shares if the underwriters' over-allotment option is exercised in full) that may be delivered by the TRACES Trust to holders of Automatic Common Exchange Securities of the TRACES Trust upon exchange of such securities on the Exchange Date as defined in the prospectus attached to the TRACES Trust prospectus (the "Trust Prospectus"). The Automatic Common Exchange Securities are being sold by the TRACES Trust in an offering described in the Trust Prospectus. The respective closings of the offerings of the ordinary shares and the Automatic Common Exchange Securities are not dependent upon one another.</w:t>
      </w:r>
    </w:p>
    <w:p>
      <w:pPr>
        <w:spacing w:after="0" w:line="180" w:lineRule="exact"/>
        <w:rPr>
          <w:sz w:val="24"/>
          <w:szCs w:val="24"/>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Amdocs will not receive any proceeds from the sale of the ordinary shares by the selling shareholders or the sale of the Automatic Common Exchange Securities by the TRACES Trust.</w:t>
      </w:r>
    </w:p>
    <w:p>
      <w:pPr>
        <w:spacing w:after="0" w:line="176" w:lineRule="exact"/>
        <w:rPr>
          <w:sz w:val="24"/>
          <w:szCs w:val="24"/>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our ordinary shares on May 13, 1999 was $24.50 per share.</w:t>
      </w:r>
    </w:p>
    <w:p>
      <w:pPr>
        <w:spacing w:after="0" w:line="176" w:lineRule="exact"/>
        <w:rPr>
          <w:sz w:val="24"/>
          <w:szCs w:val="24"/>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9 to read about factors you should consider before buying our ordinary shares.</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39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14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Per Share</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Total</w:t>
            </w:r>
          </w:p>
        </w:tc>
      </w:tr>
      <w:tr>
        <w:trPr>
          <w:trHeight w:val="172"/>
        </w:trPr>
        <w:tc>
          <w:tcPr>
            <w:tcW w:w="14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Initial price to</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public.....................................</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Underwriting discount.......................................</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Proceeds, before</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expenses, to Amdocs........................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Proceeds, before</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expenses, to the selling shareholders......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4"/>
          <w:szCs w:val="24"/>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underwriters may, under certain circumstances, purchase up to an additional 3,000,000 shares from Amdocs and the selling shareholders at the initial price to public less the underwriting discount.</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2" w:lineRule="exact"/>
        <w:rPr>
          <w:sz w:val="24"/>
          <w:szCs w:val="24"/>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4"/>
          <w:szCs w:val="14"/>
          <w:color w:val="auto"/>
        </w:rPr>
        <w:t>, 1999.</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BANCBOSTON ROBERTSON STEPHENS</w:t>
      </w:r>
    </w:p>
    <w:p>
      <w:pPr>
        <w:spacing w:after="0" w:line="2" w:lineRule="exact"/>
        <w:rPr>
          <w:sz w:val="24"/>
          <w:szCs w:val="24"/>
          <w:color w:val="auto"/>
        </w:rPr>
      </w:pPr>
    </w:p>
    <w:p>
      <w:pPr>
        <w:ind w:left="3740"/>
        <w:spacing w:after="0"/>
        <w:rPr>
          <w:sz w:val="20"/>
          <w:szCs w:val="20"/>
          <w:color w:val="auto"/>
        </w:rPr>
      </w:pPr>
      <w:r>
        <w:rPr>
          <w:rFonts w:ascii="Courier New" w:cs="Courier New" w:eastAsia="Courier New" w:hAnsi="Courier New"/>
          <w:sz w:val="15"/>
          <w:szCs w:val="15"/>
          <w:color w:val="auto"/>
        </w:rPr>
        <w:t>BT ALEXS BROWN</w:t>
      </w:r>
    </w:p>
    <w:p>
      <w:pPr>
        <w:spacing w:after="0" w:line="2" w:lineRule="exact"/>
        <w:rPr>
          <w:sz w:val="24"/>
          <w:szCs w:val="24"/>
          <w:color w:val="auto"/>
        </w:rPr>
      </w:pPr>
    </w:p>
    <w:p>
      <w:pPr>
        <w:ind w:left="4640"/>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4"/>
          <w:szCs w:val="24"/>
          <w:color w:val="auto"/>
        </w:rPr>
      </w:pPr>
    </w:p>
    <w:p>
      <w:pPr>
        <w:ind w:left="5540"/>
        <w:spacing w:after="0"/>
        <w:rPr>
          <w:sz w:val="20"/>
          <w:szCs w:val="20"/>
          <w:color w:val="auto"/>
        </w:rPr>
      </w:pPr>
      <w:r>
        <w:rPr>
          <w:rFonts w:ascii="Courier New" w:cs="Courier New" w:eastAsia="Courier New" w:hAnsi="Courier New"/>
          <w:sz w:val="15"/>
          <w:szCs w:val="15"/>
          <w:color w:val="auto"/>
        </w:rPr>
        <w:t>SG COWEN</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31" w:right="1440" w:bottom="1089" w:gutter="0" w:footer="0" w:header="0"/>
        </w:sectPr>
      </w:pPr>
    </w:p>
    <w:p>
      <w:pPr>
        <w:spacing w:after="0" w:line="176" w:lineRule="exact"/>
        <w:rPr>
          <w:sz w:val="24"/>
          <w:szCs w:val="24"/>
          <w:color w:val="auto"/>
        </w:rPr>
      </w:pPr>
    </w:p>
    <w:p>
      <w:pPr>
        <w:ind w:left="1960"/>
        <w:spacing w:after="0"/>
        <w:rPr>
          <w:sz w:val="20"/>
          <w:szCs w:val="20"/>
          <w:color w:val="auto"/>
        </w:rPr>
      </w:pPr>
      <w:r>
        <w:rPr>
          <w:rFonts w:ascii="Courier New" w:cs="Courier New" w:eastAsia="Courier New" w:hAnsi="Courier New"/>
          <w:sz w:val="14"/>
          <w:szCs w:val="14"/>
          <w:color w:val="auto"/>
        </w:rPr>
        <w:t>Prospectus dated</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1999.</w:t>
      </w:r>
    </w:p>
    <w:p>
      <w:pPr>
        <w:sectPr>
          <w:pgSz w:w="11900" w:h="16838" w:orient="portrait"/>
          <w:cols w:equalWidth="0" w:num="2">
            <w:col w:w="3840" w:space="720"/>
            <w:col w:w="5659"/>
          </w:cols>
          <w:pgMar w:left="240" w:top="231" w:right="1440" w:bottom="1089" w:gutter="0" w:footer="0" w:header="0"/>
          <w:type w:val="continuous"/>
        </w:sectPr>
      </w:pPr>
    </w:p>
    <w:bookmarkStart w:id="1" w:name="page2"/>
    <w:bookmarkEnd w:id="1"/>
    <w:p>
      <w:pPr>
        <w:ind w:left="268"/>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inside front cover pages contain the following:</w:t>
      </w:r>
    </w:p>
    <w:p>
      <w:pPr>
        <w:spacing w:after="0" w:line="176" w:lineRule="exact"/>
        <w:rPr>
          <w:sz w:val="20"/>
          <w:szCs w:val="20"/>
          <w:color w:val="auto"/>
        </w:rPr>
      </w:pPr>
    </w:p>
    <w:p>
      <w:pPr>
        <w:jc w:val="both"/>
        <w:ind w:left="448" w:right="3079" w:hanging="448"/>
        <w:spacing w:after="0" w:line="241"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pictures of telecommunications users superimposed upon a globe of the Earth. Text: Business Support Systems Solutions for the Telecommunications Industry.</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different components that comprise Amdocs' customer care and billing platform. Text: Customer Care and Billing Platform. Comprehensive Customer Care and Billing Platform supporting wireline, wireless and multi-service convergence telecom carriers.</w:t>
      </w:r>
    </w:p>
    <w:p>
      <w:pPr>
        <w:sectPr>
          <w:pgSz w:w="11900" w:h="16838" w:orient="portrait"/>
          <w:cols w:equalWidth="0" w:num="1">
            <w:col w:w="10227"/>
          </w:cols>
          <w:pgMar w:left="232"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("Guernsey"). Several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our company and the ordinary shares being sold in this offering and our financial statements and notes to those financial statements appearing elsewhere in this prospectus. Unless otherwise indicated, all information in this prospectus assumes the underwriters' option to purchase additional shares in the offering will not be exercised. See "Description of Share Capital" and "Underwriting". References in this prospectus to "Amdocs," "we," "our," "us" and the "Company" refer to Amdocs Limited and its consolidated subsidiaries and their respective predecessors. References to "dollars" or $ are to United States dollars.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exclude the effect of the ordinary shares being offered by this prospectus and all references to ordinary voting and nonvoting share ownership, as expressed in percentages, are as of April 30, 1999.</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 Our Business Support Systems consist of families of products designed to meet the mission-critical needs of specific market sectors. We provide integrated, comprehensive customer care and billing systems for wireline and wireless network operators and service providers. We also provide customer care and billing systems to companies that offer multiple service packages, commonly referred to as convergent services, such as local, long distance, international, data, Internet, Voice Over Internet Protocol, cellular, personal communications services and paging. In addition, we provide a full-range of directory sales and publishing systems to publishers of both traditional printed yellow page and white page directories and Internet directories.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major foreign network operators and service providers such as Deutsche Telekom (Germany) and Telstra Corporation Ltd.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 functionality and quality personnel permit us to offer effective solutions to our customers that are both highly innovative and reliable. Our software products are based on an advanced three-tier client-server architecture that provides the flexibility and scalability needed by major companies in the highly competitive, rapidly changing telecommunications industry. We have developed an extensive library of Business Support System software products, providing comprehensive support for the various types of telecommunications operations. Core elements include customer care, order management, call rating, invoice calculation, bill formatting, collections, fraud management and directory publishing. Our products have also been configured to support the growing trend for communications companies to provide convergent wireline and wireless services. We also offer our customers a range of support services to provide a complete systems solution. These services include software customization to address each customer's specific requirements, as well as implementation support, system integration, maintenance, ongoing support and outsourcing services.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to provide both traditional and new types of services, including Internet, Voice over Internet Protocol telephony, Internet directories, data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In addition, many new and existing service providers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All of these factors create significant opportunities for us to provide information system solutions.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right="3339" w:firstLine="439"/>
        <w:spacing w:after="0" w:line="274"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our Business Support System products and related services, including license fees and customization and implementation services, and</w:t>
      </w:r>
    </w:p>
    <w:p>
      <w:pPr>
        <w:spacing w:after="0" w:line="153" w:lineRule="exact"/>
        <w:rPr>
          <w:rFonts w:ascii="Courier New" w:cs="Courier New" w:eastAsia="Courier New" w:hAnsi="Courier New"/>
          <w:sz w:val="14"/>
          <w:szCs w:val="14"/>
          <w:color w:val="auto"/>
        </w:rPr>
      </w:pPr>
    </w:p>
    <w:p>
      <w:pPr>
        <w:ind w:right="3259" w:firstLine="439"/>
        <w:spacing w:after="0" w:line="267"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related services provided to our customers and to a lesser degree, from incremental license fees resulting from increases in a customer's subscribers.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Customer care and billing systems and related services accounted for $199.6 million or 71.5% of our revenue for the six months ended March 31, 1999 and $251.8 million or 62.4% of our revenue for the year ended September 30, 1998. Directory sales and publishing systems and related services and other activities accounted for $79.7 million or 28.5% of our revenue for the six months ended March 31, 1999 and $151.9 million or 37.6% of our revenue for the year ended September 30, 1998.</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March 31, 1999, we had approximately 4,150 full-time equivalent employees, of which approximately 3,600 were software and information technology specialists engaged in research, development, maintenance and support activities. Our Israeli subsidiary employs over 2,600 software and information technology specialists and operates our largest development facility. In the United States, our main sales and development center is located in St. Louis, Missouri. The executive offices of our principal subsidiary in the United States are located at 1610 Des Peres Road, St. Louis, Missouri 63131, and the telephone number at that location is (314) 821-3242.</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Shares offered by Amdocs.............................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Shares offered by the selling shareholders...........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Shares to be outstanding after the offering..........</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Use of proceeds......................................</w:t>
      </w: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NYSE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18,000,000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198,800,024(1)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repay a portion of our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bank debt and for general corporate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principally working capital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See "Use of Proceeds".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DOX</w:t>
      </w:r>
    </w:p>
    <w:p>
      <w:pPr>
        <w:spacing w:after="0" w:line="200" w:lineRule="exact"/>
        <w:rPr>
          <w:sz w:val="20"/>
          <w:szCs w:val="20"/>
          <w:color w:val="auto"/>
        </w:rPr>
      </w:pPr>
    </w:p>
    <w:p>
      <w:pPr>
        <w:sectPr>
          <w:pgSz w:w="11900" w:h="16838" w:orient="portrait"/>
          <w:cols w:equalWidth="0" w:num="2">
            <w:col w:w="4748" w:space="180"/>
            <w:col w:w="5299"/>
          </w:cols>
          <w:pgMar w:left="232" w:top="289" w:right="1440" w:bottom="1440" w:gutter="0" w:footer="0" w:header="0"/>
          <w:type w:val="continuous"/>
        </w:sectPr>
      </w:pPr>
    </w:p>
    <w:p>
      <w:pPr>
        <w:spacing w:after="0" w:line="1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89" w:right="1440" w:bottom="1440" w:gutter="0" w:footer="0" w:header="0"/>
          <w:type w:val="continuous"/>
        </w:sectPr>
      </w:pPr>
    </w:p>
    <w:p>
      <w:pPr>
        <w:spacing w:after="0" w:line="12" w:lineRule="exact"/>
        <w:rPr>
          <w:sz w:val="20"/>
          <w:szCs w:val="20"/>
          <w:color w:val="auto"/>
        </w:rPr>
      </w:pPr>
    </w:p>
    <w:p>
      <w:pPr>
        <w:ind w:left="348"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ordinary shares outstanding as of April 30, 1999. Does not include</w:t>
      </w:r>
    </w:p>
    <w:p>
      <w:pPr>
        <w:spacing w:after="0" w:line="3" w:lineRule="exact"/>
        <w:rPr>
          <w:rFonts w:ascii="Courier New" w:cs="Courier New" w:eastAsia="Courier New" w:hAnsi="Courier New"/>
          <w:sz w:val="15"/>
          <w:szCs w:val="15"/>
          <w:color w:val="auto"/>
        </w:rPr>
      </w:pPr>
    </w:p>
    <w:p>
      <w:pPr>
        <w:ind w:left="348" w:right="3079" w:firstLine="10"/>
        <w:spacing w:after="0" w:line="242" w:lineRule="auto"/>
        <w:tabs>
          <w:tab w:leader="none" w:pos="706"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4,231,000 ordinary shares reserved for issuance upon the exercise of stock options that have been granted through March 31, 1999 under our stock option plan and (ii) approximately 2,369,000 ordinary shares to be reserved for future issuance of stock options under our stock option plan.</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addition to the offering described in this prospectus, the TRACES Trust shareholder named in this prospectus is offering up to 10,000,000 ordinary shares (or up to 11,500,000 ordinary shares if the underwriters' over-allotment option is exercised in full) that may in certain circumstances be delivered by the TRACES Trust to holders of its Automatic Common Exchange Securities upon exchange of those securities on the Exchange Date.</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type w:val="continuous"/>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672"/>
        <w:spacing w:after="0"/>
        <w:rPr>
          <w:sz w:val="20"/>
          <w:szCs w:val="20"/>
          <w:color w:val="auto"/>
        </w:rPr>
      </w:pPr>
      <w:r>
        <w:rPr>
          <w:rFonts w:ascii="Courier New" w:cs="Courier New" w:eastAsia="Courier New" w:hAnsi="Courier New"/>
          <w:sz w:val="15"/>
          <w:szCs w:val="15"/>
          <w:color w:val="auto"/>
        </w:rPr>
        <w:t>SUMMARY CONSOLIDATED FINANCIAL INFORMATION</w:t>
      </w:r>
    </w:p>
    <w:p>
      <w:pPr>
        <w:spacing w:after="0" w:line="176" w:lineRule="exact"/>
        <w:rPr>
          <w:sz w:val="20"/>
          <w:szCs w:val="20"/>
          <w:color w:val="auto"/>
        </w:rPr>
      </w:pPr>
    </w:p>
    <w:p>
      <w:pPr>
        <w:ind w:left="8" w:right="368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generally accepted accounting principles in the United States ("U.S. GAAP") and presented in dollars. The summary consolidated financial information set forth below has been derived from the combined or consolidated financial statements of Amdocs and its subsidiaries for the fiscal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summary consolidated financial information as of and for the six months ended March 31,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six months ended March 31, 1999 are not necessarily indicative of results to be expected for any future period.</w:t>
      </w:r>
    </w:p>
    <w:p>
      <w:pPr>
        <w:spacing w:after="0" w:line="184" w:lineRule="exact"/>
        <w:rPr>
          <w:sz w:val="20"/>
          <w:szCs w:val="20"/>
          <w:color w:val="auto"/>
        </w:rPr>
      </w:pPr>
    </w:p>
    <w:p>
      <w:pPr>
        <w:ind w:left="8" w:right="386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Financial Condition and Results of Operations"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0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$279,255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$180,566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65,786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26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AT MARCH 31,</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AT SEPTEMBER 30,</w:t>
            </w:r>
          </w:p>
        </w:tc>
        <w:tc>
          <w:tcPr>
            <w:tcW w:w="112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4"/>
              </w:rPr>
              <w:t>--------------------------------------</w:t>
            </w:r>
          </w:p>
        </w:tc>
        <w:tc>
          <w:tcPr>
            <w:tcW w:w="1020" w:type="dxa"/>
            <w:vAlign w:val="bottom"/>
          </w:tcPr>
          <w:p>
            <w:pPr>
              <w:spacing w:after="0"/>
              <w:rPr>
                <w:sz w:val="14"/>
                <w:szCs w:val="14"/>
                <w:color w:val="auto"/>
              </w:rPr>
            </w:pPr>
          </w:p>
        </w:tc>
        <w:tc>
          <w:tcPr>
            <w:tcW w:w="5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14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(AS ADJUSTED)(4)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2140" w:type="dxa"/>
            <w:vAlign w:val="bottom"/>
          </w:tcPr>
          <w:p>
            <w:pPr>
              <w:spacing w:after="0"/>
              <w:rPr>
                <w:sz w:val="14"/>
                <w:szCs w:val="14"/>
                <w:color w:val="auto"/>
              </w:rPr>
            </w:pPr>
          </w:p>
        </w:tc>
        <w:tc>
          <w:tcPr>
            <w:tcW w:w="26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 assets(4)........</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$316,713</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$301,550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$223,882</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$239,966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Long-term obligations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(net of current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12,675</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12,675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339,615</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(deficit)(2)(3)(4)...</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70,934</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25,771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(273,917)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760" w:hanging="348"/>
        <w:spacing w:after="0" w:line="242"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ectPr>
          <w:pgSz w:w="11900" w:h="16838" w:orient="portrait"/>
          <w:cols w:equalWidth="0" w:num="1">
            <w:col w:w="10828"/>
          </w:cols>
          <w:pgMar w:left="232" w:top="289" w:right="839"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828"/>
          </w:cols>
          <w:pgMar w:left="232" w:top="289" w:right="839" w:bottom="1440"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348" w:right="3339" w:hanging="348"/>
        <w:spacing w:after="0"/>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completed our initial public offering of 18,000 ordinary shares. The net proceeds from the offering to us were $234,190.</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the 2,000 ordinary shares by us in the offering, at an assumed public offering price of $24.50 per share, after deducting the underwriting discount and estimated offering expenses. Adjustments assume that $30.0 million of the proceeds we receive in the offering are used to repay outstanding revolving loans under our bank credit facility, which we classify as short-term obligations. See "Use of Proceeds".</w:t>
      </w:r>
    </w:p>
    <w:p>
      <w:pPr>
        <w:spacing w:after="0" w:line="175"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FUNDAMENTAL CHANGES IN THE TELECOMMUNICATIONS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telecommunications industry, such as continued industry consolidation, the formation of alliances among network operators and service providers and changes in the regulatory environment, could adversely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such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market for telecommunications information systems is highly competitive and fragmented, and we expect this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systems integrators, service bureaus and companies that offer software systems in combination with the sale of network equipment. We anticipate continued growth and competition in the telecommunications industry and, consequently, the emergence of new software providers in the industry that will compete with us.</w:t>
      </w:r>
    </w:p>
    <w:p>
      <w:pPr>
        <w:spacing w:after="0" w:line="16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Our single largest group of customers are SBC Communications Inc., or SBC, and its operating subsidiaries. SBC International Inc., or SBCI, a wholly owned subsidiary of SBC, is also one of our significant shareholders. It currently holds approximately 22.7% of our outstanding ordinary shares. A significant decrease in the sale of products and services to SBC or its subsidiaries may materially adversely affect our results of operations and financial condition.</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16.6% of our total revenue in the first six months of fiscal 1999 and 20.8%, 34.5% and 38.0% of revenue in fiscal 1998, 1997 and 1996, respectively. The absolute amount of revenue attributable to SBC and such subsidiaries amounted to $46.2 million in the first six months of fiscal 1999 and $84.4 million, $99.9 million and $80.5 million in fiscal 1998, 1997 and 1996, respectively.</w:t>
      </w:r>
    </w:p>
    <w:p>
      <w:pPr>
        <w:spacing w:after="0" w:line="17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OUR BUSINESS IS HIGHLY DEPENDENT ON A LIMITED NUMBER OF SIGNIFICANT CUSTOMERS</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23.5% of revenue in the first six months of fiscal 1999 and 27.1%, 33.2% and 42.7% of revenue in fiscal 1998, 1997 and 1996, respectively.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NEW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new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attract new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3,600 software and information technology specialists, of which over 2,600 are located in Israel. We intensively recruit technical personnel for our principal development centers in Israel, the United States and Cyprus.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which progress may vary significantly from project to project,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 Europe, Australia, and Latin America. Our strategy is to continue to broaden our North American and European customer base and to expand into new international markets, the most significant of which are located in Latin America and the Asia-Pacific region.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5"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 MAY DISRUPT OUR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term "year 2000 issues" is a general term used to describe the various problems that may result from the improper processing of dates and faulty date calculations by computers and 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This could result in a system failure or miscalculation causing disruptions of operations, including, among other things, total failure of mass systems that depend on computers such as electricity, telephone networks and banking systems.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have accrued $2.0 million at March 31, 1999, representing the estimated costs to modify our software products to address year 2000 issues under existing agreements for previously sold products. See "Management's Discussion and Analysis of Financial Condition and Results of Operation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182" w:lineRule="exact"/>
        <w:rPr>
          <w:sz w:val="20"/>
          <w:szCs w:val="20"/>
          <w:color w:val="auto"/>
        </w:rPr>
      </w:pPr>
    </w:p>
    <w:p>
      <w:pPr>
        <w:ind w:right="3519"/>
        <w:spacing w:after="0" w:line="274"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OR EURO, OR CONVERT FROM LOCAL CURRENCIES TO THE EURO</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$1.9 million at March 31, 1999, representing the estimated costs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183"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179"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our development facility in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ordinary voting shares are currently owned as follows:</w:t>
      </w:r>
    </w:p>
    <w:p>
      <w:pPr>
        <w:spacing w:after="0" w:line="176" w:lineRule="exact"/>
        <w:rPr>
          <w:sz w:val="20"/>
          <w:szCs w:val="20"/>
          <w:color w:val="auto"/>
        </w:rPr>
      </w:pPr>
    </w:p>
    <w:p>
      <w:pPr>
        <w:ind w:left="620" w:right="325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34.4% by Welsh, Carson, Anderson &amp; Stowe, or WCAS, a private investment firm, and its affiliates,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8.7% by SBCI, and</w:t>
      </w:r>
    </w:p>
    <w:p>
      <w:pPr>
        <w:spacing w:after="0" w:line="175" w:lineRule="exact"/>
        <w:rPr>
          <w:rFonts w:ascii="Courier New" w:cs="Courier New" w:eastAsia="Courier New" w:hAnsi="Courier New"/>
          <w:sz w:val="15"/>
          <w:szCs w:val="15"/>
          <w:color w:val="auto"/>
        </w:rPr>
      </w:pPr>
    </w:p>
    <w:p>
      <w:pPr>
        <w:ind w:left="620" w:right="387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27.6% by Amdocs International Limited, or AIL, a private company beneficially owned by Morris S. Kahn.</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SBCI also owns ordinary nonvoting shares, which together with its ordinary voting shares represent 22.7% of the ordinary shares outstanding. In addition, WCAS and certain entities in which members of our management have a beneficial interest have granted irrevocable proxies with respect to a portion of the ordinary shares held by them to a company beneficially owned by Morris S. Kahn. Giving effect to such proxies, the company beneficially owned by Morris S. Kahn and AIL together have the right to vote 45.6% of our ordinary voting shares, WCAS and its affiliates have the right to vote 20.3% of our ordinary voting shares and SBCI has the right to vote 8.7% of our ordinary voting shares.</w:t>
      </w:r>
    </w:p>
    <w:p>
      <w:pPr>
        <w:spacing w:after="0" w:line="162"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Affiliates of WCAS and certain other investors, or the WCAS Investors, have granted a call option on some of the ordinary shares that they hold to SBCI, AIL and others who were shareholders of Amdocs prior to our initial public offering in June 1998. The call option may be exercised if we achieve specified revenue and cash flow targets in fiscal 1998 and 1999, which targets were achieved for fiscal 1998. If exercised, the option would increase the relative ownership of SBCI, AIL and those other shareholders and decrease the relative ownership of WCAS. If the targets are met in full, the WCAS Investors will hold 28.4% of our ordinary voting shares and AIL will hold 31.3% of our ordinary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8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May 5, 1999 the closing price of our ordinary shares ranged from a high of $28.88 per share to a low of $8.38 per share. Many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could cause the market price of our ordinary shares to rise and fall.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Some of these factors are:</w:t>
      </w:r>
    </w:p>
    <w:p>
      <w:pPr>
        <w:spacing w:after="0" w:line="174" w:lineRule="exact"/>
        <w:rPr>
          <w:sz w:val="20"/>
          <w:szCs w:val="20"/>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stockholders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196,800,024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6,600,000 ordinary shares reserved for issuance upon the exercise of options that have been or may be granted under our stock option plans. The right to exercise options outstanding under these plans is subject to certain vesting requirements.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 See "Description of Share Capital" and "Comparison of United States and Guernsey Corporate Law" for a discussion of the material differences.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The net proceeds to us from our sale of the 2,000,000 ordinary shares in the offering are estimated to be approximately $45.2 million, after deducting the underwriting discount and the estimated offering expenses payable by us.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intend to use a portion of the proceeds received by us to repay up to $30.0 million principal amount of outstanding loans under our revolving credit facility. The debt to be repaid matures on June 1999 and bears interest at a rate of approximately 5.5% per annum. We expect that any proceeds not used to repay this debt will be used for general corporate purposes, including working capital and capital expenditures. We may also use a portion of the net proceeds, currently intended for general corporate purposes, to acquire or invest in businesses, technologies, products or services that are complementary to our business. We do not currently have any commitments or agreements with respect to any such acquisitions or investments. Pending any of these uses, we intend to invest the net proceeds from this offering in short-term, interest-bearing, investment grade securities.</w:t>
      </w:r>
    </w:p>
    <w:p>
      <w:pPr>
        <w:spacing w:after="0" w:line="180"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 or the sale of the Automatic Common Exchange Securities by the TRACES Trust.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May 13, 1999, the high and low reported closing prices for the ordinary shares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2"/>
        </w:trPr>
        <w:tc>
          <w:tcPr>
            <w:tcW w:w="544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1998 (since June 19,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$16.50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$17.25</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$ 8.88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1999 (through May 13,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spacing w:after="0"/>
              <w:rPr>
                <w:sz w:val="14"/>
                <w:szCs w:val="14"/>
                <w:color w:val="auto"/>
              </w:rPr>
            </w:pP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May 13, 1999, the last reported closing price of the ordinary shares on the New York Stock Exchange was $24.50 and ordinary shares were held by approximately 139 recordholders. Based on a review of the addresses of such holders, 90 recordholders, holding approximately 62.6% of the outstanding ordinary shares, were residents of the United States.</w:t>
      </w:r>
    </w:p>
    <w:p>
      <w:pPr>
        <w:spacing w:after="0" w:line="175"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1998, 1997 and 1996 of $478.7 million, $19.3 million and $37.9 million, respectively. See "Certain Transactions". We currently intend to retain our earnings to finance the development of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176" w:lineRule="exact"/>
        <w:rPr>
          <w:sz w:val="20"/>
          <w:szCs w:val="20"/>
          <w:color w:val="auto"/>
        </w:rPr>
      </w:pPr>
    </w:p>
    <w:p>
      <w:pPr>
        <w:ind w:left="8" w:right="404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U.S. GAAP and presented in dollars. The selected consolidated financial information set forth below has been derived from the combined or consolidated financial statements of Amdocs and its subsidiaries for the fiscal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selected consolidated financial information as of and for the six months ended March 31,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six months ended March 31, 1999 are not necessarily indicative of results to be expected for any future period.</w:t>
      </w:r>
    </w:p>
    <w:p>
      <w:pPr>
        <w:spacing w:after="0" w:line="184" w:lineRule="exact"/>
        <w:rPr>
          <w:sz w:val="20"/>
          <w:szCs w:val="20"/>
          <w:color w:val="auto"/>
        </w:rPr>
      </w:pPr>
    </w:p>
    <w:p>
      <w:pPr>
        <w:ind w:left="8" w:right="422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Financial Condition and Results of Operations"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0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$279,255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$180,566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65,786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6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AT MARCH 31,</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AT SEPTEMBER 30,</w:t>
            </w:r>
          </w:p>
        </w:tc>
        <w:tc>
          <w:tcPr>
            <w:tcW w:w="11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2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4"/>
              </w:rPr>
              <w:t>--------------------------------------</w:t>
            </w:r>
          </w:p>
        </w:tc>
        <w:tc>
          <w:tcPr>
            <w:tcW w:w="1020" w:type="dxa"/>
            <w:vAlign w:val="bottom"/>
          </w:tcPr>
          <w:p>
            <w:pPr>
              <w:spacing w:after="0"/>
              <w:rPr>
                <w:sz w:val="14"/>
                <w:szCs w:val="14"/>
                <w:color w:val="auto"/>
              </w:rPr>
            </w:pPr>
          </w:p>
        </w:tc>
        <w:tc>
          <w:tcPr>
            <w:tcW w:w="5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50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(AS ADJUSTED)(4)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2500" w:type="dxa"/>
            <w:vAlign w:val="bottom"/>
          </w:tcPr>
          <w:p>
            <w:pPr>
              <w:spacing w:after="0"/>
              <w:rPr>
                <w:sz w:val="14"/>
                <w:szCs w:val="14"/>
                <w:color w:val="auto"/>
              </w:rPr>
            </w:pPr>
          </w:p>
        </w:tc>
        <w:tc>
          <w:tcPr>
            <w:tcW w:w="26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 assets(4)............</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$316,713</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$301,550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$223,882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$239,966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Long-term obligations (net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current portion)......</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12,675</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12,675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339,615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(deficit)(2)(3)(4).......</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70,934</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25,771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(273,917)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120" w:hanging="348"/>
        <w:spacing w:after="0" w:line="242" w:lineRule="auto"/>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ectPr>
          <w:pgSz w:w="11900" w:h="16838" w:orient="portrait"/>
          <w:cols w:equalWidth="0" w:num="1">
            <w:col w:w="11188"/>
          </w:cols>
          <w:pgMar w:left="232" w:top="289" w:right="479"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188"/>
          </w:cols>
          <w:pgMar w:left="232" w:top="289" w:right="479" w:bottom="1440" w:gutter="0" w:footer="0" w:header="0"/>
          <w:type w:val="continuous"/>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left="348" w:right="3339" w:hanging="348"/>
        <w:spacing w:after="0"/>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completed our initial public offering of 18,000 ordinary shares. The net proceeds from the offering to us were $234,190.</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the 2,000 ordinary shares by us in the offering, at an assumed public offering price of $24.50 per share, after deducting the underwriting discount and estimated offering expenses. Adjustments assume that $30.0 million of the proceeds we receive in the offering are used to repay outstanding revolving loans under our bank credit facility, which we classify as short-term obligations. See "Use of Proceeds".</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74" w:lineRule="exact"/>
        <w:rPr>
          <w:sz w:val="20"/>
          <w:szCs w:val="20"/>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first six months of fiscal 1999 and 1998 and fiscal 1998, 1997 and 1996,</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first six months of fiscal 1999 and 1998 and fiscal 1998, 1997 and 1996,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six month to six month and annual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maintenance and outsourcing services.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620" w:right="3159" w:hanging="181"/>
        <w:spacing w:after="0" w:line="274"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53" w:lineRule="exact"/>
        <w:rPr>
          <w:rFonts w:ascii="Courier New" w:cs="Courier New" w:eastAsia="Courier New" w:hAnsi="Courier New"/>
          <w:sz w:val="14"/>
          <w:szCs w:val="14"/>
          <w:color w:val="auto"/>
        </w:rPr>
      </w:pPr>
    </w:p>
    <w:p>
      <w:pPr>
        <w:ind w:left="620" w:right="3159" w:hanging="181"/>
        <w:spacing w:after="0" w:line="242"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term of the maintenance agreement. As a result of our percentage of completion accounting policies, our annual and quarterly operating results may be significantly affected by the size and timing of customer projects and our progress in completing such projects.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176" w:lineRule="exact"/>
        <w:rPr>
          <w:sz w:val="20"/>
          <w:szCs w:val="20"/>
          <w:color w:val="auto"/>
        </w:rPr>
      </w:pPr>
    </w:p>
    <w:p>
      <w:pPr>
        <w:ind w:left="620" w:right="307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fees from the sale of CC&amp;B Systems amounted to $199.6 million for the six months ended March 31, 1999, representing 71.5% of our revenue for such period.</w:t>
      </w:r>
    </w:p>
    <w:p>
      <w:pPr>
        <w:spacing w:after="0" w:line="176"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175" w:lineRule="exact"/>
        <w:rPr>
          <w:sz w:val="20"/>
          <w:szCs w:val="20"/>
          <w:color w:val="auto"/>
        </w:rPr>
      </w:pPr>
    </w:p>
    <w:p>
      <w:pPr>
        <w:ind w:left="620" w:right="3159" w:hanging="181"/>
        <w:spacing w:after="0" w:line="241"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$79.7 million for the six months ended March 31, 1999 accounting for 28.5% of our revenue for such period.</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16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 both for CC&amp;B Systems and Directory Systems.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for the six months ended March 31, 1999 and 1998 and for the years ended September 30, 1998, 1997 and 1996, certain items in our consolidated statements of operations reflected as a percentage of total revenue: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SIX MONTHS</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YEAR ENDED</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MARCH 31,</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88.4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57.4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76.5</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23.5</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principle,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31, 1999 AND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six months ended March 31, 1999 was $279.3 million, an increase of $98.7 million, or 54.7%, compared to the six months ended March 31, 1998, primarily due to additional CC&amp;B Systems sales to European customers. License revenue increased from $18.4 million in the first six months of fiscal 1998 to $32.3 million in the first six months of fiscal 1999, an increase of 75.5%, and service revenue increased 52.3% by $84.8 million in the first six months of fiscal 1999, from $162.1 million in the first six months of fiscal 1998 to $246.9 million in the first six months of fiscal 1999. Total CC&amp;B Systems revenue for the six months ended March 31, 1999 was $199.6 million, an increase of $98.6 million, or 97.6%, compared to the prior year's first six months. Revenue attributable to Directory Systems was $79.7 million for the six months ended March 31, 1999, an increase of $0.1 million, or 0.1%, from the first six months of fiscal 1998.</w:t>
      </w:r>
    </w:p>
    <w:p>
      <w:pPr>
        <w:spacing w:after="0" w:line="181"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the six months ended March 31, 1999, revenue from customers in North America, Europe and the rest of the world accounted for 44%, 36% and 20%, respectively, compared to 58%, 20%, and 22% respectively, in the six months ended March 31, 1998.</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the six months ended March 31, 1999 was $2.7 million, a decrease of $3.2 million, or 54.1%, from cost of license for the six months ended March 31, 1998. Cost of license includes amortization of purchased computer software and intellectual property rights.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the first six months of fiscal 1999 was $160.2 million, an increase of $55.4 million, or 52.9%, compared to the cost of service of $104.8 million for the first six months of fiscal 1998. As a percentage of revenue, cost of service decreased to 57.4% in the six months ended March 31, 1999 from 58.0% in the first six months of fiscal 1998. The absolute increase in cost of service is consistent with the increase in revenue for the first six months of fiscal 1999, as these costs are predominately compensation related and reflect increased employment levels required to support the growth in revenue.</w:t>
      </w:r>
    </w:p>
    <w:p>
      <w:pPr>
        <w:spacing w:after="0" w:line="178"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six months ended March 31, 1999, research and development expense was $17.5 million, or 6.3% of revenue, compared with $11.0 million, or 6.1% of revenue, in the six months ended March 31, 1998. The increase in research and development expense represents ongoing expenditures for both CC&amp;B Systems and Directory Systems.</w:t>
      </w:r>
    </w:p>
    <w:p>
      <w:pPr>
        <w:spacing w:after="0" w:line="164"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and increased by 43.6% to $33.1 million, or 11.8% of revenue, in the six months ended March 31, 1999 from $23.0 million, or 12.8% of revenue, in the corresponding period of fiscal 1998.</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Operating income in the six months ended March 31, 1999 was $65.8 million, as compared with $36.0 million in the first six months of fiscal 1998, an increase of 82.9%. As a percentage of revenue, operating income was 23.5% in the first six months of fiscal 1999 as compared to 19.9% in the first six months of fiscal 1998, primarily due to an increase in license revenue and a decrease in cost of license. In addition, selling, general and administrative expense increased at a lesser rate than revenue.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was substantially repaid from the proceeds of our initial public offering. In the first six months of fiscal 1999, other expense, net was $4.0 million, a decrease of $7.8 million from the first six months of fiscal 1998.</w:t>
      </w:r>
    </w:p>
    <w:p>
      <w:pPr>
        <w:spacing w:after="0" w:line="17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six months ended March 31, 1999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 million on income before taxes of $61.8 million. In the prior year's first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half, income taxes were $12.1 million on income before taxes of $24.1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discussion below "-- 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INCOME. Net income was $43.3 million in the first six months of fiscal 1999 compared to $12.1 for the first six months of fiscal 1998. The increase was primarily the result of an increase in operating income and a decrease in interest expense, which also resulted in an increase in earnings per share from $.09 in the first six months of fiscal 1998 to $0.22 in the first six months of fiscal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1997 to $42.9 million in fiscal 1998, an increase of 65.0%, and service revenue increased 36.6%, or $96.8 million, in fiscal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 revenue is attributable to sales to new customers as well as sales of additional products and services to existing customers.</w:t>
      </w:r>
    </w:p>
    <w:p>
      <w:pPr>
        <w:spacing w:after="0" w:line="179"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fiscal 1998, revenue from customers in North America, Europe and the rest of the world accounted for 52.2%, 27.2% and 20.6%, respectively, compared to 63.8%, 11.3% and 24.9%, respectively, in fiscal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1998 was $10.7 million, an increase of $7.0 million, or 189.2%, from cost of license for fiscal 1997. Cost of license in fiscal 1998 includes amortization of purchased computer software and intellectual property rights, and in fiscal 1997 included royalty expense paid to some subsidiaries of SBC in connection with the grant to us of licenses to use certain software jointly developed with those subsidiaries.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is consistent with the increase in revenue for the period, as these costs are predominately for compensation and reflect increased employment levels needed to support the growth in revenue.</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fiscal 1998, research and development expense was $25.6 million, or 6.3% of revenue, compared with $17.4 million, or 6.0% of revenue, in fiscal 1997. The increase in research and development expense in fiscal 1998 represents ongoing expenditures for both CC&amp;B Systems and Directory Systems.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fiscal 1998 from $40.8 million in the prior fiscal year. However, selling, general and administrative expense as a percentage of revenue decreased from 14.0% of revenue in fiscal 1997 to 12.7% of revenue in fiscal 1998.</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OPERATING INCOME. Operating income in fiscal 1998 was $84.9 million, as compared with $54.5 million in fiscal 1997, excluding the effect of the nonrecurring charges in that fiscal year, an increase of 55.8%. As a percentage of revenue, operating income was 21.0% in fiscal 1998 compared to 18.8% in fiscal 1997, excluding the effect of the nonrecurring charges in fiscal 1997.</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fiscal 1998, such interest expense was $24.1 million, an increase of $20.8 million from fiscal 1997.</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1998 were $30.4 million on income before taxes of $60.8 million. In the prior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INCOME. Our net income was $30.1 million in fiscal 1998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$5.9 million in fiscal 1997. The increase was primarily the result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increase in operating income. In addition, in fiscal 1998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million in interest expense related to outstanding debt; while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we had a nonrecurring charge of $27.6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fiscal 1997 was $290.1 million, an increase of $78.4 million, or 37.0%, from fiscal 1996. License revenue increased from $16.3 million in fiscal 1996 to $26.0 million in fiscal 1997, an increase of 59.5%, and service revenue increased 35.1% or $68.7 million in fiscal 1997. The majority of the increase in total revenue was due to the expansion of the CC&amp;B Systems business. Total CC&amp;B Systems revenue for fiscal 1997 was $166.3 million, an increase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of $63.9 million, or 62.3%, from the prior year. Revenue attributable to Directory Systems was $123.8 million for fiscal 1997, an increase of $14.5 million, or 13.3%, from fiscal 1996.</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fiscal 1997, revenue from customers in North America, Europe and the rest of the world accounted for 63.8%, 11.3% and 24.9% respectively, compared to 67.5%, 14.5% and 18.0%, respectively, in fiscal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1997 was $3.7 million, a decrease of $0.3 million, or 7.5%, from fiscal 1996 cost of license of $4.0 million. The decrease was due to the acquisition of certain software rights from several operating subsidiaries of SBC, which eliminated the requirement to pay royalties.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1997 was $173.7 million, an increase of $44.5 million, or 34.4%, from fiscal 1996 cost of service of $129.2 million. As a percentage of revenue, cost of service decreased to 59.9% in fiscal 1997 from 61.0% in fiscal 1996. The absolute increase in cost of service was consistent with the increase in revenue for the period, and reflected increased compensation attributable to higher employment levels needed to support the growth in revenue.</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In fiscal 1997, research and development expense was $17.4 million, or 6.0% of revenue, compared with $14.7 million, or 6.9% of revenue, in fiscal 1996. The absolute increase in research and development expense in fiscal 1997 represented ongoing expenditures for both CC&amp;B Systems and Directory Systems, while the decrease as a percentage of revenue was attributable to the overall increase in revenue for the period.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Selling, general and administrative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to $40.8 million, or 14.0% of revenue, in fiscal 1997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or 13.4% of revenue, in the prior year, an increase of 43.8%.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increased marketing efforts for our CC&amp;B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NONRECURRING CHARGES. In the fourth quarter of fiscal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a trust for the benefit of certain officers and employees. See "Management -- Employee Trust Agreement".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1997, operating income in fiscal 1997 was $27.0 million, as compared with $35.5 million in fiscal 1996. As a percentage of revenue, operating income was 9.3% in fiscal 1997 as compared to 16.8% in fiscal 1996. Excluding the effect of the nonrecurring charges, operating income would have been $54.5 million in fiscal 1997, or 18.8% of revenue, an increase of $19.0 million, or 53.4%, between fiscal 1997 and 1996. The increase in operating income as a percentage of revenue (excluding the effect of the nonrecurring charges) was primarily attributable to increased license revenue.</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1996 and an expense of $3.3 million in fiscal 1997. The increase in fiscal 1997 was attributable to the settlement of the claims of various taxing authorities for additional taxes for years prior to such fiscal year. Approximately $3.0 million of expense was included in fiscal 1997 for interest on the tax assessments.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1997 were $17.8 million on income before taxes of $23.7 million. In fiscal 1996, income taxes were $10.5 million on income before taxes of $35.0 million. In fiscal 1997, we paid income taxes for the operations of our subsidiaries, principally in</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the United States, the United Kingdom and Israel, and recorded a loss in Guernsey, a jurisdiction in which we are tax-exempt.</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NET INCOME. We had net income of $5.9 million in fiscal 1997 compared with net income of $24.5 million in fiscal 1996, primarily as a result of the $27.6 million for the nonrecurring charges incurred in fiscal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FINANCING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primarily financed our operations through cash generated from operations and borrowings from banks and other lenders. Cash and cash equivalents totaled $26.9 million at March 31, 1999 compared to $25.4 million at September 30, 1998. Net cash provided by operating activities amounted to $38.3 million and $11.8 million for the first half of fiscal 1999 and 1998, respectively.</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We currently intend to retain our earnings to repay our outstanding loans and to finance the development of our business. The terms of our bank agreement effectively restrict our ability to pay cash 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March 31, 1999, we had short term lines of credit totaling $152.0 million from various banks or bank groups, of which $75.9 million was outstanding. As of that date, we had also utilized approximately $8.2 million of our revolving credit facility to support outstanding letters of credit. We intend to use a portion of the net proceeds from our sale of ordinary shares in the offering to repay a portion of amounts outstanding under our revolving credit facility. See "Use of Proceeds".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March 31, 1999, we had negative working capital of $48.3 million as compared to negative working capital of $84.3 million at September 30, 1998. We do not believe this will have a negative impact on our liquidity as this temporary situation is primarily a result of a three-year revolving credit facility which we intend to repay with part of the proceeds we receive in the offering and with cash flows from operations. We believe that cash generated from operations and our current lines of credit will provide sufficient resources to meet our needs in the near future.</w:t>
      </w:r>
    </w:p>
    <w:p>
      <w:pPr>
        <w:spacing w:after="0" w:line="177"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At March 31, 1999, we had long-term obligations outstanding of $16.9 million in connection with vehicle leasing arrangements.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March 31, 1999 will be realized through future taxable earnings. No significant increase in future taxable earnings would be required to fully realize the net deferred tax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 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174" w:lineRule="exact"/>
        <w:rPr>
          <w:sz w:val="20"/>
          <w:szCs w:val="20"/>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new systems have been developed as year 2000 compliant; older generations of applications are being made year 2000 compliant in cooperation with our customers (using Amdocs year 2000 methodology and tool kit). None of these systems need mass data conversion, which is usually the most sensitive portion of the year 2000 migration.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For many customers we offer to conduct the verification process, since the ultimate verification for year 2000 compliance should be executed in their own working environment.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anticipate completing the majority of the testing, implementation of changes and necessary refinements by mid-1999 but to continue extensive testing through calendar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whom we deal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176" w:lineRule="exact"/>
        <w:rPr>
          <w:sz w:val="20"/>
          <w:szCs w:val="20"/>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contains embedded software and our own software products. We are in the process of implementing action plans for the remediation of high 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March 31, 1999, we have accrued approximately $2.0 million representing the estimated remaining costs to modify previously sold customized software products. We do not anticipate capitalizing any of these costs as they relate to warranties related to products developed for customers.</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OUR CONTINGENCY PLANS. Detailed contingency plans are being prepared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 See "Risk Factors" for more information.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European Monetary Union currency, or the euro, will be phased in over the three-year period commencing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March 31, 1999, we have accrued approximately $1.9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first half of the fiscal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Approximately 80% of our revenue are in dollars or linked to the dollar and therefore the dollar is our functional currency. Approximately 60% of our operating expenses are paid in dollars or are linked to dollars. Other significant currencies in which we receive revenue or pay expenses are Australian dollars, the euro, British pounds, Canadian dollars and Israeli shekels. Historically, the effect of fluctuations in currency exchange rates has had a minimal impact on our operations. As we expand our operations outside of the United States, our exposure to</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fluctuations in currency exchange rates could increase. In managing our foreign exchange risk, we enter from time to time into various foreign exchange contracts. As of March 31, 1999, we had hedged most of our significant exposures in currencies other than the dollar.</w:t>
      </w:r>
    </w:p>
    <w:p>
      <w:pPr>
        <w:spacing w:after="0" w:line="17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FOREIGN CURRENCY RISK</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summarizes our foreign currency forward exchange agreements as of September 30, 1998. The table presents the notional amounts (dollars in millions), weighted average exchange rates by expected (contractual) maturity dates, and fair value of the total derivative instruments. Notional values and average contract rates are calculated based on forward rates at September 30, 1998 dollar translated.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AT SEPTEMBER 30,</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4"/>
                <w:szCs w:val="4"/>
                <w:color w:val="auto"/>
                <w:w w:val="77"/>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FV</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AFTER</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OF FORWARDS</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sell foreign</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British Pounds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(1.60)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133.80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(3.10)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$100,000.</w:t>
      </w:r>
    </w:p>
    <w:p>
      <w:pPr>
        <w:spacing w:after="0" w:line="174"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or LIBOR, as all of our short-term borrowings bear a LIBOR-based interest rate. Excess liquidity invested in short-term investments bears minimal interest rate risk.</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At September 30, 1998, we had approximately $91.6 million outstanding on our revolving line of credit and short-term credit agreements and $12.2 million recorded as long-term lease obligations. The potential loss to us over one year that would result from a hypothetical,</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instantaneous, and unfavorable change of 100 basis points in the interest rates of all applicable financial assets and liabilities on September 30, 1998 would be approximately $1.0 million. The above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See Note 8 to our consolidated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ARCHITEL TRANSACTION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March 2, 1999, we entered into a combination agreement with Architel Systems Corporation, a Canadian corporation, by which we would acquire Architel in a stock transaction valued at approximately $400 million at the time of the agreement. On April 8, 1999, Architel announced that it had restructured its relationship with its largest customer, and expected revenue and earnings for future periods to be substantially less than originally anticipated. As a result of these developments, on April 22, 1999, we terminated the combination agreement.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Business Support Systems, or BSS, consist of families of customized software products and services designed to meet the mission-critical needs of specific telecommunications market sectors. We provide primarily CC&amp;B Systems for wireline (local, long distance, international, data, Internet and Voice Over Internet Protocol, or VOIP) and wireless (cellular, personal communications services, or PCS, and paging) network operators and service providers, as well as for companies that offer multiple service packages, commonly referred to as convergent services (combinations of local, long distance, international, mobile, cable television, data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and Telstra Corporation Ltd.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are oriented to supporting a single-service approach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three-tier,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175" w:lineRule="exact"/>
        <w:rPr>
          <w:sz w:val="20"/>
          <w:szCs w:val="20"/>
          <w:color w:val="auto"/>
        </w:rPr>
      </w:pPr>
    </w:p>
    <w:p>
      <w:pPr>
        <w:ind w:left="620" w:right="3079" w:hanging="181"/>
        <w:spacing w:after="0" w:line="242"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77" w:lineRule="exact"/>
        <w:rPr>
          <w:rFonts w:ascii="Courier New" w:cs="Courier New" w:eastAsia="Courier New" w:hAnsi="Courier New"/>
          <w:sz w:val="15"/>
          <w:szCs w:val="15"/>
          <w:color w:val="auto"/>
        </w:rPr>
      </w:pPr>
    </w:p>
    <w:p>
      <w:pPr>
        <w:ind w:left="620" w:right="3079" w:hanging="181"/>
        <w:spacing w:after="0" w:line="261"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Vodafone Group (United Kingdom)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338" w:lineRule="exact"/>
        <w:rPr>
          <w:rFonts w:ascii="Courier New" w:cs="Courier New" w:eastAsia="Courier New" w:hAnsi="Courier New"/>
          <w:sz w:val="14"/>
          <w:szCs w:val="14"/>
          <w:color w:val="auto"/>
        </w:rPr>
      </w:pPr>
    </w:p>
    <w:p>
      <w:pPr>
        <w:ind w:left="620" w:right="3079" w:hanging="181"/>
        <w:spacing w:after="0" w:line="261"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development personnel prepare the detailed functional specifications of the system required by the customer. In accordance with such specifications, system modules are then adapted or customized to meet the customer's specific business requirements. We believe that this approach minimizes risks and increases efficiencies by drawing on field-proven BSS</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175" w:lineRule="exact"/>
        <w:rPr>
          <w:sz w:val="20"/>
          <w:szCs w:val="20"/>
          <w:color w:val="auto"/>
        </w:rPr>
      </w:pPr>
    </w:p>
    <w:p>
      <w:pPr>
        <w:ind w:left="620" w:right="3159" w:hanging="181"/>
        <w:spacing w:after="0" w:line="242"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18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80"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rule-based techniques, intelligent agents over the Internet, object-oriented design and programming and data mining, we are able to provide telecommunications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175" w:lineRule="exact"/>
        <w:rPr>
          <w:sz w:val="20"/>
          <w:szCs w:val="20"/>
          <w:color w:val="auto"/>
        </w:rPr>
      </w:pPr>
    </w:p>
    <w:p>
      <w:pPr>
        <w:ind w:right="4139" w:firstLine="447"/>
        <w:spacing w:after="0"/>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176" w:lineRule="exact"/>
        <w:rPr>
          <w:sz w:val="20"/>
          <w:szCs w:val="20"/>
          <w:color w:val="auto"/>
        </w:rPr>
      </w:pPr>
    </w:p>
    <w:p>
      <w:pPr>
        <w:ind w:left="620" w:right="3159" w:hanging="181"/>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75"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 alone basis, interfacing with the customer's existing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176" w:lineRule="exact"/>
        <w:rPr>
          <w:sz w:val="20"/>
          <w:szCs w:val="20"/>
          <w:color w:val="auto"/>
        </w:rPr>
      </w:pPr>
    </w:p>
    <w:p>
      <w:pPr>
        <w:ind w:left="620" w:right="307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wireless (cellular, PCS and paging), wireline (local, long distance, international, data, Internet and VOIP) and directory publishing operations. Core elements include customer care, order management, call rating, invoice calculation, bill formatting, collections, fraud management and directory publishing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and Internet services).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data, Internet, VOIP and convergent operations.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BILLING</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176" w:lineRule="exact"/>
        <w:rPr>
          <w:sz w:val="20"/>
          <w:szCs w:val="20"/>
          <w:color w:val="auto"/>
        </w:rPr>
      </w:pPr>
    </w:p>
    <w:p>
      <w:pPr>
        <w:ind w:left="620" w:right="3339" w:hanging="181"/>
        <w:spacing w:after="0" w:line="267"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158" w:lineRule="exact"/>
        <w:rPr>
          <w:rFonts w:ascii="Courier New" w:cs="Courier New" w:eastAsia="Courier New" w:hAnsi="Courier New"/>
          <w:sz w:val="14"/>
          <w:szCs w:val="14"/>
          <w:color w:val="auto"/>
        </w:rPr>
      </w:pPr>
    </w:p>
    <w:p>
      <w:pPr>
        <w:ind w:left="620" w:right="325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174"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174" w:lineRule="exact"/>
        <w:rPr>
          <w:rFonts w:ascii="Courier New" w:cs="Courier New" w:eastAsia="Courier New" w:hAnsi="Courier New"/>
          <w:sz w:val="15"/>
          <w:szCs w:val="15"/>
          <w:color w:val="auto"/>
        </w:rPr>
      </w:pPr>
    </w:p>
    <w:p>
      <w:pPr>
        <w:ind w:left="620" w:right="333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74"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75"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Channels -- manages the financial relationship between a wireless carrier and its authorized dealers, including commission calculation, chargebacks and residual compensation.</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wireless phones and phone numbers.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176" w:lineRule="exact"/>
        <w:rPr>
          <w:rFonts w:ascii="Courier New" w:cs="Courier New" w:eastAsia="Courier New" w:hAnsi="Courier New"/>
          <w:sz w:val="15"/>
          <w:szCs w:val="15"/>
          <w:color w:val="auto"/>
        </w:rPr>
      </w:pPr>
    </w:p>
    <w:p>
      <w:pPr>
        <w:ind w:left="620" w:right="3439" w:hanging="181"/>
        <w:spacing w:after="0" w:line="241"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DIRECTORY PUBLISHING</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"ADS(NG)/Family of Products," our main products in the Directory Systems area, provides comprehensive support for yellow page and white page directory sales and publishing operations, as well as for Internet directories and catalogs, including fully integrated electronic commerce capabilities. The directory line of products comprises a series of modules, including:</w:t>
      </w:r>
    </w:p>
    <w:p>
      <w:pPr>
        <w:spacing w:after="0" w:line="163" w:lineRule="exact"/>
        <w:rPr>
          <w:sz w:val="20"/>
          <w:szCs w:val="20"/>
          <w:color w:val="auto"/>
        </w:rPr>
      </w:pPr>
    </w:p>
    <w:p>
      <w:pPr>
        <w:ind w:left="620" w:right="3079" w:hanging="181"/>
        <w:spacing w:after="0" w:line="241"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 addresses all aspects of managing sales to advertisers, including preparation and management of the overall sales campaign, which encompasses selecting the advertisers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76" w:lineRule="exact"/>
        <w:rPr>
          <w:sz w:val="20"/>
          <w:szCs w:val="20"/>
          <w:color w:val="auto"/>
        </w:rPr>
      </w:pPr>
    </w:p>
    <w:p>
      <w:pPr>
        <w:ind w:left="620" w:right="307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5"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176" w:lineRule="exact"/>
        <w:rPr>
          <w:rFonts w:ascii="Courier New" w:cs="Courier New" w:eastAsia="Courier New" w:hAnsi="Courier New"/>
          <w:sz w:val="15"/>
          <w:szCs w:val="15"/>
          <w:color w:val="auto"/>
        </w:rPr>
      </w:pPr>
    </w:p>
    <w:p>
      <w:pPr>
        <w:ind w:left="620" w:right="3599" w:hanging="181"/>
        <w:spacing w:after="0" w:line="274"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the operation of the customer's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82"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17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Bell Atlantic</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BellSouth</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U.S. West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GTE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Sprint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Deutsche Telekom (Germany)</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Mannesmann (Germany)</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SEAT (Italy)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Telstra Corporation Ltd. (Australia)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Telus (Canada)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Eireann (Ireland)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Korean Telecom (South Korea)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Vodafone Group (United Kingdom)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Bezeq (Israel)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BCP (Brazil)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New Zealand (New Zealand)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able to establish long-term working relationships with many of our customers. Of our total customer base, 18 have been customers for five or more years. These long-term relationships are due, in part, to our broad-based expertise and our ability to address the evolving needs of a dynamic telecommunications industry.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single largest group of customers is SBC and its operating subsidiaries, which accounted for in the aggregate 16.6% of our revenue in the first six months of fiscal 1999 and for 20.8%, 34.5% and 38.0% of our revenue in fiscal 1998, 1997 and 1996, respectively. Our next largest customer is BellSouth, which accounted for 9.6% of our revenue in the first six months of fiscal 1999 and for 15.8%, 4.5% and 1.5% of our revenue in fiscal 1998, 1997 and 1996, respectively. Our third largest customer is Telstra, which accounted for 7.0% of our revenue in the first half of fiscal 1999 and for 8.2%, 13.0% and 16.0% of our revenue in fiscal 1998, 1997 and 1996, respectively.</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23.5% of total revenue for the first six months of fiscal 1999 and 27.1%, 33.2% and 42.7% of revenue in fiscal 1998, 1997 and 1996, respectively.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SIX MONTHS</w:t>
            </w: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ENDED</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 1999</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9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44.0%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52.2%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63.8%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67.5%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14.5%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19.6%</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20.6%</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18.0%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IBM, Kenan Systems (a subsidiary of Lucent Technologies),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179"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174" w:lineRule="exact"/>
        <w:rPr>
          <w:sz w:val="20"/>
          <w:szCs w:val="20"/>
          <w:color w:val="auto"/>
        </w:rPr>
      </w:pPr>
    </w:p>
    <w:p>
      <w:pPr>
        <w:ind w:left="620" w:hanging="181"/>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effectively the timely implementation of products,</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 and</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BSS solutions independent of any specific vendor of network equipment, hardware or software.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our systems make it very difficult to copy such information or to subject such information to unauthorized use.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strategic development projects conducted with SBC and some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March 31, 1999, we employed on a full-time basis approximately 3,600 software and information technology specialists, engaged in research, development, maintenance and support activities, and approximately 550 managers and administrative professionals. We employ over 2,600 software and information technology specialists in Israel, with the remaining 1,000 located in North America, Europe and the Asia-Pacific region. We often maintain teams of employees at a customer's premises to work on specific projects.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intelligent agent systems in directory pagination, Web-enabled technology for Internet-based customer care and data mining technology for fraud management and churn control.</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We spent $17.5 million, $25.6 million, $17.4 million and $14.7 million on research and development activities in the first six months of fiscal 1999 and in fiscal 1998, 1997 and 1996, respectively, or 6.3%, 6.3%, 6.0% and 6.9%, respectively, of total revenue in those periods. For fiscal 1999, we expect to spend approximately $40.0 million on research and development activities.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lease space in numerous facilities in Israel, aggregating approximately 550,000 square feet, pursuant to leases expiring on various dates between December 1999 and December 2008, and have various options to extend the terms of such leases. Approximately 69,000 square feet of such facilities are owned by related companies which lease such facilities to us. In Israel, we currently pay total yearly rental fees of approximately $9.5 million which are linked, in most cases, to the U.S. dollar.</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our Israeli subsidiary entered into a ten-year lease for 297,000 square feet in Ra'anana, Israel. In June 1998, the Israeli subsidiary relocated its main offices and most of its operations to this location. The annual rent for the Ra'anana facility is approximately $5.4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 In November 1998, the Israeli subsidiary rented an additional 18,950 square feet in Ra'anana.</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August 1998, we entered into a seven-year lease (commencing December 1998) for 90,600 square feet in Chesterfield, Missouri. We intend to relocate our development center and all of our administrative personnel, now principally centered around St. Louis, Missouri, to Chesterfield. The annual rent for the facility will be approximately $2.0 million. In July 1999, we intend to terminate our St. Louis lease under which we pay approximately $300,000 annually in rent. We also hold a number of other leases in the United States, with an aggregate annual rent of approximately $75,000.</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lease 37,670 square feet for our development facility in Cyprus at an annual rent of approximately $460,000.</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lease additional office space in the United Kingdom, Australia, Germany, Japan, Korea and Brazil.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43" w:name="page44"/>
    <w:bookmarkEnd w:id="43"/>
    <w:p>
      <w:pPr>
        <w:ind w:left="268"/>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and Amdocs (UK) Limited (the United Kingdom). We rely on the executive officers of our operating subsidiaries to manage our business. In addition, Amdocs Management Limited, our management subsidiary, performs certain executive coordination functions for all our operating subsidiaries.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April 30,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6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Robert A. Minicucci(2)(3).................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and Chief Financial Officer, Amdocs</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of Amdocs Limited and Chief Executive</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Officer of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Senior Vice President and Chief Financial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Thomas G. O'Brien.........................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Treasurer and Secretary, 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W. Andrews..........................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or ADP, until his resignation as Executive Vice President and a director of ADP, and President of ADP International, effective August 1978. Mr. Anderson serves on the board of directors of Medquist, Inc. and several private companies.</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28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Prior to joining Amdocs, Mr. Ehrlich managed the industrial application division of a leading Israeli software company, with responsibility for business development, overall project control and coordination of sales support.</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James W. Andrews is General Manager of Amdocs (UK) Limited, with responsibility for supervising financial reporting and control, insurance, administration and human resources. Mr. Andrews joined Amdocs in 1991 and has served in a number of financial management positions, including Financial Controller. Prior to joining Amdocs, Mr. Andrews was the Accounting Supervisor at Arch Mineral Corporation. He also served at Arthur Andersen &amp; Co. as a certified public accountant. Mr. Andrews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 Prior to that, he worked at Lazard Freres &amp; Co. L.L.C., starting in 1987, serving first as a Vice President and then as a Managing Director, where he led its technology and telecommunications group. He is also a director of SpectraSite, a leading tower management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163"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first six months of fiscal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non-employee directors to purchase a total of 21,000 ordinary shares at a price of $14 per share, vesting over three years.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448,000 ordinary shares at an average exercise price of $8.20 per share, with vesting over three to eight-year terms.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January, 1998 through March 31, 1999 we granted options to purchase approximately 4,190,000 ordinary shares to our officers and employees, and options to purchase 41,000 ordinary shares to our non-employee directors and consultants, pursuant to a stock option and incentive plan adopted in January 1999, or the Amdocs Plan. The weighted average exercise price of those options is $6.03. The options vest over a period of three to eight years commencing from the date of grant. There are currently 6,600,000 ordinary shares reserved for issuance under the Amdocs Plan. The purpose of the Amdocs Plan is to enable us to attract and retain qualified personnel and to motivate such persons by providing them with an equity participation in Amdocs. The Amdocs Plan is administered by a committee appointed by the Board and expires ten years after the date of its adoption.</w:t>
      </w:r>
    </w:p>
    <w:p>
      <w:pPr>
        <w:spacing w:after="0" w:line="180"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ordinary shares acquired upon exercise of an option and the restricted shares that may be granted under the Amdocs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we contributed $25.8 million to an irrevocable secular trust, or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 The Trust is one of the selling shareholders in the offering. See "Principal and Selling Shareholders".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AGREEMENTS. In September 1997, Amdocs and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Conditional Investment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Partners III, L.P., an investment partnership affiliated with WCAS,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transactions contemplated by the Conditional Investment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Subscription Agreement, the Conditional Investment Agreement and the Note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intellectual property rights from operating subsidiaries of SBC and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$478.7 million in dividends were paid to our shareholders, including a total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the WCAS Investors (investment partnerships affiliated with WCAS and some other investors, including certain entities in which some directors and executive officers of our subsidiaries have a beneficial interest)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year 1998 have been satisfied in full. If fully exercised, the call option would decrease the ownership of the WCAS Investors from 62,580,024 to 47,381,984 and increase the relative ownership of AIL, SBCI and the other investors with no change in the aggregate number of ordinary shares outstanding. If the conditions of the call option agreement are satisfied in full, AIL and SBCI each have the right to acquire 6,154,138 ordinary shares and the other investors have the right to acquire 2,889,764 ordinary shares.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the first six months of fiscal 1999 and fiscal 1998, 1997 and 1996, SBC and those subsidiaries accounted for approximately 16.6%, 20.8%, 34.5% and 38.0%, respectively, of our revenue.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1995 REORGANIZATION. Prior to 1995, Amdocs and our operating subsidiaries were operated as a group of companies owned by common shareholders. In 1995, the companies underwent a reorganization, or the 1995 Reorganization, as a result of which Amdocs Limited became the holding company for all the affiliated companies. Subsequent to the reorganization, we issued shares for a total of $16.6 million to several entities in some of which some of our officers, including one of our directors, have a beneficial interest. In connection with the 1995 Reorganization, these entities entered into shareholders agreements with SBCI and AIL, or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Morris S. Kahn have a significant beneficial interest in GoldenLines.</w:t>
      </w:r>
    </w:p>
    <w:p>
      <w:pPr>
        <w:spacing w:after="0" w:line="175"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SBC and Mr. Kahn also are the beneficial owners of a company that leases office facilities and provide certain miscellaneous support services to us in Israel.</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9"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PRINCIPAL AND SELLING SHAREHOLDERS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(before and after giving effect to the issuance and sale of ordinary shares pursuant to this prospectus) as of April 30, 1999 of (i) any person known by us to be the beneficial owner of more than 10% of the outstanding ordinary shares, (ii) all of our directors and executive officers as a group and (iii) the selling shareholders.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6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SHARES BENEFICIALLY OWNED</w:t>
            </w:r>
          </w:p>
        </w:tc>
        <w:tc>
          <w:tcPr>
            <w:tcW w:w="1180" w:type="dxa"/>
            <w:vAlign w:val="bottom"/>
          </w:tcPr>
          <w:p>
            <w:pPr>
              <w:spacing w:after="0"/>
              <w:rPr>
                <w:sz w:val="14"/>
                <w:szCs w:val="14"/>
                <w:color w:val="auto"/>
              </w:rPr>
            </w:pPr>
          </w:p>
        </w:tc>
        <w:tc>
          <w:tcPr>
            <w:tcW w:w="24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SHARED BENEFICIALLY</w:t>
            </w:r>
          </w:p>
        </w:tc>
      </w:tr>
      <w:tr>
        <w:trPr>
          <w:trHeight w:val="172"/>
        </w:trPr>
        <w:tc>
          <w:tcPr>
            <w:tcW w:w="3400" w:type="dxa"/>
            <w:vAlign w:val="bottom"/>
          </w:tcPr>
          <w:p>
            <w:pPr>
              <w:spacing w:after="0"/>
              <w:rPr>
                <w:sz w:val="14"/>
                <w:szCs w:val="14"/>
                <w:color w:val="auto"/>
              </w:rPr>
            </w:pPr>
          </w:p>
        </w:tc>
        <w:tc>
          <w:tcPr>
            <w:tcW w:w="2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PRIOR TO THE OFFERING</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SHARES</w:t>
            </w:r>
          </w:p>
        </w:tc>
        <w:tc>
          <w:tcPr>
            <w:tcW w:w="24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9"/>
              </w:rPr>
              <w:t>OWNED AFTER THE OFFERING</w:t>
            </w:r>
          </w:p>
        </w:tc>
      </w:tr>
      <w:tr>
        <w:trPr>
          <w:trHeight w:val="172"/>
        </w:trPr>
        <w:tc>
          <w:tcPr>
            <w:tcW w:w="3400" w:type="dxa"/>
            <w:vAlign w:val="bottom"/>
          </w:tcPr>
          <w:p>
            <w:pPr>
              <w:spacing w:after="0"/>
              <w:rPr>
                <w:sz w:val="14"/>
                <w:szCs w:val="14"/>
                <w:color w:val="auto"/>
              </w:rPr>
            </w:pPr>
          </w:p>
        </w:tc>
        <w:tc>
          <w:tcPr>
            <w:tcW w:w="2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BEING</w:t>
            </w: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NUMBER(1)</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PERCENT(2)</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OFFERED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NUMBER(1)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PERCENT(3)</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Welsh, Carson, Anderson &amp;</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Stowe(4)(6)........................</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57,372,796</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29.2%</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2,856,000</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54,516,796</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27.4%</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320 Park Avenue, Suite 2500</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10022</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SBC International Inc.(5)............</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44,734,700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22.7%</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5,797,000</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38,937,700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19.6%</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175 E. Houston Street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San Antonio, Texas 78205-2233</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Amdocs International</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Limited(6)(7)(8)(9)(10)............</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45,963,500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23.4%</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8,347,000</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37,616,500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18.9%</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Suite 5, Tower Hill House</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Le Bordage, St. Peter Port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Guernsey GY1 3QT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The Channel Islands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Toes Corporation Limited(11).........</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5,720,000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1,000,000</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4,720,000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Lord Coutanche House</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66-68 Esplanade, St. Helier</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Jersey JE4 5PS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The Channel Islands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as a group (17</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persons)(4)(5)(12).................</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165,064,908</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83.9%</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17,000,000</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148,064,908</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74.5%</w:t>
            </w:r>
          </w:p>
        </w:tc>
      </w:tr>
      <w:tr>
        <w:trPr>
          <w:trHeight w:val="516"/>
        </w:trPr>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4" w:lineRule="exact"/>
        <w:rPr>
          <w:sz w:val="20"/>
          <w:szCs w:val="20"/>
          <w:color w:val="auto"/>
        </w:rPr>
      </w:pPr>
    </w:p>
    <w:p>
      <w:pPr>
        <w:ind w:left="440" w:right="3079" w:hanging="357"/>
        <w:spacing w:after="0" w:line="242" w:lineRule="auto"/>
        <w:rPr>
          <w:sz w:val="20"/>
          <w:szCs w:val="20"/>
          <w:color w:val="auto"/>
        </w:rPr>
      </w:pPr>
      <w:r>
        <w:rPr>
          <w:rFonts w:ascii="Courier New" w:cs="Courier New" w:eastAsia="Courier New" w:hAnsi="Courier New"/>
          <w:sz w:val="15"/>
          <w:szCs w:val="15"/>
          <w:color w:val="auto"/>
        </w:rPr>
        <w:t>(1) 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 The percentages shown are based on 166,565,324 ordinary voting shares and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30,234,700 ordinary nonvoting shares outstanding on April 30, 1999.</w:t>
      </w:r>
    </w:p>
    <w:p>
      <w:pPr>
        <w:spacing w:after="0" w:line="176" w:lineRule="exact"/>
        <w:rPr>
          <w:sz w:val="20"/>
          <w:szCs w:val="20"/>
          <w:color w:val="auto"/>
        </w:rPr>
      </w:pPr>
    </w:p>
    <w:p>
      <w:pPr>
        <w:jc w:val="both"/>
        <w:ind w:left="440" w:right="3159" w:hanging="357"/>
        <w:spacing w:after="0" w:line="267" w:lineRule="auto"/>
        <w:rPr>
          <w:sz w:val="20"/>
          <w:szCs w:val="20"/>
          <w:color w:val="auto"/>
        </w:rPr>
      </w:pPr>
      <w:r>
        <w:rPr>
          <w:rFonts w:ascii="Courier New" w:cs="Courier New" w:eastAsia="Courier New" w:hAnsi="Courier New"/>
          <w:sz w:val="14"/>
          <w:szCs w:val="14"/>
          <w:color w:val="auto"/>
        </w:rPr>
        <w:t>(3) The percentages shown are based on 174,362,324 ordinary voting shares and 24,437,700 ordinary nonvoting shares to be outstanding after the offering, including the 2,000,000 ordinary shares offered by us hereunder.</w:t>
      </w:r>
    </w:p>
    <w:p>
      <w:pPr>
        <w:spacing w:after="0" w:line="159" w:lineRule="exact"/>
        <w:rPr>
          <w:sz w:val="20"/>
          <w:szCs w:val="20"/>
          <w:color w:val="auto"/>
        </w:rPr>
      </w:pPr>
    </w:p>
    <w:p>
      <w:pPr>
        <w:ind w:left="440" w:right="3079" w:hanging="357"/>
        <w:spacing w:after="0" w:line="261" w:lineRule="auto"/>
        <w:rPr>
          <w:sz w:val="20"/>
          <w:szCs w:val="20"/>
          <w:color w:val="auto"/>
        </w:rPr>
      </w:pPr>
      <w:r>
        <w:rPr>
          <w:rFonts w:ascii="Courier New" w:cs="Courier New" w:eastAsia="Courier New" w:hAnsi="Courier New"/>
          <w:sz w:val="14"/>
          <w:szCs w:val="14"/>
          <w:color w:val="auto"/>
        </w:rPr>
        <w:t>(4) Includes 36,761,712 ordinary voting shares held by Welsh, Carson, Anderson &amp; Stowe VII, L.P., 10,542,844 ordinary voting shares held by Welsh, Carson, Anderson &amp; Stowe VI, L.P., 7,354,932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a beneficial owner of the ordinary voting shares held by WCAS.</w:t>
      </w:r>
    </w:p>
    <w:p>
      <w:pPr>
        <w:spacing w:after="0" w:line="167" w:lineRule="exact"/>
        <w:rPr>
          <w:sz w:val="20"/>
          <w:szCs w:val="20"/>
          <w:color w:val="auto"/>
        </w:rPr>
      </w:pPr>
    </w:p>
    <w:p>
      <w:pPr>
        <w:ind w:left="440" w:right="3439" w:hanging="357"/>
        <w:spacing w:after="0" w:line="242" w:lineRule="auto"/>
        <w:rPr>
          <w:sz w:val="20"/>
          <w:szCs w:val="20"/>
          <w:color w:val="auto"/>
        </w:rPr>
      </w:pPr>
      <w:r>
        <w:rPr>
          <w:rFonts w:ascii="Courier New" w:cs="Courier New" w:eastAsia="Courier New" w:hAnsi="Courier New"/>
          <w:sz w:val="15"/>
          <w:szCs w:val="15"/>
          <w:color w:val="auto"/>
        </w:rPr>
        <w:t>(5) SBCI is a wholly-owned subsidiary of SBC, a company whose shares are publicly traded on the NYSE. The number of shares shown as beneficially owned by SBCI is comprised of 14,500,000 ordinary voting shares and 30,234,700 ordinary nonvoting shares before the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1440" w:gutter="0" w:footer="0" w:header="0"/>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offering and 14,500,000 ordinary voting shares and 24,437,700 ordinary nonvoting shares after the offering. SBCI is the only shareholder of Amdocs that holds ordinary nonvoting shares.</w:t>
      </w:r>
    </w:p>
    <w:p>
      <w:pPr>
        <w:spacing w:after="0" w:line="176" w:lineRule="exact"/>
        <w:rPr>
          <w:sz w:val="20"/>
          <w:szCs w:val="20"/>
          <w:color w:val="auto"/>
        </w:rPr>
      </w:pPr>
    </w:p>
    <w:p>
      <w:pPr>
        <w:ind w:left="448" w:right="3079" w:hanging="359"/>
        <w:spacing w:after="0" w:line="260" w:lineRule="auto"/>
        <w:tabs>
          <w:tab w:leader="none" w:pos="44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our recapitalization effected as of May 20, 1998, in advance of our initial public offering in June 1998, investment partnerships affiliated with WCAS and several entities in which some members of management have a beneficial interest granted irrevocable proxies with respect to a total of 23,521,899 and 6,459,024 ordinary voting shares, respectively, to a company which is the principal shareholder of AIL and which is beneficially owned by Morris S. Kahn. The proxies granted by the WCAS partnerships expire in ten years, or sooner if at any time the WCAS entities collectively own less than 10.0% of our outstanding capital shares. The proxies granted by several entities in which some members of management have a beneficial interest expire ratably over the next one or two years. After giving effect to those proxies and the issuance and sale of ordinary shares in this offering, AIL and its principal shareholder will together have the right to vote 38.8% of our ordinary voting shares (or</w:t>
      </w:r>
    </w:p>
    <w:p>
      <w:pPr>
        <w:spacing w:after="0" w:line="2" w:lineRule="exact"/>
        <w:rPr>
          <w:rFonts w:ascii="Courier New" w:cs="Courier New" w:eastAsia="Courier New" w:hAnsi="Courier New"/>
          <w:sz w:val="14"/>
          <w:szCs w:val="14"/>
          <w:color w:val="auto"/>
        </w:rPr>
      </w:pPr>
    </w:p>
    <w:p>
      <w:pPr>
        <w:ind w:left="448"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33.0%, assuming the delivery of the 10,000,000 ordinary shares which may be required to be delivered to the TRACES Trust upon the exchange of Automatic Common Exchange Securities on the Exchange Date), and WCAS will have the right to vote 17.8% of such shares. The Exchange Date will occur no earlier than June , 2002.</w:t>
      </w:r>
    </w:p>
    <w:p>
      <w:pPr>
        <w:spacing w:after="0" w:line="175" w:lineRule="exact"/>
        <w:rPr>
          <w:rFonts w:ascii="Courier New" w:cs="Courier New" w:eastAsia="Courier New" w:hAnsi="Courier New"/>
          <w:sz w:val="14"/>
          <w:szCs w:val="14"/>
          <w:color w:val="auto"/>
        </w:rPr>
      </w:pPr>
    </w:p>
    <w:p>
      <w:pPr>
        <w:ind w:left="448" w:right="3079" w:hanging="359"/>
        <w:spacing w:after="0" w:line="242" w:lineRule="auto"/>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as beneficially owned by AIL includes 10,000,000 ordinary shares that may be required to be delivered to the TRACES Trust upon the exchange of Automatic Common Exchange Securities, See "TRACES Shareholders".</w:t>
      </w:r>
    </w:p>
    <w:p>
      <w:pPr>
        <w:spacing w:after="0" w:line="174" w:lineRule="exact"/>
        <w:rPr>
          <w:rFonts w:ascii="Courier New" w:cs="Courier New" w:eastAsia="Courier New" w:hAnsi="Courier New"/>
          <w:sz w:val="15"/>
          <w:szCs w:val="15"/>
          <w:color w:val="auto"/>
        </w:rPr>
      </w:pPr>
    </w:p>
    <w:p>
      <w:pPr>
        <w:ind w:left="448" w:right="3259" w:hanging="359"/>
        <w:spacing w:after="0" w:line="241" w:lineRule="auto"/>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18.7% non-voting interest in AIL is held by an entity whose beneficial interests are held by some executive officers of our operating subsidiaries (including a former executive officer).</w:t>
      </w:r>
    </w:p>
    <w:p>
      <w:pPr>
        <w:spacing w:after="0" w:line="176" w:lineRule="exact"/>
        <w:rPr>
          <w:rFonts w:ascii="Courier New" w:cs="Courier New" w:eastAsia="Courier New" w:hAnsi="Courier New"/>
          <w:sz w:val="15"/>
          <w:szCs w:val="15"/>
          <w:color w:val="auto"/>
        </w:rPr>
      </w:pPr>
    </w:p>
    <w:p>
      <w:pPr>
        <w:ind w:left="448" w:right="3159" w:hanging="359"/>
        <w:spacing w:after="0" w:line="265" w:lineRule="auto"/>
        <w:tabs>
          <w:tab w:leader="none" w:pos="44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executive officers of our operating subsidiaries are expected to receive approximately 14.5% of the proceeds of the sales by AIL (including proceeds in respect of the ordinary shares deliverable to the TRACES Trust pursuant to the Purchase Contract, see "TRACES Shareholders").</w:t>
      </w:r>
    </w:p>
    <w:p>
      <w:pPr>
        <w:spacing w:after="0" w:line="159" w:lineRule="exact"/>
        <w:rPr>
          <w:rFonts w:ascii="Courier New" w:cs="Courier New" w:eastAsia="Courier New" w:hAnsi="Courier New"/>
          <w:sz w:val="14"/>
          <w:szCs w:val="14"/>
          <w:color w:val="auto"/>
        </w:rPr>
      </w:pPr>
    </w:p>
    <w:p>
      <w:pPr>
        <w:ind w:left="448" w:right="3259" w:hanging="448"/>
        <w:spacing w:after="0" w:line="241" w:lineRule="auto"/>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offering, all of the executive officers of our operating subsidiaries will continue to hold, directly and indirectly, approximately 7.8% of our outstanding ordinary shares.</w:t>
      </w:r>
    </w:p>
    <w:p>
      <w:pPr>
        <w:spacing w:after="0" w:line="17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Toes Corporation Limited is owned by an irrevocable secular trust established in September 1997 for the benefit of a group of our employees, primarily software and information technology specialists. Walbrook Trustees (Jersey) Limited is the trustee for the Trust and has sole voting and dispositive power with respect to the ordinary shares of Amdocs owned by Toes Corporation Limited. Walbrook Trustees (Jersey) Limited disclaims beneficial ownership of these shares. The beneficiaries include three executive officers of our operating subsidiaries. See</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 Employee Trust Agreement".</w:t>
      </w:r>
    </w:p>
    <w:p>
      <w:pPr>
        <w:spacing w:after="0" w:line="175"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289" w:right="1440" w:bottom="1440" w:gutter="0" w:footer="0" w:header="0"/>
        </w:sectPr>
      </w:pPr>
    </w:p>
    <w:bookmarkStart w:id="52" w:name="page53"/>
    <w:bookmarkEnd w:id="52"/>
    <w:p>
      <w:pPr>
        <w:ind w:left="268"/>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TRACES SHAREHOLDERS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a forward purchase contract, or the Purchase Contract, between the TRACES Trust and the shareholder listed below, or the TRACES Shareholder, a specified number of ordinary shares may be required to be delivered to the TRACES Trust by the TRACES Shareholder upon the exchange of Automatic Common Exchange Securities. The following table sets forth certain information for the TRACES Shareholder with respect to (1) the TRACES Shareholder's beneficial ownership of ordinary shares as of April 30, 1999 and the percentage of total voting power represented thereby and (2) the maximum number of ordinary shares of the TRACES Shareholder that may be delivered to the TRACES Trust pursuant to the Purchase Contract (without taking into account the underwriters' over-allotment option in respect of the Automatic Common Exchange Securities). The TRACES Shareholder's beneficial ownership of ordinary shares will not change as a result of the offering of the Automatic Common Exchange Securities unless, until and to the extent that the TRACES Shareholder delivers ordinary shares to the TRACES Trust pursuant to the Purchase Contract.</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MAXIMUM NUMBER</w:t>
            </w:r>
          </w:p>
        </w:tc>
      </w:tr>
      <w:tr>
        <w:trPr>
          <w:trHeight w:val="172"/>
        </w:trPr>
        <w:tc>
          <w:tcPr>
            <w:tcW w:w="3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OF ORDINARY SHARES</w:t>
            </w:r>
          </w:p>
        </w:tc>
      </w:tr>
      <w:tr>
        <w:trPr>
          <w:trHeight w:val="172"/>
        </w:trPr>
        <w:tc>
          <w:tcPr>
            <w:tcW w:w="3840" w:type="dxa"/>
            <w:vAlign w:val="bottom"/>
          </w:tcPr>
          <w:p>
            <w:pPr>
              <w:spacing w:after="0"/>
              <w:rPr>
                <w:sz w:val="14"/>
                <w:szCs w:val="14"/>
                <w:color w:val="auto"/>
              </w:rPr>
            </w:pP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SHARES</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PERCENTAGE</w:t>
            </w:r>
          </w:p>
        </w:tc>
        <w:tc>
          <w:tcPr>
            <w:tcW w:w="2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DELIVERABLE TO TRACES</w:t>
            </w:r>
          </w:p>
        </w:tc>
      </w:tr>
      <w:tr>
        <w:trPr>
          <w:trHeight w:val="172"/>
        </w:trPr>
        <w:tc>
          <w:tcPr>
            <w:tcW w:w="3840" w:type="dxa"/>
            <w:vAlign w:val="bottom"/>
          </w:tcPr>
          <w:p>
            <w:pPr>
              <w:spacing w:after="0"/>
              <w:rPr>
                <w:sz w:val="14"/>
                <w:szCs w:val="14"/>
                <w:color w:val="auto"/>
              </w:rPr>
            </w:pP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BENEFICIALLY OWNED</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OF TOTAL</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TRUST PURSUANT</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DELIVERING SHAREHOLDER</w:t>
            </w: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AFTER THE OFFERING</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VOTING POWER</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TO PURCHASE CONTRACT</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Amdocs International</w:t>
            </w:r>
          </w:p>
        </w:tc>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Limited(1)(2)(3)(4).....................</w:t>
            </w: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37,616,500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21.6%</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10,000,000</w:t>
            </w:r>
          </w:p>
        </w:tc>
      </w:tr>
      <w:tr>
        <w:trPr>
          <w:trHeight w:val="516"/>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4" w:lineRule="exact"/>
        <w:rPr>
          <w:sz w:val="20"/>
          <w:szCs w:val="20"/>
          <w:color w:val="auto"/>
        </w:rPr>
      </w:pPr>
    </w:p>
    <w:p>
      <w:pPr>
        <w:ind w:left="348" w:right="3339" w:hanging="348"/>
        <w:spacing w:after="0" w:line="260" w:lineRule="auto"/>
        <w:tabs>
          <w:tab w:leader="none" w:pos="34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AIL may be required to deliver an additional 1,500,000 ordinary shares if the underwriters' over-allotment option is exercised in respect of the</w:t>
      </w:r>
    </w:p>
    <w:p>
      <w:pPr>
        <w:ind w:left="348" w:right="3079"/>
        <w:spacing w:after="0" w:line="260" w:lineRule="auto"/>
        <w:rPr>
          <w:sz w:val="20"/>
          <w:szCs w:val="20"/>
          <w:color w:val="auto"/>
        </w:rPr>
      </w:pPr>
      <w:r>
        <w:rPr>
          <w:rFonts w:ascii="Courier New" w:cs="Courier New" w:eastAsia="Courier New" w:hAnsi="Courier New"/>
          <w:sz w:val="14"/>
          <w:szCs w:val="14"/>
          <w:color w:val="auto"/>
        </w:rPr>
        <w:t>Automatic Common Exchange Securities. Pursuant to the Purchase Contract, the ordinary shares deliverable thereunder will be delivered to the TRACES Trust on the Exchange Date under the Purchase Contract. The Exchange Date will occur no earlier than June , 2002. Pursuant to the Purchase Contract, the ordinary shares owned by AIL are not mandatorily deliverable to the TRACES Trust. After delivery of the ordinary shares to the TRACES Trust (assuming the delivery of the maximum number of shares that may be delivered by AIL pursuant to the Purchase Contract and without taking into account the underwriters' over-allotment option in respect of the Automatic Common Exchange Securities and the sale of the ordinary shares by AIL in the offering), AIL will beneficially own 27,616,500 ordinary shares representing 15.8% of the outstanding voting power of the ordinary shares. In connection with our recapitalization effected as of May 20, 1998, in advance of our initial public offering in June 1998, investment partnerships affiliated with WCAS and several entities in which some members of management have a beneficial interest granted irrevocable proxies with respect to a total of 23,521,899 and 6,459,024 ordinary voting shares, respectively, to a company which is the principal shareholder of AIL and which is beneficially owned by Morris S. Kahn. The proxies granted by the WCAS partnerships expire in ten years, or sooner if at any time the WCAS entities collectively own less than 10.0% of our outstanding capital shares. The proxies granted by several entities in which some members of management have a beneficial interest expire ratably over the next one or two years. After giving effect to those proxies and the issuance and sale of ordinary shares in this offering, AIL and its principal shareholder will together have the right to vote 38.8% of our ordinary voting shares (or 33.0%, assuming the delivery of the</w:t>
      </w:r>
    </w:p>
    <w:p>
      <w:pPr>
        <w:spacing w:after="0" w:line="177" w:lineRule="exact"/>
        <w:rPr>
          <w:sz w:val="20"/>
          <w:szCs w:val="20"/>
          <w:color w:val="auto"/>
        </w:rPr>
      </w:pPr>
    </w:p>
    <w:p>
      <w:pPr>
        <w:ind w:left="348" w:right="3339"/>
        <w:spacing w:after="0" w:line="242" w:lineRule="auto"/>
        <w:rPr>
          <w:sz w:val="20"/>
          <w:szCs w:val="20"/>
          <w:color w:val="auto"/>
        </w:rPr>
      </w:pPr>
      <w:r>
        <w:rPr>
          <w:rFonts w:ascii="Courier New" w:cs="Courier New" w:eastAsia="Courier New" w:hAnsi="Courier New"/>
          <w:sz w:val="15"/>
          <w:szCs w:val="15"/>
          <w:color w:val="auto"/>
        </w:rPr>
        <w:t>10,000,000 ordinary shares that may be required to be delivered to the TRACES Trust upon the exchange of Automatic Common Exchange Securities on the Exchange Date) and WCAS will have the right to vote 17.8% of such shares.</w:t>
      </w:r>
    </w:p>
    <w:p>
      <w:pPr>
        <w:spacing w:after="0" w:line="175" w:lineRule="exact"/>
        <w:rPr>
          <w:sz w:val="20"/>
          <w:szCs w:val="20"/>
          <w:color w:val="auto"/>
        </w:rPr>
      </w:pPr>
    </w:p>
    <w:p>
      <w:pPr>
        <w:ind w:left="348" w:right="3339" w:hanging="348"/>
        <w:spacing w:after="0" w:line="241"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18.7% non-voting interest in AIL is held by an entity whose beneficial interests are held by some executive officers of our operating subsidiaries (including a former executive officer).</w:t>
      </w:r>
    </w:p>
    <w:p>
      <w:pPr>
        <w:spacing w:after="0" w:line="176"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executive officers of our operating subsidiaries are expected to receive approximately 14.5% of the proceeds of the sales by AIL (including proceeds from the ordinary shares to be sold in the offering).</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offering and the delivery of 10,000,000 ordinary shares deliverable to the TRACES Trust pursuant to the Purchase Contract, all of the executive officers of our operating subsidiaries will continue to hold, directly and indirectly, approximately 7.1% of our outstanding ordinary shares.</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7"/>
          </w:cols>
          <w:pgMar w:left="232" w:top="289"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SHARE CAPITAL</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Our authorized capital stock consists of 500,000,000 ordinary shares, 50,000,000 ordinary nonvoting shares and 25,000,000 preferred shares, in each case, par value L 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being offered by us hereunder when issued and paid for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17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 Accordingly, the ordinary nonvoting shares being sold by SBCI in this offering will automatically convert into ordinary shares.</w:t>
      </w:r>
    </w:p>
    <w:p>
      <w:pPr>
        <w:spacing w:after="0" w:line="176"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unless the transfer is restricted or prohibited by another instrument. Each shareholder of record is entitled to receive at least fourteen days' prior notice of an ordinary shareholders' meeting and at least twenty-one days' prior notice of any shareholders' meeting at which a special resolution is to be adopted. For the purposes of determining the shareholders entitled to notice and to vote at the meeting, the board of directors may fix a record date not more than 60 or less than ten days prior to the date of the meeting.</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and Selling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 other than the voting share described below.</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AIL, SBCI and WCAS have demand and piggyback registration rights with respect to their ordinary shares under the Securities Act. The ordinary shares being offered in the offering have been registered upon the exercise of one of these demand registration rights. Following the offering described in this prospectus, these holders will have the right, on one more occasion, to require us to register the shares held by them for sale to the public in an underwritten public offering. In addition, if we propose to register any of our ordinary shares under the Securities Act, these holders may require us to include all or a portion of their shares in the registration, although the managing underwriter of any offering has certain rights to limit the number of shares in that registration. All expenses incurred in connection with these registrations (other than underwriters' discounts and commissions and fees of counsel retained by any selling shareholder) will be borne by us. These shareholders have agreed that they will not exercise any right with respect to any of these registrations for a period ending 180 days after the effective date of the registration statement for the offering, without the prior written consent of the underwriters.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9" w:right="1440" w:bottom="1440" w:gutter="0" w:footer="0" w:header="0"/>
        </w:sectPr>
      </w:pPr>
    </w:p>
    <w:bookmarkStart w:id="55" w:name="page56"/>
    <w:bookmarkEnd w:id="55"/>
    <w:p>
      <w:pPr>
        <w:ind w:left="268"/>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ordinary shares and is based on the advice of Reboul, MacMurray, Hewitt, Maynard</w:t>
      </w:r>
    </w:p>
    <w:p>
      <w:pPr>
        <w:spacing w:after="0" w:line="1" w:lineRule="exact"/>
        <w:rPr>
          <w:sz w:val="20"/>
          <w:szCs w:val="20"/>
          <w:color w:val="auto"/>
        </w:rPr>
      </w:pPr>
    </w:p>
    <w:p>
      <w:pPr>
        <w:ind w:left="8" w:right="3159" w:hanging="8"/>
        <w:spacing w:after="0" w:line="242" w:lineRule="auto"/>
        <w:tabs>
          <w:tab w:leader="none" w:pos="1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18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of default. See "Risk Factors -- The rights of shareholders of Guernsey corporations differ in some respects from those of shareholders of United States corporations".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Upon completion of this offering, we will have 174,362,324 ordinary shares and 24,437,700 non-voting ordinary shares issued and outstanding. Of these shares, the 20,000,000 ordinary shares sold in the offering plus any shares issued upon exercise of the underwriters' overallotment options will be freely tradeable without restriction. We, our principal shareholders and our officers and directors have agreed not to offer, sell, contract to sell or otherwise dispose of any ordinary shares or non-voting ordinary shares without the consent of the representatives of the underwriters for a period of 90 days after the date of this prospectus, except for the ordinary shares offered hereby and ordinary shares issuable upon the exercise of options granted or to be granted under the Amdocs Plan. Such shareholders will, upon the consummation of the offering, own an aggregate 155,895,132 shares or 78.4% of the then outstanding ordinary shares and non-voting ordinary shares. After such 90-day period, all our ordinary shares will be eligible for sale in the public market pursuant to Rule 144, subject to compliance with the volume and manner of sale limitations of Rule 144, or pursuant to another exemption from the registration requirements of the Securities Act. Our principal shareholders also have the right in certain circumstances to require us to register their shares under the Securities Act for resale to the public. See "Description of Share Capital -- Registration Rights".</w:t>
      </w:r>
    </w:p>
    <w:p>
      <w:pPr>
        <w:spacing w:after="0" w:line="18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general, under Rule 144, as currently in effect, if one year has elapsed since the date of acquisition of shares that are "restricted securities" (as defined in Rule 144) from us or any "affiliate" (as defined below) of ours, the acquiror or subsequent holder of the shares (including an affiliate) is entitled to sell, within any three-month period, that number of shares that does not exceed the greater of 1% of the then outstanding ordinary shares and the average weekly trading volume of the ordinary shares on all exchanges and/or reported through the automated quotation system of a registered securities association during the four calendar weeks preceding the date on which notice of the sale is filed with the Securities and Exchange Commission. Sales under Rule 144 are also subject to certain restrictions relating to manner of sale, notice requirements and the availability of current public information about us. If two years have elapsed since the later of the date of acquisition of restricted shares from us or from any affiliate of ours, and the acquiror or subsequent holder thereof is deemed not to have been an affiliate of ours at any time during the 90 days preceding a sale, such person would be entitled to sell such shares in the public market under Rule 144(k) without regard to volume limitations, manner of sale provisions, public information requirements or notice requirements. As defined in Rule 144, an "affiliate" of an issuer is a person that directly, or indirectly through the use of one or more intermediaries, controls, or is controlled by, or is under common control with, such issuer.</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intend to register the 6,600,000 ordinary shares reserved for issuance pursuant to the Amdocs Plan following the date of this prospectus, pursuant to a Form S-8 registration statement under the Securities Act. This registration statement would become effective immediately upon filing. Shares issued upon the exercise of stock options after the effective date of the Form S-8 registration statement would be eligible for resale in the public market without restriction, subject to Rule 144 limitations applicable to affiliates. The right to exercise options outstanding under the Amdocs Plan is subject to certain vesting requirements. See "Management -- Employee Stock Options".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One of the selling shareholders has also entered into the Purchase Contract with the TRACES Trust under which it may deliver up to 11,500,000 ordinary shares on or before the Exchange Date. The TRACES Trust will deliver these ordinary shares to the holders of its Automatic Common Exchange Securities. These ordinary shares will be freely tradeable upon their delivery to the TRACES Trust's security holders. The Exchange Date will occur no earlier than June , 2002.</w:t>
      </w:r>
    </w:p>
    <w:p>
      <w:pPr>
        <w:spacing w:after="0" w:line="17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We can make no prediction as to the effect, if any, that future sales of shares or the availability of shares for sale will have on the market price of the ordinary shares prevailing, from</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time to time. Nevertheless, sales of substantial amounts of the ordinary shares in the public market could adversely affect the prevailing market price of the ordinary shares and could impair our ability to raise capital through the sale of equity securities.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TAXATION OF THE COMPANY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1998 was 50% due to the incurrence of significant interest expense in tax-exempt or low tax jurisdictions.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and Israel. The loss of any such tax benefits could have an adverse effect on our effective tax rate.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 We will retain such exempt status following the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CYPRUS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to be conducted by it will be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KINGDOM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United Kingdom subsidiary, Amdocs (UK) Limited, performs global development, contracting and marketing functions for our business, and acts as a holding company for certain of our subsidiaries, including our principal United States operating subsidiary.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THE UNITED KINGDOM</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Until March 31, 1999, the statutory United Kingdom corporation tax rate was 31%. Commencing on April 1, 1999, the statutory corporate tax rate decreased to</w:t>
      </w:r>
    </w:p>
    <w:p>
      <w:pPr>
        <w:ind w:right="3519"/>
        <w:spacing w:after="0"/>
        <w:rPr>
          <w:sz w:val="20"/>
          <w:szCs w:val="20"/>
          <w:color w:val="auto"/>
        </w:rPr>
      </w:pPr>
      <w:r>
        <w:rPr>
          <w:rFonts w:ascii="Courier New" w:cs="Courier New" w:eastAsia="Courier New" w:hAnsi="Courier New"/>
          <w:sz w:val="15"/>
          <w:szCs w:val="15"/>
          <w:color w:val="auto"/>
        </w:rPr>
        <w:t>30%. Our United Kingdom subsidiary pays UK corporation tax on its worldwide income, with a credit in certain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176" w:lineRule="exact"/>
        <w:rPr>
          <w:sz w:val="20"/>
          <w:szCs w:val="20"/>
          <w:color w:val="auto"/>
        </w:rPr>
      </w:pPr>
    </w:p>
    <w:p>
      <w:pPr>
        <w:jc w:val="both"/>
        <w:ind w:right="3339"/>
        <w:spacing w:after="0" w:line="267" w:lineRule="auto"/>
        <w:rPr>
          <w:sz w:val="20"/>
          <w:szCs w:val="20"/>
          <w:color w:val="auto"/>
        </w:rPr>
      </w:pPr>
      <w:r>
        <w:rPr>
          <w:rFonts w:ascii="Courier New" w:cs="Courier New" w:eastAsia="Courier New" w:hAnsi="Courier New"/>
          <w:sz w:val="14"/>
          <w:szCs w:val="14"/>
          <w:color w:val="auto"/>
        </w:rPr>
        <w:t>cases for non-UK income taxes paid. Our United Kingdom subsidiary pays tax on dividends received from its subsidiaries, with a credit for underlying non-UK taxes paid by such subsidiaries and withholding taxes paid on such dividends.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ISRAEL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 FOR THE ENCOURAGEMENT OF CAPITAL INVESTMENTS, 1959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2"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176" w:lineRule="exact"/>
        <w:rPr>
          <w:sz w:val="20"/>
          <w:szCs w:val="20"/>
          <w:color w:val="auto"/>
        </w:rPr>
      </w:pPr>
    </w:p>
    <w:p>
      <w:pPr>
        <w:ind w:left="620" w:right="3079" w:hanging="181"/>
        <w:spacing w:after="0" w:line="241"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recently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19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following discussion is a summary of certain United States federal income tax considerations and Guernsey tax considerations relating to an investment in the ordinary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ordinary shares that is</w:t>
      </w:r>
    </w:p>
    <w:p>
      <w:pPr>
        <w:spacing w:after="0" w:line="174" w:lineRule="exact"/>
        <w:rPr>
          <w:sz w:val="20"/>
          <w:szCs w:val="20"/>
          <w:color w:val="auto"/>
        </w:rPr>
      </w:pPr>
    </w:p>
    <w:p>
      <w:pPr>
        <w:ind w:left="440" w:hanging="359"/>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5" w:lineRule="exact"/>
        <w:rPr>
          <w:rFonts w:ascii="Courier New" w:cs="Courier New" w:eastAsia="Courier New" w:hAnsi="Courier New"/>
          <w:sz w:val="15"/>
          <w:szCs w:val="15"/>
          <w:color w:val="auto"/>
        </w:rPr>
      </w:pPr>
    </w:p>
    <w:p>
      <w:pPr>
        <w:ind w:left="520" w:right="3339" w:hanging="439"/>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9" w:right="1440" w:bottom="1440" w:gutter="0" w:footer="0" w:header="0"/>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left="528" w:right="3339" w:hanging="528"/>
        <w:spacing w:after="0"/>
        <w:tabs>
          <w:tab w:leader="none" w:pos="52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 United States federal income tax purposes regardless of its source, or</w:t>
      </w:r>
    </w:p>
    <w:p>
      <w:pPr>
        <w:spacing w:after="0" w:line="176"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8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EACH PROSPECTIVE INVESTOR SHOULD CONSULT ITS OWN TAX ADVISOR WITH RESPECT TO THE PARTICULAR UNITED STATES FEDERAL, STATE, LOCAL AND FOREIGN TAX CONSEQUENCES TO SUCH PERSON OF PURCHASING, HOLDING OR DISPOSING OF THE ORDINARY SHARES.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DISPOSITION OF ORDINARY SHARES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289" w:right="1440" w:bottom="1440" w:gutter="0" w:footer="0" w:header="0"/>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6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 payments with respect to the ordinary shares and proceeds from the sale, exchange or redemption of ordinary shares may be subject to information reporting to the Internal Revenue Service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Internal Revenue Service.</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1" w:lineRule="exact"/>
        <w:rPr>
          <w:sz w:val="20"/>
          <w:szCs w:val="20"/>
          <w:color w:val="auto"/>
        </w:rPr>
      </w:pPr>
    </w:p>
    <w:p>
      <w:pPr>
        <w:ind w:left="8" w:right="3079" w:hanging="8"/>
        <w:spacing w:after="0" w:line="241" w:lineRule="auto"/>
        <w:tabs>
          <w:tab w:leader="none" w:pos="3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liable for Guernsey income tax on gains realized on sale or disposition of such ordinary shares. In addition, Guernsey does not impose a withholding tax on dividends paid by us to holders of ordinary shares.</w:t>
      </w:r>
    </w:p>
    <w:p>
      <w:pPr>
        <w:spacing w:after="0" w:line="176" w:lineRule="exact"/>
        <w:rPr>
          <w:sz w:val="20"/>
          <w:szCs w:val="20"/>
          <w:color w:val="auto"/>
        </w:rPr>
      </w:pPr>
    </w:p>
    <w:p>
      <w:pPr>
        <w:jc w:val="both"/>
        <w:ind w:left="8" w:right="3259" w:firstLine="447"/>
        <w:spacing w:after="0" w:line="24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FOREGOING DISCUSSION DOES NOT ATTEMPT TO ADDRESS ALL OF THE POTENTIAL TAX CONSEQUENCES RELATING TO THE ORDINARY SHARES. EACH PROSPECTIVE INVESTOR SHOULD CONSULT ITS OWN TAX ADVISOR WITH RESPECT TO THE PARTICULAR TAX CONSEQUENCES OF PURCHASING, HOLDING OR DISPOSING OF THE ORDINARY SHARES UNDER THE LAWS OF ITS COUNTRY OF CITIZENSHIP, DOMICILE OR RESIDENCE.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7"/>
          </w:cols>
          <w:pgMar w:left="232"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Langlois, Guernsey. Certain legal matters in connection with the offering will be passed upon for us by Reboul, MacMurray, Hewitt, Maynard &amp; Kristol and for the underwriters by Skadden, Arps, Slate, Meagher &amp; Flom LLP.</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financial statements of Amdocs Limited as of September 30, 1998 and 1997 and for the three year period ended September 30, 1998 audited by Ernst &amp; Young LLP have been included in reliance on their report given on their authority as experts in accounting and auditing.</w:t>
      </w:r>
    </w:p>
    <w:p>
      <w:pPr>
        <w:spacing w:after="0" w:line="173"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1610 Des Peres Road</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St. Louis, Missouri 63131</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Telephone: (314) 821-3242</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F-1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In particular, statements that we make in "Management's Discussion and Analysis of Financial Condition and Results of Operations"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9"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65</w:t>
            </w:r>
          </w:p>
        </w:tc>
        <w:tc>
          <w:tcPr>
            <w:tcW w:w="460" w:type="dxa"/>
            <w:vAlign w:val="bottom"/>
          </w:tcPr>
          <w:p>
            <w:pPr>
              <w:spacing w:after="0"/>
              <w:rPr>
                <w:sz w:val="14"/>
                <w:szCs w:val="14"/>
                <w:color w:val="auto"/>
              </w:rPr>
            </w:pPr>
          </w:p>
        </w:tc>
      </w:tr>
      <w:tr>
        <w:trPr>
          <w:trHeight w:val="688"/>
        </w:trPr>
        <w:tc>
          <w:tcPr>
            <w:tcW w:w="5440" w:type="dxa"/>
            <w:vAlign w:val="bottom"/>
          </w:tcPr>
          <w:p>
            <w:pPr>
              <w:ind w:left="2320"/>
              <w:spacing w:after="0"/>
              <w:rPr>
                <w:sz w:val="20"/>
                <w:szCs w:val="20"/>
                <w:color w:val="auto"/>
              </w:rPr>
            </w:pPr>
            <w:r>
              <w:rPr>
                <w:rFonts w:ascii="Courier New" w:cs="Courier New" w:eastAsia="Courier New" w:hAnsi="Courier New"/>
                <w:sz w:val="15"/>
                <w:szCs w:val="15"/>
                <w:color w:val="auto"/>
              </w:rPr>
              <w:t>AMDOCS LIMITED</w:t>
            </w:r>
          </w:p>
        </w:tc>
        <w:tc>
          <w:tcPr>
            <w:tcW w:w="460" w:type="dxa"/>
            <w:vAlign w:val="bottom"/>
          </w:tcPr>
          <w:p>
            <w:pPr>
              <w:spacing w:after="0"/>
              <w:rPr>
                <w:sz w:val="24"/>
                <w:szCs w:val="24"/>
                <w:color w:val="auto"/>
              </w:rPr>
            </w:pPr>
          </w:p>
        </w:tc>
      </w:tr>
      <w:tr>
        <w:trPr>
          <w:trHeight w:val="172"/>
        </w:trPr>
        <w:tc>
          <w:tcPr>
            <w:tcW w:w="5440" w:type="dxa"/>
            <w:vAlign w:val="bottom"/>
          </w:tcPr>
          <w:p>
            <w:pPr>
              <w:ind w:left="160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14"/>
                <w:szCs w:val="14"/>
                <w:color w:val="auto"/>
              </w:rPr>
            </w:pP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(in U.S. dollars, unless otherwise stated)</w:t>
            </w:r>
          </w:p>
        </w:tc>
        <w:tc>
          <w:tcPr>
            <w:tcW w:w="46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September 30, 1998 and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of March 31, 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six months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 of Changes in Shareholder's Equity</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(Deficit) for the six months ended March 31, 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six months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516"/>
        </w:trPr>
        <w:tc>
          <w:tcPr>
            <w:tcW w:w="544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$ 25,389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$ 53,732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including unbilled of $10,331 in 1998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and $2,031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79,723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48,565</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unbilled of $537 in 1998 and $0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6,161</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141,872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136,383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4,587</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488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w w:val="99"/>
              </w:rPr>
              <w:t>LIABILITIES AND SHAREHOLDERS' EQUITY (DEFICIT)</w:t>
            </w:r>
          </w:p>
        </w:tc>
        <w:tc>
          <w:tcPr>
            <w:tcW w:w="940" w:type="dxa"/>
            <w:vAlign w:val="bottom"/>
          </w:tcPr>
          <w:p>
            <w:pPr>
              <w:spacing w:after="0"/>
              <w:rPr>
                <w:sz w:val="14"/>
                <w:szCs w:val="14"/>
                <w:color w:val="auto"/>
              </w:rPr>
            </w:pP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$ 47,599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$ 30,543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91,565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Unearned revenue</w:t>
            </w:r>
          </w:p>
        </w:tc>
        <w:tc>
          <w:tcPr>
            <w:tcW w:w="3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17,440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Notes payable to related parties..........................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1,954</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20,151</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226,150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Preferred Shares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Authorized 25,000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gridSpan w:val="2"/>
          </w:tcPr>
          <w:p>
            <w:pPr>
              <w:ind w:left="440"/>
              <w:spacing w:after="0"/>
              <w:rPr>
                <w:sz w:val="20"/>
                <w:szCs w:val="20"/>
                <w:color w:val="auto"/>
              </w:rPr>
            </w:pPr>
            <w:r>
              <w:rPr>
                <w:rFonts w:ascii="Courier New" w:cs="Courier New" w:eastAsia="Courier New" w:hAnsi="Courier New"/>
                <w:sz w:val="6"/>
                <w:szCs w:val="6"/>
                <w:color w:val="auto"/>
                <w:w w:val="71"/>
              </w:rPr>
              <w:t>outstanding............................................</w:t>
            </w: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w w:val="97"/>
              </w:rPr>
              <w:t>Ordinary Shares --</w:t>
            </w:r>
          </w:p>
        </w:tc>
        <w:tc>
          <w:tcPr>
            <w:tcW w:w="3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Authorized 550,000 shares; pound sterling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0.01 par value; 196,800 and 124,708 outstanding,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respectively (1998</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-- 30,235 Non Voting Ordinary Shares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and 166,565 Voting Ordinary Shares).......................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105,779</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Unrealized loss on derivative instruments...................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Unearned compensation</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Accumulated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shareholders' equity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67" w:name="page68"/>
    <w:bookmarkEnd w:id="67"/>
    <w:p>
      <w:pPr>
        <w:ind w:left="268"/>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10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$ 16,298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360,876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403,767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231,360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 (*)..............................</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318,872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 and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60,769</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change in accounting principle,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$277 tax...........................................</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$ 30,107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line="260" w:lineRule="auto"/>
        <w:tabs>
          <w:tab w:leader="none" w:pos="348"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48"/>
        <w:spacing w:after="0" w:line="238" w:lineRule="auto"/>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4" w:lineRule="exact"/>
        <w:rPr>
          <w:sz w:val="20"/>
          <w:szCs w:val="20"/>
          <w:color w:val="auto"/>
        </w:rPr>
      </w:pPr>
    </w:p>
    <w:p>
      <w:pPr>
        <w:ind w:left="348" w:right="3259"/>
        <w:spacing w:after="0" w:line="242"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7"/>
          </w:cols>
          <w:pgMar w:left="232"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48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UNEARNED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107,934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29,429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(37,949)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107,916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91,700</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124,708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30,107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$640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(478,684)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54,092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98,448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234,190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(10,239)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1,292</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$(1,495)</w:t>
            </w:r>
          </w:p>
        </w:tc>
        <w:tc>
          <w:tcPr>
            <w:tcW w:w="13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(8,947)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89" w:right="139"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820" w:type="dxa"/>
            <w:vAlign w:val="bottom"/>
          </w:tcPr>
          <w:p>
            <w:pPr>
              <w:spacing w:after="0"/>
              <w:rPr>
                <w:sz w:val="14"/>
                <w:szCs w:val="14"/>
                <w:color w:val="auto"/>
              </w:rPr>
            </w:pPr>
          </w:p>
        </w:tc>
        <w:tc>
          <w:tcPr>
            <w:tcW w:w="33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5,223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5,697</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3,979</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9,122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66,483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rights....................................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(25,677)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(478,684)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(40,013)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(269,946)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(130,358)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137,872</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 term debt.........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 term debt.................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(368,521)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(32,766)</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20,214</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CASH FLOWS -- (CONTINUED)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5"/>
          <w:szCs w:val="15"/>
          <w:color w:val="auto"/>
        </w:rPr>
        <w:t>YEAR ENDED SEPTEMBER 30,</w:t>
      </w:r>
    </w:p>
    <w:p>
      <w:pPr>
        <w:spacing w:after="0" w:line="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Cash Flow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Income Taxes Paid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paid for:</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 net of refunds..............................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jc w:val="right"/>
        <w:spacing w:after="0" w:line="274" w:lineRule="auto"/>
        <w:rPr>
          <w:sz w:val="20"/>
          <w:szCs w:val="20"/>
          <w:color w:val="auto"/>
        </w:rPr>
      </w:pPr>
      <w:r>
        <w:rPr>
          <w:rFonts w:ascii="Courier New" w:cs="Courier New" w:eastAsia="Courier New" w:hAnsi="Courier New"/>
          <w:sz w:val="14"/>
          <w:szCs w:val="14"/>
          <w:color w:val="auto"/>
        </w:rPr>
        <w:t>$32,472 25,150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$18,352</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1,036</w:t>
      </w:r>
    </w:p>
    <w:p>
      <w:pPr>
        <w:spacing w:after="0" w:line="20" w:lineRule="exact"/>
        <w:rPr>
          <w:sz w:val="20"/>
          <w:szCs w:val="20"/>
          <w:color w:val="auto"/>
        </w:rPr>
      </w:pPr>
      <w:r>
        <w:rPr>
          <w:sz w:val="20"/>
          <w:szCs w:val="20"/>
          <w:color w:val="auto"/>
        </w:rPr>
        <w:br w:type="column"/>
      </w:r>
    </w:p>
    <w:p>
      <w:pPr>
        <w:jc w:val="right"/>
        <w:ind w:right="2179"/>
        <w:spacing w:after="0"/>
        <w:rPr>
          <w:sz w:val="20"/>
          <w:szCs w:val="20"/>
          <w:color w:val="auto"/>
        </w:rPr>
      </w:pPr>
      <w:r>
        <w:rPr>
          <w:rFonts w:ascii="Courier New" w:cs="Courier New" w:eastAsia="Courier New" w:hAnsi="Courier New"/>
          <w:sz w:val="15"/>
          <w:szCs w:val="15"/>
          <w:color w:val="auto"/>
        </w:rPr>
        <w:t>$1,475</w:t>
      </w:r>
    </w:p>
    <w:p>
      <w:pPr>
        <w:spacing w:after="0" w:line="2"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5"/>
          <w:szCs w:val="15"/>
          <w:color w:val="auto"/>
        </w:rPr>
        <w:t>1,199</w:t>
      </w:r>
    </w:p>
    <w:p>
      <w:pPr>
        <w:spacing w:after="0" w:line="221" w:lineRule="exact"/>
        <w:rPr>
          <w:sz w:val="20"/>
          <w:szCs w:val="20"/>
          <w:color w:val="auto"/>
        </w:rPr>
      </w:pPr>
    </w:p>
    <w:p>
      <w:pPr>
        <w:sectPr>
          <w:pgSz w:w="11900" w:h="16838" w:orient="portrait"/>
          <w:cols w:equalWidth="0" w:num="4">
            <w:col w:w="5360" w:space="180"/>
            <w:col w:w="620" w:space="360"/>
            <w:col w:w="620" w:space="360"/>
            <w:col w:w="2719"/>
          </w:cols>
          <w:pgMar w:left="240" w:top="289"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 Agreement referred to in Note 13. The notes bore an interest rate of 5.75 percent per annum and were originally due September 22, 1998. The notes were paid in March 1998.</w:t>
      </w:r>
    </w:p>
    <w:p>
      <w:pPr>
        <w:spacing w:after="0" w:line="175"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$8,222 in 1998, and $110 in 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11,890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7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5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$ 29,695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$30,385</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$ 17,827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$ 5,849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$ 5,900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LIABILITIES:</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liabilities.............................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$12,371</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ind w:left="3400"/>
              <w:spacing w:after="0"/>
              <w:rPr>
                <w:sz w:val="20"/>
                <w:szCs w:val="20"/>
                <w:color w:val="auto"/>
              </w:rPr>
            </w:pPr>
            <w:r>
              <w:rPr>
                <w:rFonts w:ascii="Courier New" w:cs="Courier New" w:eastAsia="Courier New" w:hAnsi="Courier New"/>
                <w:sz w:val="15"/>
                <w:szCs w:val="15"/>
                <w:color w:val="auto"/>
              </w:rPr>
              <w:t>F-14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78" w:name="page79"/>
    <w:bookmarkEnd w:id="78"/>
    <w:p>
      <w:pPr>
        <w:ind w:left="268"/>
        <w:spacing w:after="0"/>
        <w:rPr>
          <w:sz w:val="20"/>
          <w:szCs w:val="20"/>
          <w:color w:val="auto"/>
        </w:rPr>
      </w:pPr>
      <w:r>
        <w:rPr>
          <w:rFonts w:ascii="Courier New" w:cs="Courier New" w:eastAsia="Courier New" w:hAnsi="Courier New"/>
          <w:sz w:val="15"/>
          <w:szCs w:val="15"/>
          <w:color w:val="auto"/>
        </w:rPr>
        <w:t>79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8"/>
        </w:trPr>
        <w:tc>
          <w:tcPr>
            <w:tcW w:w="35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159" w:hanging="188"/>
        <w:spacing w:after="0" w:line="242" w:lineRule="auto"/>
        <w:tabs>
          <w:tab w:leader="none" w:pos="18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175" w:lineRule="exact"/>
        <w:rPr>
          <w:rFonts w:ascii="Courier New" w:cs="Courier New" w:eastAsia="Courier New" w:hAnsi="Courier New"/>
          <w:sz w:val="15"/>
          <w:szCs w:val="15"/>
          <w:color w:val="auto"/>
        </w:rPr>
      </w:pPr>
    </w:p>
    <w:p>
      <w:pPr>
        <w:ind w:left="18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174" w:lineRule="exact"/>
        <w:rPr>
          <w:rFonts w:ascii="Courier New" w:cs="Courier New" w:eastAsia="Courier New" w:hAnsi="Courier New"/>
          <w:sz w:val="15"/>
          <w:szCs w:val="15"/>
          <w:color w:val="auto"/>
        </w:rPr>
      </w:pPr>
    </w:p>
    <w:p>
      <w:pPr>
        <w:ind w:left="18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pacing w:after="0" w:line="175" w:lineRule="exact"/>
        <w:rPr>
          <w:sz w:val="20"/>
          <w:szCs w:val="20"/>
          <w:color w:val="auto"/>
        </w:rPr>
      </w:pPr>
    </w:p>
    <w:p>
      <w:pPr>
        <w:ind w:left="8" w:right="3339" w:firstLine="447"/>
        <w:spacing w:after="0" w:line="274"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52"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$32,565. The short term credit line bears a variable interest rate (6.7 percent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September 30, 1998).</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Subscription Agreement referred to in Note 13. The notes bore an interest rate of 5.75 percent per annum, and were due September 22, 1998. The notes were paid in March 1998.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163"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16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Accrued personnel costs................</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Ordinary Shares subscription deposit...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10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88"/>
              </w:rPr>
              <w:t>F-16</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22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(24,947)</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tax claims.........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(3,000)</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(2,624)</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(24,126)</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6"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172"/>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w:t>
            </w:r>
          </w:p>
        </w:tc>
      </w:tr>
      <w:tr>
        <w:trPr>
          <w:trHeight w:val="34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$ 9,700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10,600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10,300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to repay interest and principal relating to $183,750 outstanding term loans made in December 1997 and $49,000 out of the $123,500 10 percent subordinated debt issued in January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167"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15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175"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WEIGHTED</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NUMBER 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OUTSTANDING AS OF SEPTEMBER 30,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2320"/>
        <w:spacing w:after="0"/>
        <w:tabs>
          <w:tab w:leader="none" w:pos="338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2220"/>
        <w:spacing w:after="0"/>
        <w:tabs>
          <w:tab w:leader="none" w:pos="338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p>
    <w:p>
      <w:pPr>
        <w:spacing w:after="0" w:line="2" w:lineRule="exact"/>
        <w:rPr>
          <w:sz w:val="20"/>
          <w:szCs w:val="20"/>
          <w:color w:val="auto"/>
        </w:rPr>
      </w:pPr>
    </w:p>
    <w:p>
      <w:pPr>
        <w:spacing w:after="0"/>
        <w:tabs>
          <w:tab w:leader="none" w:pos="1040" w:val="left"/>
          <w:tab w:leader="none" w:pos="2120" w:val="left"/>
          <w:tab w:leader="none" w:pos="3380"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4"/>
          <w:szCs w:val="14"/>
          <w:color w:val="auto"/>
        </w:rPr>
        <w:t>EXERCISE</w:t>
      </w:r>
    </w:p>
    <w:p>
      <w:pPr>
        <w:spacing w:after="0" w:line="2" w:lineRule="exact"/>
        <w:rPr>
          <w:sz w:val="20"/>
          <w:szCs w:val="20"/>
          <w:color w:val="auto"/>
        </w:rPr>
      </w:pPr>
    </w:p>
    <w:p>
      <w:pPr>
        <w:ind w:left="80"/>
        <w:spacing w:after="0"/>
        <w:tabs>
          <w:tab w:leader="none" w:pos="860" w:val="left"/>
          <w:tab w:leader="none" w:pos="2380" w:val="left"/>
          <w:tab w:leader="none" w:pos="3460" w:val="left"/>
        </w:tabs>
        <w:rPr>
          <w:sz w:val="20"/>
          <w:szCs w:val="20"/>
          <w:color w:val="auto"/>
        </w:rPr>
      </w:pPr>
      <w:r>
        <w:rPr>
          <w:rFonts w:ascii="Courier New" w:cs="Courier New" w:eastAsia="Courier New" w:hAnsi="Courier New"/>
          <w:sz w:val="15"/>
          <w:szCs w:val="15"/>
          <w:color w:val="auto"/>
        </w:rPr>
        <w:t>PRICES</w:t>
        <w:tab/>
        <w:t>OUTSTANDING</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4"/>
          <w:szCs w:val="14"/>
          <w:color w:val="auto"/>
        </w:rPr>
        <w:t>PRICE</w:t>
      </w:r>
    </w:p>
    <w:p>
      <w:pPr>
        <w:spacing w:after="0" w:line="2" w:lineRule="exact"/>
        <w:rPr>
          <w:sz w:val="20"/>
          <w:szCs w:val="20"/>
          <w:color w:val="auto"/>
        </w:rPr>
      </w:pPr>
    </w:p>
    <w:p>
      <w:pPr>
        <w:spacing w:after="0"/>
        <w:tabs>
          <w:tab w:leader="none" w:pos="1040" w:val="left"/>
          <w:tab w:leader="none" w:pos="2300" w:val="left"/>
          <w:tab w:leader="none" w:pos="354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EXERCISABLE AS OF</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SEPTEMBER 30, 1998</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AVERAGE</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PRICE</w:t>
      </w:r>
    </w:p>
    <w:p>
      <w:pPr>
        <w:spacing w:after="0" w:line="2"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280" w:space="100"/>
            <w:col w:w="5839"/>
          </w:cols>
          <w:pgMar w:left="240" w:top="289" w:right="1440" w:bottom="1440" w:gutter="0" w:footer="0" w:header="0"/>
          <w:type w:val="continuous"/>
        </w:sectPr>
      </w:pP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$1.92</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2,498.6</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w:t>
      </w:r>
    </w:p>
    <w:p>
      <w:pPr>
        <w:spacing w:after="0" w:line="20" w:lineRule="exact"/>
        <w:rPr>
          <w:sz w:val="20"/>
          <w:szCs w:val="20"/>
          <w:color w:val="auto"/>
        </w:rPr>
      </w:pPr>
      <w:r>
        <w:rPr>
          <w:sz w:val="20"/>
          <w:szCs w:val="20"/>
          <w:color w:val="auto"/>
        </w:rPr>
        <w:br w:type="column"/>
      </w:r>
    </w:p>
    <w:p>
      <w:pPr>
        <w:spacing w:after="0"/>
        <w:tabs>
          <w:tab w:leader="none" w:pos="1060" w:val="left"/>
        </w:tabs>
        <w:rPr>
          <w:sz w:val="20"/>
          <w:szCs w:val="20"/>
          <w:color w:val="auto"/>
        </w:rPr>
      </w:pPr>
      <w:r>
        <w:rPr>
          <w:rFonts w:ascii="Courier New" w:cs="Courier New" w:eastAsia="Courier New" w:hAnsi="Courier New"/>
          <w:sz w:val="15"/>
          <w:szCs w:val="15"/>
          <w:color w:val="auto"/>
        </w:rPr>
        <w:t>9.25</w:t>
      </w:r>
      <w:r>
        <w:rPr>
          <w:sz w:val="20"/>
          <w:szCs w:val="20"/>
          <w:color w:val="auto"/>
        </w:rPr>
        <w:tab/>
      </w:r>
      <w:r>
        <w:rPr>
          <w:rFonts w:ascii="Courier New" w:cs="Courier New" w:eastAsia="Courier New" w:hAnsi="Courier New"/>
          <w:sz w:val="14"/>
          <w:szCs w:val="14"/>
          <w:color w:val="auto"/>
        </w:rPr>
        <w:t>$ 1.92</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9.75</w:t>
      </w:r>
      <w:r>
        <w:rPr>
          <w:sz w:val="20"/>
          <w:szCs w:val="20"/>
          <w:color w:val="auto"/>
        </w:rPr>
        <w:tab/>
      </w:r>
      <w:r>
        <w:rPr>
          <w:rFonts w:ascii="Courier New" w:cs="Courier New" w:eastAsia="Courier New" w:hAnsi="Courier New"/>
          <w:sz w:val="15"/>
          <w:szCs w:val="15"/>
          <w:color w:val="auto"/>
        </w:rPr>
        <w:t>14.00</w:t>
      </w:r>
    </w:p>
    <w:p>
      <w:pPr>
        <w:spacing w:after="0" w:line="2" w:lineRule="exact"/>
        <w:rPr>
          <w:sz w:val="20"/>
          <w:szCs w:val="20"/>
          <w:color w:val="auto"/>
        </w:rPr>
      </w:pPr>
    </w:p>
    <w:p>
      <w:pPr>
        <w:ind w:left="180"/>
        <w:spacing w:after="0"/>
        <w:tabs>
          <w:tab w:leader="none" w:pos="124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700" w:space="360"/>
            <w:col w:w="640" w:space="700"/>
            <w:col w:w="1620" w:space="720"/>
            <w:col w:w="340" w:space="720"/>
            <w:col w:w="100" w:space="0"/>
            <w:col w:w="4319"/>
          </w:cols>
          <w:pgMar w:left="240" w:top="289" w:right="1440" w:bottom="1440" w:gutter="0" w:footer="0" w:header="0"/>
          <w:type w:val="continuous"/>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19"/>
          </w:cols>
          <w:pgMar w:left="240" w:top="289" w:right="1440" w:bottom="1440" w:gutter="0" w:footer="0" w:header="0"/>
          <w:type w:val="continuous"/>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0.945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3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w:t>
      </w:r>
    </w:p>
    <w:tbl>
      <w:tblPr>
        <w:tblLayout w:type="fixed"/>
        <w:tblInd w:w="0" w:type="dxa"/>
        <w:tblCellMar>
          <w:top w:w="0" w:type="dxa"/>
          <w:left w:w="0" w:type="dxa"/>
          <w:bottom w:w="0" w:type="dxa"/>
          <w:right w:w="0" w:type="dxa"/>
        </w:tblCellMar>
      </w:tblPr>
      <w:tr>
        <w:trPr>
          <w:trHeight w:val="169"/>
        </w:trPr>
        <w:tc>
          <w:tcPr>
            <w:tcW w:w="12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in accordance</w:t>
            </w:r>
          </w:p>
        </w:tc>
        <w:tc>
          <w:tcPr>
            <w:tcW w:w="594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w w:val="98"/>
              </w:rPr>
              <w:t>with SFAS No. 123, the Company's pro forma net income and earnings</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per share for</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year ended September 30, 1998 would have been as follows:</w:t>
            </w:r>
          </w:p>
        </w:tc>
      </w:tr>
      <w:tr>
        <w:trPr>
          <w:trHeight w:val="688"/>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$29,455</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basic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diluted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0.18</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number of shares outstanding..........................</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158,528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108,330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107,920</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adjusted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159,442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110,915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110,505</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84" w:name="page85"/>
    <w:bookmarkEnd w:id="84"/>
    <w:p>
      <w:pPr>
        <w:ind w:left="268"/>
        <w:spacing w:after="0"/>
        <w:rPr>
          <w:sz w:val="20"/>
          <w:szCs w:val="20"/>
          <w:color w:val="auto"/>
        </w:rPr>
      </w:pPr>
      <w:r>
        <w:rPr>
          <w:rFonts w:ascii="Courier New" w:cs="Courier New" w:eastAsia="Courier New" w:hAnsi="Courier New"/>
          <w:sz w:val="15"/>
          <w:szCs w:val="15"/>
          <w:color w:val="auto"/>
        </w:rPr>
        <w:t>85</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8"/>
        </w:trPr>
        <w:tc>
          <w:tcPr>
            <w:tcW w:w="5040" w:type="dxa"/>
            <w:vAlign w:val="bottom"/>
          </w:tcPr>
          <w:p>
            <w:pPr>
              <w:spacing w:after="0"/>
              <w:rPr>
                <w:sz w:val="24"/>
                <w:szCs w:val="24"/>
                <w:color w:val="auto"/>
              </w:rPr>
            </w:pPr>
          </w:p>
        </w:tc>
        <w:tc>
          <w:tcPr>
            <w:tcW w:w="30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04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$210,867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$185,119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$142,921</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$ 38,917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$ 26,779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$ 18,346</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30,441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$ 76,736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74" w:lineRule="exact"/>
        <w:rPr>
          <w:sz w:val="20"/>
          <w:szCs w:val="20"/>
          <w:color w:val="auto"/>
        </w:rPr>
      </w:pPr>
    </w:p>
    <w:p>
      <w:pPr>
        <w:ind w:left="348" w:hanging="348"/>
        <w:spacing w:after="0"/>
        <w:tabs>
          <w:tab w:leader="none" w:pos="3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940" w:type="dxa"/>
            <w:vAlign w:val="bottom"/>
          </w:tcPr>
          <w:p>
            <w:pPr>
              <w:spacing w:after="0"/>
              <w:rPr>
                <w:sz w:val="14"/>
                <w:szCs w:val="14"/>
                <w:color w:val="auto"/>
              </w:rPr>
            </w:pPr>
          </w:p>
        </w:tc>
        <w:tc>
          <w:tcPr>
            <w:tcW w:w="296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$251,829</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$102,481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151,938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$403,767</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$211,720</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516"/>
        </w:trPr>
        <w:tc>
          <w:tcPr>
            <w:tcW w:w="29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F-21</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TO SIGNIFICANT CUSTOMERS</w:t>
      </w:r>
    </w:p>
    <w:p>
      <w:pPr>
        <w:spacing w:after="0" w:line="176" w:lineRule="exact"/>
        <w:rPr>
          <w:sz w:val="20"/>
          <w:szCs w:val="20"/>
          <w:color w:val="auto"/>
        </w:rPr>
      </w:pPr>
    </w:p>
    <w:p>
      <w:pPr>
        <w:ind w:right="3599" w:firstLine="447"/>
        <w:spacing w:after="0" w:line="274"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9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9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98"/>
              </w:rPr>
              <w:t>Southwestern Bell Communications Services Inc. and</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9"/>
              </w:rPr>
              <w:t>affiliates...........................................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38%</w:t>
            </w:r>
          </w:p>
        </w:tc>
      </w:tr>
      <w:tr>
        <w:trPr>
          <w:trHeight w:val="172"/>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98"/>
              </w:rPr>
              <w:t>BellSouth Telecommunications, Inc., and affiliates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   16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89"/>
              </w:rPr>
              <w:t>Telstra Corporation Ltd................................</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w:t>
            </w:r>
          </w:p>
        </w:tc>
      </w:tr>
      <w:tr>
        <w:trPr>
          <w:trHeight w:val="51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 less than 10 percent of total revenue</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NOTE 17  SELECTED QUARTERLY FINANCIAL DATA (UNAUDITED)</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88"/>
        </w:trPr>
        <w:tc>
          <w:tcPr>
            <w:tcW w:w="3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QUARTER ENDED</w:t>
            </w:r>
          </w:p>
        </w:tc>
        <w:tc>
          <w:tcPr>
            <w:tcW w:w="980" w:type="dxa"/>
            <w:vAlign w:val="bottom"/>
          </w:tcPr>
          <w:p>
            <w:pPr>
              <w:spacing w:after="0"/>
              <w:rPr>
                <w:sz w:val="24"/>
                <w:szCs w:val="24"/>
                <w:color w:val="auto"/>
              </w:rPr>
            </w:pPr>
          </w:p>
        </w:tc>
      </w:tr>
      <w:tr>
        <w:trPr>
          <w:trHeight w:val="172"/>
        </w:trPr>
        <w:tc>
          <w:tcPr>
            <w:tcW w:w="3560" w:type="dxa"/>
            <w:vAlign w:val="bottom"/>
          </w:tcPr>
          <w:p>
            <w:pPr>
              <w:spacing w:after="0"/>
              <w:rPr>
                <w:sz w:val="14"/>
                <w:szCs w:val="14"/>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5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SEPT 30,</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JUNE 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2"/>
        </w:trPr>
        <w:tc>
          <w:tcPr>
            <w:tcW w:w="35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$116,704</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$106,497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$94,008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$86,558</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26,104</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22,821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11,598</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6,443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$ 87,987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$ 77,089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$62,489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$62,537</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(10,586)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13,363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(18,307)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18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163"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 September 30, 1999. At September 30, 1998 the maximum length of time over which the Company is hedging its exposure to the variability of future cash flows is 4 years.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9"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88"/>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4"/>
                <w:szCs w:val="24"/>
                <w:color w:val="auto"/>
              </w:rPr>
            </w:pPr>
          </w:p>
        </w:tc>
        <w:tc>
          <w:tcPr>
            <w:tcW w:w="3560" w:type="dxa"/>
            <w:vAlign w:val="bottom"/>
          </w:tcPr>
          <w:p>
            <w:pPr>
              <w:jc w:val="right"/>
              <w:ind w:right="19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26,894</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including unbilled of $7,124.........</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121,283</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from related parties..................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10,144</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12,050</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16,085</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186,456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63,533</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7,348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22,161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$ 301,550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47,449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26,861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75,908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61,070</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4,184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18,039</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234,786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27,805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Authorized 25,000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value; 0 shares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issued and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Authorized 550,000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196,800 shares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447,772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Unrealized income on derivative instruments...............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Unearned compensation.....................................</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(6,559)</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Accumulated deficit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(418,816)</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25,771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$ 301,550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9" w:right="1440" w:bottom="1440" w:gutter="0" w:footer="0" w:header="0"/>
        </w:sectPr>
      </w:pPr>
    </w:p>
    <w:bookmarkStart w:id="88" w:name="page89"/>
    <w:bookmarkEnd w:id="88"/>
    <w:p>
      <w:pPr>
        <w:ind w:left="268"/>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44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$ 32,348</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$ 18,419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246,907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162,147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279,255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180,566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160,195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104,750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17,519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10,955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33,062</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23,024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213,469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144,596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65,786</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expense,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11,837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61,833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24,133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18,550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12,067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$ 43,283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$ 12,066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six months ended March 31, 1999 and 1998,</w:t>
      </w:r>
    </w:p>
    <w:p>
      <w:pPr>
        <w:spacing w:after="0" w:line="4" w:lineRule="exact"/>
        <w:rPr>
          <w:sz w:val="20"/>
          <w:szCs w:val="20"/>
          <w:color w:val="auto"/>
        </w:rPr>
      </w:pPr>
    </w:p>
    <w:p>
      <w:pPr>
        <w:ind w:left="348" w:right="3159"/>
        <w:spacing w:after="0" w:line="267" w:lineRule="auto"/>
        <w:rPr>
          <w:sz w:val="20"/>
          <w:szCs w:val="20"/>
          <w:color w:val="auto"/>
        </w:rPr>
      </w:pPr>
      <w:r>
        <w:rPr>
          <w:rFonts w:ascii="Courier New" w:cs="Courier New" w:eastAsia="Courier New" w:hAnsi="Courier New"/>
          <w:sz w:val="14"/>
          <w:szCs w:val="14"/>
          <w:color w:val="auto"/>
        </w:rPr>
        <w:t>respectively: license revenue -- $278 and $210; service revenue -- $45,949 and $42,832; cost of service -- $(1,057) and $(1,265); selling, general and administrative -- $(232) and $(189); interest expense -- $(0) and $(3,048).</w:t>
      </w:r>
    </w:p>
    <w:p>
      <w:pPr>
        <w:spacing w:after="0" w:line="15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2"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IN SHAREHOLDERS' EQUITY (DEFICIT) (UNAUDITED)</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250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(LOSS) ON</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250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UNEARNED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250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(DEFICIT)</w:t>
            </w:r>
          </w:p>
        </w:tc>
      </w:tr>
      <w:tr>
        <w:trPr>
          <w:trHeight w:val="172"/>
        </w:trPr>
        <w:tc>
          <w:tcPr>
            <w:tcW w:w="250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at September 30,</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$(1,495)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$(21,889)</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43,283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Unrealized income on</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derivative instruments,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net of $737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1,720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1,720</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Stock options granted, net</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(241)</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2,629</w:t>
            </w:r>
          </w:p>
        </w:tc>
      </w:tr>
      <w:tr>
        <w:trPr>
          <w:trHeight w:val="172"/>
        </w:trPr>
        <w:tc>
          <w:tcPr>
            <w:tcW w:w="2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at March 31, 1999..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$447,772</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$(6,559)</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$(418,816)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$ 25,771</w:t>
            </w:r>
          </w:p>
        </w:tc>
      </w:tr>
      <w:tr>
        <w:trPr>
          <w:trHeight w:val="172"/>
        </w:trPr>
        <w:tc>
          <w:tcPr>
            <w:tcW w:w="2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460"/>
          </w:cols>
          <w:pgMar w:left="240" w:top="289" w:right="1199"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SIX MONTHS ENDED MARCH 31,</w:t>
            </w:r>
          </w:p>
        </w:tc>
      </w:tr>
      <w:tr>
        <w:trPr>
          <w:trHeight w:val="172"/>
        </w:trPr>
        <w:tc>
          <w:tcPr>
            <w:tcW w:w="54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43,283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8,343</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5,425</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394</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4,799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(41,469)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(40,478)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(4,220)</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(2,938)</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31,830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(6,508)</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3,537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2,457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(23,908)</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(11,820)</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38,336</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11,767</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1,006</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(20,401)</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(9,581)</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(19,395)</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(9,037)</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96,448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(478,684)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(179,274)</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(163,249)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163,617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171,081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long-term debt................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364,127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long-term financing arrangements.............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notes payable to related parties................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financing activities.......................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(17,436)</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(44,740)</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1,505</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(42,010)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25,389</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53,732</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26,894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11,722</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net of refunds..............................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20,953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10,496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3,012</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3,972</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$6,472 and $1,133 were incurred during the six months ended March 31, 1999 and 1998, respectively, when the Company entered into lease agreements for vehicles.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9" w:right="1440" w:bottom="1440" w:gutter="0" w:footer="0" w:header="0"/>
        </w:sectPr>
      </w:pPr>
    </w:p>
    <w:bookmarkStart w:id="91" w:name="page92"/>
    <w:bookmarkEnd w:id="91"/>
    <w:p>
      <w:pPr>
        <w:ind w:left="268"/>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MARCH 31, 1999</w:t>
      </w:r>
    </w:p>
    <w:p>
      <w:pPr>
        <w:spacing w:after="0" w:line="174"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 set forth in the Company's Annual Report on Form 20-F filed with the Securities and Exchange Commission.</w:t>
      </w:r>
    </w:p>
    <w:p>
      <w:pPr>
        <w:spacing w:after="0" w:line="180" w:lineRule="exact"/>
        <w:rPr>
          <w:sz w:val="20"/>
          <w:szCs w:val="20"/>
          <w:color w:val="auto"/>
        </w:rPr>
      </w:pPr>
    </w:p>
    <w:p>
      <w:pPr>
        <w:ind w:left="348"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$1,200 of internally developed software costs in the six-month period ended March 31, 1999.</w:t>
      </w:r>
    </w:p>
    <w:p>
      <w:pPr>
        <w:spacing w:after="0" w:line="162"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six month periods ended March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income on derivative instruments, net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of tax....................................................</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F-28</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92" w:name="page93"/>
    <w:bookmarkEnd w:id="92"/>
    <w:p>
      <w:pPr>
        <w:ind w:left="268"/>
        <w:spacing w:after="0"/>
        <w:rPr>
          <w:sz w:val="20"/>
          <w:szCs w:val="20"/>
          <w:color w:val="auto"/>
        </w:rPr>
      </w:pPr>
      <w:r>
        <w:rPr>
          <w:rFonts w:ascii="Courier New" w:cs="Courier New" w:eastAsia="Courier New" w:hAnsi="Courier New"/>
          <w:sz w:val="15"/>
          <w:szCs w:val="15"/>
          <w:color w:val="auto"/>
        </w:rPr>
        <w:t>93</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The provision for income taxes for the six month periods ended March 31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$13,751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$18,550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$12,067</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six month periods ended March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4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4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079" w:hanging="188"/>
        <w:spacing w:after="0" w:line="242" w:lineRule="auto"/>
        <w:tabs>
          <w:tab w:leader="none" w:pos="18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174" w:lineRule="exact"/>
        <w:rPr>
          <w:sz w:val="20"/>
          <w:szCs w:val="20"/>
          <w:color w:val="auto"/>
        </w:rPr>
      </w:pPr>
    </w:p>
    <w:p>
      <w:pPr>
        <w:ind w:left="348"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 for the six month periods ended March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w w:val="71"/>
              </w:rPr>
              <w:t>Net income................................................</w:t>
            </w: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$ 43,283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$ 12,066</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196,800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127,858</w:t>
            </w:r>
          </w:p>
        </w:tc>
      </w:tr>
      <w:tr>
        <w:trPr>
          <w:trHeight w:val="172"/>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Effect of dilutive stock options granted....................</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 adjusted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average shares and assumed conversions....................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199,263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128,333</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w w:val="72"/>
              </w:rPr>
              <w:t>Basic earnings per share....................................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w w:val="72"/>
              </w:rPr>
              <w:t>Diluted earnings per share..................................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TRANSACTION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March 2, 1999, the Company entered into a combination agreement with Architel Systems Corporation, a Canadian corporation, by which the Company would acquire Architel in a stock transaction valued at approximately $400,000 at the time of the agreement. On April 8, 1999, Architel announced that it had restructured its relationship with its largest customer, and expected revenue and earnings for the future periods to be substantially less than originally anticipated. As a result of these developments, on April 22, 1999, the Company terminated the combination agreement.</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27"/>
          </w:cols>
          <w:pgMar w:left="232" w:top="289" w:right="1440" w:bottom="1440" w:gutter="0" w:footer="0" w:header="0"/>
        </w:sectPr>
      </w:pPr>
    </w:p>
    <w:bookmarkStart w:id="93" w:name="page94"/>
    <w:bookmarkEnd w:id="93"/>
    <w:p>
      <w:pPr>
        <w:ind w:left="268"/>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the selling shareholders and the underwriters for the offering, or the Underwriters, named below have entered into an underwriting agreement with respect to the shares being offered. Subject to certain conditions, each Underwriter has severally agreed to purchase the number of shares indicated in the following table. Goldman, Sachs &amp; Co., Banc of America Securities LLC, BancBoston Robertson Stephens Inc., BT Alex. Brown Incorporated, Lehman Brothers Inc. and SG Cowen Securities Corporation are the representatives of the Underwriters.</w:t>
      </w:r>
    </w:p>
    <w:p>
      <w:pPr>
        <w:spacing w:after="0" w:line="200" w:lineRule="exact"/>
        <w:rPr>
          <w:sz w:val="20"/>
          <w:szCs w:val="20"/>
          <w:color w:val="auto"/>
        </w:r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Underwriters</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of Shares</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Goldman, Sachs &amp; Co. .......................................</w:t>
            </w:r>
          </w:p>
        </w:tc>
        <w:tc>
          <w:tcPr>
            <w:tcW w:w="1000" w:type="dxa"/>
            <w:vAlign w:val="bottom"/>
          </w:tcPr>
          <w:p>
            <w:pPr>
              <w:spacing w:after="0"/>
              <w:rPr>
                <w:sz w:val="24"/>
                <w:szCs w:val="2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 of America Securities LLC..............................</w:t>
            </w:r>
          </w:p>
        </w:tc>
        <w:tc>
          <w:tcPr>
            <w:tcW w:w="100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BancBoston Robertson Stephens Inc. .........................</w:t>
            </w:r>
          </w:p>
        </w:tc>
        <w:tc>
          <w:tcPr>
            <w:tcW w:w="100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BT Alex. Brown Incorporated.................................</w:t>
            </w:r>
          </w:p>
        </w:tc>
        <w:tc>
          <w:tcPr>
            <w:tcW w:w="100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Lehman Brothers Inc. .......................................</w:t>
            </w:r>
          </w:p>
        </w:tc>
        <w:tc>
          <w:tcPr>
            <w:tcW w:w="100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SG Cowen Securities Corporation.............................</w:t>
            </w:r>
          </w:p>
        </w:tc>
        <w:tc>
          <w:tcPr>
            <w:tcW w:w="100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20,000,000</w:t>
            </w:r>
          </w:p>
        </w:tc>
      </w:tr>
      <w:tr>
        <w:trPr>
          <w:trHeight w:val="172"/>
        </w:trPr>
        <w:tc>
          <w:tcPr>
            <w:tcW w:w="544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5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4"/>
                <w:szCs w:val="24"/>
                <w:color w:val="auto"/>
              </w:rPr>
            </w:pPr>
          </w:p>
        </w:tc>
      </w:tr>
    </w:tbl>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3,000,000 shares from Amdocs and the selling shareholders to cover such sales.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Amdocs and the selling shareholders, respectively. Such amounts are shown assuming both no exercise and full exercise of the Underwriters' option to purchase additional shares.</w:t>
      </w:r>
    </w:p>
    <w:p>
      <w:pPr>
        <w:spacing w:after="0" w:line="200" w:lineRule="exact"/>
        <w:rPr>
          <w:sz w:val="20"/>
          <w:szCs w:val="20"/>
          <w:color w:val="auto"/>
        </w:rPr>
      </w:pPr>
    </w:p>
    <w:p>
      <w:pPr>
        <w:spacing w:after="0" w:line="317" w:lineRule="exact"/>
        <w:rPr>
          <w:sz w:val="20"/>
          <w:szCs w:val="20"/>
          <w:color w:val="auto"/>
        </w:rPr>
      </w:pPr>
    </w:p>
    <w:p>
      <w:pPr>
        <w:jc w:val="center"/>
        <w:ind w:left="1980"/>
        <w:spacing w:after="0"/>
        <w:rPr>
          <w:sz w:val="20"/>
          <w:szCs w:val="20"/>
          <w:color w:val="auto"/>
        </w:rPr>
      </w:pPr>
      <w:r>
        <w:rPr>
          <w:rFonts w:ascii="Courier New" w:cs="Courier New" w:eastAsia="Courier New" w:hAnsi="Courier New"/>
          <w:sz w:val="15"/>
          <w:szCs w:val="15"/>
          <w:color w:val="auto"/>
        </w:rPr>
        <w:t>Paid by Amdocs</w:t>
      </w:r>
    </w:p>
    <w:p>
      <w:pPr>
        <w:spacing w:after="0" w:line="4" w:lineRule="exact"/>
        <w:rPr>
          <w:sz w:val="20"/>
          <w:szCs w:val="20"/>
          <w:color w:val="auto"/>
        </w:rPr>
      </w:pPr>
    </w:p>
    <w:p>
      <w:pPr>
        <w:jc w:val="center"/>
        <w:ind w:left="19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1980"/>
        <w:spacing w:after="0"/>
        <w:tabs>
          <w:tab w:leader="none" w:pos="320" w:val="left"/>
        </w:tabs>
        <w:rPr>
          <w:sz w:val="20"/>
          <w:szCs w:val="20"/>
          <w:color w:val="auto"/>
        </w:rPr>
      </w:pPr>
      <w:r>
        <w:rPr>
          <w:rFonts w:ascii="Courier New" w:cs="Courier New" w:eastAsia="Courier New" w:hAnsi="Courier New"/>
          <w:sz w:val="15"/>
          <w:szCs w:val="15"/>
          <w:color w:val="auto"/>
        </w:rPr>
        <w:t>No Exercise</w:t>
      </w:r>
      <w:r>
        <w:rPr>
          <w:sz w:val="20"/>
          <w:szCs w:val="20"/>
          <w:color w:val="auto"/>
        </w:rPr>
        <w:tab/>
      </w:r>
      <w:r>
        <w:rPr>
          <w:rFonts w:ascii="Courier New" w:cs="Courier New" w:eastAsia="Courier New" w:hAnsi="Courier New"/>
          <w:sz w:val="15"/>
          <w:szCs w:val="15"/>
          <w:color w:val="auto"/>
        </w:rPr>
        <w:t>Full Exercise</w:t>
      </w:r>
    </w:p>
    <w:p>
      <w:pPr>
        <w:spacing w:after="0" w:line="2" w:lineRule="exact"/>
        <w:rPr>
          <w:sz w:val="20"/>
          <w:szCs w:val="20"/>
          <w:color w:val="auto"/>
        </w:rPr>
      </w:pPr>
    </w:p>
    <w:p>
      <w:pPr>
        <w:jc w:val="center"/>
        <w:ind w:left="1980"/>
        <w:spacing w:after="0"/>
        <w:tabs>
          <w:tab w:leader="none" w:pos="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Per Share..................................................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Per Share..................................................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80"/>
        <w:spacing w:after="0"/>
        <w:tabs>
          <w:tab w:leader="none" w:pos="1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0"/>
        <w:spacing w:after="0"/>
        <w:tabs>
          <w:tab w:leader="none" w:pos="1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Paid by the Selling</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Shareholders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No Exercise</w:t>
      </w:r>
      <w:r>
        <w:rPr>
          <w:sz w:val="20"/>
          <w:szCs w:val="20"/>
          <w:color w:val="auto"/>
        </w:rPr>
        <w:tab/>
      </w:r>
      <w:r>
        <w:rPr>
          <w:rFonts w:ascii="Courier New" w:cs="Courier New" w:eastAsia="Courier New" w:hAnsi="Courier New"/>
          <w:sz w:val="15"/>
          <w:szCs w:val="15"/>
          <w:color w:val="auto"/>
        </w:rPr>
        <w:t>Full Exercise</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0"/>
        <w:spacing w:after="0"/>
        <w:tabs>
          <w:tab w:leader="none" w:pos="1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0"/>
        <w:spacing w:after="0"/>
        <w:tabs>
          <w:tab w:leader="none" w:pos="1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268" w:space="180"/>
            <w:col w:w="4779"/>
          </w:cols>
          <w:pgMar w:left="232" w:top="289" w:right="1440" w:bottom="1440" w:gutter="0" w:footer="0" w:header="0"/>
          <w:type w:val="continuous"/>
        </w:sectPr>
      </w:pPr>
    </w:p>
    <w:p>
      <w:pPr>
        <w:spacing w:after="0" w:line="148"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price to public set forth on the cover of this prospectus and will be eligible for trading on the New York Stock Exchange. Any shares sold by the Underwriters to securities dealers may be sold at a discount of up to</w:t>
      </w:r>
    </w:p>
    <w:p>
      <w:pPr>
        <w:spacing w:after="0" w:line="3" w:lineRule="exact"/>
        <w:rPr>
          <w:sz w:val="20"/>
          <w:szCs w:val="20"/>
          <w:color w:val="auto"/>
        </w:rPr>
      </w:pPr>
    </w:p>
    <w:p>
      <w:pPr>
        <w:ind w:left="8" w:right="3259" w:hanging="8"/>
        <w:spacing w:after="0" w:line="260" w:lineRule="auto"/>
        <w:tabs>
          <w:tab w:leader="none" w:pos="99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from the initial price to public. Any such securities dealers may resell any shares purchased from the Underwriters to certain other</w:t>
      </w:r>
    </w:p>
    <w:tbl>
      <w:tblPr>
        <w:tblLayout w:type="fixed"/>
        <w:tblInd w:w="8" w:type="dxa"/>
        <w:tblCellMar>
          <w:top w:w="0" w:type="dxa"/>
          <w:left w:w="0" w:type="dxa"/>
          <w:bottom w:w="0" w:type="dxa"/>
          <w:right w:w="0" w:type="dxa"/>
        </w:tblCellMar>
      </w:tblPr>
      <w:tr>
        <w:trPr>
          <w:trHeight w:val="169"/>
        </w:trPr>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rPr>
              <w:t>brokers or dealers at a</w:t>
            </w:r>
          </w:p>
        </w:tc>
        <w:tc>
          <w:tcPr>
            <w:tcW w:w="13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discount of up</w:t>
            </w:r>
          </w:p>
        </w:tc>
        <w:tc>
          <w:tcPr>
            <w:tcW w:w="8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to $</w:t>
            </w:r>
          </w:p>
        </w:tc>
        <w:tc>
          <w:tcPr>
            <w:tcW w:w="2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per share from the</w:t>
            </w:r>
          </w:p>
        </w:tc>
        <w:tc>
          <w:tcPr>
            <w:tcW w:w="680" w:type="dxa"/>
            <w:vAlign w:val="bottom"/>
          </w:tcPr>
          <w:p>
            <w:pPr>
              <w:ind w:left="60"/>
              <w:spacing w:after="0" w:line="169" w:lineRule="exact"/>
              <w:rPr>
                <w:sz w:val="20"/>
                <w:szCs w:val="20"/>
                <w:color w:val="auto"/>
              </w:rPr>
            </w:pPr>
            <w:r>
              <w:rPr>
                <w:rFonts w:ascii="Courier New" w:cs="Courier New" w:eastAsia="Courier New" w:hAnsi="Courier New"/>
                <w:sz w:val="15"/>
                <w:szCs w:val="15"/>
                <w:color w:val="auto"/>
                <w:w w:val="95"/>
              </w:rPr>
              <w:t>initial</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price to public. If all</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the shares are</w:t>
            </w: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not sold at the initial price to</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public</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the representatives may</w:t>
            </w:r>
          </w:p>
        </w:tc>
        <w:tc>
          <w:tcPr>
            <w:tcW w:w="4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change the offering price and the other selling</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terms.</w:t>
            </w:r>
          </w:p>
        </w:tc>
      </w:tr>
    </w:tbl>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and the selling shareholders have agreed with the Underwriters not to dispose of or hedge any of their ordinary shares or securities convertible into or exchangeable for ordinary shares during the period from the date of this prospectus continuing through the date</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U-1</w:t>
      </w:r>
    </w:p>
    <w:p>
      <w:pPr>
        <w:sectPr>
          <w:pgSz w:w="11900" w:h="16838" w:orient="portrait"/>
          <w:cols w:equalWidth="0" w:num="1">
            <w:col w:w="10227"/>
          </w:cols>
          <w:pgMar w:left="232" w:top="289" w:right="1440" w:bottom="1440"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Stabilizing transactions consist of certain bids or purchases made for the purpose of preventing or retarding a decline in the market price of the ordinary shares while the offering is in progress.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ordinary shares. As a result, the price of the ordinary shares may be higher than the price that otherwise might exist in the open market. If these activities are commenced, they may be discontinued by the Underwriters at any time. These transactions may be effected on the New York Stock Exchange or otherwise.</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Company will pay the expenses of the offering on behalf of the selling shareholders, excluding underwriting discounts and commissions. The expenses of the offering are estimated to be approximately $2.0 million.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Company and the selling shareholders have agreed to indemnify the several Underwriters against certain liabilities, including liabilities under the Securities Act.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 to 10,000,000 additional ordinary shares (or up to 11,500,000 shares if the applicable over-allotment option is exercised in full) may be delivered by the TRACES Trust to holders of the Automatic Common Exchange Securities upon exchange of the Automatic Common Exchange Securities on the Exchange Date (as defined in the Trust Prospectus). In lieu of delivery of such shares, the TRACES Trust shareholder may elect to pay cash or deliver other securities on the Exchange Date for each ordinary share then deliverable in the amounts and under the procedures described in the Trust Prospectus. The Automatic Common Exchange Securities are being offered through an underwriter or underwriters in the manner described in the Trust Prospectus. The respective closings of the offerings of the ordinary shares and the Automatic Common Exchange Securities are not dependent upon one another.</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U-2</w:t>
      </w:r>
    </w:p>
    <w:p>
      <w:pPr>
        <w:sectPr>
          <w:pgSz w:w="11900" w:h="16838" w:orient="portrait"/>
          <w:cols w:equalWidth="0" w:num="1">
            <w:col w:w="10219"/>
          </w:cols>
          <w:pgMar w:left="240" w:top="289" w:right="1440" w:bottom="1440" w:gutter="0" w:footer="0" w:header="0"/>
        </w:sectPr>
      </w:pPr>
    </w:p>
    <w:bookmarkStart w:id="95" w:name="page96"/>
    <w:bookmarkEnd w:id="95"/>
    <w:p>
      <w:pPr>
        <w:ind w:left="268"/>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ind w:left="188" w:hanging="188"/>
        <w:spacing w:after="0"/>
        <w:tabs>
          <w:tab w:leader="none" w:pos="18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 dealer, salesperson or other person is authorized to give any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information or to represent anything not contained in this prospectus. You must</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not rely on any unauthorized information or representations. This prospectus is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 offer to sell only the shares offered hereby, but only under circumstances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in jurisdictions where it is lawful to do so. The information contained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this prospectus is current only as of its date.</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Enforcement of Civil Liabilities</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Consolidated Financial</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Principal and Selling Shareholders</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TRACES Shareholders</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Where You Can Find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More Information</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U-1</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20,000,000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BANCBOSTON ROBERTSON</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STEPHENS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BT ALEXS BROWN</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SG COWEN</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74" w:lineRule="exact"/>
        <w:rPr>
          <w:sz w:val="20"/>
          <w:szCs w:val="20"/>
          <w:color w:val="auto"/>
        </w:rPr>
      </w:pPr>
    </w:p>
    <w:p>
      <w:pPr>
        <w:ind w:left="188" w:hanging="188"/>
        <w:spacing w:after="0"/>
        <w:tabs>
          <w:tab w:leader="none" w:pos="18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97</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inside back cover page contains the following:</w:t>
      </w:r>
    </w:p>
    <w:p>
      <w:pPr>
        <w:spacing w:after="0" w:line="176" w:lineRule="exact"/>
        <w:rPr>
          <w:sz w:val="20"/>
          <w:szCs w:val="20"/>
          <w:color w:val="auto"/>
        </w:rPr>
      </w:pPr>
    </w:p>
    <w:p>
      <w:pPr>
        <w:ind w:left="448" w:right="3259" w:hanging="448"/>
        <w:spacing w:after="0" w:line="242" w:lineRule="auto"/>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different products that comprise Amdocs' "ADS (NG)/Family of Products". Text: End-to-end family of products for publishers of Yellow Pages, White Pages and Internet directories.</w:t>
      </w:r>
    </w:p>
    <w:sectPr>
      <w:pgSz w:w="11900" w:h="16838" w:orient="portrait"/>
      <w:cols w:equalWidth="0" w:num="1">
        <w:col w:w="10227"/>
      </w:cols>
      <w:pgMar w:left="232"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lvl w:ilvl="1">
      <w:lvlJc w:val="left"/>
      <w:lvlText w:val="(%2)"/>
      <w:numFmt w:val="lowerRoman"/>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3"/>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6"/>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2"/>
    </w:lvl>
  </w:abstractNum>
  <w:abstractNum w:abstractNumId="33">
    <w:nsid w:val="2CD89A32"/>
    <w:multiLevelType w:val="hybridMultilevel"/>
    <w:lvl w:ilvl="0">
      <w:lvlJc w:val="left"/>
      <w:lvlText w:val="&amp;"/>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lowerRoman"/>
      <w:start w:val="1"/>
    </w:lvl>
  </w:abstractNum>
  <w:abstractNum w:abstractNumId="36">
    <w:nsid w:val="4B588F54"/>
    <w:multiLevelType w:val="hybridMultilevel"/>
    <w:lvl w:ilvl="0">
      <w:lvlJc w:val="left"/>
      <w:lvlText w:val="(%1)"/>
      <w:numFmt w:val="lowerRoman"/>
      <w:start w:val="3"/>
    </w:lvl>
  </w:abstractNum>
  <w:abstractNum w:abstractNumId="37">
    <w:nsid w:val="542289EC"/>
    <w:multiLevelType w:val="hybridMultilevel"/>
    <w:lvl w:ilvl="0">
      <w:lvlJc w:val="left"/>
      <w:lvlText w:val="(%1)"/>
      <w:numFmt w:val="decimal"/>
      <w:start w:val="2"/>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2"/>
    </w:lvl>
  </w:abstractNum>
  <w:abstractNum w:abstractNumId="46">
    <w:nsid w:val="1BA026FA"/>
    <w:multiLevelType w:val="hybridMultilevel"/>
    <w:lvl w:ilvl="0">
      <w:lvlJc w:val="left"/>
      <w:lvlText w:val="%1."/>
      <w:numFmt w:val="decimal"/>
      <w:start w:val="3"/>
    </w:lvl>
  </w:abstractNum>
  <w:abstractNum w:abstractNumId="47">
    <w:nsid w:val="79A1DEAA"/>
    <w:multiLevelType w:val="hybridMultilevel"/>
    <w:lvl w:ilvl="0">
      <w:lvlJc w:val="left"/>
      <w:lvlText w:val="%1."/>
      <w:numFmt w:val="decimal"/>
      <w:start w:val="4"/>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5"/>
    </w:lvl>
  </w:abstractNum>
  <w:abstractNum w:abstractNumId="50">
    <w:nsid w:val="70C6A529"/>
    <w:multiLevelType w:val="hybridMultilevel"/>
    <w:lvl w:ilvl="0">
      <w:lvlJc w:val="left"/>
      <w:lvlText w:val="%1."/>
      <w:numFmt w:val="decimal"/>
      <w:start w:val="6"/>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2020-02-22T12:44:45Z</dcterms:created>
  <dcterms:modified xsi:type="dcterms:W3CDTF">2020-02-22T12:44:45Z</dcterms:modified>
</cp:coreProperties>
</file>