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12/31/2021</w:t>
      </w:r>
    </w:p>
    <w:p>
      <w:pPr>
        <w:spacing w:after="0" w:line="200" w:lineRule="exact"/>
        <w:rPr>
          <w:sz w:val="24"/>
          <w:szCs w:val="24"/>
          <w:color w:val="auto"/>
        </w:rPr>
      </w:pPr>
    </w:p>
    <w:p>
      <w:pPr>
        <w:spacing w:after="0" w:line="209" w:lineRule="exact"/>
        <w:rPr>
          <w:sz w:val="24"/>
          <w:szCs w:val="24"/>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9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19" w:hanging="952"/>
        <w:spacing w:after="0" w:line="290"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540" w:right="781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540" w:right="75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7,185,211**</w:t>
      </w:r>
    </w:p>
    <w:p>
      <w:pPr>
        <w:spacing w:after="0" w:line="208" w:lineRule="exact"/>
        <w:rPr>
          <w:rFonts w:ascii="Courier New" w:cs="Courier New" w:eastAsia="Courier New" w:hAnsi="Courier New"/>
          <w:sz w:val="18"/>
          <w:szCs w:val="18"/>
          <w:color w:val="auto"/>
        </w:rPr>
      </w:pPr>
    </w:p>
    <w:p>
      <w:pPr>
        <w:ind w:left="540" w:right="72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540" w:right="70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7,185,211**</w:t>
      </w:r>
    </w:p>
    <w:p>
      <w:pPr>
        <w:spacing w:after="0" w:line="208" w:lineRule="exact"/>
        <w:rPr>
          <w:rFonts w:ascii="Courier New" w:cs="Courier New" w:eastAsia="Courier New" w:hAnsi="Courier New"/>
          <w:sz w:val="18"/>
          <w:szCs w:val="18"/>
          <w:color w:val="auto"/>
        </w:rPr>
      </w:pPr>
    </w:p>
    <w:p>
      <w:pPr>
        <w:ind w:left="540" w:right="32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7,185,211**</w:t>
      </w:r>
    </w:p>
    <w:p>
      <w:pPr>
        <w:spacing w:after="0" w:line="208" w:lineRule="exact"/>
        <w:rPr>
          <w:rFonts w:ascii="Courier New" w:cs="Courier New" w:eastAsia="Courier New" w:hAnsi="Courier New"/>
          <w:sz w:val="18"/>
          <w:szCs w:val="18"/>
          <w:color w:val="auto"/>
        </w:rPr>
      </w:pPr>
    </w:p>
    <w:p>
      <w:pPr>
        <w:ind w:right="3179" w:firstLine="8"/>
        <w:spacing w:after="0" w:line="235"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6847" w:orient="portrait"/>
          <w:cols w:equalWidth="0" w:num="1">
            <w:col w:w="10139"/>
          </w:cols>
          <w:pgMar w:left="32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420" w:right="455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spacing w:after="0" w:line="208" w:lineRule="exact"/>
        <w:rPr>
          <w:rFonts w:ascii="Courier New" w:cs="Courier New" w:eastAsia="Courier New" w:hAnsi="Courier New"/>
          <w:sz w:val="18"/>
          <w:szCs w:val="18"/>
          <w:color w:val="auto"/>
        </w:rPr>
      </w:pPr>
    </w:p>
    <w:p>
      <w:pPr>
        <w:ind w:left="420" w:right="717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420"/>
        <w:spacing w:after="0" w:line="238" w:lineRule="auto"/>
        <w:rPr>
          <w:sz w:val="20"/>
          <w:szCs w:val="20"/>
          <w:color w:val="auto"/>
        </w:rPr>
      </w:pPr>
      <w:r>
        <w:rPr>
          <w:rFonts w:ascii="Courier New" w:cs="Courier New" w:eastAsia="Courier New" w:hAnsi="Courier New"/>
          <w:sz w:val="18"/>
          <w:szCs w:val="18"/>
          <w:color w:val="auto"/>
        </w:rPr>
        <w:t>(a). Name of Issuer: AMDOCS LIMITED ("Amdocs")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1390 Timberlake Manor Parkway</w:t>
      </w:r>
    </w:p>
    <w:p>
      <w:pPr>
        <w:ind w:left="960"/>
        <w:spacing w:after="0" w:line="238" w:lineRule="auto"/>
        <w:rPr>
          <w:sz w:val="20"/>
          <w:szCs w:val="20"/>
          <w:color w:val="auto"/>
        </w:rPr>
      </w:pPr>
      <w:r>
        <w:rPr>
          <w:rFonts w:ascii="Courier New" w:cs="Courier New" w:eastAsia="Courier New" w:hAnsi="Courier New"/>
          <w:sz w:val="18"/>
          <w:szCs w:val="18"/>
          <w:color w:val="auto"/>
        </w:rPr>
        <w:t>Chesterfield, MO 63017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420"/>
        <w:spacing w:after="0" w:line="238" w:lineRule="auto"/>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line="238" w:lineRule="auto"/>
        <w:rPr>
          <w:sz w:val="20"/>
          <w:szCs w:val="20"/>
          <w:color w:val="auto"/>
        </w:rPr>
      </w:pPr>
      <w:r>
        <w:rPr>
          <w:rFonts w:ascii="Courier New" w:cs="Courier New" w:eastAsia="Courier New" w:hAnsi="Courier New"/>
          <w:sz w:val="18"/>
          <w:szCs w:val="18"/>
          <w:color w:val="auto"/>
        </w:rPr>
        <w:t>Persons Filing:</w:t>
      </w:r>
    </w:p>
    <w:p>
      <w:pPr>
        <w:spacing w:after="0" w:line="207" w:lineRule="exact"/>
        <w:rPr>
          <w:sz w:val="20"/>
          <w:szCs w:val="20"/>
          <w:color w:val="auto"/>
        </w:rPr>
      </w:pPr>
    </w:p>
    <w:p>
      <w:pPr>
        <w:ind w:left="1480" w:right="6019" w:hanging="524"/>
        <w:spacing w:after="0" w:line="235"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spacing w:after="0" w:line="5" w:lineRule="exact"/>
        <w:rPr>
          <w:rFonts w:ascii="Courier New" w:cs="Courier New" w:eastAsia="Courier New" w:hAnsi="Courier New"/>
          <w:sz w:val="18"/>
          <w:szCs w:val="18"/>
          <w:color w:val="auto"/>
        </w:rPr>
      </w:pPr>
    </w:p>
    <w:p>
      <w:pPr>
        <w:ind w:left="1480" w:right="48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EC2M 3AE, United Kingdom Citizenship: Jersey, Channel Islands</w:t>
      </w:r>
    </w:p>
    <w:p>
      <w:pPr>
        <w:spacing w:after="0" w:line="164"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G02602103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07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979"/>
        <w:spacing w:after="0" w:line="237" w:lineRule="auto"/>
        <w:rPr>
          <w:sz w:val="20"/>
          <w:szCs w:val="20"/>
          <w:color w:val="auto"/>
        </w:rPr>
      </w:pPr>
      <w:r>
        <w:rPr>
          <w:rFonts w:ascii="Courier New" w:cs="Courier New" w:eastAsia="Courier New" w:hAnsi="Courier New"/>
          <w:sz w:val="18"/>
          <w:szCs w:val="18"/>
          <w:color w:val="auto"/>
        </w:rPr>
        <w:t>Janus Henderson has an indirect 97% ownership stake in Intech Investment Management LLC ("Intech") and a 100% ownership stake in Janus Henderson Investors U.S. LLC ("JHIUS"), Henderson Global Investors Limited ("HGIL")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216"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JHIUS may be deemed to be the beneficial owner of 6,965,869 shares or 5.6% of the shares outstanding of Amdocs Common Stock held by such Managed Portfolios. However, JHIUS does not have the right to receive any dividends from, or the proceeds from the sale of, the securities held in the Managed Portfolios and disclaims any ownership associated with such rights.</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8"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The interest of any one such Managed Portfolio does not exceed 5% of the class of securities.</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These shares were acquired in the ordinary course of business,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with the purpose of changing or influencing control of the Issuer.</w:t>
      </w:r>
    </w:p>
    <w:p>
      <w:pPr>
        <w:spacing w:after="0" w:line="224" w:lineRule="exact"/>
        <w:rPr>
          <w:sz w:val="20"/>
          <w:szCs w:val="20"/>
          <w:color w:val="auto"/>
        </w:rPr>
      </w:pPr>
    </w:p>
    <w:p>
      <w:pPr>
        <w:ind w:right="285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ind w:right="3079"/>
        <w:spacing w:after="0" w:line="236" w:lineRule="auto"/>
        <w:rPr>
          <w:sz w:val="20"/>
          <w:szCs w:val="20"/>
          <w:color w:val="auto"/>
        </w:rPr>
      </w:pPr>
      <w:r>
        <w:rPr>
          <w:rFonts w:ascii="Courier New" w:cs="Courier New" w:eastAsia="Courier New" w:hAnsi="Courier New"/>
          <w:sz w:val="18"/>
          <w:szCs w:val="18"/>
          <w:color w:val="auto"/>
        </w:rPr>
        <w:t>Intech, JHIUS, HGIL and JHIAIFML are indirect subsidiaries of Janus Henderson and are registered investment advisers furnishing investment advice to Managed Portfolios.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9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4" w:lineRule="exact"/>
        <w:rPr>
          <w:sz w:val="20"/>
          <w:szCs w:val="20"/>
          <w:color w:val="auto"/>
        </w:rPr>
      </w:pPr>
    </w:p>
    <w:p>
      <w:pPr>
        <w:ind w:right="4439"/>
        <w:spacing w:after="0" w:line="235" w:lineRule="auto"/>
        <w:rPr>
          <w:sz w:val="20"/>
          <w:szCs w:val="20"/>
          <w:color w:val="auto"/>
        </w:rPr>
      </w:pPr>
      <w:r>
        <w:rPr>
          <w:rFonts w:ascii="Courier New" w:cs="Courier New" w:eastAsia="Courier New" w:hAnsi="Courier New"/>
          <w:sz w:val="18"/>
          <w:szCs w:val="18"/>
          <w:color w:val="auto"/>
        </w:rPr>
        <w:t>Kristin Mariani, Head of North America Compliance, CCO Date 2/10/2022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69" w:lineRule="auto"/>
        <w:rPr>
          <w:sz w:val="20"/>
          <w:szCs w:val="20"/>
          <w:color w:val="auto"/>
        </w:rPr>
      </w:pPr>
      <w:r>
        <w:rPr>
          <w:rFonts w:ascii="Courier New" w:cs="Courier New" w:eastAsia="Courier New" w:hAnsi="Courier New"/>
          <w:sz w:val="16"/>
          <w:szCs w:val="16"/>
          <w:color w:val="auto"/>
        </w:rPr>
        <w:t>The undersigned, Janus Henderson Group plc ("the Company"), does hereby make, constitute and appoint each of Kristin Mariani and Caroline Barotti acting severally, as its true and lawful attorneys-in-fact,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w:t>
      </w:r>
    </w:p>
    <w:p>
      <w:pPr>
        <w:sectPr>
          <w:pgSz w:w="11900" w:h="16838" w:orient="portrait"/>
          <w:cols w:equalWidth="0" w:num="1">
            <w:col w:w="10139"/>
          </w:cols>
          <w:pgMar w:left="320" w:top="136" w:right="1440" w:bottom="122" w:gutter="0" w:footer="0" w:header="0"/>
        </w:sectPr>
      </w:pPr>
    </w:p>
    <w:bookmarkStart w:id="3" w:name="page4"/>
    <w:bookmarkEnd w:id="3"/>
    <w:p>
      <w:pPr>
        <w:ind w:right="2859"/>
        <w:spacing w:after="0" w:line="237" w:lineRule="auto"/>
        <w:rPr>
          <w:sz w:val="20"/>
          <w:szCs w:val="20"/>
          <w:color w:val="auto"/>
        </w:rPr>
      </w:pPr>
      <w:r>
        <w:rPr>
          <w:rFonts w:ascii="Courier New" w:cs="Courier New" w:eastAsia="Courier New" w:hAnsi="Courier New"/>
          <w:sz w:val="18"/>
          <w:szCs w:val="18"/>
          <w:color w:val="auto"/>
        </w:rPr>
        <w:t>to be done by virtue hereof. Any such determination by an attorney-in-fact named herein shall be conclusively evidenced by such person's execution, delivery, furnishing or filing of the applicable document.</w:t>
      </w:r>
    </w:p>
    <w:p>
      <w:pPr>
        <w:spacing w:after="0" w:line="207" w:lineRule="exact"/>
        <w:rPr>
          <w:sz w:val="20"/>
          <w:szCs w:val="20"/>
          <w:color w:val="auto"/>
        </w:rPr>
      </w:pPr>
    </w:p>
    <w:p>
      <w:pPr>
        <w:ind w:right="2979"/>
        <w:spacing w:after="0" w:line="237"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1"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September, 2021.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Bruce Koepfgen</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Bruce Koepfgen</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Executive Vice President, Head of North America</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2022-02-11T18:03:10Z</dcterms:created>
  <dcterms:modified xsi:type="dcterms:W3CDTF">2022-02-11T18:03:10Z</dcterms:modified>
</cp:coreProperties>
</file>