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4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Chesterfield, Missouri 63017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TO BE HELD ON FRIDAY, JANUARY 28, 2022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Shareholders:</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annual general meeting of shareholders of Amdocs Limited will be held at 11:00 a.m., local time, on Friday, January 28, 2022, at the Amdocs offices at 185 Hudson Street, floor no. 27, Suite 2700, Jersey City, NJ 07311, for the following purposes:</w:t>
      </w:r>
    </w:p>
    <w:p>
      <w:pPr>
        <w:spacing w:after="0" w:line="170" w:lineRule="exact"/>
        <w:rPr>
          <w:sz w:val="20"/>
          <w:szCs w:val="20"/>
          <w:color w:val="auto"/>
        </w:rPr>
      </w:pPr>
    </w:p>
    <w:p>
      <w:pPr>
        <w:ind w:left="4" w:right="340" w:hanging="4"/>
        <w:spacing w:after="0" w:line="342" w:lineRule="auto"/>
        <w:tabs>
          <w:tab w:leader="none" w:pos="18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11 individuals to serve as directors of Amdocs Limited until the next annual general meeting of shareholders or until his or her earlier resignation or removal or until his or her respective successor is elected and qualified (Proposal I);</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Giora Yaron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John A. MacDonald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Yvette Kanouff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Sarah Ruth Davis</w:t>
      </w:r>
    </w:p>
    <w:p>
      <w:pPr>
        <w:spacing w:after="0" w:line="103" w:lineRule="exact"/>
        <w:rPr>
          <w:sz w:val="20"/>
          <w:szCs w:val="20"/>
          <w:color w:val="auto"/>
        </w:rPr>
      </w:pPr>
    </w:p>
    <w:p>
      <w:pPr>
        <w:ind w:left="184" w:hanging="184"/>
        <w:spacing w:after="0"/>
        <w:tabs>
          <w:tab w:leader="none" w:pos="184"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an increase in the dividend rate under our quarterly cash dividend program from $0.36 per share to $0.395 per share (Proposal II);</w:t>
      </w:r>
    </w:p>
    <w:p>
      <w:pPr>
        <w:spacing w:after="0" w:line="128" w:lineRule="exact"/>
        <w:rPr>
          <w:rFonts w:ascii="Arial" w:cs="Arial" w:eastAsia="Arial" w:hAnsi="Arial"/>
          <w:sz w:val="17"/>
          <w:szCs w:val="17"/>
          <w:color w:val="auto"/>
        </w:rPr>
      </w:pPr>
    </w:p>
    <w:p>
      <w:pPr>
        <w:ind w:left="184" w:hanging="184"/>
        <w:spacing w:after="0"/>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2021 (Proposal III); and</w:t>
      </w:r>
    </w:p>
    <w:p>
      <w:pPr>
        <w:spacing w:after="0" w:line="117" w:lineRule="exact"/>
        <w:rPr>
          <w:rFonts w:ascii="Arial" w:cs="Arial" w:eastAsia="Arial" w:hAnsi="Arial"/>
          <w:sz w:val="18"/>
          <w:szCs w:val="18"/>
          <w:color w:val="auto"/>
        </w:rPr>
      </w:pPr>
    </w:p>
    <w:p>
      <w:pPr>
        <w:ind w:left="4" w:hanging="4"/>
        <w:spacing w:after="0" w:line="286" w:lineRule="auto"/>
        <w:tabs>
          <w:tab w:leader="none" w:pos="184"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and approve the appointment of Ernst &amp; Young LLP as our independent registered public accounting firm for the fiscal year ending September 30, 2022,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Board of Directors has fixed the close of business on November 30, 2021 as the record date for the determination of our shareholders entitled to notice of, and to vote on the matters proposed at, the annual general meeting and any adjournments thereof.</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4"/>
        <w:spacing w:after="0"/>
        <w:tabs>
          <w:tab w:leader="none" w:pos="7524"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ectPr>
          <w:pgSz w:w="11900" w:h="16838" w:orient="portrait"/>
          <w:cols w:equalWidth="0" w:num="1">
            <w:col w:w="10884"/>
          </w:cols>
          <w:pgMar w:left="436" w:top="270"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VOTE IS IMPORTANT</w:t>
      </w:r>
    </w:p>
    <w:p>
      <w:pPr>
        <w:spacing w:after="0" w:line="270" w:lineRule="exact"/>
        <w:rPr>
          <w:sz w:val="20"/>
          <w:szCs w:val="20"/>
          <w:color w:val="auto"/>
        </w:rPr>
      </w:pPr>
    </w:p>
    <w:p>
      <w:pPr>
        <w:ind w:left="240" w:right="540"/>
        <w:spacing w:after="0" w:line="254" w:lineRule="auto"/>
        <w:rPr>
          <w:sz w:val="20"/>
          <w:szCs w:val="20"/>
          <w:color w:val="auto"/>
        </w:rPr>
      </w:pPr>
      <w:r>
        <w:rPr>
          <w:rFonts w:ascii="Arial" w:cs="Arial" w:eastAsia="Arial" w:hAnsi="Arial"/>
          <w:sz w:val="18"/>
          <w:szCs w:val="18"/>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-972820</wp:posOffset>
            </wp:positionV>
            <wp:extent cx="6926580" cy="977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977265"/>
                    </a:xfrm>
                    <a:prstGeom prst="rect">
                      <a:avLst/>
                    </a:prstGeom>
                    <a:noFill/>
                  </pic:spPr>
                </pic:pic>
              </a:graphicData>
            </a:graphic>
          </wp:anchor>
        </w:drawing>
      </w:r>
    </w:p>
    <w:p>
      <w:pPr>
        <w:spacing w:after="0" w:line="80" w:lineRule="exact"/>
        <w:rPr>
          <w:sz w:val="20"/>
          <w:szCs w:val="20"/>
          <w:color w:val="auto"/>
        </w:rPr>
      </w:pPr>
    </w:p>
    <w:p>
      <w:pPr>
        <w:ind w:right="200" w:firstLine="436"/>
        <w:spacing w:after="0" w:line="259"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2021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78" w:lineRule="exact"/>
        <w:rPr>
          <w:rFonts w:ascii="Arial" w:cs="Arial" w:eastAsia="Arial" w:hAnsi="Arial"/>
          <w:sz w:val="18"/>
          <w:szCs w:val="18"/>
          <w:color w:val="auto"/>
        </w:rPr>
      </w:pPr>
    </w:p>
    <w:p>
      <w:pPr>
        <w:ind w:right="420" w:firstLine="436"/>
        <w:spacing w:after="0" w:line="263"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75" w:lineRule="exact"/>
        <w:rPr>
          <w:rFonts w:ascii="Arial" w:cs="Arial" w:eastAsia="Arial" w:hAnsi="Arial"/>
          <w:sz w:val="18"/>
          <w:szCs w:val="18"/>
          <w:color w:val="auto"/>
        </w:rPr>
      </w:pPr>
    </w:p>
    <w:p>
      <w:pPr>
        <w:ind w:right="60" w:firstLine="436"/>
        <w:spacing w:after="0" w:line="25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84" w:lineRule="exact"/>
        <w:rPr>
          <w:rFonts w:ascii="Arial" w:cs="Arial" w:eastAsia="Arial" w:hAnsi="Arial"/>
          <w:sz w:val="18"/>
          <w:szCs w:val="18"/>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pacing w:after="0" w:line="117" w:lineRule="exact"/>
        <w:rPr>
          <w:rFonts w:ascii="Arial" w:cs="Arial" w:eastAsia="Arial" w:hAnsi="Arial"/>
          <w:sz w:val="18"/>
          <w:szCs w:val="18"/>
          <w:color w:val="auto"/>
        </w:rPr>
      </w:pPr>
    </w:p>
    <w:p>
      <w:pPr>
        <w:ind w:firstLine="436"/>
        <w:spacing w:after="0" w:line="293"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health and safety of our shareholders, due to the COVID-19 pandemic, only one representative may attend the meeting on behalf of any shareholder along with one person that is required to provide assistance to that shareholder, such as a caregiver. All persons in attendance must wear face coverings, must present proof of vaccination or provide negative PCR test within two days of the meeting, must maintain social distancing and may be subject to heightened health screening procedures. In addition, Amdocs will be required to comply with any local and state restrictions then in place at the time of the annual meeting, including any restrictions that limit the number of persons who may gather indoors. We continue to monitor the rapidly evolving situation and guidance from the authorities and local public health officials and as a result may take additional actions.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FRIDAY, JANUARY 28, 2022</w:t>
      </w:r>
    </w:p>
    <w:p>
      <w:pPr>
        <w:spacing w:after="0" w:line="21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70"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11:00 a.m., local time, on Friday, January 28, 2022, at the Amdocs offices at 185 Hudson Street, floor no. 27, Suite 2700, Jersey City, NJ 07311, or at any adjournments thereof (the “General Meeting”).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Proxy Statement and the accompanying proxy are first being mailed or delivered to our shareholders on or about December 22, 2021.</w:t>
      </w:r>
    </w:p>
    <w:p>
      <w:pPr>
        <w:spacing w:after="0" w:line="23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At the General Meeting, the holders of our ordinary shares as of the close of business on November 30, 2021 (the “Record Date”) will be asked to take the following actions:</w:t>
      </w:r>
    </w:p>
    <w:p>
      <w:pPr>
        <w:spacing w:after="0" w:line="62" w:lineRule="exact"/>
        <w:rPr>
          <w:sz w:val="20"/>
          <w:szCs w:val="20"/>
          <w:color w:val="auto"/>
        </w:rPr>
      </w:pPr>
    </w:p>
    <w:p>
      <w:pPr>
        <w:ind w:right="220" w:firstLine="436"/>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11 directors to serve until the next annual general meeting of shareholders or until their earlier resignation or removal or successors are elected and qualified (Proposal I);</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$0.36 per share to $0.395 per share (Proposal II);</w:t>
      </w:r>
    </w:p>
    <w:p>
      <w:pPr>
        <w:spacing w:after="0" w:line="140" w:lineRule="exact"/>
        <w:rPr>
          <w:rFonts w:ascii="Arial" w:cs="Arial" w:eastAsia="Arial" w:hAnsi="Arial"/>
          <w:sz w:val="16"/>
          <w:szCs w:val="16"/>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2021 (Proposal III); and</w:t>
      </w:r>
    </w:p>
    <w:p>
      <w:pPr>
        <w:spacing w:after="0" w:line="117" w:lineRule="exact"/>
        <w:rPr>
          <w:rFonts w:ascii="Arial" w:cs="Arial" w:eastAsia="Arial" w:hAnsi="Arial"/>
          <w:sz w:val="18"/>
          <w:szCs w:val="18"/>
          <w:color w:val="auto"/>
        </w:rPr>
      </w:pPr>
    </w:p>
    <w:p>
      <w:pPr>
        <w:ind w:right="80" w:firstLine="436"/>
        <w:spacing w:after="0" w:line="286"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Ratify and approve the appointment of Ernst &amp; Young LLP as our independent registered public accounting firm for the fiscal year ending September 30, 2022,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6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8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As of the Record Date, Amdocs had outstanding 124,621,808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Approval of Proposals I, II, III and IV requires the affirmative vote of a majority of our ordinary shares voted in person or by proxy at the General Meeting.</w:t>
      </w:r>
    </w:p>
    <w:p>
      <w:pPr>
        <w:spacing w:after="0" w:line="170"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The enclosed proxy provides that each shareholder may specify that his, her or its ordinary shares be voted “for,” “against” or “abstain” from voting for each of the director nominees named in Proposal I and with respect to each of Proposals II, III and IV.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4" w:name="page5"/>
    <w:bookmarkEnd w:id="4"/>
    <w:p>
      <w:pPr>
        <w:ind w:right="1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6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28, 2022. We strongly encourage our shareholders to use the enclosed proxy card or to authorize the voting of their shares over the Internet or by telephone as provided in the instructions set forth in the enclosed proxy card.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960" w:hanging="532"/>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92"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REGARDING THE AVAILABILITY OF PROXY MATERIALS FOR THE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JANUARY 28, 2022</w:t>
      </w:r>
    </w:p>
    <w:p>
      <w:pPr>
        <w:spacing w:after="0" w:line="229" w:lineRule="exact"/>
        <w:rPr>
          <w:sz w:val="20"/>
          <w:szCs w:val="20"/>
          <w:color w:val="auto"/>
        </w:rPr>
      </w:pPr>
    </w:p>
    <w:p>
      <w:pPr>
        <w:ind w:right="1740" w:firstLine="440"/>
        <w:spacing w:after="0" w:line="277" w:lineRule="auto"/>
        <w:rPr>
          <w:sz w:val="20"/>
          <w:szCs w:val="20"/>
          <w:color w:val="auto"/>
        </w:rPr>
      </w:pPr>
      <w:r>
        <w:rPr>
          <w:rFonts w:ascii="Arial" w:cs="Arial" w:eastAsia="Arial" w:hAnsi="Arial"/>
          <w:sz w:val="18"/>
          <w:szCs w:val="18"/>
          <w:color w:val="auto"/>
        </w:rPr>
        <w:t>This proxy statement and the 2021 Annual Report to Shareholders are available for viewing, printing and downloading at www.amdocs.com/proxy.</w:t>
      </w:r>
    </w:p>
    <w:p>
      <w:pPr>
        <w:spacing w:after="0" w:line="170"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You may also request a copy of the materials relating to our annual general meeting, including this proxy statement and form of proxy for our annual general meeting, and our Annual Report on Form 20-F for the fiscal year ended September 30, 2021 by contacting our investor relations department by telephone at (314) 212-8328 or by e-mail at dox_info@amdocs.com.</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Eleven (11) directors currently serve on our Board of Directors, ten (10) of whom were elected at our annual meeting of shareholders on January 29, 2021, and one director, Ms. Sarah Ruth Davis, was elected by the Board of Directors on August 2, 2021.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w:t>
      </w:r>
    </w:p>
    <w:p>
      <w:pPr>
        <w:spacing w:after="0" w:line="19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 August 2021, Mr. James Kahan and Mr. Giora Yaron were each granted a one-year waiver to continue as director past the age of 73 years until the annual general meeting in 2023 in light of the circumstances presented to the Board of Directors, including their exceptional industry experience and value to the Board, as well as the current global business and market environment.</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eleven (11)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or she became a director of Amdocs.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Robert A. Minicucci</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2"/>
              </w:rPr>
              <w:t>Mr. Minicucci has been Chairman of the Board of Directors of Amdocs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since 2011 and a director since 1997. Mr. Minicucci joined Welsh,</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Carson, Anderson &amp; Stowe, or WCAS, in 1993. Mr. Minicucci has</w:t>
            </w:r>
          </w:p>
        </w:tc>
      </w:tr>
    </w:tbl>
    <w:p>
      <w:pPr>
        <w:ind w:left="5860"/>
        <w:spacing w:after="0"/>
        <w:rPr>
          <w:sz w:val="20"/>
          <w:szCs w:val="20"/>
          <w:color w:val="auto"/>
        </w:rPr>
      </w:pPr>
      <w:r>
        <w:rPr>
          <w:rFonts w:ascii="Arial" w:cs="Arial" w:eastAsia="Arial" w:hAnsi="Arial"/>
          <w:sz w:val="16"/>
          <w:szCs w:val="16"/>
          <w:color w:val="auto"/>
        </w:rPr>
        <w:t>served as a managing member of the general partners of certain funds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affiliated with WCAS and has focused on the information and business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services industry. Until 2003, investment partnerships affiliated with</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WCAS had been among our largest shareholders. From 1992 to 1993,</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Mr. Minicucci served as Senior Vice President and Chief Financial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Officer of First Data Corporation, a provider of information processing</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and related services for credit card and other payment transactions.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From 1991 to 1992, he served as Senior Vice President and Treasurer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of the American Express Company. He served for 12 years with</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Lehman Brothers (and its predecessors) until his resignation as a</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Managing Director in 1991. Mr. Minicucci was a director of one other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publicly-held company, Alliance Data Systems, Inc. until June 2020.</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He is also a director of several private companies. Mr. Minicucci’s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career in information technology investing, including as a director of</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more than 20 different public and private companies, and his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experience as chief financial officer to a public company and treasurer</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of another public company, have provided him with strong business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acumen and strategic and financial expertise.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Adrian Gardner</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rPr>
              <w:t>Mr. Gardner has been a director of Amdocs since 1998 and is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Audit Committee. Mr. Gardner serves as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Operating Officer of Stonehage Fleming Family &amp; Partners Limited,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an international Multi-Family Office business, since October 2019.</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Mr. Gardner has served as a member of the Audit &amp; Risk Committee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Worcester College, Oxford University since May 2017. From 2016 to</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2019, Mr. Gardner served as Chief Financial Officer of Ipes Holdings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Limited, a provider of outsourced services to private equity firms.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From 2014 to September 2016, Mr. Gardner served as Chief Financial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Officer of International Personal Finance plc, an international home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credit business. Mr. Gardner was Chief Financial Officer and a director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of RSM Tenon Group PLC, a London-based accounting and advisory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firm from 2011 until the acquisition in 2013 of its operating</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subsidiaries by Baker Tilly UK Holdings Limited, since renamed RSM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UK Limited. Mr. Gardner was Chief Financial Officer of PA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Consulting Group, a London-based business consulting firm from 2007</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to 2011. Mr. Gardner was Chief Financial Officer and a director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ProStrakan Group plc, a pharmaceuticals company based in the United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Kingdom and listed on the London Stock Exchange, from 2002 until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2007. Prior to joining ProStrakan, he was a Managing Director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Lazard LLC, based in London, where he worked with technology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telecommunications-related companies. Prior to joining Lazard in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1989, Mr. Gardner qualified as a chartered accountant with Price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Waterhouse (now PricewaterhouseCoopers). Mr. Gardner’s extensive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experience as an accountant, technology investment banker and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financial officer enables him to make valuable contributions to our</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strategic and financial affairs.</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James S. Kahan</w:t>
            </w:r>
          </w:p>
        </w:tc>
        <w:tc>
          <w:tcPr>
            <w:tcW w:w="240" w:type="dxa"/>
            <w:vAlign w:val="bottom"/>
          </w:tcPr>
          <w:p>
            <w:pPr>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Mr. Kahan has been a director of Amdocs since 1998 and previously</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served as Chairman of the Nominating and Corporate Governance</w:t>
            </w:r>
          </w:p>
        </w:tc>
      </w:tr>
    </w:tbl>
    <w:p>
      <w:pPr>
        <w:ind w:left="5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from January 2018 and until November 2021. From 1983</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until his retirement in 2007, he worked at SBC Communications Inc.,</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which is now AT&amp;T, and served as a Senior Executive Vice President</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from 1992 until 2007. AT&amp;T is our most significant customer. Prior to</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joining AT&amp;T, Mr. Kahan held various positions at several</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telecommunications companies, including Western Electric, Bell</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Laboratories, South Central Bell and AT&amp;T Corp. Mr. Kahan also</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serves on the Board of Directors of Live Nation Entertainment, Inc.,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publicly-traded live music and ticketing entity, as well as one private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company. Mr. Kahan’s long service at SBC Communications Inc. and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AT&amp;T, as well as his management and financial experience at several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public and private companies, have provided him with extensive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knowledge of the telecommunications industry, particularly with</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respect to corporate development, mergers and acquisitions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business integration.</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5"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Rafael de la Vega</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5"/>
              </w:rPr>
              <w:t>Mr. Rafael de la Vega has been a director of Amdocs since January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2018 and is Chairman of the Management Resources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Compensation Committee. Since 2017, he has served as the Chairman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and Founder of the De La Vega Group, a consultancy and advisory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services firm. From February 2016 to December 2016, Mr. de la Vega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served as the Vice Chairman of AT&amp;T Inc. and CEO of Business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Solutions &amp; International. From 2014 to 2016 Mr. de la Vega served 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President and CEO of AT&amp;T Mobile and Business Solutions and from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2007 to 2014 he served as the President and CEO of AT&amp;T Mobility.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de la Vega also held various positions at several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telecommunications companies, including Cingular Wireless and Bell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South Latin America. During his time at Cingular Wireless, he was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responsible for the integration of AT&amp;T Wireless and Cingular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Wireless. He also serves on the boards of American Express Company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and New York Life Insurance Company. He served on the Executive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Committee of the Boy Scouts of America until May 2018 and served 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2017 Boy Scouts Jamboree. He is the former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Chairman of Junior Achievement Worldwide and continues to serve 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its board of directors. In June of 2018, Mr. de la Vega joined as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Chairman of the Board of Directors of Ubicquia LLC. In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September of 2018 he joined the Board of Advisors of RapidSOS.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89"/>
              </w:rPr>
              <w:t>Mr. de la Vega also recently joined Forté Ventures as a Limited Partner.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 believe Mr. de la Vega’s qualifications to sit on our Board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Directors includes his extensive experience and leadership in the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telecommunications 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Giora Yaron</w:t>
            </w:r>
          </w:p>
        </w:tc>
        <w:tc>
          <w:tcPr>
            <w:tcW w:w="240" w:type="dxa"/>
            <w:vAlign w:val="bottom"/>
          </w:tcPr>
          <w:p>
            <w:pPr>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Dr. Yaron has been a director of Amdocs since 2009 and is Chairman</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of the Technology and Innovation Committee. Dr. Yaron co-founded</w:t>
            </w:r>
          </w:p>
        </w:tc>
      </w:tr>
    </w:tbl>
    <w:p>
      <w:pPr>
        <w:ind w:left="5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Itamar Medical Ltd., a publicly-traded medical technology company,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and has been its co-chairman since 1997 and since 2015, served as its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chairman. Dr. Yaron provides consulting services to Itamar Medical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and to various other technology companies. He co-founded P-cube,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Pentacom, Qumranet, Exanet and Comsys, privately-held companies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sold to multinational corporations. In 2009, Dr. Yaron also co-founded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Qwilt, Inc., a privately-held video technology company and serves as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one of its directors. Dr. Yaron served as a director of Hyperwise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Security, a company focused on providing a comprehensive APT</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protection, which was sold to Checkpoint in early 2015, served as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Chairman of the Board at Excelero (ExpressIO) until 2019, a company</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focused on providing ultra-fast block storage solution and Equalum</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focused on streaming in real-time changes from a variety of data bases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to a unified platform for real-time Big Data Analytics. Dr. Yaron is an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active investor in various companies including, Salto, Afforata, Vulcan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Security, Aqua Security, CyberPion, ArgonSec and Illumex. Dr. Yaron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has served as the chairman of The Executive Council of Tel Aviv</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University an institution of higher education between 2010-2019 and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director of Ramot, which is the Tel Aviv University’s technology</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transfer</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5"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6"/>
              </w:rPr>
              <w:t>company until 2015. Dr. Yaron has served on the advisory board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Rafael Advanced Defense Systems, Ltd., a developer of high-tech</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defense systems, since 2008, and on the advisory board of the Israeli</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Ministry of Defense since 2011. Dr. Yaron served from 1996 to 2006 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a member of the Board of Directors of Mercury Interactive, a publicly-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traded IT optimization software company acquired by Hewlett-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Packard, including as chairman from 2004 to 2006. We believe that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Dr. Yaron’s qualifications to sit on our Board of Directors include his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experience as an entrepreneur and the various leadership positions 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has held on the boards of directors of software and technology</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companies.</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Mr. Gelman has been a director of Amdocs since 2002 and is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Chairman of the Nominating and Corporate Governance Committee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since November 2021. Since January 2019, Mr. Gelman has served 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the chairman of the Executive Council of Tel Aviv University.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Mr. Gelman served as our President and Chief Executive Officer from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2010 to September 30, 2018. From 2010 until 2013, Mr. Gelman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served as a director of Retalix, a global software company, and during</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2010, he also served as its Chairman. From 2008 to 2010, Mr. Gelman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devoted his time to charitable matters focused on youth education. 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served as Executive Vice President of Amdocs Management Limited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from 2002 until 2008 and as our Chief Operating Officer from 2006</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until 2008. Prior to 2002, he was a Senior Vice President, where 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headed our U.S. sales and marketing operations and helped spearhead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our entry into the customer care and billing systems market. Before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that, Mr. Gelman was an account manager for our major European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North American installations, and has led several major software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development projects. Before joining Amdocs, Mr. Gelman was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involved in the development of real-time software systems for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communications networks and software projects for NASA.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Mr. Gelman’s qualifications to serve on our Board of Directors include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his more than two decades of service to Amdocs and its customers,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including as our Chief Operating Officer and President and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Officer. With more than 30 years of experience in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software industry, he possesses a vast institutional knowledge and</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strategic understanding of our organization and 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240" w:type="dxa"/>
            <w:vAlign w:val="bottom"/>
          </w:tcPr>
          <w:p>
            <w:pPr>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Mr. LeFave has been a director of Amdocs since 2011. Since 2008,</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Mr. LeFave has been a Principal at D&amp;L Partners, LLC, an information</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technology consulting firm. Mr. LeFave served as Chief Information</w:t>
            </w:r>
          </w:p>
        </w:tc>
      </w:tr>
    </w:tbl>
    <w:p>
      <w:pPr>
        <w:ind w:left="5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 for Nextel Communications, a telecommunications company,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from 1999 until its merger with Sprint Corporation in 2005, after which</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he served as Chief Information Officer for Sprint Nextel Corporation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until 2008. From 1995 to 1999, Mr. LeFave served as Chief</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Information Officer for Southern New England Telephone Company,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provider of</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65"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1"/>
              </w:rPr>
              <w:t>communications products and services. Mr. LeFave has held the CISO</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position and duties for a U.S.-based manufacturing firm and attended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Harvard Business School (“HBS”) courses in Board Compensation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Audit Committee strategies and recently completed his HBS Corporate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Director Certificate. We believe Mr. LeFave’s qualifications to sit 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our board include his extensive experience and leadership in the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information technology and telecommunications 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John A. MacDonald</w:t>
            </w:r>
          </w:p>
        </w:tc>
        <w:tc>
          <w:tcPr>
            <w:tcW w:w="240" w:type="dxa"/>
            <w:vAlign w:val="bottom"/>
          </w:tcPr>
          <w:p>
            <w:pPr>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MacDonald has been a director of Amdocs since 2019.</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Mr. MacDonald is an experienced senior executive who has worked at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some of Canada’s largest technology organizations and serves as 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board member of BookJane Inc. From 2012 to 2021, Mr. MacDonald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served as a board member of Rogers Communications Inc. From 2003</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to 2008, Mr. MacDonald served as the President, Enterprise Division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of MTS Allstream. Before that, between 2002 to 2003, Mr. MacDonald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was a President and Chief Operating Officer AT&amp;T Canada. AT&amp;T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Canada was re-branded Allstream in 2003 and was subsequently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acquired by MTS the following year. In 1994 Mr. MacDonald joined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Bell Canada as its Chief Technology Officer and retired from Bell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Canada in 1999 as its President and Chief Operating Officer. From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1977 to 1994 Mr. MacDonald worked at NBTel, where he became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in 1994. We believe Mr. MacDonald’s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qualifications to sit on our Board of Directors includes his extensive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experience and leadership in the telecommunications 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Sheffer is a director and has been our President and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Executive Officer since October 1, 2018. Mr. Sheffer previously served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as Senior Vice President and President of the Global Business Group</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from October 2013 to September 30, 2018. Mr. Sheffer served as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Executive Officer of Retalix Ltd., a global software company, from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2009 until its acquisition by NCR Corporation in 2013. Following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acquisition, he served as a General Manager of Retalix through</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September 2013. From 1986 to 2009, Mr. Sheffer served at various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managerial positions at Amdocs, most recently as President of the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Emerging Markets Divisions.</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Yvette Kanouff</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Ms. Kanouff has been a director of Amdocs since 2020. Since August</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2018, Ms. Kanouff has served as a director of Sprinklr CXM, which</w:t>
            </w:r>
          </w:p>
        </w:tc>
      </w:tr>
    </w:tbl>
    <w:p>
      <w:pPr>
        <w:ind w:left="5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became a public company in June 2021. Since August 2019,</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Ms. Kanouff has served as a director of Science Applications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International Corporation (SAIC). Since February 2021, Ms. Kanouff</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has served as a director of Entegris ENTG. Ms. Kanouff is currently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partner and chief technology officer at Silicon Valley-based venture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capital and private equity firm JC2 Ventures where Ms. Kanouff is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responsible for technology strategy and engineering relationships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within JC2 Ventures investment companies, partners, and customers.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Prior to that, Ms. Kanouff served as a senior vice president and general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manager for Cisco’s Service Provider Business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5"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4"/>
              </w:rPr>
              <w:t>where she was responsible for more than $7 billion in direct revenue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and more than 6,000 employees globally. Previously, Ms. Kanouff held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leadership positions for numerous companies, including Cablevision,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SeaChange International, and Time Warner. Ms. Kanouff holds 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bachelor’s degree and a master’s degree in mathematics from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University of Central Florida. Ms. Kanouff is also a director and</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advisor of several private technology companies.</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Sarah Ruth Davis</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Ms. Davis has been a director of Amdocs since 2021. From 2007 to</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May 2021 Ms. Davis served in various executive roles at Loblaw</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Companies Limited, Canada’s largest retailer and the nation’s food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pharmacy leader. From 2017 until May 2021, Ms. Davis served as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of Loblaw Companies Limited. From 2014 until 2017,</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Ms. Davis served as the chief administrative officer of Loblaw. Before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being appointed as the chief administrative officer, Ms. Davis served 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Loblaw’s chief financial officer from 2010 until 2014. Prior to her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appointment as chief financial officer, Ms. Davis served as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financial controller between 2007 to 2010. From 2005 until 2007 she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was the controller and vice president of finance of Rogers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Communications, Inc. Between 1996 to 2005 Ms. Davis served in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various finance and accounting roles with Bell Canada, including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financial officer of Bell Nexxia and the vice president of complex bids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at BCE Emergis Inc., a Bell spin-off that owned an array of media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88"/>
              </w:rPr>
              <w:t>e-commerce companies. Since 2014 Ms. Davis also serves on the board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of directors of AGF Management Limited, an investment manager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traded on the Toronto Stock Exchange. Between 2010 until 2021</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Ms. Davis served on the board of directors of President’s Choice Bank.</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From 2017 until 2021, Ms. Davis served as the chairman of T&amp;T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Supermarket Inc. In August 2021, Ms. Davis joined the boards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directors of Victoria’s Secret &amp; Co., a company traded on the New</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York Stock Exchange, and Pet Valu Holdings Ltd., a pet supply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89"/>
              </w:rPr>
              <w:t>company traded on the Toronto Stock Exchange. Ms. Davis was named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one of Canada’s Most Powerful Women: Top 100 in 2011 by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Women’s Executive Network and was the executive sponsor of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Women@Loblaw network. Ms. Davis holds a Bachelor of Commerce,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honors degree from Queen’s University and is a chartered accountant</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and Fellow of the CPA.</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reviews, acts on and reports to the Board of Directors with respect to various auditing and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Mr. Gardner (Chair), Mr. LeFave, Mr. Minicucci and Ms. Davis to serve as members of the Audit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65" w:right="4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all of whom are independent directors (including under the heightened independence requirements for members of the Audit Committee),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In particular, we believe that the professional experiences of</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Mr. Gardner, Mr. LeFave,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and CISO for over five years provides a foundation of cyber awareness to the Audit Committee and also believe that Mr. LeFave’s post-graduate training at HBS in Audit Committee, Board compensation best practices and recently completed HBS Corporate Director Certificate provide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at Loblaw Companies Limited and her myriad roles in finance and accounting, along with her experience as a director of other public companies, position her to make valuable contributions to the Committee. The Audit Committee written charter is available on our website at </w:t>
      </w:r>
      <w:r>
        <w:rPr>
          <w:rFonts w:ascii="Arial" w:cs="Arial" w:eastAsia="Arial" w:hAnsi="Arial"/>
          <w:sz w:val="18"/>
          <w:szCs w:val="18"/>
          <w:i w:val="1"/>
          <w:iCs w:val="1"/>
          <w:color w:val="auto"/>
        </w:rPr>
        <w:t>www.amdocs.com.</w:t>
      </w:r>
    </w:p>
    <w:p>
      <w:pPr>
        <w:spacing w:after="0" w:line="197" w:lineRule="exact"/>
        <w:rPr>
          <w:sz w:val="20"/>
          <w:szCs w:val="20"/>
          <w:color w:val="auto"/>
        </w:rPr>
      </w:pPr>
    </w:p>
    <w:p>
      <w:pPr>
        <w:ind w:right="180" w:firstLine="440"/>
        <w:spacing w:after="0" w:line="289"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identifies individuals qualified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Subject to their election, the Board of Directors has appointed Messrs. Gelman (Chair), Kahan, Minicucci and LeFave to serve as members of the Nominating and Corporate Governance Committee,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You may request a copy of the corporate governance guidelines, at no cost, by writing to us at the address listed below under the heading “Annual Report on Form 20-F.”</w:t>
      </w:r>
    </w:p>
    <w:p>
      <w:pPr>
        <w:spacing w:after="0" w:line="166"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i w:val="1"/>
          <w:iCs w:val="1"/>
          <w:color w:val="auto"/>
        </w:rPr>
        <w:t>Management Resources and Compensation Committee</w:t>
      </w:r>
      <w:r>
        <w:rPr>
          <w:rFonts w:ascii="Arial" w:cs="Arial" w:eastAsia="Arial" w:hAnsi="Arial"/>
          <w:sz w:val="17"/>
          <w:szCs w:val="17"/>
          <w:color w:val="auto"/>
        </w:rPr>
        <w:t>. The Management Resources and Compensation Committee discharges the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LeFave, Minicucci and MacDonald to serve as members of the Management Resources and Compensation Committee,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7"/>
          <w:szCs w:val="17"/>
          <w:i w:val="1"/>
          <w:iCs w:val="1"/>
          <w:color w:val="auto"/>
        </w:rPr>
        <w:t>www.amdocs.com.</w:t>
      </w:r>
    </w:p>
    <w:p>
      <w:pPr>
        <w:spacing w:after="0" w:line="17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i w:val="1"/>
          <w:iCs w:val="1"/>
          <w:color w:val="auto"/>
        </w:rPr>
        <w:t>Technology and Innovation Committee</w:t>
      </w:r>
      <w:r>
        <w:rPr>
          <w:rFonts w:ascii="Arial" w:cs="Arial" w:eastAsia="Arial" w:hAnsi="Arial"/>
          <w:sz w:val="18"/>
          <w:szCs w:val="18"/>
          <w:color w:val="auto"/>
        </w:rPr>
        <w:t>. The Technology and Innovation Committee was established to assist the Board of Directors in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our technological development, opportunities and innovation, in connection with the current and future business and markets. Subject to their election, the Board of Directors has appointed Dr. Yaron (Chair), Mr. Gelman, Ms. Kanouff and Mr. MacDonald to serve as members of the Technology and Innovation Committee.</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During the past fiscal year 2021, the Board of Directors held nine meetings. In addition, the Audit Committee held nine meetings, the Management Resources and Compensation Committee held four meetings, the Nominating and Corporate Governance Committee held four meetings and the Technology and Innovation Committee held four meetings in the 2021 fiscal year. During fiscal 2021, all of the directors that are nominees for re-election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attended at least 75% of the aggregate of the number of Board of Directors meetings held during the time he or she was serving as a director and meetings held by all committees on which he or she then served. During fiscal 2021,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12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Shareholders who wish to send communications on any topic to the Board of Directors or to our independent or presiding directors should address such communications c/o Corporate Secretary, Amdocs Inc., 1390 Timberlake Manor Parkway, Chesterfield, Missouri 63017 (on or after January 1, 2022, c/o Corporate Secretary, Amdocs Inc., 625 Maryville Centre Drive, Suite 200, Saint Louis, Missouri 63141).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Sheffer is not an independent director.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Minicucci, Gardner, Kahan, de la Vega, Gelman, LeFave and MacDonald and Dr. Yaron, Ms. Kanouff and Ms. Davis.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full text of our categorical standards is attached to this Proxy Statement as Appendix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Management Oversight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w:t>
      </w:r>
    </w:p>
    <w:p>
      <w:pPr>
        <w:spacing w:after="0" w:line="24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Our Board of Directors has decided not to raise director compensation for fiscal year 2022, making fiscal year 2022 the second consecutive fiscal year they have not done so. As such, continuing into fiscal 2022, each of our Non-Employee Directors receives an annual cash payment of $80,000. Each member of our Audit Committee who is a Non-Employee Director and who is not the chairman of such committee receives an annual cash payment of $30,000. Each member of our Management Resources and Compensation Committee who is a Non-Employee Director and who is not a committee chairman receives an annual cash payment of $20,000. Each member of our Nominating and Corporate Governance and Technology and Innovation Committees who is a Non-Employee Director and who is not a committee chairman receives an annual cash payment of $15,000. The Chairman of our Audit Committee receives an annual cash payment of $42,500 and the Chairman of our Management Resources and Compensation Committee receives an annual cash payment of $32,500. The Chairmen of our Nominating and Corporate Governance and Technology and Innovation Committees each receive an annual cash payment of $27,500. Each Non-Employee Director receives an annual grant of ordinary shares at a total value of $255,000. The Chairman of the Board of Directors receives an additional annual amount equal to $200,000 awarded in the form of ordinary shares. All ordinary share awards to our Non-Employee Directors vest in four equal installments of 25% each on the first day of the month following the end of each fiscal quarter, if and only if the Non-Employee Director is still serving as a non-employee director on such day. The price per share for the purpose of determining the value of the grants to our Non-Employee Directors is the Nasdaq closing price of our shares on the last trading day preceding the grant date. We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 year service.</w:t>
      </w:r>
    </w:p>
    <w:p>
      <w:pPr>
        <w:spacing w:after="0" w:line="176"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During the 2021 fiscal year, we granted to the 10 Non-Employee Directors that served in at least part of the 2021 fiscal year an aggregate of 39,231 shares at a weighted average price of $64.67 per share, which vested quarterly.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w:t>
      </w:r>
    </w:p>
    <w:p>
      <w:pPr>
        <w:spacing w:after="0" w:line="12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It is proposed that each of the following 11 individuals be elected to serve as a director of Amdocs Limited until the next annual general meeting of shareholders or until his or her earlier resignation or removal or until his or her respective successor is elected and qualified:</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Giora Yaron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John A. MacDonald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Yvette Kanouff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Sarah Ruth Davis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40" w:top="270" w:right="57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OWNERSHIP OF CERTAIN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BENEFICIAL OWNERS AND MANAGEMENT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November 30, 2021 of</w:t>
      </w:r>
    </w:p>
    <w:p>
      <w:pPr>
        <w:spacing w:after="0" w:line="46" w:lineRule="exact"/>
        <w:rPr>
          <w:sz w:val="20"/>
          <w:szCs w:val="20"/>
          <w:color w:val="auto"/>
        </w:rPr>
      </w:pPr>
    </w:p>
    <w:p>
      <w:pPr>
        <w:ind w:left="4" w:hanging="4"/>
        <w:spacing w:after="0" w:line="252" w:lineRule="auto"/>
        <w:tabs>
          <w:tab w:leader="none" w:pos="21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124,621,808 ordinary shares outstanding as of November 30, 2021, net of shares held in treasury. Information concerning shareholders other than our directors and officers is based on periodic public filings made by such shareholders and may not necessarily be accurate as of November 30, 2021. None of our major shareholders have voting rights that are different from those of any other shareholder.</w:t>
      </w:r>
    </w:p>
    <w:p>
      <w:pPr>
        <w:spacing w:after="0" w:line="19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00" w:type="dxa"/>
            <w:vAlign w:val="bottom"/>
            <w:vMerge w:val="restart"/>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800" w:type="dxa"/>
            <w:vAlign w:val="bottom"/>
            <w:vMerge w:val="continue"/>
          </w:tcPr>
          <w:p>
            <w:pPr>
              <w:spacing w:after="0"/>
              <w:rPr>
                <w:sz w:val="13"/>
                <w:szCs w:val="13"/>
                <w:color w:val="auto"/>
              </w:rPr>
            </w:pPr>
          </w:p>
        </w:tc>
        <w:tc>
          <w:tcPr>
            <w:tcW w:w="13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6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15,857,488</w:t>
            </w:r>
          </w:p>
        </w:tc>
        <w:tc>
          <w:tcPr>
            <w:tcW w:w="4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6,802,093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(14 persons)(3)</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2,334,541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line="286"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13G/A filed by FMR LLC, or FMR, with the SEC on February 8, 2021, as of December 31, 2020, FMR had sole power to vote or direct the vote over 1,430,864 shares and sole power to dispose or direct the disposition of 15,857,488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1" w:lineRule="exact"/>
        <w:rPr>
          <w:rFonts w:ascii="Arial" w:cs="Arial" w:eastAsia="Arial" w:hAnsi="Arial"/>
          <w:sz w:val="16"/>
          <w:szCs w:val="16"/>
          <w:color w:val="auto"/>
        </w:rPr>
      </w:pPr>
    </w:p>
    <w:p>
      <w:pPr>
        <w:ind w:left="424" w:right="20" w:hanging="424"/>
        <w:spacing w:after="0" w:line="28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13G/A filed by Janus Henderson Group plc, or Janus Henderson, with the SEC on February 11, 2021, as of December 31, 2020, Janus had an indirect 97% ownership stake in Intech Investment Management LLC (“Intech”) and a 100% ownership stake in Janus Capital Management LLC (“Janus Capital”), Perkins Investment Management LLC (“Perkins”), Henderson Global Investors Limited (“HGIL”) and Janus Henderson Investors Australia Institutional Funds Management Limited (“JHIAIFML”) (each an “Asset Manager” and collectively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6,788,486 shares or 5.2%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HGIL may be deemed to be the beneficial owner of 12,446 shares or 0.0% of the shares outstanding of Amdocs Common Stock held by such Managed Portfolios. However, HGIL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1,161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9" w:lineRule="exact"/>
        <w:rPr>
          <w:rFonts w:ascii="Arial" w:cs="Arial" w:eastAsia="Arial" w:hAnsi="Arial"/>
          <w:sz w:val="16"/>
          <w:szCs w:val="16"/>
          <w:color w:val="auto"/>
        </w:rPr>
      </w:pPr>
    </w:p>
    <w:p>
      <w:pPr>
        <w:ind w:left="424" w:right="10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2021. As of such date, none of our directors or executive officers beneficially owned 1% or more of our outstanding ordinary shares.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COMMITTEE MATTERS</w:t>
      </w:r>
    </w:p>
    <w:p>
      <w:pPr>
        <w:spacing w:after="0" w:line="229"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76"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2021 and has discussed these financial statements with our management and independent registered public accounting firm.</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71"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130"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75"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75"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88" w:lineRule="exact"/>
        <w:rPr>
          <w:sz w:val="20"/>
          <w:szCs w:val="20"/>
          <w:color w:val="auto"/>
        </w:rPr>
      </w:pPr>
    </w:p>
    <w:p>
      <w:pPr>
        <w:jc w:val="both"/>
        <w:ind w:right="520" w:firstLine="440"/>
        <w:spacing w:after="0" w:line="31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2021, our Audit Committee approved all of the services provided by Ernst &amp; Young.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2012, our shareholders approved the institution of a quarterly cash dividend program at the quarterly rate of $0.13 per ordinary share.</w:t>
      </w:r>
    </w:p>
    <w:p>
      <w:pPr>
        <w:spacing w:after="0" w:line="23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2016, our shareholders approved an increase to $0.195 per share; in 2017, our shareholders approved an increase to $0.22 per share; in 2018, our shareholders approved an increase to $0.25 per share; in 2019, our shareholders approved an increase to $0.285 per share; in 2020, our shareholders approved an increase to $0.3275 per share and in 2021, our shareholders approved an increase to $0.36 per share.</w:t>
      </w:r>
    </w:p>
    <w:p>
      <w:pPr>
        <w:spacing w:after="0" w:line="178"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In November 2021, our Board of Directors approved an increase in the quarterly cash dividend rate to $0.395 per ordinary share. In order to permit us to implement this dividend rate increase, our Board of Directors proposes that our shareholders approve the ordinary resolution set forth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$398.1 million, $360.9 million and $680.0 million (excluding broker and transaction fees) of our ordinary shares during the fiscal years ended September 30, 2019, 2020 and 2021,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2021 guideline to return to shareholders a majority of our normalized free cash flow (i.e., before capital expenditures associated with the multiyear development of our new campus in Israel and other items)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2021 set forth in our Annual Report on Form 20-F filed on December 9, 2021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shareholder approval, we expect to begin paying the dividend at the increased rate commencing in April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that shareholder approval is not obtained, the quarterly dividend rate will remain at $0.36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 Related to Distributions</w:t>
      </w:r>
    </w:p>
    <w:p>
      <w:pPr>
        <w:spacing w:after="0" w:line="121"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foreign corporation that are readily tradable on an established securities market in the United States. Since our ordinary shares are listed on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U.S. federal income tax rate if we are, for the tax year in which the dividends are paid, or were, for the preceding tax year, a “passive foreign investment company” (“PFIC”) for U.S. federal income tax purposes, which we would be if (i) at least 75% of our gross income is “passive income” (e.g., dividends, interest and certain royalties, rents and gains from commodities and securities transactions), or (ii) 50% or more of the average value of all our assets including goodwill (generally determined on a quarterly basis) is attributable to assets that produce “passive income” or are held for the production of “passive income.” We believe that we were not a PFIC for the prior taxable year and do not expect to be a PFIC for the current taxable year.</w:t>
      </w:r>
    </w:p>
    <w:p>
      <w:pPr>
        <w:spacing w:after="0" w:line="16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Dividends paid by us generally will be classified as foreign source “passive category income” or, in certain cases, “general category income” for U.S. foreign tax credit purposes.</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92"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U.S. holders are urged to consult their tax advisors regarding the tax treatment of any dividends received by such holder in respect of ordinary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an increase in the dividend rate under Amdocs Limited’s quarterly cash dividend program from $0.36 per share to $0.395 per share be, and hereby is, approved.”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Affirmative Vote</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80"/>
          </w:cols>
          <w:pgMar w:left="440" w:top="270" w:right="67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SEPTEMBER 30, 2021</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Our Annual Report for the fiscal year ended September 30, 2021 is available on our website at https://www.amdocs.com/news-press/annual-report-2021. Our Consolidated Financial Statements for the fiscal year ended September 30, 2021 are included in our Annual Report. At the General Meeting, we will review the Operating and Financial Review and Prospects section of our Annual Report and will answer appropriate questions related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“RESOLVED, that the Consolidated Financial Statements of Amdocs Limited for the fiscal year ended September 30, 2021 be, and the same hereby are, approved.”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Required Affirmative Vote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66" w:lineRule="exact"/>
        <w:rPr>
          <w:sz w:val="20"/>
          <w:szCs w:val="20"/>
          <w:color w:val="auto"/>
        </w:rPr>
      </w:pPr>
    </w:p>
    <w:p>
      <w:pPr>
        <w:ind w:right="116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440" w:top="270" w:right="579" w:bottom="1440" w:gutter="0" w:footer="0" w:header="0"/>
        </w:sectPr>
      </w:pPr>
    </w:p>
    <w:bookmarkStart w:id="22" w:name="page23"/>
    <w:bookmarkEnd w:id="2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RATIFICATION AND APPROVAL OF INDEPENDENT REGISTERED PUBLIC ACCOUNTING FIRM</w:t>
      </w:r>
    </w:p>
    <w:p>
      <w:pPr>
        <w:spacing w:after="0" w:line="211" w:lineRule="exact"/>
        <w:rPr>
          <w:sz w:val="20"/>
          <w:szCs w:val="20"/>
          <w:color w:val="auto"/>
        </w:rPr>
      </w:pPr>
    </w:p>
    <w:p>
      <w:pPr>
        <w:ind w:left="4" w:right="140" w:firstLine="440"/>
        <w:spacing w:after="0" w:line="254" w:lineRule="auto"/>
        <w:rPr>
          <w:sz w:val="20"/>
          <w:szCs w:val="20"/>
          <w:color w:val="auto"/>
        </w:rPr>
      </w:pPr>
      <w:r>
        <w:rPr>
          <w:rFonts w:ascii="Arial" w:cs="Arial" w:eastAsia="Arial" w:hAnsi="Arial"/>
          <w:sz w:val="18"/>
          <w:szCs w:val="18"/>
          <w:color w:val="auto"/>
        </w:rPr>
        <w:t>The Audit Committee of the Board of Directors has selected the firm of Ernst &amp; Young LLP to continue to serve as our independent registered public accounting firm for the fiscal year ending September 30, 2022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2021 and has served as our independent public accounting firm since 1988. One or more representatives of Ernst &amp; Young LLP are expected to be present at the General Meeting, will have an opportunity to make a statement if he or she so desires and will be available to respond to appropriate questions.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5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6"/>
                <w:szCs w:val="16"/>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Fees(1)</w:t>
            </w: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$3,600,000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$3,600,000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$2,500,000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$1,400,000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$1,300,000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140" w:hanging="424"/>
        <w:spacing w:after="0" w:line="258"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Audit-related services principally include Statement on the System and Organization Controls Report (SOC 1 Report) issuances and due diligence examinations.</w:t>
      </w: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“RESOLVED, that (i) the appointment of Ernst &amp; Young LLP as Amdocs Limited’s independent registered public accounting firm for the fiscal year ending September 30, 2022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80" w:lineRule="exact"/>
        <w:rPr>
          <w:sz w:val="20"/>
          <w:szCs w:val="20"/>
          <w:color w:val="auto"/>
        </w:rPr>
      </w:pPr>
    </w:p>
    <w:p>
      <w:pPr>
        <w:ind w:left="4" w:right="40"/>
        <w:spacing w:after="0" w:line="261"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www.amdocs.com. Requests for copies of our Annual Report on Form 20-F should be provided to our principal U.S. subsidiary at: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January 1, 2022:</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dox_info@amdocs.com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Mr. Matthew E.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or after January 1, 2022:</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625 Maryville Centre Drive, Suite 200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Saint Louis, Missouri 63141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dox_info@amdocs.com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Mr. Matthew E.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STANDARDS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54" w:lineRule="exact"/>
        <w:rPr>
          <w:sz w:val="20"/>
          <w:szCs w:val="20"/>
          <w:color w:val="auto"/>
        </w:rPr>
      </w:pPr>
    </w:p>
    <w:p>
      <w:pPr>
        <w:ind w:left="960" w:right="8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Charitable Contributions</w:t>
      </w:r>
      <w:r>
        <w:rPr>
          <w:rFonts w:ascii="Arial" w:cs="Arial" w:eastAsia="Arial" w:hAnsi="Arial"/>
          <w:sz w:val="18"/>
          <w:szCs w:val="18"/>
          <w:color w:val="auto"/>
        </w:rPr>
        <w:t>. The director, or an immediate family member of the director, has served as an executive officer of a charitable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receives payments from the Company in an amount which, in any single fiscal year since the determination date, exceeds the greater of $200,000, or 5% of such charitable organization’s revenues;</w:t>
      </w:r>
    </w:p>
    <w:p>
      <w:pPr>
        <w:spacing w:after="0" w:line="89" w:lineRule="exact"/>
        <w:rPr>
          <w:rFonts w:ascii="Arial" w:cs="Arial" w:eastAsia="Arial" w:hAnsi="Arial"/>
          <w:sz w:val="18"/>
          <w:szCs w:val="18"/>
          <w:color w:val="auto"/>
        </w:rPr>
      </w:pPr>
    </w:p>
    <w:p>
      <w:pPr>
        <w:jc w:val="both"/>
        <w:ind w:left="960" w:right="220" w:hanging="532"/>
        <w:spacing w:after="0" w:line="25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The director or an immediate family member of the director has served, as an executive officer of another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87"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28,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of Meeting, Proxy Statement, Proxy Card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are available at www.amdocs.com/proxy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sign, date and mail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detach along perforated line and mail in the envelope provided.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AMDOCS’ BOARD OF DIRECTORS RECOMMENDS A VOTE “FOR” THE ELECTION OF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19"/>
        <w:spacing w:after="0" w:line="226" w:lineRule="auto"/>
        <w:rPr>
          <w:sz w:val="20"/>
          <w:szCs w:val="20"/>
          <w:color w:val="auto"/>
        </w:rPr>
      </w:pPr>
      <w:r>
        <w:rPr>
          <w:rFonts w:ascii="Arial" w:cs="Arial" w:eastAsia="Arial" w:hAnsi="Arial"/>
          <w:sz w:val="14"/>
          <w:szCs w:val="14"/>
          <w:b w:val="1"/>
          <w:bCs w:val="1"/>
          <w:color w:val="auto"/>
        </w:rPr>
        <w:t>DIRECTOR NOMINEES</w:t>
      </w:r>
    </w:p>
    <w:p>
      <w:pPr>
        <w:jc w:val="center"/>
        <w:ind w:right="-19"/>
        <w:spacing w:after="0" w:line="221" w:lineRule="auto"/>
        <w:rPr>
          <w:sz w:val="20"/>
          <w:szCs w:val="20"/>
          <w:color w:val="auto"/>
        </w:rPr>
      </w:pPr>
      <w:r>
        <w:rPr>
          <w:rFonts w:ascii="Arial" w:cs="Arial" w:eastAsia="Arial" w:hAnsi="Arial"/>
          <w:sz w:val="14"/>
          <w:szCs w:val="14"/>
          <w:b w:val="1"/>
          <w:bCs w:val="1"/>
          <w:color w:val="auto"/>
        </w:rPr>
        <w:t>AND A VOTE “FOR” PROPOSALS 2, 3 AND 4</w:t>
      </w:r>
    </w:p>
    <w:p>
      <w:pPr>
        <w:jc w:val="center"/>
        <w:ind w:right="-19"/>
        <w:spacing w:after="0" w:line="222"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w:t>
      </w:r>
    </w:p>
    <w:p>
      <w:pPr>
        <w:jc w:val="center"/>
        <w:ind w:right="-19"/>
        <w:spacing w:after="0" w:line="233" w:lineRule="auto"/>
        <w:rPr>
          <w:sz w:val="20"/>
          <w:szCs w:val="20"/>
          <w:color w:val="auto"/>
        </w:rPr>
      </w:pPr>
      <w:r>
        <w:rPr>
          <w:rFonts w:ascii="Arial" w:cs="Arial" w:eastAsia="Arial" w:hAnsi="Arial"/>
          <w:sz w:val="14"/>
          <w:szCs w:val="14"/>
          <w:b w:val="1"/>
          <w:bCs w:val="1"/>
          <w:color w:val="auto"/>
        </w:rPr>
        <w:t>IN BLUE OR BLACK INK AS</w:t>
      </w:r>
    </w:p>
    <w:p>
      <w:pPr>
        <w:spacing w:after="0" w:line="1"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auto"/>
              </w:rPr>
              <w:t>1. ELECTION OF</w:t>
            </w:r>
          </w:p>
        </w:tc>
        <w:tc>
          <w:tcPr>
            <w:tcW w:w="920" w:type="dxa"/>
            <w:vAlign w:val="bottom"/>
          </w:tcPr>
          <w:p>
            <w:pPr>
              <w:jc w:val="center"/>
              <w:ind w:left="368"/>
              <w:spacing w:after="0"/>
              <w:rPr>
                <w:sz w:val="20"/>
                <w:szCs w:val="20"/>
                <w:color w:val="auto"/>
              </w:rPr>
            </w:pPr>
            <w:r>
              <w:rPr>
                <w:rFonts w:ascii="Arial" w:cs="Arial" w:eastAsia="Arial" w:hAnsi="Arial"/>
                <w:sz w:val="14"/>
                <w:szCs w:val="14"/>
                <w:color w:val="auto"/>
                <w:w w:val="94"/>
              </w:rPr>
              <w:t>FOR</w:t>
            </w:r>
          </w:p>
        </w:tc>
        <w:tc>
          <w:tcPr>
            <w:tcW w:w="860" w:type="dxa"/>
            <w:vAlign w:val="bottom"/>
          </w:tcPr>
          <w:p>
            <w:pPr>
              <w:jc w:val="center"/>
              <w:spacing w:after="0"/>
              <w:rPr>
                <w:sz w:val="20"/>
                <w:szCs w:val="20"/>
                <w:color w:val="auto"/>
              </w:rPr>
            </w:pPr>
            <w:r>
              <w:rPr>
                <w:rFonts w:ascii="Arial" w:cs="Arial" w:eastAsia="Arial" w:hAnsi="Arial"/>
                <w:sz w:val="14"/>
                <w:szCs w:val="14"/>
                <w:color w:val="auto"/>
              </w:rPr>
              <w:t>AGAINST</w:t>
            </w:r>
          </w:p>
        </w:tc>
        <w:tc>
          <w:tcPr>
            <w:tcW w:w="740" w:type="dxa"/>
            <w:vAlign w:val="bottom"/>
          </w:tcPr>
          <w:p>
            <w:pPr>
              <w:jc w:val="center"/>
              <w:ind w:left="4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20"/>
                <w:szCs w:val="20"/>
                <w:color w:val="auto"/>
              </w:rPr>
            </w:pPr>
            <w:r>
              <w:rPr>
                <w:rFonts w:ascii="Arial" w:cs="Arial" w:eastAsia="Arial" w:hAnsi="Arial"/>
                <w:sz w:val="14"/>
                <w:szCs w:val="14"/>
                <w:color w:val="auto"/>
              </w:rPr>
              <w:t>DIRECTORS:</w:t>
            </w:r>
          </w:p>
        </w:tc>
        <w:tc>
          <w:tcPr>
            <w:tcW w:w="920" w:type="dxa"/>
            <w:vAlign w:val="bottom"/>
            <w:vMerge w:val="restart"/>
          </w:tcPr>
          <w:p>
            <w:pPr>
              <w:jc w:val="center"/>
              <w:ind w:left="34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20"/>
                <w:szCs w:val="20"/>
                <w:color w:val="auto"/>
              </w:rPr>
            </w:pPr>
            <w:r>
              <w:rPr>
                <w:rFonts w:ascii="Arial" w:cs="Arial" w:eastAsia="Arial" w:hAnsi="Arial"/>
                <w:sz w:val="14"/>
                <w:szCs w:val="14"/>
                <w:color w:val="auto"/>
              </w:rPr>
              <w:t>Robert A. Minicucci</w:t>
            </w: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Adrian Gardner</w:t>
            </w:r>
          </w:p>
        </w:tc>
        <w:tc>
          <w:tcPr>
            <w:tcW w:w="92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Arial" w:cs="Arial" w:eastAsia="Arial" w:hAnsi="Arial"/>
                <w:sz w:val="14"/>
                <w:szCs w:val="14"/>
                <w:color w:val="auto"/>
              </w:rPr>
              <w:t>James S. Kahan</w:t>
            </w:r>
          </w:p>
        </w:tc>
        <w:tc>
          <w:tcPr>
            <w:tcW w:w="92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-610870</wp:posOffset>
            </wp:positionV>
            <wp:extent cx="8255" cy="237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2374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4640"/>
        <w:spacing w:after="0"/>
        <w:tabs>
          <w:tab w:leader="none" w:pos="5100" w:val="left"/>
          <w:tab w:leader="none" w:pos="5920" w:val="left"/>
        </w:tabs>
        <w:rPr>
          <w:sz w:val="20"/>
          <w:szCs w:val="20"/>
          <w:color w:val="auto"/>
        </w:rPr>
      </w:pPr>
      <w:r>
        <w:rPr>
          <w:rFonts w:ascii="Arial" w:cs="Arial" w:eastAsia="Arial" w:hAnsi="Arial"/>
          <w:sz w:val="14"/>
          <w:szCs w:val="14"/>
          <w:color w:val="auto"/>
        </w:rPr>
        <w:t>FOR</w:t>
        <w:tab/>
        <w:t>AGAINST</w:t>
        <w:tab/>
        <w:t>ABSTAIN</w:t>
      </w:r>
    </w:p>
    <w:p>
      <w:pPr>
        <w:spacing w:after="0" w:line="135" w:lineRule="exact"/>
        <w:rPr>
          <w:sz w:val="20"/>
          <w:szCs w:val="20"/>
          <w:color w:val="auto"/>
        </w:rPr>
      </w:pPr>
    </w:p>
    <w:p>
      <w:pPr>
        <w:spacing w:after="0" w:line="161" w:lineRule="exact"/>
        <w:tabs>
          <w:tab w:leader="none" w:pos="340" w:val="left"/>
          <w:tab w:leader="none" w:pos="4680" w:val="left"/>
          <w:tab w:leader="none" w:pos="5340" w:val="left"/>
          <w:tab w:leader="none" w:pos="616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To approve an increase in the dividend rate under our quarterly cash</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360" w:right="2220"/>
        <w:spacing w:after="0" w:line="237" w:lineRule="auto"/>
        <w:rPr>
          <w:sz w:val="20"/>
          <w:szCs w:val="20"/>
          <w:color w:val="auto"/>
        </w:rPr>
      </w:pPr>
      <w:r>
        <w:rPr>
          <w:rFonts w:ascii="Arial" w:cs="Arial" w:eastAsia="Arial" w:hAnsi="Arial"/>
          <w:sz w:val="14"/>
          <w:szCs w:val="14"/>
          <w:color w:val="auto"/>
        </w:rPr>
        <w:t>dividend program from $0.36 per share to $0.395 per share (Proposal II)</w:t>
      </w:r>
    </w:p>
    <w:p>
      <w:pPr>
        <w:spacing w:after="0" w:line="193" w:lineRule="exact"/>
        <w:rPr>
          <w:sz w:val="20"/>
          <w:szCs w:val="20"/>
          <w:color w:val="auto"/>
        </w:rPr>
      </w:pPr>
    </w:p>
    <w:p>
      <w:pPr>
        <w:sectPr>
          <w:pgSz w:w="11900" w:h="16838" w:orient="portrait"/>
          <w:cols w:equalWidth="0" w:num="2">
            <w:col w:w="4240" w:space="200"/>
            <w:col w:w="6560"/>
          </w:cols>
          <w:pgMar w:left="440" w:top="270" w:right="45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1760" w:type="dxa"/>
            <w:vAlign w:val="bottom"/>
          </w:tcPr>
          <w:p>
            <w:pPr>
              <w:spacing w:after="0"/>
              <w:rPr>
                <w:sz w:val="20"/>
                <w:szCs w:val="20"/>
                <w:color w:val="auto"/>
              </w:rPr>
            </w:pPr>
            <w:r>
              <w:rPr>
                <w:rFonts w:ascii="Arial" w:cs="Arial" w:eastAsia="Arial" w:hAnsi="Arial"/>
                <w:sz w:val="14"/>
                <w:szCs w:val="14"/>
                <w:color w:val="auto"/>
              </w:rPr>
              <w:t>Rafael de la Vega</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60" w:type="dxa"/>
            <w:vAlign w:val="bottom"/>
          </w:tcPr>
          <w:p>
            <w:pPr>
              <w:spacing w:after="0"/>
              <w:rPr>
                <w:sz w:val="20"/>
                <w:szCs w:val="20"/>
                <w:color w:val="auto"/>
              </w:rPr>
            </w:pPr>
            <w:r>
              <w:rPr>
                <w:rFonts w:ascii="Arial" w:cs="Arial" w:eastAsia="Arial" w:hAnsi="Arial"/>
                <w:sz w:val="14"/>
                <w:szCs w:val="14"/>
                <w:color w:val="auto"/>
              </w:rPr>
              <w:t>Giora Yaron</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Eli Gelman</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0"/>
        </w:trPr>
        <w:tc>
          <w:tcPr>
            <w:tcW w:w="1760" w:type="dxa"/>
            <w:vAlign w:val="bottom"/>
          </w:tcPr>
          <w:p>
            <w:pPr>
              <w:spacing w:after="0"/>
              <w:rPr>
                <w:sz w:val="20"/>
                <w:szCs w:val="20"/>
                <w:color w:val="auto"/>
              </w:rPr>
            </w:pPr>
            <w:r>
              <w:rPr>
                <w:rFonts w:ascii="Arial" w:cs="Arial" w:eastAsia="Arial" w:hAnsi="Arial"/>
                <w:sz w:val="14"/>
                <w:szCs w:val="14"/>
                <w:color w:val="auto"/>
              </w:rPr>
              <w:t>Richard T.C. LeFave</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60" w:type="dxa"/>
            <w:vAlign w:val="bottom"/>
          </w:tcPr>
          <w:p>
            <w:pPr>
              <w:spacing w:after="0"/>
              <w:rPr>
                <w:sz w:val="20"/>
                <w:szCs w:val="20"/>
                <w:color w:val="auto"/>
              </w:rPr>
            </w:pPr>
            <w:r>
              <w:rPr>
                <w:rFonts w:ascii="Arial" w:cs="Arial" w:eastAsia="Arial" w:hAnsi="Arial"/>
                <w:sz w:val="14"/>
                <w:szCs w:val="14"/>
                <w:color w:val="auto"/>
              </w:rPr>
              <w:t>John A. MacDonald</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60" w:type="dxa"/>
            <w:vAlign w:val="bottom"/>
          </w:tcPr>
          <w:p>
            <w:pPr>
              <w:spacing w:after="0"/>
              <w:rPr>
                <w:sz w:val="20"/>
                <w:szCs w:val="20"/>
                <w:color w:val="auto"/>
              </w:rPr>
            </w:pPr>
            <w:r>
              <w:rPr>
                <w:rFonts w:ascii="Arial" w:cs="Arial" w:eastAsia="Arial" w:hAnsi="Arial"/>
                <w:sz w:val="14"/>
                <w:szCs w:val="14"/>
                <w:color w:val="auto"/>
              </w:rPr>
              <w:t>Shuky Sheffer</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60" w:type="dxa"/>
            <w:vAlign w:val="bottom"/>
          </w:tcPr>
          <w:p>
            <w:pPr>
              <w:spacing w:after="0"/>
              <w:rPr>
                <w:sz w:val="20"/>
                <w:szCs w:val="20"/>
                <w:color w:val="auto"/>
              </w:rPr>
            </w:pPr>
            <w:r>
              <w:rPr>
                <w:rFonts w:ascii="Arial" w:cs="Arial" w:eastAsia="Arial" w:hAnsi="Arial"/>
                <w:sz w:val="14"/>
                <w:szCs w:val="14"/>
                <w:color w:val="auto"/>
              </w:rPr>
              <w:t>Yvette Kanouff</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Sarah Ruth Davis</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0"/>
          <w:szCs w:val="20"/>
          <w:color w:val="auto"/>
        </w:rPr>
      </w:pPr>
      <w:r>
        <w:rPr>
          <w:sz w:val="20"/>
          <w:szCs w:val="20"/>
          <w:color w:val="auto"/>
        </w:rPr>
        <w:br w:type="column"/>
      </w:r>
    </w:p>
    <w:p>
      <w:pPr>
        <w:ind w:left="363" w:right="160" w:hanging="363"/>
        <w:spacing w:after="0" w:line="239" w:lineRule="auto"/>
        <w:tabs>
          <w:tab w:leader="none" w:pos="363"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approve our Consolidated Financial Statements for the fiscal year ended September 30, 2021 (Proposal III).</w:t>
      </w:r>
    </w:p>
    <w:p>
      <w:pPr>
        <w:spacing w:after="0" w:line="331" w:lineRule="exact"/>
        <w:rPr>
          <w:rFonts w:ascii="Arial" w:cs="Arial" w:eastAsia="Arial" w:hAnsi="Arial"/>
          <w:sz w:val="14"/>
          <w:szCs w:val="14"/>
          <w:color w:val="auto"/>
        </w:rPr>
      </w:pPr>
    </w:p>
    <w:p>
      <w:pPr>
        <w:ind w:left="363" w:hanging="363"/>
        <w:spacing w:after="0" w:line="248" w:lineRule="auto"/>
        <w:tabs>
          <w:tab w:leader="none" w:pos="363"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ratify and approve the appointment of Ernst &amp; Young LLP as our independent registered public accounting firm for the fiscal year ending September 30, 2022,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20" w:lineRule="exact"/>
        <w:rPr>
          <w:sz w:val="20"/>
          <w:szCs w:val="20"/>
          <w:color w:val="auto"/>
        </w:rPr>
      </w:pPr>
      <w:r>
        <w:rPr>
          <w:sz w:val="20"/>
          <w:szCs w:val="20"/>
          <w:color w:val="auto"/>
        </w:rPr>
        <w:br w:type="column"/>
      </w:r>
    </w:p>
    <w:p>
      <w:pPr>
        <w:spacing w:after="0" w:line="120" w:lineRule="exact"/>
        <w:tabs>
          <w:tab w:leader="none" w:pos="640" w:val="left"/>
          <w:tab w:leader="none" w:pos="1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98" w:lineRule="exact"/>
        <w:rPr>
          <w:sz w:val="20"/>
          <w:szCs w:val="20"/>
          <w:color w:val="auto"/>
        </w:rPr>
      </w:pPr>
    </w:p>
    <w:p>
      <w:pPr>
        <w:spacing w:after="0" w:line="141" w:lineRule="exact"/>
        <w:tabs>
          <w:tab w:leader="none" w:pos="640" w:val="left"/>
          <w:tab w:leader="none" w:pos="1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163" w:lineRule="exact"/>
        <w:rPr>
          <w:sz w:val="20"/>
          <w:szCs w:val="20"/>
          <w:color w:val="auto"/>
        </w:rPr>
      </w:pPr>
    </w:p>
    <w:p>
      <w:pPr>
        <w:sectPr>
          <w:pgSz w:w="11900" w:h="16838" w:orient="portrait"/>
          <w:cols w:equalWidth="0" w:num="3">
            <w:col w:w="4000" w:space="437"/>
            <w:col w:w="4483" w:space="220"/>
            <w:col w:w="1860"/>
          </w:cols>
          <w:pgMar w:left="440" w:top="270" w:right="45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Borders>
              <w:top w:val="single" w:sz="8" w:color="auto"/>
            </w:tcBorders>
            <w:gridSpan w:val="2"/>
          </w:tcPr>
          <w:p>
            <w:pPr>
              <w:ind w:left="360"/>
              <w:spacing w:after="0" w:line="149" w:lineRule="exact"/>
              <w:rPr>
                <w:sz w:val="20"/>
                <w:szCs w:val="20"/>
                <w:color w:val="auto"/>
              </w:rPr>
            </w:pPr>
            <w:r>
              <w:rPr>
                <w:rFonts w:ascii="Arial" w:cs="Arial" w:eastAsia="Arial" w:hAnsi="Arial"/>
                <w:sz w:val="14"/>
                <w:szCs w:val="14"/>
                <w:color w:val="auto"/>
                <w:w w:val="96"/>
              </w:rPr>
              <w:t>To change the address on your account, please check</w:t>
            </w:r>
          </w:p>
        </w:tc>
        <w:tc>
          <w:tcPr>
            <w:tcW w:w="700" w:type="dxa"/>
            <w:vAlign w:val="bottom"/>
            <w:tcBorders>
              <w:top w:val="single" w:sz="8" w:color="auto"/>
            </w:tcBorders>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40" w:type="dxa"/>
            <w:vAlign w:val="bottom"/>
            <w:gridSpan w:val="2"/>
          </w:tcPr>
          <w:p>
            <w:pPr>
              <w:ind w:left="360"/>
              <w:spacing w:after="0" w:line="143" w:lineRule="exact"/>
              <w:rPr>
                <w:sz w:val="20"/>
                <w:szCs w:val="20"/>
                <w:color w:val="auto"/>
              </w:rPr>
            </w:pPr>
            <w:r>
              <w:rPr>
                <w:rFonts w:ascii="Arial" w:cs="Arial" w:eastAsia="Arial" w:hAnsi="Arial"/>
                <w:sz w:val="14"/>
                <w:szCs w:val="14"/>
                <w:color w:val="auto"/>
              </w:rPr>
              <w:t>the box at right and indicate your new address in the</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6"/>
              </w:rPr>
              <w:t>address space above. Please note that changes to the</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registered name(s) on the account may not be</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submitted via this method.</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80" w:type="dxa"/>
            <w:vAlign w:val="bottom"/>
            <w:vMerge w:val="restart"/>
          </w:tcPr>
          <w:p>
            <w:pPr>
              <w:spacing w:after="0"/>
              <w:rPr>
                <w:sz w:val="20"/>
                <w:szCs w:val="20"/>
                <w:color w:val="auto"/>
              </w:rPr>
            </w:pPr>
            <w:r>
              <w:rPr>
                <w:rFonts w:ascii="Arial" w:cs="Arial" w:eastAsia="Arial" w:hAnsi="Arial"/>
                <w:sz w:val="14"/>
                <w:szCs w:val="14"/>
                <w:color w:val="auto"/>
              </w:rPr>
              <w:t>Signature of</w:t>
            </w:r>
          </w:p>
        </w:tc>
        <w:tc>
          <w:tcPr>
            <w:tcW w:w="2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4"/>
                <w:szCs w:val="14"/>
                <w:color w:val="auto"/>
                <w:w w:val="89"/>
              </w:rPr>
              <w:t>Date:</w:t>
            </w: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2560" w:type="dxa"/>
            <w:vAlign w:val="bottom"/>
            <w:tcBorders>
              <w:left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4"/>
                <w:szCs w:val="14"/>
                <w:color w:val="auto"/>
              </w:rPr>
              <w:t>Shareholder</w:t>
            </w:r>
          </w:p>
        </w:tc>
        <w:tc>
          <w:tcPr>
            <w:tcW w:w="2560" w:type="dxa"/>
            <w:vAlign w:val="bottom"/>
            <w:tcBorders>
              <w:left w:val="single" w:sz="8" w:color="auto"/>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ind w:right="160"/>
        <w:spacing w:after="0" w:line="232" w:lineRule="auto"/>
        <w:rPr>
          <w:sz w:val="20"/>
          <w:szCs w:val="20"/>
          <w:color w:val="auto"/>
        </w:rPr>
      </w:pPr>
      <w:r>
        <w:rPr>
          <w:rFonts w:ascii="Arial" w:cs="Arial" w:eastAsia="Arial" w:hAnsi="Arial"/>
          <w:sz w:val="14"/>
          <w:szCs w:val="14"/>
          <w:color w:val="auto"/>
        </w:rPr>
        <w:t>The Board of Directors has fixed the close of business on November 30, 2021 as the record date for the determination of our shareholders entitled to notice of, and to vote on the matters proposed at, the annual general meeting and any adjournments thereof.</w:t>
      </w:r>
    </w:p>
    <w:p>
      <w:pPr>
        <w:spacing w:after="0" w:line="95"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w:t>
            </w:r>
          </w:p>
        </w:tc>
        <w:tc>
          <w:tcPr>
            <w:tcW w:w="2420" w:type="dxa"/>
            <w:vAlign w:val="bottom"/>
            <w:tcBorders>
              <w:top w:val="single" w:sz="8" w:color="auto"/>
              <w:right w:val="single" w:sz="8" w:color="auto"/>
            </w:tcBorders>
          </w:tcPr>
          <w:p>
            <w:pPr>
              <w:spacing w:after="0"/>
              <w:rPr>
                <w:sz w:val="15"/>
                <w:szCs w:val="15"/>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w w:val="83"/>
              </w:rPr>
              <w:t>Date:</w:t>
            </w:r>
          </w:p>
        </w:tc>
      </w:tr>
      <w:tr>
        <w:trPr>
          <w:trHeight w:val="135"/>
        </w:trPr>
        <w:tc>
          <w:tcPr>
            <w:tcW w:w="900" w:type="dxa"/>
            <w:vAlign w:val="bottom"/>
            <w:tcBorders>
              <w:right w:val="single" w:sz="8" w:color="auto"/>
            </w:tcBorders>
          </w:tcPr>
          <w:p>
            <w:pPr>
              <w:spacing w:after="0" w:line="135" w:lineRule="exact"/>
              <w:rPr>
                <w:sz w:val="20"/>
                <w:szCs w:val="20"/>
                <w:color w:val="auto"/>
              </w:rPr>
            </w:pPr>
            <w:r>
              <w:rPr>
                <w:rFonts w:ascii="Arial" w:cs="Arial" w:eastAsia="Arial" w:hAnsi="Arial"/>
                <w:sz w:val="14"/>
                <w:szCs w:val="14"/>
                <w:color w:val="auto"/>
              </w:rPr>
              <w:t>Shareholder</w:t>
            </w:r>
          </w:p>
        </w:tc>
        <w:tc>
          <w:tcPr>
            <w:tcW w:w="2420" w:type="dxa"/>
            <w:vAlign w:val="bottom"/>
            <w:tcBorders>
              <w:bottom w:val="single" w:sz="8" w:color="auto"/>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-196215</wp:posOffset>
            </wp:positionV>
            <wp:extent cx="702945"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196850"/>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-196215</wp:posOffset>
            </wp:positionV>
            <wp:extent cx="70294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1968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4420" w:space="380"/>
            <w:col w:w="6200"/>
          </w:cols>
          <w:pgMar w:left="440" w:top="270" w:right="459" w:bottom="1440" w:gutter="0" w:footer="0" w:header="0"/>
          <w:type w:val="continuous"/>
        </w:sectPr>
      </w:pPr>
    </w:p>
    <w:p>
      <w:pPr>
        <w:ind w:left="620" w:right="26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000"/>
          </w:cols>
          <w:pgMar w:left="440" w:top="270" w:right="45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undersigned hereby appoints each of Robert A. Minicucci and Michal Topolski and Matthew Smith and Zvi Joseph as Proxies, each with the power to appoint his or her substitute, and hereby authorizes each of them to represent and vote, as designated on the reverse side, all Ordinary Shares of Amdocs Limited (the “Company”) held of record by the undersigned on November 30, 2021, at the annual General Meeting of shareholders to be held on January 28, 2022 or any adjournment thereof.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000"/>
          </w:cols>
          <w:pgMar w:left="440" w:top="270" w:right="4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2022</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-127635</wp:posOffset>
            </wp:positionV>
            <wp:extent cx="232283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22830" cy="154305"/>
                    </a:xfrm>
                    <a:prstGeom prst="rect">
                      <a:avLst/>
                    </a:prstGeom>
                    <a:noFill/>
                  </pic:spPr>
                </pic:pic>
              </a:graphicData>
            </a:graphic>
          </wp:anchor>
        </w:drawing>
      </w:r>
    </w:p>
    <w:p>
      <w:pPr>
        <w:spacing w:after="0" w:line="2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 instructions or scan the QR code with your smartphone. Have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when you access the web page.</w:t>
      </w:r>
    </w:p>
    <w:p>
      <w:pPr>
        <w:ind w:right="120"/>
        <w:spacing w:after="0" w:line="250"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 United States or</w:t>
      </w:r>
      <w:r>
        <w:rPr>
          <w:rFonts w:ascii="Arial" w:cs="Arial" w:eastAsia="Arial" w:hAnsi="Arial"/>
          <w:sz w:val="18"/>
          <w:szCs w:val="18"/>
          <w:b w:val="1"/>
          <w:bCs w:val="1"/>
          <w:color w:val="auto"/>
        </w:rPr>
        <w:t xml:space="preserve"> 1-718-921-8500 </w:t>
      </w:r>
      <w:r>
        <w:rPr>
          <w:rFonts w:ascii="Arial" w:cs="Arial" w:eastAsia="Arial" w:hAnsi="Arial"/>
          <w:sz w:val="18"/>
          <w:szCs w:val="18"/>
          <w:color w:val="auto"/>
        </w:rPr>
        <w:t>from foreign countries from any touch-tone</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and follow the instructions. Have your proxy card available when you call. Vote online/phone until 11:59 PM EST the day before the meeting.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 as possible.</w:t>
      </w:r>
    </w:p>
    <w:p>
      <w:pPr>
        <w:spacing w:after="0" w:line="23"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b w:val="1"/>
          <w:bCs w:val="1"/>
          <w:u w:val="single" w:color="auto"/>
          <w:color w:val="auto"/>
        </w:rPr>
        <w:t>IN PERSON</w:t>
      </w:r>
      <w:r>
        <w:rPr>
          <w:rFonts w:ascii="Arial" w:cs="Arial" w:eastAsia="Arial" w:hAnsi="Arial"/>
          <w:sz w:val="17"/>
          <w:szCs w:val="17"/>
          <w:b w:val="1"/>
          <w:bCs w:val="1"/>
          <w:color w:val="auto"/>
        </w:rPr>
        <w:t xml:space="preserve"> - </w:t>
      </w:r>
      <w:r>
        <w:rPr>
          <w:rFonts w:ascii="Arial" w:cs="Arial" w:eastAsia="Arial" w:hAnsi="Arial"/>
          <w:sz w:val="17"/>
          <w:szCs w:val="17"/>
          <w:color w:val="auto"/>
        </w:rPr>
        <w:t>You may vote your shares in person by attending the Annual Meeting. For the health and safety of our shareholders, due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COVID-19 pandemic, only one representative may attend the meeting on behalf of any shareholder along with one person that is required to provide assistance to that shareholder, such as a caregiver. All persons in attendance must wear face coverings, must present proof of vaccination or provide negative PCR test within two days of the meeting, must maintain social distancing and may be subject to heightened health screening procedures. In addition, the company will be required to comply with any local and state restrictions then in place at the time of the annual meeting, including any restrictions that limit the number of persons who may gather indoors. We continue to monitor the rapidly evolving situation and guidance from the authorities and local public health officials and as a result may take additional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7719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-127635</wp:posOffset>
            </wp:positionV>
            <wp:extent cx="692658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44577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220345</wp:posOffset>
            </wp:positionV>
            <wp:extent cx="7012305"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2305" cy="342900"/>
                    </a:xfrm>
                    <a:prstGeom prst="rect">
                      <a:avLst/>
                    </a:prstGeom>
                    <a:noFill/>
                  </pic:spPr>
                </pic:pic>
              </a:graphicData>
            </a:graphic>
          </wp:anchor>
        </w:drawing>
      </w:r>
    </w:p>
    <w:p>
      <w:pPr>
        <w:spacing w:after="0" w:line="335" w:lineRule="exact"/>
        <w:rPr>
          <w:sz w:val="20"/>
          <w:szCs w:val="20"/>
          <w:color w:val="auto"/>
        </w:rPr>
      </w:pPr>
    </w:p>
    <w:p>
      <w:pPr>
        <w:ind w:left="160" w:right="1360"/>
        <w:spacing w:after="0" w:line="329" w:lineRule="auto"/>
        <w:rPr>
          <w:sz w:val="20"/>
          <w:szCs w:val="20"/>
          <w:color w:val="auto"/>
        </w:rPr>
      </w:pPr>
      <w:r>
        <w:rPr>
          <w:rFonts w:ascii="Arial" w:cs="Arial" w:eastAsia="Arial" w:hAnsi="Arial"/>
          <w:sz w:val="18"/>
          <w:szCs w:val="18"/>
          <w:b w:val="1"/>
          <w:bCs w:val="1"/>
          <w:color w:val="auto"/>
        </w:rPr>
        <w:t>NOTICE OF INTERNET AVAILABILITY OF PROXY MATERIAL: The Notice of Meeting, Proxy Statement, Proxy Card are available at www.amdocs.com/proxy</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i Please detach along perforated line and mail in the envelope provided IF you are not voting via telephone or the Internet. i</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spacing w:after="0" w:line="226" w:lineRule="auto"/>
        <w:rPr>
          <w:sz w:val="20"/>
          <w:szCs w:val="20"/>
          <w:color w:val="auto"/>
        </w:rPr>
      </w:pPr>
      <w:r>
        <w:rPr>
          <w:rFonts w:ascii="Arial" w:cs="Arial" w:eastAsia="Arial" w:hAnsi="Arial"/>
          <w:sz w:val="14"/>
          <w:szCs w:val="14"/>
          <w:b w:val="1"/>
          <w:bCs w:val="1"/>
          <w:color w:val="auto"/>
        </w:rPr>
        <w:t>AND A VOTE “FOR” PROPOSALS 2, 3 AND 4.</w:t>
      </w:r>
    </w:p>
    <w:p>
      <w:pPr>
        <w:jc w:val="center"/>
        <w:spacing w:after="0" w:line="221"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w:t>
      </w:r>
    </w:p>
    <w:p>
      <w:pPr>
        <w:jc w:val="center"/>
        <w:spacing w:after="0" w:line="234" w:lineRule="auto"/>
        <w:rPr>
          <w:sz w:val="20"/>
          <w:szCs w:val="20"/>
          <w:color w:val="auto"/>
        </w:rPr>
      </w:pPr>
      <w:r>
        <w:rPr>
          <w:rFonts w:ascii="Arial" w:cs="Arial" w:eastAsia="Arial" w:hAnsi="Arial"/>
          <w:sz w:val="14"/>
          <w:szCs w:val="14"/>
          <w:b w:val="1"/>
          <w:bCs w:val="1"/>
          <w:color w:val="auto"/>
        </w:rPr>
        <w:t>BLACK INK AS</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60" w:type="dxa"/>
            <w:vAlign w:val="bottom"/>
            <w:tcBorders>
              <w:top w:val="single" w:sz="8" w:color="auto"/>
            </w:tcBorders>
            <w:gridSpan w:val="2"/>
          </w:tcPr>
          <w:p>
            <w:pPr>
              <w:ind w:left="360"/>
              <w:spacing w:after="0" w:line="143" w:lineRule="exact"/>
              <w:rPr>
                <w:sz w:val="20"/>
                <w:szCs w:val="20"/>
                <w:color w:val="auto"/>
              </w:rPr>
            </w:pPr>
            <w:r>
              <w:rPr>
                <w:rFonts w:ascii="Arial" w:cs="Arial" w:eastAsia="Arial" w:hAnsi="Arial"/>
                <w:sz w:val="14"/>
                <w:szCs w:val="14"/>
                <w:color w:val="auto"/>
              </w:rPr>
              <w:t>1. ELECTION OF</w:t>
            </w:r>
          </w:p>
        </w:tc>
        <w:tc>
          <w:tcPr>
            <w:tcW w:w="580" w:type="dxa"/>
            <w:vAlign w:val="bottom"/>
            <w:tcBorders>
              <w:top w:val="single" w:sz="8" w:color="auto"/>
            </w:tcBorders>
          </w:tcPr>
          <w:p>
            <w:pPr>
              <w:jc w:val="center"/>
              <w:ind w:left="28"/>
              <w:spacing w:after="0" w:line="143" w:lineRule="exact"/>
              <w:rPr>
                <w:sz w:val="20"/>
                <w:szCs w:val="20"/>
                <w:color w:val="auto"/>
              </w:rPr>
            </w:pPr>
            <w:r>
              <w:rPr>
                <w:rFonts w:ascii="Arial" w:cs="Arial" w:eastAsia="Arial" w:hAnsi="Arial"/>
                <w:sz w:val="14"/>
                <w:szCs w:val="14"/>
                <w:color w:val="auto"/>
                <w:w w:val="94"/>
              </w:rPr>
              <w:t>FOR</w:t>
            </w: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AGAINST</w:t>
            </w:r>
          </w:p>
        </w:tc>
        <w:tc>
          <w:tcPr>
            <w:tcW w:w="840" w:type="dxa"/>
            <w:vAlign w:val="bottom"/>
            <w:tcBorders>
              <w:top w:val="single" w:sz="8" w:color="auto"/>
              <w:right w:val="single" w:sz="8" w:color="auto"/>
            </w:tcBorders>
            <w:gridSpan w:val="2"/>
          </w:tcPr>
          <w:p>
            <w:pPr>
              <w:jc w:val="center"/>
              <w:spacing w:after="0" w:line="143" w:lineRule="exact"/>
              <w:rPr>
                <w:sz w:val="20"/>
                <w:szCs w:val="20"/>
                <w:color w:val="auto"/>
              </w:rPr>
            </w:pPr>
            <w:r>
              <w:rPr>
                <w:rFonts w:ascii="Arial" w:cs="Arial" w:eastAsia="Arial" w:hAnsi="Arial"/>
                <w:sz w:val="14"/>
                <w:szCs w:val="14"/>
                <w:color w:val="auto"/>
              </w:rPr>
              <w:t>ABSTAIN</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8"/>
              <w:spacing w:after="0" w:line="143" w:lineRule="exact"/>
              <w:rPr>
                <w:sz w:val="20"/>
                <w:szCs w:val="20"/>
                <w:color w:val="auto"/>
              </w:rPr>
            </w:pPr>
            <w:r>
              <w:rPr>
                <w:rFonts w:ascii="Arial" w:cs="Arial" w:eastAsia="Arial" w:hAnsi="Arial"/>
                <w:sz w:val="14"/>
                <w:szCs w:val="14"/>
                <w:color w:val="auto"/>
                <w:w w:val="94"/>
              </w:rPr>
              <w:t>FOR</w:t>
            </w:r>
          </w:p>
        </w:tc>
        <w:tc>
          <w:tcPr>
            <w:tcW w:w="740" w:type="dxa"/>
            <w:vAlign w:val="bottom"/>
            <w:tcBorders>
              <w:top w:val="single" w:sz="8" w:color="auto"/>
            </w:tcBorders>
          </w:tcPr>
          <w:p>
            <w:pPr>
              <w:jc w:val="center"/>
              <w:ind w:right="8"/>
              <w:spacing w:after="0" w:line="143" w:lineRule="exact"/>
              <w:rPr>
                <w:sz w:val="20"/>
                <w:szCs w:val="20"/>
                <w:color w:val="auto"/>
              </w:rPr>
            </w:pPr>
            <w:r>
              <w:rPr>
                <w:rFonts w:ascii="Arial" w:cs="Arial" w:eastAsia="Arial" w:hAnsi="Arial"/>
                <w:sz w:val="14"/>
                <w:szCs w:val="14"/>
                <w:color w:val="auto"/>
              </w:rPr>
              <w:t>AGAINST</w:t>
            </w:r>
          </w:p>
        </w:tc>
        <w:tc>
          <w:tcPr>
            <w:tcW w:w="740" w:type="dxa"/>
            <w:vAlign w:val="bottom"/>
            <w:tcBorders>
              <w:top w:val="single" w:sz="8" w:color="auto"/>
            </w:tcBorders>
            <w:gridSpan w:val="2"/>
          </w:tcPr>
          <w:p>
            <w:pPr>
              <w:jc w:val="center"/>
              <w:ind w:left="8"/>
              <w:spacing w:after="0" w:line="143"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82"/>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DIRECTORS:</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5"/>
                <w:szCs w:val="15"/>
                <w:color w:val="auto"/>
              </w:rPr>
            </w:pPr>
          </w:p>
        </w:tc>
        <w:tc>
          <w:tcPr>
            <w:tcW w:w="580" w:type="dxa"/>
            <w:vAlign w:val="bottom"/>
            <w:tcBorders>
              <w:right w:val="single" w:sz="8" w:color="auto"/>
            </w:tcBorders>
            <w:vMerge w:val="restart"/>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5"/>
                <w:szCs w:val="15"/>
                <w:color w:val="auto"/>
              </w:rPr>
            </w:pPr>
          </w:p>
        </w:tc>
        <w:tc>
          <w:tcPr>
            <w:tcW w:w="200" w:type="dxa"/>
            <w:vAlign w:val="bottom"/>
            <w:vMerge w:val="restart"/>
          </w:tcPr>
          <w:p>
            <w:pPr>
              <w:jc w:val="right"/>
              <w:ind w:right="33"/>
              <w:spacing w:after="0"/>
              <w:rPr>
                <w:sz w:val="20"/>
                <w:szCs w:val="20"/>
                <w:color w:val="auto"/>
              </w:rPr>
            </w:pPr>
            <w:r>
              <w:rPr>
                <w:rFonts w:ascii="Arial" w:cs="Arial" w:eastAsia="Arial" w:hAnsi="Arial"/>
                <w:sz w:val="13"/>
                <w:szCs w:val="13"/>
                <w:color w:val="auto"/>
                <w:w w:val="73"/>
              </w:rPr>
              <w:t>2.</w:t>
            </w:r>
          </w:p>
        </w:tc>
        <w:tc>
          <w:tcPr>
            <w:tcW w:w="4340" w:type="dxa"/>
            <w:vAlign w:val="bottom"/>
            <w:gridSpan w:val="4"/>
            <w:vMerge w:val="restart"/>
          </w:tcPr>
          <w:p>
            <w:pPr>
              <w:ind w:left="160"/>
              <w:spacing w:after="0"/>
              <w:rPr>
                <w:sz w:val="20"/>
                <w:szCs w:val="20"/>
                <w:color w:val="auto"/>
              </w:rPr>
            </w:pPr>
            <w:r>
              <w:rPr>
                <w:rFonts w:ascii="Arial" w:cs="Arial" w:eastAsia="Arial" w:hAnsi="Arial"/>
                <w:sz w:val="14"/>
                <w:szCs w:val="14"/>
                <w:color w:val="auto"/>
                <w:w w:val="97"/>
              </w:rPr>
              <w:t>To approve an increase in the dividend rate under our quarterly cash</w:t>
            </w:r>
          </w:p>
        </w:tc>
        <w:tc>
          <w:tcPr>
            <w:tcW w:w="56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0"/>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Robert A. Minicucci</w:t>
            </w: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4340" w:type="dxa"/>
            <w:vAlign w:val="bottom"/>
            <w:gridSpan w:val="4"/>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60" w:type="dxa"/>
            <w:vAlign w:val="bottom"/>
            <w:gridSpan w:val="2"/>
            <w:vMerge w:val="restart"/>
          </w:tcPr>
          <w:p>
            <w:pPr>
              <w:ind w:left="360"/>
              <w:spacing w:after="0"/>
              <w:rPr>
                <w:sz w:val="20"/>
                <w:szCs w:val="20"/>
                <w:color w:val="auto"/>
              </w:rPr>
            </w:pPr>
            <w:r>
              <w:rPr>
                <w:rFonts w:ascii="Arial" w:cs="Arial" w:eastAsia="Arial" w:hAnsi="Arial"/>
                <w:sz w:val="14"/>
                <w:szCs w:val="14"/>
                <w:color w:val="auto"/>
              </w:rPr>
              <w:t>Adrian Gardner</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1"/>
                <w:szCs w:val="11"/>
                <w:color w:val="auto"/>
              </w:rPr>
            </w:pPr>
          </w:p>
        </w:tc>
        <w:tc>
          <w:tcPr>
            <w:tcW w:w="580" w:type="dxa"/>
            <w:vAlign w:val="bottom"/>
            <w:tcBorders>
              <w:right w:val="single" w:sz="8" w:color="auto"/>
            </w:tcBorders>
            <w:vMerge w:val="restart"/>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340" w:type="dxa"/>
            <w:vAlign w:val="bottom"/>
            <w:gridSpan w:val="4"/>
          </w:tcPr>
          <w:p>
            <w:pPr>
              <w:ind w:left="160"/>
              <w:spacing w:after="0" w:line="130" w:lineRule="exact"/>
              <w:rPr>
                <w:sz w:val="20"/>
                <w:szCs w:val="20"/>
                <w:color w:val="auto"/>
              </w:rPr>
            </w:pPr>
            <w:r>
              <w:rPr>
                <w:rFonts w:ascii="Arial" w:cs="Arial" w:eastAsia="Arial" w:hAnsi="Arial"/>
                <w:sz w:val="14"/>
                <w:szCs w:val="14"/>
                <w:color w:val="auto"/>
                <w:w w:val="96"/>
              </w:rPr>
              <w:t>dividend program from $0.36 per share to $0.395 per share (Proposal</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40" w:type="dxa"/>
            <w:vAlign w:val="bottom"/>
            <w:gridSpan w:val="4"/>
          </w:tcPr>
          <w:p>
            <w:pPr>
              <w:ind w:left="160"/>
              <w:spacing w:after="0" w:line="148" w:lineRule="exact"/>
              <w:rPr>
                <w:sz w:val="20"/>
                <w:szCs w:val="20"/>
                <w:color w:val="auto"/>
              </w:rPr>
            </w:pPr>
            <w:r>
              <w:rPr>
                <w:rFonts w:ascii="Arial" w:cs="Arial" w:eastAsia="Arial" w:hAnsi="Arial"/>
                <w:sz w:val="14"/>
                <w:szCs w:val="14"/>
                <w:color w:val="auto"/>
              </w:rPr>
              <w:t>II)</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James S. Kahan</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9"/>
                <w:szCs w:val="19"/>
                <w:color w:val="auto"/>
              </w:rPr>
            </w:pPr>
          </w:p>
        </w:tc>
        <w:tc>
          <w:tcPr>
            <w:tcW w:w="580" w:type="dxa"/>
            <w:vAlign w:val="bottom"/>
            <w:tcBorders>
              <w:right w:val="single" w:sz="8" w:color="auto"/>
            </w:tcBorders>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Rafael de la Vega</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6"/>
                <w:szCs w:val="16"/>
                <w:color w:val="auto"/>
              </w:rPr>
            </w:pPr>
          </w:p>
        </w:tc>
        <w:tc>
          <w:tcPr>
            <w:tcW w:w="580" w:type="dxa"/>
            <w:vAlign w:val="bottom"/>
            <w:tcBorders>
              <w:right w:val="single" w:sz="8" w:color="auto"/>
            </w:tcBorders>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3.</w:t>
            </w:r>
          </w:p>
        </w:tc>
        <w:tc>
          <w:tcPr>
            <w:tcW w:w="4340" w:type="dxa"/>
            <w:vAlign w:val="bottom"/>
            <w:gridSpan w:val="4"/>
          </w:tcPr>
          <w:p>
            <w:pPr>
              <w:ind w:left="160"/>
              <w:spacing w:after="0"/>
              <w:rPr>
                <w:sz w:val="20"/>
                <w:szCs w:val="20"/>
                <w:color w:val="auto"/>
              </w:rPr>
            </w:pPr>
            <w:r>
              <w:rPr>
                <w:rFonts w:ascii="Arial" w:cs="Arial" w:eastAsia="Arial" w:hAnsi="Arial"/>
                <w:sz w:val="14"/>
                <w:szCs w:val="14"/>
                <w:color w:val="auto"/>
                <w:w w:val="97"/>
              </w:rPr>
              <w:t>To approve our Consolidated Financial Statements for the fiscal year</w:t>
            </w:r>
          </w:p>
        </w:tc>
        <w:tc>
          <w:tcPr>
            <w:tcW w:w="5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2060" w:type="dxa"/>
            <w:vAlign w:val="bottom"/>
            <w:gridSpan w:val="2"/>
            <w:vMerge w:val="restart"/>
          </w:tcPr>
          <w:p>
            <w:pPr>
              <w:ind w:left="360"/>
              <w:spacing w:after="0"/>
              <w:rPr>
                <w:sz w:val="20"/>
                <w:szCs w:val="20"/>
                <w:color w:val="auto"/>
              </w:rPr>
            </w:pPr>
            <w:r>
              <w:rPr>
                <w:rFonts w:ascii="Arial" w:cs="Arial" w:eastAsia="Arial" w:hAnsi="Arial"/>
                <w:sz w:val="14"/>
                <w:szCs w:val="14"/>
                <w:color w:val="auto"/>
              </w:rPr>
              <w:t>Giora Yaron</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5"/>
                <w:szCs w:val="15"/>
                <w:color w:val="auto"/>
              </w:rPr>
            </w:pPr>
          </w:p>
        </w:tc>
        <w:tc>
          <w:tcPr>
            <w:tcW w:w="580" w:type="dxa"/>
            <w:vAlign w:val="bottom"/>
            <w:tcBorders>
              <w:right w:val="single" w:sz="8" w:color="auto"/>
            </w:tcBorders>
            <w:vMerge w:val="restart"/>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4"/>
          </w:tcPr>
          <w:p>
            <w:pPr>
              <w:ind w:left="160"/>
              <w:spacing w:after="0"/>
              <w:rPr>
                <w:sz w:val="20"/>
                <w:szCs w:val="20"/>
                <w:color w:val="auto"/>
              </w:rPr>
            </w:pPr>
            <w:r>
              <w:rPr>
                <w:rFonts w:ascii="Arial" w:cs="Arial" w:eastAsia="Arial" w:hAnsi="Arial"/>
                <w:sz w:val="14"/>
                <w:szCs w:val="14"/>
                <w:color w:val="auto"/>
              </w:rPr>
              <w:t>ended September 30, 2021 (Proposal III).</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Eli Gelman</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9"/>
                <w:szCs w:val="19"/>
                <w:color w:val="auto"/>
              </w:rPr>
            </w:pPr>
          </w:p>
        </w:tc>
        <w:tc>
          <w:tcPr>
            <w:tcW w:w="580" w:type="dxa"/>
            <w:vAlign w:val="bottom"/>
            <w:tcBorders>
              <w:right w:val="single" w:sz="8" w:color="auto"/>
            </w:tcBorders>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2"/>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Richard T.C. LeFave</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4"/>
                <w:szCs w:val="14"/>
                <w:color w:val="auto"/>
              </w:rPr>
            </w:pPr>
          </w:p>
        </w:tc>
        <w:tc>
          <w:tcPr>
            <w:tcW w:w="580" w:type="dxa"/>
            <w:vAlign w:val="bottom"/>
            <w:tcBorders>
              <w:right w:val="single" w:sz="8" w:color="auto"/>
            </w:tcBorders>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4.</w:t>
            </w:r>
          </w:p>
        </w:tc>
        <w:tc>
          <w:tcPr>
            <w:tcW w:w="4340" w:type="dxa"/>
            <w:vAlign w:val="bottom"/>
            <w:gridSpan w:val="4"/>
          </w:tcPr>
          <w:p>
            <w:pPr>
              <w:ind w:left="160"/>
              <w:spacing w:after="0"/>
              <w:rPr>
                <w:sz w:val="20"/>
                <w:szCs w:val="20"/>
                <w:color w:val="auto"/>
              </w:rPr>
            </w:pPr>
            <w:r>
              <w:rPr>
                <w:rFonts w:ascii="Arial" w:cs="Arial" w:eastAsia="Arial" w:hAnsi="Arial"/>
                <w:sz w:val="14"/>
                <w:szCs w:val="14"/>
                <w:color w:val="auto"/>
                <w:w w:val="99"/>
              </w:rPr>
              <w:t>To ratify and approve the appointment of Ernst &amp; Young LLP as our</w:t>
            </w: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60" w:type="dxa"/>
            <w:vAlign w:val="bottom"/>
            <w:gridSpan w:val="2"/>
            <w:vMerge w:val="restart"/>
          </w:tcPr>
          <w:p>
            <w:pPr>
              <w:ind w:left="360"/>
              <w:spacing w:after="0"/>
              <w:rPr>
                <w:sz w:val="20"/>
                <w:szCs w:val="20"/>
                <w:color w:val="auto"/>
              </w:rPr>
            </w:pPr>
            <w:r>
              <w:rPr>
                <w:rFonts w:ascii="Arial" w:cs="Arial" w:eastAsia="Arial" w:hAnsi="Arial"/>
                <w:sz w:val="14"/>
                <w:szCs w:val="14"/>
                <w:color w:val="auto"/>
              </w:rPr>
              <w:t>John A. MacDonald</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1"/>
                <w:szCs w:val="11"/>
                <w:color w:val="auto"/>
              </w:rPr>
            </w:pPr>
          </w:p>
        </w:tc>
        <w:tc>
          <w:tcPr>
            <w:tcW w:w="580" w:type="dxa"/>
            <w:vAlign w:val="bottom"/>
            <w:tcBorders>
              <w:right w:val="single" w:sz="8" w:color="auto"/>
            </w:tcBorders>
            <w:vMerge w:val="restart"/>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340" w:type="dxa"/>
            <w:vAlign w:val="bottom"/>
            <w:gridSpan w:val="4"/>
          </w:tcPr>
          <w:p>
            <w:pPr>
              <w:ind w:left="160"/>
              <w:spacing w:after="0" w:line="130" w:lineRule="exact"/>
              <w:rPr>
                <w:sz w:val="20"/>
                <w:szCs w:val="20"/>
                <w:color w:val="auto"/>
              </w:rPr>
            </w:pPr>
            <w:r>
              <w:rPr>
                <w:rFonts w:ascii="Arial" w:cs="Arial" w:eastAsia="Arial" w:hAnsi="Arial"/>
                <w:sz w:val="14"/>
                <w:szCs w:val="14"/>
                <w:color w:val="auto"/>
                <w:w w:val="94"/>
              </w:rPr>
              <w:t>independent registered public accounting firm for the fiscal year ending</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40" w:type="dxa"/>
            <w:vAlign w:val="bottom"/>
            <w:gridSpan w:val="4"/>
          </w:tcPr>
          <w:p>
            <w:pPr>
              <w:ind w:left="160"/>
              <w:spacing w:after="0" w:line="141" w:lineRule="exact"/>
              <w:rPr>
                <w:sz w:val="20"/>
                <w:szCs w:val="20"/>
                <w:color w:val="auto"/>
              </w:rPr>
            </w:pPr>
            <w:r>
              <w:rPr>
                <w:rFonts w:ascii="Arial" w:cs="Arial" w:eastAsia="Arial" w:hAnsi="Arial"/>
                <w:sz w:val="14"/>
                <w:szCs w:val="14"/>
                <w:color w:val="auto"/>
                <w:w w:val="98"/>
              </w:rPr>
              <w:t>September 30, 2022, and until the next annual general meeting, and</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Shuky Sheffer</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4"/>
                <w:szCs w:val="14"/>
                <w:color w:val="auto"/>
              </w:rPr>
            </w:pPr>
          </w:p>
        </w:tc>
        <w:tc>
          <w:tcPr>
            <w:tcW w:w="580" w:type="dxa"/>
            <w:vAlign w:val="bottom"/>
            <w:tcBorders>
              <w:right w:val="single" w:sz="8" w:color="auto"/>
            </w:tcBorders>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40" w:type="dxa"/>
            <w:vAlign w:val="bottom"/>
            <w:gridSpan w:val="4"/>
          </w:tcPr>
          <w:p>
            <w:pPr>
              <w:ind w:left="160"/>
              <w:spacing w:after="0"/>
              <w:rPr>
                <w:sz w:val="20"/>
                <w:szCs w:val="20"/>
                <w:color w:val="auto"/>
              </w:rPr>
            </w:pPr>
            <w:r>
              <w:rPr>
                <w:rFonts w:ascii="Arial" w:cs="Arial" w:eastAsia="Arial" w:hAnsi="Arial"/>
                <w:sz w:val="14"/>
                <w:szCs w:val="14"/>
                <w:color w:val="auto"/>
              </w:rPr>
              <w:t>authorize the Audit Committee of the Board of Directors to fix the</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60" w:type="dxa"/>
            <w:vAlign w:val="bottom"/>
            <w:gridSpan w:val="2"/>
            <w:vMerge w:val="restart"/>
          </w:tcPr>
          <w:p>
            <w:pPr>
              <w:ind w:left="360"/>
              <w:spacing w:after="0"/>
              <w:rPr>
                <w:sz w:val="20"/>
                <w:szCs w:val="20"/>
                <w:color w:val="auto"/>
              </w:rPr>
            </w:pPr>
            <w:r>
              <w:rPr>
                <w:rFonts w:ascii="Arial" w:cs="Arial" w:eastAsia="Arial" w:hAnsi="Arial"/>
                <w:sz w:val="14"/>
                <w:szCs w:val="14"/>
                <w:color w:val="auto"/>
              </w:rPr>
              <w:t>Yvette Kanouff</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12"/>
                <w:szCs w:val="12"/>
                <w:color w:val="auto"/>
              </w:rPr>
            </w:pPr>
          </w:p>
        </w:tc>
        <w:tc>
          <w:tcPr>
            <w:tcW w:w="580" w:type="dxa"/>
            <w:vAlign w:val="bottom"/>
            <w:tcBorders>
              <w:right w:val="single" w:sz="8" w:color="auto"/>
            </w:tcBorders>
            <w:vMerge w:val="restart"/>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40" w:type="dxa"/>
            <w:vAlign w:val="bottom"/>
            <w:gridSpan w:val="4"/>
          </w:tcPr>
          <w:p>
            <w:pPr>
              <w:ind w:left="160"/>
              <w:spacing w:after="0" w:line="143" w:lineRule="exact"/>
              <w:rPr>
                <w:sz w:val="20"/>
                <w:szCs w:val="20"/>
                <w:color w:val="auto"/>
              </w:rPr>
            </w:pPr>
            <w:r>
              <w:rPr>
                <w:rFonts w:ascii="Arial" w:cs="Arial" w:eastAsia="Arial" w:hAnsi="Arial"/>
                <w:sz w:val="14"/>
                <w:szCs w:val="14"/>
                <w:color w:val="auto"/>
                <w:w w:val="96"/>
              </w:rPr>
              <w:t>remuneration of such independent registered public accounting firm in</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340" w:type="dxa"/>
            <w:vAlign w:val="bottom"/>
            <w:gridSpan w:val="4"/>
            <w:vMerge w:val="restart"/>
          </w:tcPr>
          <w:p>
            <w:pPr>
              <w:ind w:left="160"/>
              <w:spacing w:after="0"/>
              <w:rPr>
                <w:sz w:val="20"/>
                <w:szCs w:val="20"/>
                <w:color w:val="auto"/>
              </w:rPr>
            </w:pPr>
            <w:r>
              <w:rPr>
                <w:rFonts w:ascii="Arial" w:cs="Arial" w:eastAsia="Arial" w:hAnsi="Arial"/>
                <w:sz w:val="14"/>
                <w:szCs w:val="14"/>
                <w:color w:val="auto"/>
              </w:rPr>
              <w:t>accordance with the nature and extent of its services (Proposal IV).</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60" w:type="dxa"/>
            <w:vAlign w:val="bottom"/>
            <w:gridSpan w:val="2"/>
            <w:vMerge w:val="restart"/>
          </w:tcPr>
          <w:p>
            <w:pPr>
              <w:ind w:left="360"/>
              <w:spacing w:after="0"/>
              <w:rPr>
                <w:sz w:val="20"/>
                <w:szCs w:val="20"/>
                <w:color w:val="auto"/>
              </w:rPr>
            </w:pPr>
            <w:r>
              <w:rPr>
                <w:rFonts w:ascii="Arial" w:cs="Arial" w:eastAsia="Arial" w:hAnsi="Arial"/>
                <w:sz w:val="14"/>
                <w:szCs w:val="14"/>
                <w:color w:val="auto"/>
              </w:rPr>
              <w:t>Sarah Ruth Davis</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Pr>
          <w:p>
            <w:pPr>
              <w:spacing w:after="0"/>
              <w:rPr>
                <w:sz w:val="4"/>
                <w:szCs w:val="4"/>
                <w:color w:val="auto"/>
              </w:rPr>
            </w:pPr>
          </w:p>
        </w:tc>
        <w:tc>
          <w:tcPr>
            <w:tcW w:w="580" w:type="dxa"/>
            <w:vAlign w:val="bottom"/>
            <w:tcBorders>
              <w:right w:val="single" w:sz="8" w:color="auto"/>
            </w:tcBorders>
            <w:vMerge w:val="restart"/>
          </w:tcPr>
          <w:p>
            <w:pPr>
              <w:jc w:val="center"/>
              <w:ind w:right="148"/>
              <w:spacing w:after="0" w:line="141" w:lineRule="exact"/>
              <w:rPr>
                <w:sz w:val="20"/>
                <w:szCs w:val="20"/>
                <w:color w:val="auto"/>
              </w:rPr>
            </w:pPr>
            <w:r>
              <w:rPr>
                <w:rFonts w:ascii="MS PGothic" w:cs="MS PGothic" w:eastAsia="MS PGothic" w:hAnsi="MS PGothic"/>
                <w:sz w:val="14"/>
                <w:szCs w:val="14"/>
                <w:color w:val="auto"/>
                <w:w w:val="85"/>
              </w:rPr>
              <w:t>☐</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34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6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0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6380" w:type="dxa"/>
            <w:vAlign w:val="bottom"/>
            <w:gridSpan w:val="8"/>
            <w:vMerge w:val="restart"/>
          </w:tcPr>
          <w:p>
            <w:pPr>
              <w:ind w:left="160"/>
              <w:spacing w:after="0"/>
              <w:rPr>
                <w:sz w:val="20"/>
                <w:szCs w:val="20"/>
                <w:color w:val="auto"/>
              </w:rPr>
            </w:pPr>
            <w:r>
              <w:rPr>
                <w:rFonts w:ascii="Arial" w:cs="Arial" w:eastAsia="Arial" w:hAnsi="Arial"/>
                <w:sz w:val="14"/>
                <w:szCs w:val="14"/>
                <w:color w:val="auto"/>
                <w:w w:val="97"/>
              </w:rPr>
              <w:t>Our shareholders will also act on such other business as may properly come before the annual general</w:t>
            </w:r>
          </w:p>
        </w:tc>
        <w:tc>
          <w:tcPr>
            <w:tcW w:w="0" w:type="dxa"/>
            <w:vAlign w:val="bottom"/>
          </w:tcPr>
          <w:p>
            <w:pPr>
              <w:spacing w:after="0"/>
              <w:rPr>
                <w:sz w:val="1"/>
                <w:szCs w:val="1"/>
                <w:color w:val="auto"/>
              </w:rPr>
            </w:pPr>
          </w:p>
        </w:tc>
      </w:tr>
      <w:tr>
        <w:trPr>
          <w:trHeight w:val="122"/>
        </w:trPr>
        <w:tc>
          <w:tcPr>
            <w:tcW w:w="3500" w:type="dxa"/>
            <w:vAlign w:val="bottom"/>
            <w:gridSpan w:val="4"/>
          </w:tcPr>
          <w:p>
            <w:pPr>
              <w:ind w:left="360"/>
              <w:spacing w:after="0" w:line="122" w:lineRule="exact"/>
              <w:rPr>
                <w:sz w:val="20"/>
                <w:szCs w:val="20"/>
                <w:color w:val="auto"/>
              </w:rPr>
            </w:pPr>
            <w:r>
              <w:rPr>
                <w:rFonts w:ascii="Arial" w:cs="Arial" w:eastAsia="Arial" w:hAnsi="Arial"/>
                <w:sz w:val="14"/>
                <w:szCs w:val="14"/>
                <w:color w:val="auto"/>
                <w:w w:val="92"/>
              </w:rPr>
              <w:t>To change the address on your account, please check</w:t>
            </w:r>
          </w:p>
        </w:tc>
        <w:tc>
          <w:tcPr>
            <w:tcW w:w="260" w:type="dxa"/>
            <w:vAlign w:val="bottom"/>
          </w:tcPr>
          <w:p>
            <w:pPr>
              <w:spacing w:after="0"/>
              <w:rPr>
                <w:sz w:val="10"/>
                <w:szCs w:val="10"/>
                <w:color w:val="auto"/>
              </w:rPr>
            </w:pPr>
          </w:p>
        </w:tc>
        <w:tc>
          <w:tcPr>
            <w:tcW w:w="580" w:type="dxa"/>
            <w:vAlign w:val="bottom"/>
            <w:tcBorders>
              <w:right w:val="single" w:sz="8" w:color="auto"/>
            </w:tcBorders>
          </w:tcPr>
          <w:p>
            <w:pPr>
              <w:jc w:val="center"/>
              <w:ind w:right="148"/>
              <w:spacing w:after="0" w:line="122" w:lineRule="exact"/>
              <w:rPr>
                <w:sz w:val="20"/>
                <w:szCs w:val="20"/>
                <w:color w:val="auto"/>
              </w:rPr>
            </w:pPr>
            <w:r>
              <w:rPr>
                <w:rFonts w:ascii="MS PGothic" w:cs="MS PGothic" w:eastAsia="MS PGothic" w:hAnsi="MS PGothic"/>
                <w:sz w:val="14"/>
                <w:szCs w:val="14"/>
                <w:color w:val="auto"/>
                <w:w w:val="85"/>
              </w:rPr>
              <w:t>☐</w:t>
            </w: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3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00" w:type="dxa"/>
            <w:vAlign w:val="bottom"/>
            <w:gridSpan w:val="4"/>
          </w:tcPr>
          <w:p>
            <w:pPr>
              <w:ind w:left="360"/>
              <w:spacing w:after="0" w:line="142" w:lineRule="exact"/>
              <w:rPr>
                <w:sz w:val="20"/>
                <w:szCs w:val="20"/>
                <w:color w:val="auto"/>
              </w:rPr>
            </w:pPr>
            <w:r>
              <w:rPr>
                <w:rFonts w:ascii="Arial" w:cs="Arial" w:eastAsia="Arial" w:hAnsi="Arial"/>
                <w:sz w:val="14"/>
                <w:szCs w:val="14"/>
                <w:color w:val="auto"/>
                <w:w w:val="96"/>
              </w:rPr>
              <w:t>the box at right and indicate your new address in the</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40" w:type="dxa"/>
            <w:vAlign w:val="bottom"/>
            <w:gridSpan w:val="4"/>
          </w:tcPr>
          <w:p>
            <w:pPr>
              <w:ind w:left="160"/>
              <w:spacing w:after="0" w:line="142" w:lineRule="exact"/>
              <w:rPr>
                <w:sz w:val="20"/>
                <w:szCs w:val="20"/>
                <w:color w:val="auto"/>
              </w:rPr>
            </w:pPr>
            <w:r>
              <w:rPr>
                <w:rFonts w:ascii="Arial" w:cs="Arial" w:eastAsia="Arial" w:hAnsi="Arial"/>
                <w:sz w:val="14"/>
                <w:szCs w:val="14"/>
                <w:color w:val="auto"/>
              </w:rPr>
              <w:t>meeting.</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4"/>
          </w:tcPr>
          <w:p>
            <w:pPr>
              <w:ind w:left="360"/>
              <w:spacing w:after="0" w:line="149" w:lineRule="exact"/>
              <w:rPr>
                <w:sz w:val="20"/>
                <w:szCs w:val="20"/>
                <w:color w:val="auto"/>
              </w:rPr>
            </w:pPr>
            <w:r>
              <w:rPr>
                <w:rFonts w:ascii="Arial" w:cs="Arial" w:eastAsia="Arial" w:hAnsi="Arial"/>
                <w:sz w:val="14"/>
                <w:szCs w:val="14"/>
                <w:color w:val="auto"/>
                <w:w w:val="92"/>
              </w:rPr>
              <w:t>address space above. Please note that changes to the</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380" w:type="dxa"/>
            <w:vAlign w:val="bottom"/>
            <w:gridSpan w:val="8"/>
          </w:tcPr>
          <w:p>
            <w:pPr>
              <w:ind w:left="160"/>
              <w:spacing w:after="0" w:line="149" w:lineRule="exact"/>
              <w:rPr>
                <w:sz w:val="20"/>
                <w:szCs w:val="20"/>
                <w:color w:val="auto"/>
              </w:rPr>
            </w:pPr>
            <w:r>
              <w:rPr>
                <w:rFonts w:ascii="Arial" w:cs="Arial" w:eastAsia="Arial" w:hAnsi="Arial"/>
                <w:sz w:val="14"/>
                <w:szCs w:val="14"/>
                <w:color w:val="auto"/>
                <w:w w:val="96"/>
              </w:rPr>
              <w:t>The Board of Directors has fixed the close of business on November 30, 2021 as the record date for the</w:t>
            </w:r>
          </w:p>
        </w:tc>
        <w:tc>
          <w:tcPr>
            <w:tcW w:w="0" w:type="dxa"/>
            <w:vAlign w:val="bottom"/>
          </w:tcPr>
          <w:p>
            <w:pPr>
              <w:spacing w:after="0"/>
              <w:rPr>
                <w:sz w:val="1"/>
                <w:szCs w:val="1"/>
                <w:color w:val="auto"/>
              </w:rPr>
            </w:pPr>
          </w:p>
        </w:tc>
      </w:tr>
      <w:tr>
        <w:trPr>
          <w:trHeight w:val="149"/>
        </w:trPr>
        <w:tc>
          <w:tcPr>
            <w:tcW w:w="35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registered name(s) on the account may not be</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380" w:type="dxa"/>
            <w:vAlign w:val="bottom"/>
            <w:gridSpan w:val="8"/>
          </w:tcPr>
          <w:p>
            <w:pPr>
              <w:ind w:left="160"/>
              <w:spacing w:after="0" w:line="149" w:lineRule="exact"/>
              <w:rPr>
                <w:sz w:val="20"/>
                <w:szCs w:val="20"/>
                <w:color w:val="auto"/>
              </w:rPr>
            </w:pPr>
            <w:r>
              <w:rPr>
                <w:rFonts w:ascii="Arial" w:cs="Arial" w:eastAsia="Arial" w:hAnsi="Arial"/>
                <w:sz w:val="14"/>
                <w:szCs w:val="14"/>
                <w:color w:val="auto"/>
                <w:w w:val="95"/>
              </w:rPr>
              <w:t>determination of our shareholders entitled to notice of, and to vote on the matters proposed at, the annual</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submitted via this method.</w:t>
            </w: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4"/>
          </w:tcPr>
          <w:p>
            <w:pPr>
              <w:ind w:left="160"/>
              <w:spacing w:after="0"/>
              <w:rPr>
                <w:sz w:val="20"/>
                <w:szCs w:val="20"/>
                <w:color w:val="auto"/>
              </w:rPr>
            </w:pPr>
            <w:r>
              <w:rPr>
                <w:rFonts w:ascii="Arial" w:cs="Arial" w:eastAsia="Arial" w:hAnsi="Arial"/>
                <w:sz w:val="14"/>
                <w:szCs w:val="14"/>
                <w:color w:val="auto"/>
              </w:rPr>
              <w:t>general meeting and any adjournments thereof.</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420" w:type="dxa"/>
            <w:vAlign w:val="bottom"/>
            <w:vMerge w:val="restart"/>
          </w:tcPr>
          <w:p>
            <w:pPr>
              <w:ind w:left="360"/>
              <w:spacing w:after="0"/>
              <w:rPr>
                <w:sz w:val="20"/>
                <w:szCs w:val="20"/>
                <w:color w:val="auto"/>
              </w:rPr>
            </w:pPr>
            <w:r>
              <w:rPr>
                <w:rFonts w:ascii="Arial" w:cs="Arial" w:eastAsia="Arial" w:hAnsi="Arial"/>
                <w:sz w:val="14"/>
                <w:szCs w:val="14"/>
                <w:color w:val="auto"/>
              </w:rPr>
              <w:t>Signature of</w:t>
            </w: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w w:val="89"/>
              </w:rPr>
              <w:t>Date:</w:t>
            </w:r>
          </w:p>
        </w:tc>
        <w:tc>
          <w:tcPr>
            <w:tcW w:w="20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520" w:type="dxa"/>
            <w:vAlign w:val="bottom"/>
            <w:vMerge w:val="restart"/>
          </w:tcPr>
          <w:p>
            <w:pPr>
              <w:ind w:left="240"/>
              <w:spacing w:after="0"/>
              <w:rPr>
                <w:sz w:val="20"/>
                <w:szCs w:val="20"/>
                <w:color w:val="auto"/>
              </w:rPr>
            </w:pPr>
            <w:r>
              <w:rPr>
                <w:rFonts w:ascii="Arial" w:cs="Arial" w:eastAsia="Arial" w:hAnsi="Arial"/>
                <w:sz w:val="14"/>
                <w:szCs w:val="14"/>
                <w:color w:val="auto"/>
              </w:rPr>
              <w:t>Signature of</w:t>
            </w:r>
          </w:p>
        </w:tc>
        <w:tc>
          <w:tcPr>
            <w:tcW w:w="14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restart"/>
          </w:tcPr>
          <w:p>
            <w:pPr>
              <w:jc w:val="center"/>
              <w:ind w:right="48"/>
              <w:spacing w:after="0"/>
              <w:rPr>
                <w:sz w:val="20"/>
                <w:szCs w:val="20"/>
                <w:color w:val="auto"/>
              </w:rPr>
            </w:pPr>
            <w:r>
              <w:rPr>
                <w:rFonts w:ascii="Arial" w:cs="Arial" w:eastAsia="Arial" w:hAnsi="Arial"/>
                <w:sz w:val="14"/>
                <w:szCs w:val="14"/>
                <w:color w:val="auto"/>
                <w:w w:val="95"/>
              </w:rPr>
              <w:t>Date:</w:t>
            </w:r>
          </w:p>
        </w:tc>
        <w:tc>
          <w:tcPr>
            <w:tcW w:w="7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640" w:type="dxa"/>
            <w:vAlign w:val="bottom"/>
            <w:tcBorders>
              <w:lef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520" w:type="dxa"/>
            <w:vAlign w:val="bottom"/>
            <w:vMerge w:val="continue"/>
          </w:tcPr>
          <w:p>
            <w:pPr>
              <w:spacing w:after="0"/>
              <w:rPr>
                <w:sz w:val="12"/>
                <w:szCs w:val="12"/>
                <w:color w:val="auto"/>
              </w:rPr>
            </w:pPr>
          </w:p>
        </w:tc>
        <w:tc>
          <w:tcPr>
            <w:tcW w:w="14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tcBorders>
              <w:lef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360"/>
              <w:spacing w:after="0" w:line="135" w:lineRule="exact"/>
              <w:rPr>
                <w:sz w:val="20"/>
                <w:szCs w:val="20"/>
                <w:color w:val="auto"/>
              </w:rPr>
            </w:pPr>
            <w:r>
              <w:rPr>
                <w:rFonts w:ascii="Arial" w:cs="Arial" w:eastAsia="Arial" w:hAnsi="Arial"/>
                <w:sz w:val="14"/>
                <w:szCs w:val="14"/>
                <w:color w:val="auto"/>
              </w:rPr>
              <w:t>Shareholder</w:t>
            </w:r>
          </w:p>
        </w:tc>
        <w:tc>
          <w:tcPr>
            <w:tcW w:w="640" w:type="dxa"/>
            <w:vAlign w:val="bottom"/>
            <w:tcBorders>
              <w:left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1520" w:type="dxa"/>
            <w:vAlign w:val="bottom"/>
          </w:tcPr>
          <w:p>
            <w:pPr>
              <w:ind w:left="240"/>
              <w:spacing w:after="0" w:line="135" w:lineRule="exact"/>
              <w:rPr>
                <w:sz w:val="20"/>
                <w:szCs w:val="20"/>
                <w:color w:val="auto"/>
              </w:rPr>
            </w:pPr>
            <w:r>
              <w:rPr>
                <w:rFonts w:ascii="Arial" w:cs="Arial" w:eastAsia="Arial" w:hAnsi="Arial"/>
                <w:sz w:val="14"/>
                <w:szCs w:val="14"/>
                <w:color w:val="auto"/>
              </w:rPr>
              <w:t>Shareholder</w:t>
            </w:r>
          </w:p>
        </w:tc>
        <w:tc>
          <w:tcPr>
            <w:tcW w:w="1440" w:type="dxa"/>
            <w:vAlign w:val="bottom"/>
            <w:tcBorders>
              <w:left w:val="single" w:sz="8" w:color="auto"/>
              <w:bottom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left w:val="single" w:sz="8" w:color="auto"/>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20" w:right="2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020"/>
          </w:cols>
          <w:pgMar w:left="440" w:top="270" w:right="439" w:bottom="1440" w:gutter="0" w:footer="0" w:header="0"/>
        </w:sectPr>
      </w:pPr>
    </w:p>
    <w:bookmarkStart w:id="28" w:name="page29"/>
    <w:bookmarkEnd w:id="28"/>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2021</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2021-12-22T15:07:46Z</dcterms:created>
  <dcterms:modified xsi:type="dcterms:W3CDTF">2021-12-22T15:07:46Z</dcterms:modified>
</cp:coreProperties>
</file>