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60" w:right="4080" w:hanging="4092"/>
        <w:spacing w:after="0" w:line="270" w:lineRule="auto"/>
        <w:rPr>
          <w:sz w:val="20"/>
          <w:szCs w:val="20"/>
          <w:color w:val="auto"/>
        </w:rPr>
      </w:pPr>
      <w:r>
        <w:rPr>
          <w:rFonts w:ascii="Courier New" w:cs="Courier New" w:eastAsia="Courier New" w:hAnsi="Courier New"/>
          <w:sz w:val="14"/>
          <w:szCs w:val="14"/>
          <w:color w:val="auto"/>
        </w:rPr>
        <w:t>As filed with the Securities and Exchange Commission on March 31, 2004 Registration Statement No. 333-</w:t>
      </w:r>
    </w:p>
    <w:p>
      <w:pPr>
        <w:spacing w:after="0" w:line="1"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4080"/>
        <w:spacing w:after="0" w:line="236" w:lineRule="auto"/>
        <w:rPr>
          <w:sz w:val="20"/>
          <w:szCs w:val="20"/>
          <w:color w:val="auto"/>
        </w:rPr>
      </w:pPr>
      <w:r>
        <w:rPr>
          <w:rFonts w:ascii="Courier New" w:cs="Courier New" w:eastAsia="Courier New" w:hAnsi="Courier New"/>
          <w:sz w:val="16"/>
          <w:szCs w:val="16"/>
          <w:color w:val="auto"/>
        </w:rPr>
        <w:t>WASHINGTON, D.C. 20549</w:t>
      </w:r>
    </w:p>
    <w:p>
      <w:pPr>
        <w:ind w:left="2700"/>
        <w:spacing w:after="0" w:line="237" w:lineRule="auto"/>
        <w:rPr>
          <w:sz w:val="20"/>
          <w:szCs w:val="20"/>
          <w:color w:val="auto"/>
        </w:rPr>
      </w:pPr>
      <w:r>
        <w:rPr>
          <w:rFonts w:ascii="Courier New" w:cs="Courier New" w:eastAsia="Courier New" w:hAnsi="Courier New"/>
          <w:sz w:val="16"/>
          <w:szCs w:val="16"/>
          <w:color w:val="auto"/>
        </w:rPr>
        <w:t>----------------------</w:t>
      </w:r>
    </w:p>
    <w:p>
      <w:pPr>
        <w:jc w:val="center"/>
        <w:ind w:right="4080"/>
        <w:spacing w:after="0" w:line="237" w:lineRule="auto"/>
        <w:rPr>
          <w:sz w:val="20"/>
          <w:szCs w:val="20"/>
          <w:color w:val="auto"/>
        </w:rPr>
      </w:pPr>
      <w:r>
        <w:rPr>
          <w:rFonts w:ascii="Courier New" w:cs="Courier New" w:eastAsia="Courier New" w:hAnsi="Courier New"/>
          <w:sz w:val="16"/>
          <w:szCs w:val="16"/>
          <w:color w:val="auto"/>
        </w:rPr>
        <w:t>FORM S-8</w:t>
      </w:r>
    </w:p>
    <w:p>
      <w:pPr>
        <w:ind w:left="2700"/>
        <w:spacing w:after="0" w:line="237" w:lineRule="auto"/>
        <w:rPr>
          <w:sz w:val="20"/>
          <w:szCs w:val="20"/>
          <w:color w:val="auto"/>
        </w:rPr>
      </w:pPr>
      <w:r>
        <w:rPr>
          <w:rFonts w:ascii="Courier New" w:cs="Courier New" w:eastAsia="Courier New" w:hAnsi="Courier New"/>
          <w:sz w:val="16"/>
          <w:szCs w:val="16"/>
          <w:color w:val="auto"/>
        </w:rPr>
        <w:t>----------------------</w:t>
      </w:r>
    </w:p>
    <w:p>
      <w:pPr>
        <w:jc w:val="center"/>
        <w:ind w:right="4080"/>
        <w:spacing w:after="0" w:line="237" w:lineRule="auto"/>
        <w:rPr>
          <w:sz w:val="20"/>
          <w:szCs w:val="20"/>
          <w:color w:val="auto"/>
        </w:rPr>
      </w:pPr>
      <w:r>
        <w:rPr>
          <w:rFonts w:ascii="Courier New" w:cs="Courier New" w:eastAsia="Courier New" w:hAnsi="Courier New"/>
          <w:sz w:val="16"/>
          <w:szCs w:val="16"/>
          <w:color w:val="auto"/>
        </w:rPr>
        <w:t>REGISTRATION STATEMENT UNDER</w:t>
      </w:r>
    </w:p>
    <w:p>
      <w:pPr>
        <w:jc w:val="center"/>
        <w:ind w:right="4080"/>
        <w:spacing w:after="0" w:line="237" w:lineRule="auto"/>
        <w:rPr>
          <w:sz w:val="20"/>
          <w:szCs w:val="20"/>
          <w:color w:val="auto"/>
        </w:rPr>
      </w:pPr>
      <w:r>
        <w:rPr>
          <w:rFonts w:ascii="Courier New" w:cs="Courier New" w:eastAsia="Courier New" w:hAnsi="Courier New"/>
          <w:sz w:val="16"/>
          <w:szCs w:val="16"/>
          <w:color w:val="auto"/>
        </w:rPr>
        <w:t>THE SECURITIES ACT OF 1933</w:t>
      </w:r>
    </w:p>
    <w:p>
      <w:pPr>
        <w:ind w:left="2700"/>
        <w:spacing w:after="0" w:line="237" w:lineRule="auto"/>
        <w:rPr>
          <w:sz w:val="20"/>
          <w:szCs w:val="20"/>
          <w:color w:val="auto"/>
        </w:rPr>
      </w:pPr>
      <w:r>
        <w:rPr>
          <w:rFonts w:ascii="Courier New" w:cs="Courier New" w:eastAsia="Courier New" w:hAnsi="Courier New"/>
          <w:sz w:val="16"/>
          <w:szCs w:val="16"/>
          <w:color w:val="auto"/>
        </w:rPr>
        <w:t>----------------------</w:t>
      </w:r>
    </w:p>
    <w:p>
      <w:pPr>
        <w:jc w:val="center"/>
        <w:ind w:right="4080"/>
        <w:spacing w:after="0" w:line="237" w:lineRule="auto"/>
        <w:rPr>
          <w:sz w:val="20"/>
          <w:szCs w:val="20"/>
          <w:color w:val="auto"/>
        </w:rPr>
      </w:pPr>
      <w:r>
        <w:rPr>
          <w:rFonts w:ascii="Courier New" w:cs="Courier New" w:eastAsia="Courier New" w:hAnsi="Courier New"/>
          <w:sz w:val="16"/>
          <w:szCs w:val="16"/>
          <w:color w:val="auto"/>
        </w:rPr>
        <w:t>AMDOCS LIMITED</w:t>
      </w:r>
    </w:p>
    <w:p>
      <w:pPr>
        <w:jc w:val="center"/>
        <w:ind w:right="4080"/>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ind w:left="2700"/>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520"/>
          </w:cols>
          <w:pgMar w:left="240" w:top="416" w:right="139" w:bottom="1440" w:gutter="0" w:footer="0" w:header="0"/>
        </w:sectPr>
      </w:pPr>
    </w:p>
    <w:p>
      <w:pPr>
        <w:spacing w:after="0" w:line="4" w:lineRule="exact"/>
        <w:rPr>
          <w:sz w:val="24"/>
          <w:szCs w:val="24"/>
          <w:color w:val="auto"/>
        </w:rPr>
      </w:pPr>
    </w:p>
    <w:p>
      <w:pPr>
        <w:ind w:right="300" w:firstLine="651"/>
        <w:spacing w:after="0" w:line="283" w:lineRule="auto"/>
        <w:rPr>
          <w:sz w:val="20"/>
          <w:szCs w:val="20"/>
          <w:color w:val="auto"/>
        </w:rPr>
      </w:pPr>
      <w:r>
        <w:rPr>
          <w:rFonts w:ascii="Courier New" w:cs="Courier New" w:eastAsia="Courier New" w:hAnsi="Courier New"/>
          <w:sz w:val="14"/>
          <w:szCs w:val="14"/>
          <w:color w:val="auto"/>
        </w:rPr>
        <w:t>Island of Guernsey (State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4260"/>
        <w:spacing w:after="0" w:line="237" w:lineRule="auto"/>
        <w:rPr>
          <w:sz w:val="20"/>
          <w:szCs w:val="20"/>
          <w:color w:val="auto"/>
        </w:rPr>
      </w:pPr>
      <w:r>
        <w:rPr>
          <w:rFonts w:ascii="Courier New" w:cs="Courier New" w:eastAsia="Courier New" w:hAnsi="Courier New"/>
          <w:sz w:val="16"/>
          <w:szCs w:val="16"/>
          <w:color w:val="auto"/>
        </w:rPr>
        <w:t>Not Applicable</w:t>
      </w:r>
    </w:p>
    <w:p>
      <w:pPr>
        <w:spacing w:after="0" w:line="4" w:lineRule="exact"/>
        <w:rPr>
          <w:sz w:val="24"/>
          <w:szCs w:val="24"/>
          <w:color w:val="auto"/>
        </w:rPr>
      </w:pPr>
    </w:p>
    <w:p>
      <w:pPr>
        <w:jc w:val="center"/>
        <w:ind w:right="4260"/>
        <w:spacing w:after="0"/>
        <w:rPr>
          <w:sz w:val="20"/>
          <w:szCs w:val="20"/>
          <w:color w:val="auto"/>
        </w:rPr>
      </w:pPr>
      <w:r>
        <w:rPr>
          <w:rFonts w:ascii="Courier New" w:cs="Courier New" w:eastAsia="Courier New" w:hAnsi="Courier New"/>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3180" w:space="720"/>
            <w:col w:w="7620"/>
          </w:cols>
          <w:pgMar w:left="240" w:top="416" w:right="139" w:bottom="1440" w:gutter="0" w:footer="0" w:header="0"/>
          <w:type w:val="continuous"/>
        </w:sectPr>
      </w:pPr>
    </w:p>
    <w:p>
      <w:pPr>
        <w:jc w:val="center"/>
        <w:ind w:right="4080"/>
        <w:spacing w:after="0"/>
        <w:rPr>
          <w:sz w:val="20"/>
          <w:szCs w:val="20"/>
          <w:color w:val="auto"/>
        </w:rPr>
      </w:pPr>
      <w:r>
        <w:rPr>
          <w:rFonts w:ascii="Courier New" w:cs="Courier New" w:eastAsia="Courier New" w:hAnsi="Courier New"/>
          <w:sz w:val="16"/>
          <w:szCs w:val="16"/>
          <w:color w:val="auto"/>
        </w:rPr>
        <w:t>Suite 5, Tower Hill House Le Bordage</w:t>
      </w:r>
    </w:p>
    <w:p>
      <w:pPr>
        <w:jc w:val="center"/>
        <w:ind w:right="3980"/>
        <w:spacing w:after="0" w:line="236" w:lineRule="auto"/>
        <w:rPr>
          <w:sz w:val="20"/>
          <w:szCs w:val="20"/>
          <w:color w:val="auto"/>
        </w:rPr>
      </w:pPr>
      <w:r>
        <w:rPr>
          <w:rFonts w:ascii="Courier New" w:cs="Courier New" w:eastAsia="Courier New" w:hAnsi="Courier New"/>
          <w:sz w:val="16"/>
          <w:szCs w:val="16"/>
          <w:color w:val="auto"/>
        </w:rPr>
        <w:t>St. Peter Port, Island of Guernsey, GY1 3QT Channel Islands</w:t>
      </w:r>
    </w:p>
    <w:p>
      <w:pPr>
        <w:jc w:val="center"/>
        <w:ind w:right="3980"/>
        <w:spacing w:after="0" w:line="237" w:lineRule="auto"/>
        <w:rPr>
          <w:sz w:val="20"/>
          <w:szCs w:val="20"/>
          <w:color w:val="auto"/>
        </w:rPr>
      </w:pPr>
      <w:r>
        <w:rPr>
          <w:rFonts w:ascii="Courier New" w:cs="Courier New" w:eastAsia="Courier New" w:hAnsi="Courier New"/>
          <w:sz w:val="16"/>
          <w:szCs w:val="16"/>
          <w:color w:val="auto"/>
        </w:rPr>
        <w:t>(Address of registrant's principal executive offices)</w:t>
      </w:r>
    </w:p>
    <w:p>
      <w:pPr>
        <w:spacing w:after="0" w:line="177"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6"/>
          <w:szCs w:val="16"/>
          <w:color w:val="auto"/>
        </w:rPr>
        <w:t>1998 STOCK OPTION AND INCENTIVE PLAN, AS AMENDED</w:t>
      </w:r>
    </w:p>
    <w:p>
      <w:pPr>
        <w:jc w:val="center"/>
        <w:ind w:right="4080"/>
        <w:spacing w:after="0" w:line="236" w:lineRule="auto"/>
        <w:rPr>
          <w:sz w:val="20"/>
          <w:szCs w:val="20"/>
          <w:color w:val="auto"/>
        </w:rPr>
      </w:pPr>
      <w:r>
        <w:rPr>
          <w:rFonts w:ascii="Courier New" w:cs="Courier New" w:eastAsia="Courier New" w:hAnsi="Courier New"/>
          <w:sz w:val="16"/>
          <w:szCs w:val="16"/>
          <w:color w:val="auto"/>
        </w:rPr>
        <w:t>(Full Title of the Plan)</w:t>
      </w:r>
    </w:p>
    <w:p>
      <w:pPr>
        <w:spacing w:after="0" w:line="177"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6"/>
          <w:szCs w:val="16"/>
          <w:color w:val="auto"/>
        </w:rPr>
        <w:t>Amdocs, Inc.</w:t>
      </w:r>
    </w:p>
    <w:p>
      <w:pPr>
        <w:jc w:val="center"/>
        <w:ind w:right="3980"/>
        <w:spacing w:after="0" w:line="236" w:lineRule="auto"/>
        <w:rPr>
          <w:sz w:val="20"/>
          <w:szCs w:val="20"/>
          <w:color w:val="auto"/>
        </w:rPr>
      </w:pPr>
      <w:r>
        <w:rPr>
          <w:rFonts w:ascii="Courier New" w:cs="Courier New" w:eastAsia="Courier New" w:hAnsi="Courier New"/>
          <w:sz w:val="16"/>
          <w:szCs w:val="16"/>
          <w:color w:val="auto"/>
        </w:rPr>
        <w:t>1390 Timberlake Manor Parkway, Chesterfield, Missouri 63017</w:t>
      </w:r>
    </w:p>
    <w:p>
      <w:pPr>
        <w:ind w:left="1940"/>
        <w:spacing w:after="0" w:line="237" w:lineRule="auto"/>
        <w:rPr>
          <w:sz w:val="20"/>
          <w:szCs w:val="20"/>
          <w:color w:val="auto"/>
        </w:rPr>
      </w:pPr>
      <w:r>
        <w:rPr>
          <w:rFonts w:ascii="Courier New" w:cs="Courier New" w:eastAsia="Courier New" w:hAnsi="Courier New"/>
          <w:sz w:val="16"/>
          <w:szCs w:val="16"/>
          <w:color w:val="auto"/>
        </w:rPr>
        <w:t>Attention: Thomas G. O'Brien, Treasurer</w:t>
      </w:r>
    </w:p>
    <w:p>
      <w:pPr>
        <w:ind w:left="1940"/>
        <w:spacing w:after="0" w:line="237" w:lineRule="auto"/>
        <w:rPr>
          <w:sz w:val="20"/>
          <w:szCs w:val="20"/>
          <w:color w:val="auto"/>
        </w:rPr>
      </w:pPr>
      <w:r>
        <w:rPr>
          <w:rFonts w:ascii="Courier New" w:cs="Courier New" w:eastAsia="Courier New" w:hAnsi="Courier New"/>
          <w:sz w:val="16"/>
          <w:szCs w:val="16"/>
          <w:color w:val="auto"/>
        </w:rPr>
        <w:t>(Name and address of agent for service)</w:t>
      </w:r>
    </w:p>
    <w:p>
      <w:pPr>
        <w:spacing w:after="0" w:line="177"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6"/>
          <w:szCs w:val="16"/>
          <w:color w:val="auto"/>
        </w:rPr>
        <w:t>(314) 212-8328</w:t>
      </w:r>
    </w:p>
    <w:p>
      <w:pPr>
        <w:jc w:val="center"/>
        <w:ind w:right="3980"/>
        <w:spacing w:after="0" w:line="236" w:lineRule="auto"/>
        <w:rPr>
          <w:sz w:val="20"/>
          <w:szCs w:val="20"/>
          <w:color w:val="auto"/>
        </w:rPr>
      </w:pPr>
      <w:r>
        <w:rPr>
          <w:rFonts w:ascii="Courier New" w:cs="Courier New" w:eastAsia="Courier New" w:hAnsi="Courier New"/>
          <w:sz w:val="16"/>
          <w:szCs w:val="16"/>
          <w:color w:val="auto"/>
        </w:rPr>
        <w:t>(Telephone Number, Including Area Code, of Agent For Service)</w:t>
      </w:r>
    </w:p>
    <w:p>
      <w:pPr>
        <w:ind w:left="270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6"/>
          <w:szCs w:val="16"/>
          <w:color w:val="auto"/>
        </w:rPr>
        <w:t>The commission is requested to send copies of all communications to:</w:t>
      </w:r>
    </w:p>
    <w:p>
      <w:pPr>
        <w:spacing w:after="0" w:line="177" w:lineRule="exact"/>
        <w:rPr>
          <w:sz w:val="24"/>
          <w:szCs w:val="24"/>
          <w:color w:val="auto"/>
        </w:rPr>
      </w:pPr>
    </w:p>
    <w:p>
      <w:pPr>
        <w:ind w:left="2700"/>
        <w:spacing w:after="0"/>
        <w:rPr>
          <w:sz w:val="20"/>
          <w:szCs w:val="20"/>
          <w:color w:val="auto"/>
        </w:rPr>
      </w:pPr>
      <w:r>
        <w:rPr>
          <w:rFonts w:ascii="Courier New" w:cs="Courier New" w:eastAsia="Courier New" w:hAnsi="Courier New"/>
          <w:sz w:val="16"/>
          <w:szCs w:val="16"/>
          <w:color w:val="auto"/>
        </w:rPr>
        <w:t>Robert A. Schwed, Esq.</w:t>
      </w:r>
    </w:p>
    <w:p>
      <w:pPr>
        <w:ind w:left="2980"/>
        <w:spacing w:after="0" w:line="236" w:lineRule="auto"/>
        <w:rPr>
          <w:sz w:val="20"/>
          <w:szCs w:val="20"/>
          <w:color w:val="auto"/>
        </w:rPr>
      </w:pPr>
      <w:r>
        <w:rPr>
          <w:rFonts w:ascii="Courier New" w:cs="Courier New" w:eastAsia="Courier New" w:hAnsi="Courier New"/>
          <w:sz w:val="16"/>
          <w:szCs w:val="16"/>
          <w:color w:val="auto"/>
        </w:rPr>
        <w:t>Hale and Dorr LLP</w:t>
      </w:r>
    </w:p>
    <w:p>
      <w:pPr>
        <w:ind w:left="3060"/>
        <w:spacing w:after="0" w:line="237" w:lineRule="auto"/>
        <w:rPr>
          <w:sz w:val="20"/>
          <w:szCs w:val="20"/>
          <w:color w:val="auto"/>
        </w:rPr>
      </w:pPr>
      <w:r>
        <w:rPr>
          <w:rFonts w:ascii="Courier New" w:cs="Courier New" w:eastAsia="Courier New" w:hAnsi="Courier New"/>
          <w:sz w:val="16"/>
          <w:szCs w:val="16"/>
          <w:color w:val="auto"/>
        </w:rPr>
        <w:t>300 Park Avenue</w:t>
      </w:r>
    </w:p>
    <w:p>
      <w:pPr>
        <w:ind w:left="2600"/>
        <w:spacing w:after="0" w:line="237" w:lineRule="auto"/>
        <w:rPr>
          <w:sz w:val="20"/>
          <w:szCs w:val="20"/>
          <w:color w:val="auto"/>
        </w:rPr>
      </w:pPr>
      <w:r>
        <w:rPr>
          <w:rFonts w:ascii="Courier New" w:cs="Courier New" w:eastAsia="Courier New" w:hAnsi="Courier New"/>
          <w:sz w:val="16"/>
          <w:szCs w:val="16"/>
          <w:color w:val="auto"/>
        </w:rPr>
        <w:t>New York, New York 10022</w:t>
      </w:r>
    </w:p>
    <w:p>
      <w:pPr>
        <w:ind w:left="3620" w:hanging="555"/>
        <w:spacing w:after="0" w:line="237" w:lineRule="auto"/>
        <w:tabs>
          <w:tab w:leader="none" w:pos="36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937-7200</w:t>
      </w:r>
    </w:p>
    <w:p>
      <w:pPr>
        <w:ind w:left="27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15"/>
                <w:szCs w:val="15"/>
                <w:color w:val="auto"/>
              </w:rPr>
            </w:pPr>
          </w:p>
        </w:tc>
        <w:tc>
          <w:tcPr>
            <w:tcW w:w="1480" w:type="dxa"/>
            <w:vAlign w:val="bottom"/>
          </w:tcPr>
          <w:p>
            <w:pPr>
              <w:ind w:left="180"/>
              <w:spacing w:after="0"/>
              <w:rPr>
                <w:sz w:val="20"/>
                <w:szCs w:val="20"/>
                <w:color w:val="auto"/>
              </w:rPr>
            </w:pPr>
            <w:r>
              <w:rPr>
                <w:rFonts w:ascii="Courier New" w:cs="Courier New" w:eastAsia="Courier New" w:hAnsi="Courier New"/>
                <w:sz w:val="16"/>
                <w:szCs w:val="16"/>
                <w:color w:val="auto"/>
              </w:rPr>
              <w:t>Amount</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6"/>
              </w:rPr>
              <w:t>Proposed Maximum</w:t>
            </w:r>
          </w:p>
        </w:tc>
        <w:tc>
          <w:tcPr>
            <w:tcW w:w="204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Proposed Maximum</w:t>
            </w:r>
          </w:p>
        </w:tc>
        <w:tc>
          <w:tcPr>
            <w:tcW w:w="1720" w:type="dxa"/>
            <w:vAlign w:val="bottom"/>
          </w:tcPr>
          <w:p>
            <w:pPr>
              <w:spacing w:after="0"/>
              <w:rPr>
                <w:sz w:val="15"/>
                <w:szCs w:val="15"/>
                <w:color w:val="auto"/>
              </w:rPr>
            </w:pPr>
          </w:p>
        </w:tc>
      </w:tr>
      <w:tr>
        <w:trPr>
          <w:trHeight w:val="179"/>
        </w:trPr>
        <w:tc>
          <w:tcPr>
            <w:tcW w:w="4460" w:type="dxa"/>
            <w:vAlign w:val="bottom"/>
          </w:tcPr>
          <w:p>
            <w:pPr>
              <w:spacing w:after="0"/>
              <w:rPr>
                <w:sz w:val="15"/>
                <w:szCs w:val="15"/>
                <w:color w:val="auto"/>
              </w:rPr>
            </w:pPr>
          </w:p>
        </w:tc>
        <w:tc>
          <w:tcPr>
            <w:tcW w:w="1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 be</w:t>
            </w:r>
          </w:p>
        </w:tc>
        <w:tc>
          <w:tcPr>
            <w:tcW w:w="18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Offering Price</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Aggregate</w:t>
            </w:r>
          </w:p>
        </w:tc>
        <w:tc>
          <w:tcPr>
            <w:tcW w:w="1720" w:type="dxa"/>
            <w:vAlign w:val="bottom"/>
          </w:tcPr>
          <w:p>
            <w:pPr>
              <w:jc w:val="center"/>
              <w:ind w:left="82"/>
              <w:spacing w:after="0" w:line="179" w:lineRule="exact"/>
              <w:rPr>
                <w:sz w:val="20"/>
                <w:szCs w:val="20"/>
                <w:color w:val="auto"/>
              </w:rPr>
            </w:pPr>
            <w:r>
              <w:rPr>
                <w:rFonts w:ascii="Courier New" w:cs="Courier New" w:eastAsia="Courier New" w:hAnsi="Courier New"/>
                <w:sz w:val="16"/>
                <w:szCs w:val="16"/>
                <w:color w:val="auto"/>
                <w:w w:val="97"/>
              </w:rPr>
              <w:t>Amount of</w:t>
            </w:r>
          </w:p>
        </w:tc>
      </w:tr>
      <w:tr>
        <w:trPr>
          <w:trHeight w:val="179"/>
        </w:trPr>
        <w:tc>
          <w:tcPr>
            <w:tcW w:w="4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Title of Securities to be Registered</w:t>
            </w:r>
          </w:p>
        </w:tc>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Registered (1)</w:t>
            </w:r>
          </w:p>
        </w:tc>
        <w:tc>
          <w:tcPr>
            <w:tcW w:w="18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Per Share</w:t>
            </w:r>
          </w:p>
        </w:tc>
        <w:tc>
          <w:tcPr>
            <w:tcW w:w="204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Offering Price</w:t>
            </w:r>
          </w:p>
        </w:tc>
        <w:tc>
          <w:tcPr>
            <w:tcW w:w="17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5"/>
              </w:rPr>
              <w:t>Registration Fee</w:t>
            </w:r>
          </w:p>
        </w:tc>
      </w:tr>
      <w:tr>
        <w:trPr>
          <w:trHeight w:val="179"/>
        </w:trPr>
        <w:tc>
          <w:tcPr>
            <w:tcW w:w="4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460" w:type="dxa"/>
            <w:vAlign w:val="bottom"/>
          </w:tcPr>
          <w:p>
            <w:pPr>
              <w:spacing w:after="0"/>
              <w:rPr>
                <w:sz w:val="20"/>
                <w:szCs w:val="20"/>
                <w:color w:val="auto"/>
              </w:rPr>
            </w:pPr>
            <w:r>
              <w:rPr>
                <w:rFonts w:ascii="Courier New" w:cs="Courier New" w:eastAsia="Courier New" w:hAnsi="Courier New"/>
                <w:sz w:val="16"/>
                <w:szCs w:val="16"/>
                <w:color w:val="auto"/>
                <w:w w:val="94"/>
              </w:rPr>
              <w:t>Ordinary Shares, L0.01 par value.................</w:t>
            </w:r>
          </w:p>
        </w:tc>
        <w:tc>
          <w:tcPr>
            <w:tcW w:w="1480" w:type="dxa"/>
            <w:vAlign w:val="bottom"/>
          </w:tcPr>
          <w:p>
            <w:pPr>
              <w:ind w:left="180"/>
              <w:spacing w:after="0"/>
              <w:rPr>
                <w:sz w:val="20"/>
                <w:szCs w:val="20"/>
                <w:color w:val="auto"/>
              </w:rPr>
            </w:pPr>
            <w:r>
              <w:rPr>
                <w:rFonts w:ascii="Courier New" w:cs="Courier New" w:eastAsia="Courier New" w:hAnsi="Courier New"/>
                <w:sz w:val="16"/>
                <w:szCs w:val="16"/>
                <w:color w:val="auto"/>
              </w:rPr>
              <w:t>6,000,000</w:t>
            </w:r>
          </w:p>
        </w:tc>
        <w:tc>
          <w:tcPr>
            <w:tcW w:w="18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$26.52 (2)</w:t>
            </w:r>
          </w:p>
        </w:tc>
        <w:tc>
          <w:tcPr>
            <w:tcW w:w="20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$159,120,000 (2)</w:t>
            </w:r>
          </w:p>
        </w:tc>
        <w:tc>
          <w:tcPr>
            <w:tcW w:w="17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$20,161</w:t>
            </w:r>
          </w:p>
        </w:tc>
      </w:tr>
    </w:tbl>
    <w:p>
      <w:pPr>
        <w:spacing w:after="0" w:line="362" w:lineRule="exact"/>
        <w:rPr>
          <w:sz w:val="24"/>
          <w:szCs w:val="24"/>
          <w:color w:val="auto"/>
        </w:rPr>
      </w:pPr>
    </w:p>
    <w:p>
      <w:pPr>
        <w:ind w:left="640" w:right="4080" w:hanging="459"/>
        <w:spacing w:after="0" w:line="236"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 of the Securities Act, this Registration Statement shall also cover any additional Ordinary Shares that become issuable under the Plan being registered pursuant to this Registration Statement by reason of any stock dividend, stock split, recapitalization or any other similar transaction effected without the receipt of consideration that results in an increase in the number of the Registrant's outstanding Ordinary Shares.</w:t>
      </w:r>
    </w:p>
    <w:p>
      <w:pPr>
        <w:spacing w:after="0" w:line="183" w:lineRule="exact"/>
        <w:rPr>
          <w:rFonts w:ascii="Courier New" w:cs="Courier New" w:eastAsia="Courier New" w:hAnsi="Courier New"/>
          <w:sz w:val="16"/>
          <w:szCs w:val="16"/>
          <w:color w:val="auto"/>
        </w:rPr>
      </w:pPr>
    </w:p>
    <w:p>
      <w:pPr>
        <w:ind w:left="640" w:right="4260" w:hanging="459"/>
        <w:spacing w:after="0" w:line="235"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Rules 457(c) and 457(h) of the Securities Act of 1933, as amended, and based upon the average of the high and low prices of the Registrant's Ordinary Shares as reported on the New York Stock Exchange on March 24, 2004.</w:t>
      </w:r>
    </w:p>
    <w:p>
      <w:pPr>
        <w:spacing w:after="0" w:line="186" w:lineRule="exact"/>
        <w:rPr>
          <w:sz w:val="24"/>
          <w:szCs w:val="24"/>
          <w:color w:val="auto"/>
        </w:rPr>
      </w:pPr>
    </w:p>
    <w:p>
      <w:pPr>
        <w:ind w:right="4080" w:firstLine="837"/>
        <w:spacing w:after="0" w:line="235" w:lineRule="auto"/>
        <w:rPr>
          <w:sz w:val="20"/>
          <w:szCs w:val="20"/>
          <w:color w:val="auto"/>
        </w:rPr>
      </w:pPr>
      <w:r>
        <w:rPr>
          <w:rFonts w:ascii="Courier New" w:cs="Courier New" w:eastAsia="Courier New" w:hAnsi="Courier New"/>
          <w:sz w:val="16"/>
          <w:szCs w:val="16"/>
          <w:color w:val="auto"/>
        </w:rPr>
        <w:t>The prospectus included in this Registration Statement is a combined prospectus which also relates to an aggregate of 32,300,000 Ordinary Shares previously registered under the Company's registration statements on Form S-8 filed on April 6, 2001, (File No. 333-58454), March 2, 2000 (File No. 333-31506) and December 14, 1999 (File No. 333-92705).</w:t>
      </w:r>
    </w:p>
    <w:p>
      <w:pPr>
        <w:sectPr>
          <w:pgSz w:w="11900" w:h="16838" w:orient="portrait"/>
          <w:cols w:equalWidth="0" w:num="1">
            <w:col w:w="11520"/>
          </w:cols>
          <w:pgMar w:left="240" w:top="416" w:right="139" w:bottom="1440" w:gutter="0" w:footer="0" w:header="0"/>
          <w:type w:val="continuous"/>
        </w:sectPr>
      </w:pPr>
    </w:p>
    <w:bookmarkStart w:id="1" w:name="page2"/>
    <w:bookmarkEnd w:id="1"/>
    <w:p>
      <w:pPr>
        <w:ind w:left="2980"/>
        <w:spacing w:after="0"/>
        <w:rPr>
          <w:sz w:val="20"/>
          <w:szCs w:val="20"/>
          <w:color w:val="auto"/>
        </w:rPr>
      </w:pPr>
      <w:r>
        <w:rPr>
          <w:rFonts w:ascii="Courier New" w:cs="Courier New" w:eastAsia="Courier New" w:hAnsi="Courier New"/>
          <w:sz w:val="16"/>
          <w:szCs w:val="16"/>
          <w:color w:val="auto"/>
        </w:rPr>
        <w:t>EXPLANATORY NOTE</w:t>
      </w:r>
    </w:p>
    <w:p>
      <w:pPr>
        <w:spacing w:after="0" w:line="183" w:lineRule="exact"/>
        <w:rPr>
          <w:sz w:val="20"/>
          <w:szCs w:val="20"/>
          <w:color w:val="auto"/>
        </w:rPr>
      </w:pPr>
    </w:p>
    <w:p>
      <w:pPr>
        <w:ind w:right="2879" w:firstLine="837"/>
        <w:spacing w:after="0" w:line="270" w:lineRule="auto"/>
        <w:rPr>
          <w:sz w:val="20"/>
          <w:szCs w:val="20"/>
          <w:color w:val="auto"/>
        </w:rPr>
      </w:pPr>
      <w:r>
        <w:rPr>
          <w:rFonts w:ascii="Courier New" w:cs="Courier New" w:eastAsia="Courier New" w:hAnsi="Courier New"/>
          <w:sz w:val="14"/>
          <w:szCs w:val="14"/>
          <w:color w:val="auto"/>
        </w:rPr>
        <w:t>This Registration Statement on Form S-8 is being filed for the purpose of registering an additional 6,000,000 ordinary shares, par value L0.01</w:t>
      </w:r>
    </w:p>
    <w:p>
      <w:pPr>
        <w:spacing w:after="0" w:line="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per share ("Ordinary Shares") of Amdocs Limited (the "Company") authorized for issuance pursuant to the Company's 1998 Stock Option and Incentive Plan, as amended (the "Plan"). These additional shares have become authorized for issuance as a result of the adoption of an amendment to the Plan approved by the Company's Board of Directors and shareholders.</w:t>
      </w:r>
    </w:p>
    <w:p>
      <w:pPr>
        <w:spacing w:after="0" w:line="180"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INCORPORATION BY REFERENCE</w:t>
      </w:r>
    </w:p>
    <w:p>
      <w:pPr>
        <w:spacing w:after="0" w:line="183" w:lineRule="exact"/>
        <w:rPr>
          <w:sz w:val="20"/>
          <w:szCs w:val="20"/>
          <w:color w:val="auto"/>
        </w:rPr>
      </w:pPr>
    </w:p>
    <w:p>
      <w:pPr>
        <w:ind w:right="3059" w:firstLine="837"/>
        <w:spacing w:after="0" w:line="270" w:lineRule="auto"/>
        <w:rPr>
          <w:sz w:val="20"/>
          <w:szCs w:val="20"/>
          <w:color w:val="auto"/>
        </w:rPr>
      </w:pPr>
      <w:r>
        <w:rPr>
          <w:rFonts w:ascii="Courier New" w:cs="Courier New" w:eastAsia="Courier New" w:hAnsi="Courier New"/>
          <w:sz w:val="14"/>
          <w:szCs w:val="14"/>
          <w:color w:val="auto"/>
        </w:rPr>
        <w:t>Pursuant to General Instruction E to Form S-8, the contents of three registration statements on Form S-8 (File Nos. 333-58454, 333-31506 and</w:t>
      </w:r>
    </w:p>
    <w:p>
      <w:pPr>
        <w:spacing w:after="0" w:line="1"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333-92705) previously filed by the Company with respect to Ordinary Shares offered pursuant to the Plan are hereby incorporated by reference herein, and the opinions and consents listed below are filed herewith.</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5520" w:type="dxa"/>
            <w:vAlign w:val="bottom"/>
          </w:tcPr>
          <w:p>
            <w:pPr>
              <w:ind w:left="1800"/>
              <w:spacing w:after="0"/>
              <w:rPr>
                <w:sz w:val="20"/>
                <w:szCs w:val="20"/>
                <w:color w:val="auto"/>
              </w:rPr>
            </w:pPr>
            <w:r>
              <w:rPr>
                <w:rFonts w:ascii="Courier New" w:cs="Courier New" w:eastAsia="Courier New" w:hAnsi="Courier New"/>
                <w:sz w:val="16"/>
                <w:szCs w:val="16"/>
                <w:color w:val="auto"/>
              </w:rPr>
              <w:t>Exhibits</w:t>
            </w:r>
          </w:p>
        </w:tc>
      </w:tr>
      <w:tr>
        <w:trPr>
          <w:trHeight w:val="358"/>
        </w:trPr>
        <w:tc>
          <w:tcPr>
            <w:tcW w:w="9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520" w:type="dxa"/>
            <w:vAlign w:val="bottom"/>
          </w:tcPr>
          <w:p>
            <w:pPr>
              <w:spacing w:after="0"/>
              <w:rPr>
                <w:sz w:val="24"/>
                <w:szCs w:val="24"/>
                <w:color w:val="auto"/>
              </w:rPr>
            </w:pPr>
          </w:p>
        </w:tc>
      </w:tr>
      <w:tr>
        <w:trPr>
          <w:trHeight w:val="179"/>
        </w:trPr>
        <w:tc>
          <w:tcPr>
            <w:tcW w:w="90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55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Description</w:t>
            </w:r>
          </w:p>
        </w:tc>
      </w:tr>
      <w:tr>
        <w:trPr>
          <w:trHeight w:val="179"/>
        </w:trPr>
        <w:tc>
          <w:tcPr>
            <w:tcW w:w="9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55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9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5.1</w:t>
            </w:r>
          </w:p>
        </w:tc>
        <w:tc>
          <w:tcPr>
            <w:tcW w:w="55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Opinion of Carey Olsen.</w:t>
            </w:r>
          </w:p>
        </w:tc>
      </w:tr>
      <w:tr>
        <w:trPr>
          <w:trHeight w:val="179"/>
        </w:trPr>
        <w:tc>
          <w:tcPr>
            <w:tcW w:w="9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23.1</w:t>
            </w:r>
          </w:p>
        </w:tc>
        <w:tc>
          <w:tcPr>
            <w:tcW w:w="55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Consent of Carey Olsen (included in Exhibit 5.1).</w:t>
            </w:r>
          </w:p>
        </w:tc>
      </w:tr>
      <w:tr>
        <w:trPr>
          <w:trHeight w:val="179"/>
        </w:trPr>
        <w:tc>
          <w:tcPr>
            <w:tcW w:w="9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23.2</w:t>
            </w:r>
          </w:p>
        </w:tc>
        <w:tc>
          <w:tcPr>
            <w:tcW w:w="55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Consent of Ernst &amp; Young LLP.</w:t>
            </w:r>
          </w:p>
        </w:tc>
      </w:tr>
      <w:tr>
        <w:trPr>
          <w:trHeight w:val="179"/>
        </w:trPr>
        <w:tc>
          <w:tcPr>
            <w:tcW w:w="9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23.3</w:t>
            </w:r>
          </w:p>
        </w:tc>
        <w:tc>
          <w:tcPr>
            <w:tcW w:w="55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Consent of Deloitte &amp; Touche LLP.</w:t>
            </w:r>
          </w:p>
        </w:tc>
      </w:tr>
      <w:tr>
        <w:trPr>
          <w:trHeight w:val="179"/>
        </w:trPr>
        <w:tc>
          <w:tcPr>
            <w:tcW w:w="9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24.1</w:t>
            </w:r>
          </w:p>
        </w:tc>
        <w:tc>
          <w:tcPr>
            <w:tcW w:w="55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6"/>
              </w:rPr>
              <w:t>Power of Attorney (included on the signature page of this</w:t>
            </w:r>
          </w:p>
        </w:tc>
      </w:tr>
      <w:tr>
        <w:trPr>
          <w:trHeight w:val="179"/>
        </w:trPr>
        <w:tc>
          <w:tcPr>
            <w:tcW w:w="900" w:type="dxa"/>
            <w:vAlign w:val="bottom"/>
          </w:tcPr>
          <w:p>
            <w:pPr>
              <w:spacing w:after="0"/>
              <w:rPr>
                <w:sz w:val="15"/>
                <w:szCs w:val="15"/>
                <w:color w:val="auto"/>
              </w:rPr>
            </w:pPr>
          </w:p>
        </w:tc>
        <w:tc>
          <w:tcPr>
            <w:tcW w:w="55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Registration Statement).</w:t>
            </w:r>
          </w:p>
        </w:tc>
      </w:tr>
    </w:tbl>
    <w:p>
      <w:pPr>
        <w:sectPr>
          <w:pgSz w:w="11900" w:h="16838" w:orient="portrait"/>
          <w:cols w:equalWidth="0" w:num="1">
            <w:col w:w="10219"/>
          </w:cols>
          <w:pgMar w:left="240" w:top="648" w:right="1440" w:bottom="1440" w:gutter="0" w:footer="0" w:header="0"/>
        </w:sectPr>
      </w:pPr>
    </w:p>
    <w:bookmarkStart w:id="2" w:name="page3"/>
    <w:bookmarkEnd w:id="2"/>
    <w:p>
      <w:pPr>
        <w:jc w:val="center"/>
        <w:ind w:right="20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200" w:firstLine="837"/>
        <w:spacing w:after="0" w:line="236"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31st day of March, 2004.</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AMDOCS LIMITED</w:t>
      </w:r>
    </w:p>
    <w:p>
      <w:pPr>
        <w:spacing w:after="0" w:line="355" w:lineRule="exact"/>
        <w:rPr>
          <w:sz w:val="20"/>
          <w:szCs w:val="20"/>
          <w:color w:val="auto"/>
        </w:rPr>
      </w:pPr>
    </w:p>
    <w:p>
      <w:pPr>
        <w:ind w:left="3260"/>
        <w:spacing w:after="0"/>
        <w:tabs>
          <w:tab w:leader="none" w:pos="3780" w:val="left"/>
        </w:tabs>
        <w:rPr>
          <w:sz w:val="20"/>
          <w:szCs w:val="20"/>
          <w:color w:val="auto"/>
        </w:rPr>
      </w:pPr>
      <w:r>
        <w:rPr>
          <w:rFonts w:ascii="Courier New" w:cs="Courier New" w:eastAsia="Courier New" w:hAnsi="Courier New"/>
          <w:sz w:val="16"/>
          <w:szCs w:val="16"/>
          <w:color w:val="auto"/>
        </w:rPr>
        <w:t>By:</w:t>
        <w:tab/>
        <w:t>/s/ Bruce K. Anderson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Bruce K. Anderson</w:t>
      </w:r>
    </w:p>
    <w:p>
      <w:pPr>
        <w:ind w:left="3800"/>
        <w:spacing w:after="0" w:line="236" w:lineRule="auto"/>
        <w:rPr>
          <w:sz w:val="20"/>
          <w:szCs w:val="20"/>
          <w:color w:val="auto"/>
        </w:rPr>
      </w:pPr>
      <w:r>
        <w:rPr>
          <w:rFonts w:ascii="Courier New" w:cs="Courier New" w:eastAsia="Courier New" w:hAnsi="Courier New"/>
          <w:sz w:val="16"/>
          <w:szCs w:val="16"/>
          <w:color w:val="auto"/>
        </w:rPr>
        <w:t>President and Chairman of the Board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POWER OF ATTORNEY AND SIGNATURES</w:t>
      </w:r>
    </w:p>
    <w:p>
      <w:pPr>
        <w:spacing w:after="0" w:line="183" w:lineRule="exact"/>
        <w:rPr>
          <w:sz w:val="20"/>
          <w:szCs w:val="20"/>
          <w:color w:val="auto"/>
        </w:rPr>
      </w:pPr>
    </w:p>
    <w:p>
      <w:pPr>
        <w:ind w:right="200" w:firstLine="837"/>
        <w:spacing w:after="0" w:line="236" w:lineRule="auto"/>
        <w:rPr>
          <w:sz w:val="20"/>
          <w:szCs w:val="20"/>
          <w:color w:val="auto"/>
        </w:rPr>
      </w:pPr>
      <w:r>
        <w:rPr>
          <w:rFonts w:ascii="Courier New" w:cs="Courier New" w:eastAsia="Courier New" w:hAnsi="Courier New"/>
          <w:sz w:val="16"/>
          <w:szCs w:val="16"/>
          <w:color w:val="auto"/>
        </w:rPr>
        <w:t>We, the undersigned officers and directors of Amdocs Limited, hereby severally constitute Bruce K. Anderson, Robert A. Minicucci and Thomas G. O'Brien,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86" w:lineRule="exact"/>
        <w:rPr>
          <w:sz w:val="20"/>
          <w:szCs w:val="20"/>
          <w:color w:val="auto"/>
        </w:rPr>
      </w:pPr>
    </w:p>
    <w:p>
      <w:pPr>
        <w:jc w:val="both"/>
        <w:ind w:right="380" w:firstLine="837"/>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this Registration Statement has been signed below by the following persons in the capacities and on the dates indicated.</w:t>
      </w:r>
    </w:p>
    <w:p>
      <w:pPr>
        <w:spacing w:after="0" w:line="200" w:lineRule="exact"/>
        <w:rPr>
          <w:sz w:val="20"/>
          <w:szCs w:val="20"/>
          <w:color w:val="auto"/>
        </w:rPr>
      </w:pPr>
    </w:p>
    <w:p>
      <w:pPr>
        <w:spacing w:after="0" w:line="335" w:lineRule="exact"/>
        <w:rPr>
          <w:sz w:val="20"/>
          <w:szCs w:val="20"/>
          <w:color w:val="auto"/>
        </w:rPr>
      </w:pPr>
    </w:p>
    <w:p>
      <w:pPr>
        <w:ind w:left="1480"/>
        <w:spacing w:after="0"/>
        <w:tabs>
          <w:tab w:leader="none" w:pos="472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ind w:left="1480"/>
        <w:spacing w:after="0" w:line="236" w:lineRule="auto"/>
        <w:tabs>
          <w:tab w:leader="none" w:pos="4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6"/>
          <w:szCs w:val="16"/>
          <w:color w:val="auto"/>
        </w:rPr>
        <w:t>/s/ Bruce K. Anderson</w:t>
      </w:r>
      <w:r>
        <w:rPr>
          <w:sz w:val="20"/>
          <w:szCs w:val="20"/>
          <w:color w:val="auto"/>
        </w:rPr>
        <w:tab/>
      </w:r>
      <w:r>
        <w:rPr>
          <w:rFonts w:ascii="Courier New" w:cs="Courier New" w:eastAsia="Courier New" w:hAnsi="Courier New"/>
          <w:sz w:val="14"/>
          <w:szCs w:val="14"/>
          <w:color w:val="auto"/>
        </w:rPr>
        <w:t>President and Chairman of the Board</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tabs>
          <w:tab w:leader="none" w:pos="3520" w:val="left"/>
        </w:tabs>
        <w:rPr>
          <w:sz w:val="20"/>
          <w:szCs w:val="20"/>
          <w:color w:val="auto"/>
        </w:rPr>
      </w:pPr>
      <w:r>
        <w:rPr>
          <w:rFonts w:ascii="Courier New" w:cs="Courier New" w:eastAsia="Courier New" w:hAnsi="Courier New"/>
          <w:sz w:val="16"/>
          <w:szCs w:val="16"/>
          <w:color w:val="auto"/>
        </w:rPr>
        <w:t>Bruce K. Anderson</w:t>
      </w:r>
      <w:r>
        <w:rPr>
          <w:sz w:val="20"/>
          <w:szCs w:val="20"/>
          <w:color w:val="auto"/>
        </w:rPr>
        <w:tab/>
      </w:r>
      <w:r>
        <w:rPr>
          <w:rFonts w:ascii="Courier New" w:cs="Courier New" w:eastAsia="Courier New" w:hAnsi="Courier New"/>
          <w:sz w:val="14"/>
          <w:szCs w:val="14"/>
          <w:color w:val="auto"/>
        </w:rPr>
        <w:t>(Principal Executive Officer)</w:t>
      </w:r>
    </w:p>
    <w:p>
      <w:pPr>
        <w:spacing w:after="0" w:line="17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6"/>
          <w:szCs w:val="16"/>
          <w:color w:val="auto"/>
        </w:rPr>
        <w:t>/s/ Robert A. Minicucci</w:t>
      </w:r>
      <w:r>
        <w:rPr>
          <w:sz w:val="20"/>
          <w:szCs w:val="20"/>
          <w:color w:val="auto"/>
        </w:rPr>
        <w:tab/>
      </w:r>
      <w:r>
        <w:rPr>
          <w:rFonts w:ascii="Courier New" w:cs="Courier New" w:eastAsia="Courier New" w:hAnsi="Courier New"/>
          <w:sz w:val="14"/>
          <w:szCs w:val="14"/>
          <w:color w:val="auto"/>
        </w:rPr>
        <w:t>Vice President and Director</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tabs>
          <w:tab w:leader="none" w:pos="3520" w:val="left"/>
        </w:tabs>
        <w:rPr>
          <w:sz w:val="20"/>
          <w:szCs w:val="20"/>
          <w:color w:val="auto"/>
        </w:rPr>
      </w:pPr>
      <w:r>
        <w:rPr>
          <w:rFonts w:ascii="Courier New" w:cs="Courier New" w:eastAsia="Courier New" w:hAnsi="Courier New"/>
          <w:sz w:val="16"/>
          <w:szCs w:val="16"/>
          <w:color w:val="auto"/>
        </w:rPr>
        <w:t>Robert A. Minicucci</w:t>
      </w:r>
      <w:r>
        <w:rPr>
          <w:sz w:val="20"/>
          <w:szCs w:val="20"/>
          <w:color w:val="auto"/>
        </w:rPr>
        <w:tab/>
      </w:r>
      <w:r>
        <w:rPr>
          <w:rFonts w:ascii="Courier New" w:cs="Courier New" w:eastAsia="Courier New" w:hAnsi="Courier New"/>
          <w:sz w:val="14"/>
          <w:szCs w:val="14"/>
          <w:color w:val="auto"/>
        </w:rPr>
        <w:t>(Principal Financial Officer)</w:t>
      </w:r>
    </w:p>
    <w:p>
      <w:pPr>
        <w:spacing w:after="0" w:line="17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6"/>
          <w:szCs w:val="16"/>
          <w:color w:val="auto"/>
        </w:rPr>
        <w:t>/s/ Avinoam Naor</w:t>
      </w:r>
      <w:r>
        <w:rPr>
          <w:sz w:val="20"/>
          <w:szCs w:val="20"/>
          <w:color w:val="auto"/>
        </w:rPr>
        <w:tab/>
      </w:r>
      <w:r>
        <w:rPr>
          <w:rFonts w:ascii="Courier New" w:cs="Courier New" w:eastAsia="Courier New" w:hAnsi="Courier New"/>
          <w:sz w:val="14"/>
          <w:szCs w:val="14"/>
          <w:color w:val="auto"/>
        </w:rPr>
        <w:t>Director</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Avinoam Naor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Date</w:t>
      </w:r>
    </w:p>
    <w:p>
      <w:pPr>
        <w:ind w:left="20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2004</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2004</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2004</w:t>
      </w:r>
    </w:p>
    <w:p>
      <w:pPr>
        <w:sectPr>
          <w:pgSz w:w="11900" w:h="16838" w:orient="portrait"/>
          <w:cols w:equalWidth="0" w:num="2">
            <w:col w:w="7640" w:space="720"/>
            <w:col w:w="1859"/>
          </w:cols>
          <w:pgMar w:left="240" w:top="64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3200" w:type="dxa"/>
            <w:vAlign w:val="bottom"/>
          </w:tcPr>
          <w:p>
            <w:pPr>
              <w:ind w:left="1480"/>
              <w:spacing w:after="0"/>
              <w:rPr>
                <w:sz w:val="20"/>
                <w:szCs w:val="20"/>
                <w:color w:val="auto"/>
              </w:rPr>
            </w:pPr>
            <w:r>
              <w:rPr>
                <w:rFonts w:ascii="Courier New" w:cs="Courier New" w:eastAsia="Courier New" w:hAnsi="Courier New"/>
                <w:sz w:val="16"/>
                <w:szCs w:val="16"/>
                <w:color w:val="auto"/>
              </w:rPr>
              <w:t>Signature</w:t>
            </w:r>
          </w:p>
        </w:tc>
        <w:tc>
          <w:tcPr>
            <w:tcW w:w="4380" w:type="dxa"/>
            <w:vAlign w:val="bottom"/>
          </w:tcPr>
          <w:p>
            <w:pPr>
              <w:ind w:left="1540"/>
              <w:spacing w:after="0"/>
              <w:rPr>
                <w:sz w:val="20"/>
                <w:szCs w:val="20"/>
                <w:color w:val="auto"/>
              </w:rPr>
            </w:pPr>
            <w:r>
              <w:rPr>
                <w:rFonts w:ascii="Courier New" w:cs="Courier New" w:eastAsia="Courier New" w:hAnsi="Courier New"/>
                <w:sz w:val="16"/>
                <w:szCs w:val="16"/>
                <w:color w:val="auto"/>
              </w:rPr>
              <w:t>Title</w:t>
            </w:r>
          </w:p>
        </w:tc>
        <w:tc>
          <w:tcPr>
            <w:tcW w:w="2100" w:type="dxa"/>
            <w:vAlign w:val="bottom"/>
          </w:tcPr>
          <w:p>
            <w:pPr>
              <w:ind w:left="980"/>
              <w:spacing w:after="0"/>
              <w:rPr>
                <w:sz w:val="20"/>
                <w:szCs w:val="20"/>
                <w:color w:val="auto"/>
              </w:rPr>
            </w:pPr>
            <w:r>
              <w:rPr>
                <w:rFonts w:ascii="Courier New" w:cs="Courier New" w:eastAsia="Courier New" w:hAnsi="Courier New"/>
                <w:sz w:val="16"/>
                <w:szCs w:val="16"/>
                <w:color w:val="auto"/>
              </w:rPr>
              <w:t>Date</w:t>
            </w:r>
          </w:p>
        </w:tc>
      </w:tr>
      <w:tr>
        <w:trPr>
          <w:trHeight w:val="179"/>
        </w:trPr>
        <w:tc>
          <w:tcPr>
            <w:tcW w:w="320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w:t>
            </w:r>
          </w:p>
        </w:tc>
        <w:tc>
          <w:tcPr>
            <w:tcW w:w="4380" w:type="dxa"/>
            <w:vAlign w:val="bottom"/>
          </w:tcPr>
          <w:p>
            <w:pPr>
              <w:ind w:left="1540"/>
              <w:spacing w:after="0" w:line="179" w:lineRule="exact"/>
              <w:rPr>
                <w:sz w:val="20"/>
                <w:szCs w:val="20"/>
                <w:color w:val="auto"/>
              </w:rPr>
            </w:pPr>
            <w:r>
              <w:rPr>
                <w:rFonts w:ascii="Courier New" w:cs="Courier New" w:eastAsia="Courier New" w:hAnsi="Courier New"/>
                <w:sz w:val="16"/>
                <w:szCs w:val="16"/>
                <w:color w:val="auto"/>
              </w:rPr>
              <w:t>-----</w:t>
            </w:r>
          </w:p>
        </w:tc>
        <w:tc>
          <w:tcPr>
            <w:tcW w:w="210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Adrian Gardner</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Adrian Gardner</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Dov Baharav</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Dov Baharav</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Julian A. Brodsky</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Julian A. Brodsky</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Charles E. Foster</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Charles E. Foster</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Eli Gelman</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Eli Gelman</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James S. Kahan</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James S. Kahan</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Nehmeia Lemelbaum</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Nehmeia Lemelbaum</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John T. McLennan</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John T. McLennan</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Mario Segal</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Mario Segal</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58"/>
        </w:trPr>
        <w:tc>
          <w:tcPr>
            <w:tcW w:w="3200" w:type="dxa"/>
            <w:vAlign w:val="bottom"/>
          </w:tcPr>
          <w:p>
            <w:pPr>
              <w:spacing w:after="0"/>
              <w:rPr>
                <w:sz w:val="20"/>
                <w:szCs w:val="20"/>
                <w:color w:val="auto"/>
              </w:rPr>
            </w:pPr>
            <w:r>
              <w:rPr>
                <w:rFonts w:ascii="Courier New" w:cs="Courier New" w:eastAsia="Courier New" w:hAnsi="Courier New"/>
                <w:sz w:val="16"/>
                <w:szCs w:val="16"/>
                <w:color w:val="auto"/>
              </w:rPr>
              <w:t>/s/ Thomas G. O'Brien</w:t>
            </w:r>
          </w:p>
        </w:tc>
        <w:tc>
          <w:tcPr>
            <w:tcW w:w="4380" w:type="dxa"/>
            <w:vAlign w:val="bottom"/>
          </w:tcPr>
          <w:p>
            <w:pPr>
              <w:ind w:left="340"/>
              <w:spacing w:after="0"/>
              <w:rPr>
                <w:sz w:val="20"/>
                <w:szCs w:val="20"/>
                <w:color w:val="auto"/>
              </w:rPr>
            </w:pPr>
            <w:r>
              <w:rPr>
                <w:rFonts w:ascii="Courier New" w:cs="Courier New" w:eastAsia="Courier New" w:hAnsi="Courier New"/>
                <w:sz w:val="16"/>
                <w:szCs w:val="16"/>
                <w:color w:val="auto"/>
              </w:rPr>
              <w:t>Amdocs Limited's Authorized</w:t>
            </w:r>
          </w:p>
        </w:tc>
        <w:tc>
          <w:tcPr>
            <w:tcW w:w="2100" w:type="dxa"/>
            <w:vAlign w:val="bottom"/>
          </w:tcPr>
          <w:p>
            <w:pPr>
              <w:ind w:left="780"/>
              <w:spacing w:after="0"/>
              <w:rPr>
                <w:sz w:val="20"/>
                <w:szCs w:val="20"/>
                <w:color w:val="auto"/>
              </w:rPr>
            </w:pPr>
            <w:r>
              <w:rPr>
                <w:rFonts w:ascii="Courier New" w:cs="Courier New" w:eastAsia="Courier New" w:hAnsi="Courier New"/>
                <w:sz w:val="16"/>
                <w:szCs w:val="16"/>
                <w:color w:val="auto"/>
                <w:w w:val="96"/>
              </w:rPr>
              <w:t>March 31, 2004</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Thomas G. O'Brien</w:t>
            </w:r>
          </w:p>
        </w:tc>
        <w:tc>
          <w:tcPr>
            <w:tcW w:w="43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Representative in the United States</w:t>
            </w:r>
          </w:p>
        </w:tc>
        <w:tc>
          <w:tcPr>
            <w:tcW w:w="2100" w:type="dxa"/>
            <w:vAlign w:val="bottom"/>
          </w:tcPr>
          <w:p>
            <w:pPr>
              <w:spacing w:after="0"/>
              <w:rPr>
                <w:sz w:val="15"/>
                <w:szCs w:val="15"/>
                <w:color w:val="auto"/>
              </w:rPr>
            </w:pPr>
          </w:p>
        </w:tc>
      </w:tr>
    </w:tbl>
    <w:p>
      <w:pPr>
        <w:sectPr>
          <w:pgSz w:w="11900" w:h="16838" w:orient="portrait"/>
          <w:cols w:equalWidth="0" w:num="1">
            <w:col w:w="10219"/>
          </w:cols>
          <w:pgMar w:left="240" w:top="1006"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5620" w:type="dxa"/>
            <w:vAlign w:val="bottom"/>
          </w:tcPr>
          <w:p>
            <w:pPr>
              <w:ind w:left="1720"/>
              <w:spacing w:after="0"/>
              <w:rPr>
                <w:sz w:val="20"/>
                <w:szCs w:val="20"/>
                <w:color w:val="auto"/>
              </w:rPr>
            </w:pPr>
            <w:r>
              <w:rPr>
                <w:rFonts w:ascii="Courier New" w:cs="Courier New" w:eastAsia="Courier New" w:hAnsi="Courier New"/>
                <w:sz w:val="16"/>
                <w:szCs w:val="16"/>
                <w:color w:val="auto"/>
              </w:rPr>
              <w:t>Exhibit Index</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620" w:type="dxa"/>
            <w:vAlign w:val="bottom"/>
          </w:tcPr>
          <w:p>
            <w:pPr>
              <w:spacing w:after="0"/>
              <w:rPr>
                <w:sz w:val="24"/>
                <w:szCs w:val="24"/>
                <w:color w:val="auto"/>
              </w:rPr>
            </w:pP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5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Description</w:t>
            </w: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5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5.1</w:t>
            </w:r>
          </w:p>
        </w:tc>
        <w:tc>
          <w:tcPr>
            <w:tcW w:w="5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Opinion of Carey Olsen.</w:t>
            </w:r>
          </w:p>
        </w:tc>
      </w:tr>
      <w:tr>
        <w:trPr>
          <w:trHeight w:val="179"/>
        </w:trPr>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23.1</w:t>
            </w:r>
          </w:p>
        </w:tc>
        <w:tc>
          <w:tcPr>
            <w:tcW w:w="5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Consent of Carey Olsen (included in Exhibit 5.1).</w:t>
            </w:r>
          </w:p>
        </w:tc>
      </w:tr>
      <w:tr>
        <w:trPr>
          <w:trHeight w:val="179"/>
        </w:trPr>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23.2</w:t>
            </w:r>
          </w:p>
        </w:tc>
        <w:tc>
          <w:tcPr>
            <w:tcW w:w="5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Consent of Ernst &amp; Young LLP.</w:t>
            </w:r>
          </w:p>
        </w:tc>
      </w:tr>
      <w:tr>
        <w:trPr>
          <w:trHeight w:val="179"/>
        </w:trPr>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23.3</w:t>
            </w:r>
          </w:p>
        </w:tc>
        <w:tc>
          <w:tcPr>
            <w:tcW w:w="5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Consent of Deloitte &amp; Touche LLP.</w:t>
            </w:r>
          </w:p>
        </w:tc>
      </w:tr>
      <w:tr>
        <w:trPr>
          <w:trHeight w:val="179"/>
        </w:trPr>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24.1</w:t>
            </w:r>
          </w:p>
        </w:tc>
        <w:tc>
          <w:tcPr>
            <w:tcW w:w="5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Power of Attorney (included on the signature page of this</w:t>
            </w:r>
          </w:p>
        </w:tc>
      </w:tr>
      <w:tr>
        <w:trPr>
          <w:trHeight w:val="179"/>
        </w:trPr>
        <w:tc>
          <w:tcPr>
            <w:tcW w:w="980" w:type="dxa"/>
            <w:vAlign w:val="bottom"/>
          </w:tcPr>
          <w:p>
            <w:pPr>
              <w:spacing w:after="0"/>
              <w:rPr>
                <w:sz w:val="15"/>
                <w:szCs w:val="15"/>
                <w:color w:val="auto"/>
              </w:rPr>
            </w:pPr>
          </w:p>
        </w:tc>
        <w:tc>
          <w:tcPr>
            <w:tcW w:w="56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Registration Statement).</w:t>
            </w:r>
          </w:p>
        </w:tc>
      </w:tr>
    </w:tbl>
    <w:p>
      <w:pPr>
        <w:sectPr>
          <w:pgSz w:w="11900" w:h="16838" w:orient="portrait"/>
          <w:cols w:equalWidth="0" w:num="1">
            <w:col w:w="9759"/>
          </w:cols>
          <w:pgMar w:left="700" w:top="648" w:right="1440" w:bottom="1440" w:gutter="0" w:footer="0" w:header="0"/>
        </w:sectPr>
      </w:pPr>
    </w:p>
    <w:bookmarkStart w:id="5" w:name="page6"/>
    <w:bookmarkEnd w:id="5"/>
    <w:p>
      <w:pPr>
        <w:jc w:val="right"/>
        <w:ind w:right="2779"/>
        <w:spacing w:after="0"/>
        <w:rPr>
          <w:sz w:val="20"/>
          <w:szCs w:val="20"/>
          <w:color w:val="auto"/>
        </w:rPr>
      </w:pPr>
      <w:r>
        <w:rPr>
          <w:rFonts w:ascii="Courier New" w:cs="Courier New" w:eastAsia="Courier New" w:hAnsi="Courier New"/>
          <w:sz w:val="16"/>
          <w:szCs w:val="16"/>
          <w:color w:val="auto"/>
        </w:rPr>
        <w:t>EXHIBIT 5.1</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(Letterhead of Carey Olsen)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w:t>
      </w:r>
    </w:p>
    <w:p>
      <w:pPr>
        <w:spacing w:after="0" w:line="236" w:lineRule="auto"/>
        <w:rPr>
          <w:sz w:val="20"/>
          <w:szCs w:val="20"/>
          <w:color w:val="auto"/>
        </w:rPr>
      </w:pPr>
      <w:r>
        <w:rPr>
          <w:rFonts w:ascii="Courier New" w:cs="Courier New" w:eastAsia="Courier New" w:hAnsi="Courier New"/>
          <w:sz w:val="16"/>
          <w:szCs w:val="16"/>
          <w:color w:val="auto"/>
        </w:rPr>
        <w:t>Tower Hill House</w:t>
      </w:r>
    </w:p>
    <w:p>
      <w:pPr>
        <w:spacing w:after="0" w:line="237" w:lineRule="auto"/>
        <w:rPr>
          <w:sz w:val="20"/>
          <w:szCs w:val="20"/>
          <w:color w:val="auto"/>
        </w:rPr>
      </w:pPr>
      <w:r>
        <w:rPr>
          <w:rFonts w:ascii="Courier New" w:cs="Courier New" w:eastAsia="Courier New" w:hAnsi="Courier New"/>
          <w:sz w:val="16"/>
          <w:szCs w:val="16"/>
          <w:color w:val="auto"/>
        </w:rPr>
        <w:t>The Bordage</w:t>
      </w:r>
    </w:p>
    <w:p>
      <w:pPr>
        <w:spacing w:after="0" w:line="237" w:lineRule="auto"/>
        <w:rPr>
          <w:sz w:val="20"/>
          <w:szCs w:val="20"/>
          <w:color w:val="auto"/>
        </w:rPr>
      </w:pPr>
      <w:r>
        <w:rPr>
          <w:rFonts w:ascii="Courier New" w:cs="Courier New" w:eastAsia="Courier New" w:hAnsi="Courier New"/>
          <w:sz w:val="16"/>
          <w:szCs w:val="16"/>
          <w:color w:val="auto"/>
        </w:rPr>
        <w:t>St. Peter Port</w:t>
      </w:r>
    </w:p>
    <w:p>
      <w:pPr>
        <w:spacing w:after="0" w:line="237" w:lineRule="auto"/>
        <w:rPr>
          <w:sz w:val="20"/>
          <w:szCs w:val="20"/>
          <w:color w:val="auto"/>
        </w:rPr>
      </w:pPr>
      <w:r>
        <w:rPr>
          <w:rFonts w:ascii="Courier New" w:cs="Courier New" w:eastAsia="Courier New" w:hAnsi="Courier New"/>
          <w:sz w:val="16"/>
          <w:szCs w:val="16"/>
          <w:color w:val="auto"/>
        </w:rPr>
        <w:t>Guernsey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2004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 REGISTRATION STATEMENT ON FORM S-8</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following opinion is furnished to you in connection with the filing by Amdocs Limited of its registration statement on Form S-8 (the "Registration Statement"), under the Securities Act of 1933, as amended, relating to the registration of an additional 6,000,000 of its ordinary shares, L0.01 par value (the "Shares"), issuable upon the exercise of certain stock options granted under the Company's 1998 Stock Option and Incentive Plan, as amended (the "Plan").</w:t>
      </w:r>
    </w:p>
    <w:p>
      <w:pPr>
        <w:spacing w:after="0" w:line="18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 that connection, we have examined originals, or copies certified or otherwise identified to our satisfaction, of such documents, corporate records and other instruments as we have deemed necessary or appropriate for the purposes of this opinion, including the Plan and the Articles of Association and Memorandum of Association of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upon such examination, we are of opinion that:</w:t>
      </w:r>
    </w:p>
    <w:p>
      <w:pPr>
        <w:spacing w:after="0" w:line="183" w:lineRule="exact"/>
        <w:rPr>
          <w:sz w:val="20"/>
          <w:szCs w:val="20"/>
          <w:color w:val="auto"/>
        </w:rPr>
      </w:pPr>
    </w:p>
    <w:p>
      <w:pPr>
        <w:ind w:left="1300" w:right="3439" w:hanging="467"/>
        <w:spacing w:after="0" w:line="295" w:lineRule="auto"/>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organized and validly exists as a corporation under the laws of Guernsey, Channel Islands.</w:t>
      </w:r>
    </w:p>
    <w:p>
      <w:pPr>
        <w:spacing w:after="0" w:line="146" w:lineRule="exact"/>
        <w:rPr>
          <w:rFonts w:ascii="Courier New" w:cs="Courier New" w:eastAsia="Courier New" w:hAnsi="Courier New"/>
          <w:sz w:val="14"/>
          <w:szCs w:val="14"/>
          <w:color w:val="auto"/>
        </w:rPr>
      </w:pPr>
    </w:p>
    <w:p>
      <w:pPr>
        <w:ind w:left="1300" w:right="2879" w:hanging="467"/>
        <w:spacing w:after="0" w:line="279" w:lineRule="auto"/>
        <w:tabs>
          <w:tab w:leader="none" w:pos="13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issued and sold upon the exercise of options granted or pursuant to awards made in accordance with the terms of the Plan as contemplated by the Registration Statement, each of the Shares will be validly issued, fully paid and non-assessable.</w:t>
      </w:r>
    </w:p>
    <w:p>
      <w:pPr>
        <w:spacing w:after="0" w:line="157"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We express no opinion on any law other than the law of Guernsey as of the date hereof.</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We hereby consent to the use of this opinion as an exhibit to the Registration 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Yours faithfully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Carey Olsen</w:t>
      </w:r>
    </w:p>
    <w:p>
      <w:pPr>
        <w:spacing w:after="0" w:line="236" w:lineRule="auto"/>
        <w:rPr>
          <w:sz w:val="20"/>
          <w:szCs w:val="20"/>
          <w:color w:val="auto"/>
        </w:rPr>
      </w:pPr>
      <w:r>
        <w:rPr>
          <w:rFonts w:ascii="Courier New" w:cs="Courier New" w:eastAsia="Courier New" w:hAnsi="Courier New"/>
          <w:sz w:val="16"/>
          <w:szCs w:val="16"/>
          <w:color w:val="auto"/>
        </w:rPr>
        <w:t>Carey Olsen</w:t>
      </w:r>
    </w:p>
    <w:p>
      <w:pPr>
        <w:sectPr>
          <w:pgSz w:w="11900" w:h="16838" w:orient="portrait"/>
          <w:cols w:equalWidth="0" w:num="1">
            <w:col w:w="10219"/>
          </w:cols>
          <w:pgMar w:left="240" w:top="493" w:right="1440" w:bottom="1440" w:gutter="0" w:footer="0" w:header="0"/>
        </w:sectPr>
      </w:pPr>
    </w:p>
    <w:bookmarkStart w:id="6" w:name="page7"/>
    <w:bookmarkEnd w:id="6"/>
    <w:p>
      <w:pPr>
        <w:jc w:val="right"/>
        <w:ind w:right="2779"/>
        <w:spacing w:after="0"/>
        <w:rPr>
          <w:sz w:val="20"/>
          <w:szCs w:val="20"/>
          <w:color w:val="auto"/>
        </w:rPr>
      </w:pPr>
      <w:r>
        <w:rPr>
          <w:rFonts w:ascii="Courier New" w:cs="Courier New" w:eastAsia="Courier New" w:hAnsi="Courier New"/>
          <w:sz w:val="16"/>
          <w:szCs w:val="16"/>
          <w:color w:val="auto"/>
        </w:rPr>
        <w:t>EXHIBIT 23.2</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183"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on Form S-8 pertaining to the Amdocs Limited 1998 Stock Option and Incentive Plan, as amended, of our report dated October 30, 2003, with respect to the consolidated financial statements and schedule of Amdocs Limited, included in its Annual Report (Form 20-F) for the year ended September 30, 2003, filed with the Securities and Exchange Commission on December 24, 2003.</w:t>
      </w:r>
    </w:p>
    <w:p>
      <w:pPr>
        <w:spacing w:after="0" w:line="33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36" w:lineRule="auto"/>
        <w:rPr>
          <w:sz w:val="20"/>
          <w:szCs w:val="20"/>
          <w:color w:val="auto"/>
        </w:rPr>
      </w:pPr>
      <w:r>
        <w:rPr>
          <w:rFonts w:ascii="Courier New" w:cs="Courier New" w:eastAsia="Courier New" w:hAnsi="Courier New"/>
          <w:sz w:val="16"/>
          <w:szCs w:val="16"/>
          <w:color w:val="auto"/>
        </w:rPr>
        <w:t>March 31, 2004</w:t>
      </w:r>
    </w:p>
    <w:p>
      <w:pPr>
        <w:sectPr>
          <w:pgSz w:w="11900" w:h="16838" w:orient="portrait"/>
          <w:cols w:equalWidth="0" w:num="1">
            <w:col w:w="10219"/>
          </w:cols>
          <w:pgMar w:left="240" w:top="493" w:right="1440" w:bottom="1440" w:gutter="0" w:footer="0" w:header="0"/>
        </w:sectPr>
      </w:pPr>
    </w:p>
    <w:bookmarkStart w:id="7" w:name="page8"/>
    <w:bookmarkEnd w:id="7"/>
    <w:p>
      <w:pPr>
        <w:jc w:val="right"/>
        <w:ind w:right="2779"/>
        <w:spacing w:after="0"/>
        <w:rPr>
          <w:sz w:val="20"/>
          <w:szCs w:val="20"/>
          <w:color w:val="auto"/>
        </w:rPr>
      </w:pPr>
      <w:r>
        <w:rPr>
          <w:rFonts w:ascii="Courier New" w:cs="Courier New" w:eastAsia="Courier New" w:hAnsi="Courier New"/>
          <w:sz w:val="16"/>
          <w:szCs w:val="16"/>
          <w:color w:val="auto"/>
        </w:rPr>
        <w:t>EXHIBIT 23.3</w:t>
      </w:r>
    </w:p>
    <w:p>
      <w:pPr>
        <w:spacing w:after="0" w:line="183"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Deloitte &amp; Touche LLP</w:t>
      </w:r>
    </w:p>
    <w:p>
      <w:pPr>
        <w:spacing w:after="0" w:line="1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1 Place Ville Marie</w:t>
      </w:r>
    </w:p>
    <w:p>
      <w:pPr>
        <w:ind w:left="5480"/>
        <w:spacing w:after="0" w:line="236" w:lineRule="auto"/>
        <w:rPr>
          <w:sz w:val="20"/>
          <w:szCs w:val="20"/>
          <w:color w:val="auto"/>
        </w:rPr>
      </w:pPr>
      <w:r>
        <w:rPr>
          <w:rFonts w:ascii="Courier New" w:cs="Courier New" w:eastAsia="Courier New" w:hAnsi="Courier New"/>
          <w:sz w:val="16"/>
          <w:szCs w:val="16"/>
          <w:color w:val="auto"/>
        </w:rPr>
        <w:t>Suite 3000</w:t>
      </w:r>
    </w:p>
    <w:p>
      <w:pPr>
        <w:ind w:left="5480"/>
        <w:spacing w:after="0"/>
        <w:tabs>
          <w:tab w:leader="none" w:pos="6680" w:val="left"/>
        </w:tabs>
        <w:rPr>
          <w:sz w:val="20"/>
          <w:szCs w:val="20"/>
          <w:color w:val="auto"/>
        </w:rPr>
      </w:pPr>
      <w:r>
        <w:rPr>
          <w:rFonts w:ascii="Courier New" w:cs="Courier New" w:eastAsia="Courier New" w:hAnsi="Courier New"/>
          <w:sz w:val="16"/>
          <w:szCs w:val="16"/>
          <w:color w:val="auto"/>
        </w:rPr>
        <w:t>Montreal QC</w:t>
      </w:r>
      <w:r>
        <w:rPr>
          <w:sz w:val="20"/>
          <w:szCs w:val="20"/>
          <w:color w:val="auto"/>
        </w:rPr>
        <w:tab/>
      </w:r>
      <w:r>
        <w:rPr>
          <w:rFonts w:ascii="Courier New" w:cs="Courier New" w:eastAsia="Courier New" w:hAnsi="Courier New"/>
          <w:sz w:val="14"/>
          <w:szCs w:val="14"/>
          <w:color w:val="auto"/>
        </w:rPr>
        <w:t>H3B 4T9</w:t>
      </w:r>
    </w:p>
    <w:p>
      <w:pPr>
        <w:ind w:left="5480"/>
        <w:spacing w:after="0" w:line="237" w:lineRule="auto"/>
        <w:rPr>
          <w:sz w:val="20"/>
          <w:szCs w:val="20"/>
          <w:color w:val="auto"/>
        </w:rPr>
      </w:pPr>
      <w:r>
        <w:rPr>
          <w:rFonts w:ascii="Courier New" w:cs="Courier New" w:eastAsia="Courier New" w:hAnsi="Courier New"/>
          <w:sz w:val="16"/>
          <w:szCs w:val="16"/>
          <w:color w:val="auto"/>
        </w:rPr>
        <w:t>Canada</w:t>
      </w:r>
    </w:p>
    <w:p>
      <w:pPr>
        <w:spacing w:after="0" w:line="177"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Tel: (514) 393-7115</w:t>
      </w:r>
    </w:p>
    <w:p>
      <w:pPr>
        <w:ind w:left="5480"/>
        <w:spacing w:after="0" w:line="236" w:lineRule="auto"/>
        <w:rPr>
          <w:sz w:val="20"/>
          <w:szCs w:val="20"/>
          <w:color w:val="auto"/>
        </w:rPr>
      </w:pPr>
      <w:r>
        <w:rPr>
          <w:rFonts w:ascii="Courier New" w:cs="Courier New" w:eastAsia="Courier New" w:hAnsi="Courier New"/>
          <w:sz w:val="16"/>
          <w:szCs w:val="16"/>
          <w:color w:val="auto"/>
        </w:rPr>
        <w:t>Fax: (514) 390-4113</w:t>
      </w:r>
    </w:p>
    <w:p>
      <w:pPr>
        <w:ind w:left="5480"/>
        <w:spacing w:after="0" w:line="237" w:lineRule="auto"/>
        <w:rPr>
          <w:sz w:val="20"/>
          <w:szCs w:val="20"/>
          <w:color w:val="auto"/>
        </w:rPr>
      </w:pPr>
      <w:r>
        <w:rPr>
          <w:rFonts w:ascii="Courier New" w:cs="Courier New" w:eastAsia="Courier New" w:hAnsi="Courier New"/>
          <w:sz w:val="16"/>
          <w:szCs w:val="16"/>
          <w:color w:val="auto"/>
        </w:rPr>
        <w:t>www.deloitte.ca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on Form S-8, pertaining to the Amdocs Limited 1998 Stock Option and Incentive Plan, as amended, of our report dated March 19, 2003 (except for Note 17, which is as of July 2, 2003), related to the consolidated financial statements of Certen Inc., as of and for the years ended December 31, 2001 and 2002, appearing in the Annual Report of Amdocs Limited on form 20-F, for the year ended September 30, 2003, filed with the Securities and Exchange Commission on December 24, 2003.</w:t>
      </w:r>
    </w:p>
    <w:p>
      <w:pPr>
        <w:spacing w:after="0" w:line="158"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/s/</w:t>
        <w:tab/>
        <w:t>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Montreal, Quebec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2004</w:t>
      </w:r>
    </w:p>
    <w:sectPr>
      <w:pgSz w:w="11900" w:h="16838" w:orient="portrait"/>
      <w:cols w:equalWidth="0" w:num="1">
        <w:col w:w="10219"/>
      </w:cols>
      <w:pgMar w:left="2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1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2019-12-14T21:18:19Z</dcterms:created>
  <dcterms:modified xsi:type="dcterms:W3CDTF">2019-12-14T21:18:19Z</dcterms:modified>
</cp:coreProperties>
</file>