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8441d6k.htm"/>
      <w:bookmarkStart w:id="1" w:name="ksd28441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November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1-14840 </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AMDOCS LIMITED </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Hirzel House, Smith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St. Peter Port, Island of Guernsey, GY1 2NG </w:t>
      </w:r>
    </w:p>
    <w:p>
      <w:pPr>
        <w:pStyle w:val="TextBody"/>
        <w:bidi w:val="0"/>
        <w:spacing w:before="0" w:after="0"/>
        <w:jc w:val="center"/>
        <w:rPr>
          <w:rFonts w:ascii="Times New Roman" w:hAnsi="Times New Roman"/>
          <w:b/>
          <w:sz w:val="20"/>
        </w:rPr>
      </w:pPr>
      <w:r>
        <w:rPr>
          <w:rFonts w:ascii="Times New Roman" w:hAnsi="Times New Roman"/>
          <w:b/>
          <w:sz w:val="20"/>
        </w:rPr>
        <w:t xml:space="preserve">Amdocs, Inc. </w:t>
      </w:r>
    </w:p>
    <w:p>
      <w:pPr>
        <w:pStyle w:val="TextBody"/>
        <w:bidi w:val="0"/>
        <w:spacing w:before="0" w:after="0"/>
        <w:jc w:val="center"/>
        <w:rPr>
          <w:rFonts w:ascii="Times New Roman" w:hAnsi="Times New Roman"/>
          <w:b/>
          <w:sz w:val="20"/>
        </w:rPr>
      </w:pPr>
      <w:r>
        <w:rPr>
          <w:rFonts w:ascii="Times New Roman" w:hAnsi="Times New Roman"/>
          <w:b/>
          <w:sz w:val="20"/>
        </w:rPr>
        <w:t xml:space="preserve">625 Maryville Centre Drive, Suite 200, Saint Louis, Missouri 63141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pPr>
      <w: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pPr>
      <w:r/>
    </w:p>
    <w:p>
      <w:pPr>
        <w:pStyle w:val="TextBody"/>
        <w:bidi w:val="0"/>
        <w:spacing w:before="0" w:after="0"/>
        <w:jc w:val="left"/>
        <w:rPr>
          <w:rFonts w:ascii="Times New Roman" w:hAnsi="Times New Roman"/>
          <w:sz w:val="20"/>
        </w:rPr>
      </w:pPr>
      <w:r>
        <w:rPr>
          <w:rFonts w:ascii="Times New Roman" w:hAnsi="Times New Roman"/>
          <w:sz w:val="20"/>
        </w:rPr>
        <w:t xml:space="preserve">On November 3, 2026, Amdocs Limited (“Amdocs”) issued a press release announcing financial results for the quarter ended September 30, 2026. A copy of the press release and the accompanying presentation are furnished as Exhibits 99.1 and 99.2 to this Report of Foreign Private Issuer on Form 6-K.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Form 6-K (including Exhibits 99.1 and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w:t>
      </w:r>
      <w:r>
        <w:br w:type="page"/>
      </w:r>
    </w:p>
    <w:p>
      <w:pPr>
        <w:pStyle w:val="HorizontalLine"/>
        <w:pBdr>
          <w:bottom w:val="double" w:sz="6" w:space="0" w:color="808080"/>
        </w:pBdr>
        <w:bidi w:val="0"/>
        <w:jc w:val="left"/>
      </w:pPr>
      <w:r/>
    </w:p>
    <w:p>
      <w:pPr>
        <w:pStyle w:val="TextBody"/>
        <w:bidi w:val="0"/>
        <w:spacing w:before="0" w:after="0"/>
        <w:jc w:val="center"/>
        <w:rPr>
          <w:rFonts w:ascii="Times New Roman" w:hAnsi="Times New Roman"/>
          <w:sz w:val="20"/>
        </w:rPr>
      </w:pPr>
      <w:r>
        <w:rPr>
          <w:rFonts w:ascii="Times New Roman" w:hAnsi="Times New Roman"/>
          <w:sz w:val="20"/>
        </w:rPr>
        <w:t xml:space="preserve">EXHIBIT INDEX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722"/>
        <w:gridCol w:w="609"/>
        <w:gridCol w:w="8874"/>
      </w:tblGrid>
      <w:tr>
        <w:tc>
          <w:tcPr>
            <w:tcW w:w="722" w:type="dxa"/>
            <w:tcBorders/>
            <w:vAlign w:val="center"/>
          </w:tcPr>
          <w:p>
            <w:pPr>
              <w:pStyle w:val="TableContents"/>
              <w:bidi w:val="0"/>
              <w:spacing w:before="0" w:after="283"/>
              <w:jc w:val="left"/>
              <w:rPr>
                <w:sz w:val="4"/>
                <w:szCs w:val="4"/>
              </w:rPr>
            </w:pPr>
            <w:r>
              <w:rPr>
                <w:sz w:val="4"/>
                <w:szCs w:val="4"/>
              </w:rPr>
            </w:r>
          </w:p>
        </w:tc>
        <w:tc>
          <w:tcPr>
            <w:tcW w:w="609" w:type="dxa"/>
            <w:tcBorders/>
            <w:vAlign w:val="bottom"/>
          </w:tcPr>
          <w:p>
            <w:pPr>
              <w:pStyle w:val="TableContents"/>
              <w:bidi w:val="0"/>
              <w:spacing w:before="0" w:after="283"/>
              <w:jc w:val="left"/>
              <w:rPr>
                <w:sz w:val="4"/>
                <w:szCs w:val="4"/>
              </w:rPr>
            </w:pPr>
            <w:r>
              <w:rPr>
                <w:sz w:val="4"/>
                <w:szCs w:val="4"/>
              </w:rPr>
            </w:r>
          </w:p>
        </w:tc>
        <w:tc>
          <w:tcPr>
            <w:tcW w:w="8874" w:type="dxa"/>
            <w:tcBorders/>
            <w:vAlign w:val="center"/>
          </w:tcPr>
          <w:p>
            <w:pPr>
              <w:pStyle w:val="TableContents"/>
              <w:bidi w:val="0"/>
              <w:spacing w:before="0" w:after="283"/>
              <w:jc w:val="left"/>
              <w:rPr>
                <w:sz w:val="4"/>
                <w:szCs w:val="4"/>
              </w:rPr>
            </w:pPr>
            <w:r>
              <w:rPr>
                <w:sz w:val="4"/>
                <w:szCs w:val="4"/>
              </w:rPr>
            </w:r>
          </w:p>
        </w:tc>
      </w:tr>
      <w:tr>
        <w:tc>
          <w:tcPr>
            <w:tcW w:w="722"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EXHIBIT</w:t>
              <w:br/>
              <w:t>NO.</w:t>
            </w:r>
          </w:p>
        </w:tc>
        <w:tc>
          <w:tcPr>
            <w:tcW w:w="609" w:type="dxa"/>
            <w:tcBorders/>
            <w:vAlign w:val="bottom"/>
          </w:tcPr>
          <w:p>
            <w:pPr>
              <w:pStyle w:val="TableContents"/>
              <w:bidi w:val="0"/>
              <w:spacing w:before="0" w:after="283"/>
              <w:jc w:val="left"/>
            </w:pPr>
            <w:r>
              <w:t>  </w:t>
            </w:r>
          </w:p>
        </w:tc>
        <w:tc>
          <w:tcPr>
            <w:tcW w:w="88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DESCRIPTION</w:t>
            </w:r>
          </w:p>
        </w:tc>
      </w:tr>
      <w:tr>
        <w:trPr>
          <w:trHeight w:val="120" w:hRule="atLeast"/>
        </w:trPr>
        <w:tc>
          <w:tcPr>
            <w:tcW w:w="722" w:type="dxa"/>
            <w:tcBorders/>
            <w:vAlign w:val="center"/>
          </w:tcPr>
          <w:p>
            <w:pPr>
              <w:pStyle w:val="TableContents"/>
              <w:bidi w:val="0"/>
              <w:spacing w:before="0" w:after="283"/>
              <w:jc w:val="left"/>
              <w:rPr>
                <w:sz w:val="4"/>
                <w:szCs w:val="4"/>
              </w:rPr>
            </w:pPr>
            <w:r>
              <w:rPr>
                <w:sz w:val="4"/>
                <w:szCs w:val="4"/>
              </w:rPr>
            </w:r>
          </w:p>
        </w:tc>
        <w:tc>
          <w:tcPr>
            <w:tcW w:w="9483" w:type="dxa"/>
            <w:gridSpan w:val="2"/>
            <w:tcBorders/>
            <w:vAlign w:val="center"/>
          </w:tcPr>
          <w:p>
            <w:pPr>
              <w:pStyle w:val="TableContents"/>
              <w:bidi w:val="0"/>
              <w:spacing w:before="0" w:after="283"/>
              <w:jc w:val="left"/>
              <w:rPr>
                <w:sz w:val="4"/>
                <w:szCs w:val="4"/>
              </w:rPr>
            </w:pPr>
            <w:r>
              <w:rPr>
                <w:sz w:val="4"/>
                <w:szCs w:val="4"/>
              </w:rPr>
            </w:r>
          </w:p>
        </w:tc>
      </w:tr>
      <w:tr>
        <w:tc>
          <w:tcPr>
            <w:tcW w:w="722" w:type="dxa"/>
            <w:tcBorders/>
          </w:tcPr>
          <w:p>
            <w:pPr>
              <w:pStyle w:val="TableContents"/>
              <w:bidi w:val="0"/>
              <w:spacing w:before="0" w:after="283"/>
              <w:jc w:val="left"/>
            </w:pPr>
            <w:r>
              <w:t>99.1</w:t>
            </w:r>
          </w:p>
        </w:tc>
        <w:tc>
          <w:tcPr>
            <w:tcW w:w="609" w:type="dxa"/>
            <w:tcBorders/>
            <w:vAlign w:val="bottom"/>
          </w:tcPr>
          <w:p>
            <w:pPr>
              <w:pStyle w:val="TableContents"/>
              <w:bidi w:val="0"/>
              <w:spacing w:before="0" w:after="283"/>
              <w:jc w:val="left"/>
            </w:pPr>
            <w:r>
              <w:t>  </w:t>
            </w:r>
          </w:p>
        </w:tc>
        <w:tc>
          <w:tcPr>
            <w:tcW w:w="8874" w:type="dxa"/>
            <w:tcBorders/>
          </w:tcPr>
          <w:p>
            <w:pPr>
              <w:pStyle w:val="TableContents"/>
              <w:bidi w:val="0"/>
              <w:spacing w:before="0" w:after="283"/>
              <w:jc w:val="left"/>
            </w:pPr>
            <w:hyperlink w:anchor="d28441dex991.htm">
              <w:r>
                <w:rPr>
                  <w:rStyle w:val="InternetLink"/>
                </w:rPr>
                <w:t xml:space="preserve">Amdocs Limited Press Release Announcing Q4 Earnings, dated November 3, 2026 </w:t>
              </w:r>
            </w:hyperlink>
          </w:p>
        </w:tc>
      </w:tr>
      <w:tr>
        <w:trPr>
          <w:trHeight w:val="120" w:hRule="atLeast"/>
        </w:trPr>
        <w:tc>
          <w:tcPr>
            <w:tcW w:w="722" w:type="dxa"/>
            <w:tcBorders/>
            <w:vAlign w:val="center"/>
          </w:tcPr>
          <w:p>
            <w:pPr>
              <w:pStyle w:val="TableContents"/>
              <w:bidi w:val="0"/>
              <w:spacing w:before="0" w:after="283"/>
              <w:jc w:val="left"/>
              <w:rPr>
                <w:sz w:val="4"/>
                <w:szCs w:val="4"/>
              </w:rPr>
            </w:pPr>
            <w:r>
              <w:rPr>
                <w:sz w:val="4"/>
                <w:szCs w:val="4"/>
              </w:rPr>
            </w:r>
          </w:p>
        </w:tc>
        <w:tc>
          <w:tcPr>
            <w:tcW w:w="9483" w:type="dxa"/>
            <w:gridSpan w:val="2"/>
            <w:tcBorders/>
            <w:vAlign w:val="center"/>
          </w:tcPr>
          <w:p>
            <w:pPr>
              <w:pStyle w:val="TableContents"/>
              <w:bidi w:val="0"/>
              <w:spacing w:before="0" w:after="283"/>
              <w:jc w:val="left"/>
              <w:rPr>
                <w:sz w:val="4"/>
                <w:szCs w:val="4"/>
              </w:rPr>
            </w:pPr>
            <w:r>
              <w:rPr>
                <w:sz w:val="4"/>
                <w:szCs w:val="4"/>
              </w:rPr>
            </w:r>
          </w:p>
        </w:tc>
      </w:tr>
      <w:tr>
        <w:tc>
          <w:tcPr>
            <w:tcW w:w="722" w:type="dxa"/>
            <w:tcBorders/>
          </w:tcPr>
          <w:p>
            <w:pPr>
              <w:pStyle w:val="TableContents"/>
              <w:bidi w:val="0"/>
              <w:spacing w:before="0" w:after="283"/>
              <w:jc w:val="left"/>
            </w:pPr>
            <w:r>
              <w:t>99.2</w:t>
            </w:r>
          </w:p>
        </w:tc>
        <w:tc>
          <w:tcPr>
            <w:tcW w:w="609" w:type="dxa"/>
            <w:tcBorders/>
            <w:vAlign w:val="bottom"/>
          </w:tcPr>
          <w:p>
            <w:pPr>
              <w:pStyle w:val="TableContents"/>
              <w:bidi w:val="0"/>
              <w:spacing w:before="0" w:after="283"/>
              <w:jc w:val="left"/>
            </w:pPr>
            <w:r>
              <w:t>  </w:t>
            </w:r>
          </w:p>
        </w:tc>
        <w:tc>
          <w:tcPr>
            <w:tcW w:w="8874" w:type="dxa"/>
            <w:tcBorders/>
          </w:tcPr>
          <w:p>
            <w:pPr>
              <w:pStyle w:val="TableContents"/>
              <w:bidi w:val="0"/>
              <w:spacing w:before="0" w:after="283"/>
              <w:jc w:val="left"/>
            </w:pPr>
            <w:hyperlink w:anchor="d28441dex992.htm">
              <w:r>
                <w:rPr>
                  <w:rStyle w:val="InternetLink"/>
                </w:rPr>
                <w:t xml:space="preserve">Fiscal Q4 2026 Earnings Presentation </w:t>
              </w:r>
            </w:hyperlink>
          </w:p>
        </w:tc>
      </w:tr>
    </w:tbl>
    <w:p>
      <w:pPr>
        <w:pStyle w:val="HorizontalLine"/>
        <w:pBdr>
          <w:bottom w:val="double" w:sz="6" w:space="0" w:color="808080"/>
        </w:pBdr>
        <w:bidi w:val="0"/>
        <w:jc w:val="left"/>
      </w:pPr>
      <w:r>
        <w:br w:type="page"/>
      </w: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pPr>
      <w:r>
        <w:t> </w:t>
      </w:r>
    </w:p>
    <w:tbl>
      <w:tblPr>
        <w:tblW w:w="2000" w:type="pct"/>
        <w:jc w:val="left"/>
        <w:tblInd w:w="0" w:type="dxa"/>
        <w:tblLayout w:type="fixed"/>
        <w:tblCellMar>
          <w:top w:w="0" w:type="dxa"/>
          <w:left w:w="0" w:type="dxa"/>
          <w:bottom w:w="0" w:type="dxa"/>
          <w:right w:w="0" w:type="dxa"/>
        </w:tblCellMar>
      </w:tblPr>
      <w:tblGrid>
        <w:gridCol w:w="375"/>
        <w:gridCol w:w="60"/>
        <w:gridCol w:w="3647"/>
      </w:tblGrid>
      <w:t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c>
          <w:tcPr>
            <w:tcW w:w="4082" w:type="dxa"/>
            <w:gridSpan w:val="3"/>
            <w:tcBorders/>
          </w:tcPr>
          <w:p>
            <w:pPr>
              <w:pStyle w:val="TableContents"/>
              <w:bidi w:val="0"/>
              <w:spacing w:before="0" w:after="283"/>
              <w:jc w:val="left"/>
            </w:pPr>
            <w:r>
              <w:t>AMDOCS LIMITED</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c>
          <w:tcPr>
            <w:tcW w:w="375" w:type="dxa"/>
            <w:tcBorders/>
          </w:tcPr>
          <w:p>
            <w:pPr>
              <w:pStyle w:val="TableContents"/>
              <w:bidi w:val="0"/>
              <w:spacing w:before="0" w:after="283"/>
              <w:jc w:val="left"/>
            </w:pPr>
            <w:r>
              <w:t>By:</w:t>
            </w:r>
          </w:p>
        </w:tc>
        <w:tc>
          <w:tcPr>
            <w:tcW w:w="60" w:type="dxa"/>
            <w:tcBorders/>
            <w:vAlign w:val="bottom"/>
          </w:tcPr>
          <w:p>
            <w:pPr>
              <w:pStyle w:val="TableContents"/>
              <w:bidi w:val="0"/>
              <w:spacing w:before="0" w:after="283"/>
              <w:jc w:val="left"/>
            </w:pPr>
            <w: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E. Smith</w:t>
            </w:r>
          </w:p>
        </w:tc>
      </w:tr>
      <w:t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3647" w:type="dxa"/>
            <w:tcBorders/>
          </w:tcPr>
          <w:p>
            <w:pPr>
              <w:pStyle w:val="TableContents"/>
              <w:bidi w:val="0"/>
              <w:spacing w:before="0" w:after="283"/>
              <w:jc w:val="left"/>
            </w:pPr>
            <w:r>
              <w:t>Matthew E. Smith</w:t>
            </w:r>
          </w:p>
        </w:tc>
      </w:tr>
      <w:t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3647" w:type="dxa"/>
            <w:tcBorders/>
          </w:tcPr>
          <w:p>
            <w:pPr>
              <w:pStyle w:val="TableContents"/>
              <w:bidi w:val="0"/>
              <w:spacing w:before="0" w:after="283"/>
              <w:jc w:val="left"/>
              <w:rPr>
                <w:i/>
              </w:rPr>
            </w:pPr>
            <w:r>
              <w:rPr>
                <w:i/>
              </w:rPr>
              <w:t>Secretary and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November 3, 2026 </w:t>
      </w:r>
    </w:p>
    <w:p>
      <w:pPr>
        <w:pStyle w:val="TextBody"/>
        <w:bidi w:val="0"/>
        <w:spacing w:before="0" w:after="0"/>
        <w:jc w:val="right"/>
        <w:rPr>
          <w:rFonts w:ascii="Times New Roman" w:hAnsi="Times New Roman"/>
          <w:b/>
          <w:sz w:val="20"/>
        </w:rPr>
      </w:pPr>
      <w:bookmarkStart w:id="2" w:name="d28441dex991.htm"/>
      <w:bookmarkStart w:id="3" w:name="ksd28441dex991"/>
      <w:bookmarkEnd w:id="2"/>
      <w:bookmarkEnd w:id="3"/>
      <w:r>
        <w:rPr>
          <w:rFonts w:ascii="Times New Roman" w:hAnsi="Times New Roman"/>
          <w:b/>
          <w:sz w:val="20"/>
        </w:rPr>
        <w:t xml:space="preserve">Exhibit 99.1 </w:t>
      </w:r>
      <w:r>
        <w:br w:type="page"/>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5310"/>
        <w:gridCol w:w="120"/>
        <w:gridCol w:w="4775"/>
      </w:tblGrid>
      <w:tr>
        <w:tc>
          <w:tcPr>
            <w:tcW w:w="53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75" w:type="dxa"/>
            <w:tcBorders/>
            <w:vAlign w:val="center"/>
          </w:tcPr>
          <w:p>
            <w:pPr>
              <w:pStyle w:val="TableContents"/>
              <w:bidi w:val="0"/>
              <w:spacing w:before="0" w:after="283"/>
              <w:jc w:val="left"/>
              <w:rPr>
                <w:sz w:val="4"/>
                <w:szCs w:val="4"/>
              </w:rPr>
            </w:pPr>
            <w:r>
              <w:rPr>
                <w:sz w:val="4"/>
                <w:szCs w:val="4"/>
              </w:rPr>
            </w:r>
          </w:p>
        </w:tc>
      </w:tr>
      <w:tr>
        <w:tc>
          <w:tcPr>
            <w:tcW w:w="5310" w:type="dxa"/>
            <w:tcBorders/>
          </w:tcPr>
          <w:p>
            <w:pPr>
              <w:pStyle w:val="TableContents"/>
              <w:bidi w:val="0"/>
              <w:spacing w:before="0" w:after="283"/>
              <w:jc w:val="left"/>
            </w:pPr>
            <w:r>
              <w:drawing>
                <wp:inline distT="0" distB="0" distL="0" distR="0">
                  <wp:extent cx="2428875" cy="1809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28875" cy="1809750"/>
                          </a:xfrm>
                          <a:prstGeom prst="rect">
                            <a:avLst/>
                          </a:prstGeom>
                        </pic:spPr>
                      </pic:pic>
                    </a:graphicData>
                  </a:graphic>
                </wp:inline>
              </w:drawing>
            </w:r>
            <w:r>
              <w:t xml:space="preserve"> </w:t>
            </w:r>
          </w:p>
        </w:tc>
        <w:tc>
          <w:tcPr>
            <w:tcW w:w="120" w:type="dxa"/>
            <w:tcBorders/>
            <w:vAlign w:val="bottom"/>
          </w:tcPr>
          <w:p>
            <w:pPr>
              <w:pStyle w:val="TableContents"/>
              <w:bidi w:val="0"/>
              <w:spacing w:before="0" w:after="283"/>
              <w:jc w:val="left"/>
            </w:pPr>
            <w:r>
              <w:t>  </w:t>
            </w:r>
          </w:p>
        </w:tc>
        <w:tc>
          <w:tcPr>
            <w:tcW w:w="4775" w:type="dxa"/>
            <w:tcBorders/>
            <w:vAlign w:val="bottom"/>
          </w:tcPr>
          <w:p>
            <w:pPr>
              <w:pStyle w:val="TableContents"/>
              <w:bidi w:val="0"/>
              <w:spacing w:before="0" w:after="283"/>
              <w:jc w:val="right"/>
            </w:pPr>
            <w:r>
              <w:drawing>
                <wp:inline distT="0" distB="0" distL="0" distR="0">
                  <wp:extent cx="1905000" cy="409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05000" cy="409575"/>
                          </a:xfrm>
                          <a:prstGeom prst="rect">
                            <a:avLst/>
                          </a:prstGeom>
                        </pic:spPr>
                      </pic:pic>
                    </a:graphicData>
                  </a:graphic>
                </wp:inline>
              </w:drawing>
            </w:r>
            <w:r>
              <w:t xml:space="preserve"> </w:t>
            </w:r>
          </w:p>
        </w:tc>
      </w:tr>
    </w:tbl>
    <w:p>
      <w:pPr>
        <w:pStyle w:val="TextBody"/>
        <w:bidi w:val="0"/>
        <w:spacing w:before="240" w:after="0"/>
        <w:jc w:val="center"/>
        <w:rPr>
          <w:rFonts w:ascii="Times New Roman" w:hAnsi="Times New Roman"/>
          <w:b/>
          <w:i/>
          <w:sz w:val="20"/>
        </w:rPr>
      </w:pPr>
      <w:r>
        <w:rPr>
          <w:rFonts w:ascii="Times New Roman" w:hAnsi="Times New Roman"/>
          <w:b/>
          <w:i/>
          <w:sz w:val="20"/>
        </w:rPr>
        <w:t xml:space="preserve">Amdocs Limited Reports Fourth Quarter Fiscal 2026 Results &amp; Full Year Fiscal 2026 Results </w:t>
      </w:r>
    </w:p>
    <w:p>
      <w:pPr>
        <w:pStyle w:val="TextBody"/>
        <w:bidi w:val="0"/>
        <w:spacing w:before="240" w:after="0"/>
        <w:jc w:val="center"/>
        <w:rPr>
          <w:rFonts w:ascii="Times New Roman" w:hAnsi="Times New Roman"/>
          <w:i/>
          <w:sz w:val="20"/>
        </w:rPr>
      </w:pPr>
      <w:r>
        <w:rPr>
          <w:rFonts w:ascii="Times New Roman" w:hAnsi="Times New Roman"/>
          <w:i/>
          <w:sz w:val="20"/>
        </w:rPr>
        <w:t xml:space="preserve">Fiscal 2026 Revenue of $4.70 Billion, up 3.6% YoY as Reported and 3.0% YoY in </w:t>
      </w:r>
    </w:p>
    <w:p>
      <w:pPr>
        <w:pStyle w:val="TextBody"/>
        <w:bidi w:val="0"/>
        <w:spacing w:before="0" w:after="0"/>
        <w:jc w:val="center"/>
        <w:rPr>
          <w:rFonts w:ascii="Times New Roman" w:hAnsi="Times New Roman"/>
          <w:i/>
          <w:sz w:val="20"/>
        </w:rPr>
      </w:pPr>
      <w:r>
        <w:rPr>
          <w:rFonts w:ascii="Times New Roman" w:hAnsi="Times New Roman"/>
          <w:i/>
          <w:sz w:val="20"/>
        </w:rPr>
        <w:t xml:space="preserve">Constant Currency(1) </w:t>
      </w:r>
    </w:p>
    <w:p>
      <w:pPr>
        <w:pStyle w:val="TextBody"/>
        <w:bidi w:val="0"/>
        <w:spacing w:before="0" w:after="0"/>
        <w:jc w:val="center"/>
        <w:rPr>
          <w:rFonts w:ascii="Times New Roman" w:hAnsi="Times New Roman"/>
          <w:i/>
          <w:sz w:val="20"/>
        </w:rPr>
      </w:pPr>
      <w:r>
        <w:rPr>
          <w:rFonts w:ascii="Times New Roman" w:hAnsi="Times New Roman"/>
          <w:i/>
          <w:sz w:val="20"/>
        </w:rPr>
        <w:t xml:space="preserve">Announces Eight-Year Strategic aOS Agreement with AT&amp;T </w:t>
      </w:r>
    </w:p>
    <w:p>
      <w:pPr>
        <w:pStyle w:val="TextBody"/>
        <w:bidi w:val="0"/>
        <w:spacing w:before="0" w:after="0"/>
        <w:jc w:val="center"/>
        <w:rPr>
          <w:rFonts w:ascii="Times New Roman" w:hAnsi="Times New Roman"/>
          <w:i/>
          <w:sz w:val="20"/>
        </w:rPr>
      </w:pPr>
      <w:r>
        <w:rPr>
          <w:rFonts w:ascii="Times New Roman" w:hAnsi="Times New Roman"/>
          <w:i/>
          <w:sz w:val="20"/>
        </w:rPr>
        <w:t xml:space="preserve">Enters the Insurance Industry Through the Acquisition of EIS </w:t>
      </w:r>
    </w:p>
    <w:p>
      <w:pPr>
        <w:pStyle w:val="TextBody"/>
        <w:bidi w:val="0"/>
        <w:spacing w:before="240" w:after="0"/>
        <w:jc w:val="center"/>
        <w:rPr>
          <w:rFonts w:ascii="Times New Roman" w:hAnsi="Times New Roman"/>
          <w:sz w:val="20"/>
        </w:rPr>
      </w:pPr>
      <w:r>
        <w:rPr>
          <w:rFonts w:ascii="Times New Roman" w:hAnsi="Times New Roman"/>
          <w:b/>
          <w:i/>
          <w:sz w:val="20"/>
        </w:rPr>
        <w:t>Initiates Fiscal 2027 Guidance</w:t>
      </w:r>
      <w:r>
        <w:rPr>
          <w:rFonts w:ascii="Times New Roman" w:hAnsi="Times New Roman"/>
          <w:sz w:val="20"/>
        </w:rPr>
        <w:t> </w:t>
      </w:r>
      <w:r>
        <w:rPr>
          <w:rFonts w:ascii="Times New Roman" w:hAnsi="Times New Roman"/>
          <w:b/>
          <w:i/>
          <w:sz w:val="20"/>
        </w:rPr>
        <w:t>&amp; Fiscal 2028 Expectations</w:t>
      </w:r>
      <w:r>
        <w:rPr>
          <w:rFonts w:ascii="Times New Roman" w:hAnsi="Times New Roman"/>
          <w:i/>
          <w:sz w:val="20"/>
        </w:rPr>
        <w:t xml:space="preserve">: </w:t>
      </w:r>
    </w:p>
    <w:p>
      <w:pPr>
        <w:pStyle w:val="TextBody"/>
        <w:bidi w:val="0"/>
        <w:spacing w:before="0" w:after="0"/>
        <w:jc w:val="center"/>
        <w:rPr>
          <w:rFonts w:ascii="Times New Roman" w:hAnsi="Times New Roman"/>
          <w:i/>
          <w:sz w:val="20"/>
        </w:rPr>
      </w:pPr>
      <w:r>
        <w:rPr>
          <w:rFonts w:ascii="Times New Roman" w:hAnsi="Times New Roman"/>
          <w:i/>
          <w:sz w:val="20"/>
        </w:rPr>
        <w:t xml:space="preserve">Fiscal 2027 Revenue Outlook of (17.9%)-(14.3%) YoY as </w:t>
      </w:r>
    </w:p>
    <w:p>
      <w:pPr>
        <w:pStyle w:val="TextBody"/>
        <w:bidi w:val="0"/>
        <w:spacing w:before="0" w:after="0"/>
        <w:jc w:val="center"/>
        <w:rPr>
          <w:rFonts w:ascii="Times New Roman" w:hAnsi="Times New Roman"/>
          <w:i/>
          <w:sz w:val="20"/>
        </w:rPr>
      </w:pPr>
      <w:r>
        <w:rPr>
          <w:rFonts w:ascii="Times New Roman" w:hAnsi="Times New Roman"/>
          <w:i/>
          <w:sz w:val="20"/>
        </w:rPr>
        <w:t xml:space="preserve">Reported, and (11%)-(7%) in Pro Forma(2) Constant Currency(1) </w:t>
      </w:r>
    </w:p>
    <w:p>
      <w:pPr>
        <w:pStyle w:val="TextBody"/>
        <w:bidi w:val="0"/>
        <w:spacing w:before="240" w:after="0"/>
        <w:jc w:val="center"/>
        <w:rPr>
          <w:rFonts w:ascii="Times New Roman" w:hAnsi="Times New Roman"/>
          <w:i/>
          <w:sz w:val="20"/>
        </w:rPr>
      </w:pPr>
      <w:r>
        <w:rPr>
          <w:rFonts w:ascii="Times New Roman" w:hAnsi="Times New Roman"/>
          <w:i/>
          <w:sz w:val="20"/>
        </w:rPr>
        <w:t xml:space="preserve">Provides Fiscal 2028 Expectations for Mid-Single Digit Revenue Growth, High-Single </w:t>
      </w:r>
    </w:p>
    <w:p>
      <w:pPr>
        <w:pStyle w:val="TextBody"/>
        <w:bidi w:val="0"/>
        <w:spacing w:before="0" w:after="0"/>
        <w:jc w:val="center"/>
        <w:rPr>
          <w:rFonts w:ascii="Times New Roman" w:hAnsi="Times New Roman"/>
          <w:i/>
          <w:sz w:val="20"/>
        </w:rPr>
      </w:pPr>
      <w:r>
        <w:rPr>
          <w:rFonts w:ascii="Times New Roman" w:hAnsi="Times New Roman"/>
          <w:i/>
          <w:sz w:val="20"/>
        </w:rPr>
        <w:t xml:space="preserve">Digit Earnings Growth &amp; Steadily Rising Dividend </w:t>
      </w:r>
    </w:p>
    <w:p>
      <w:pPr>
        <w:pStyle w:val="TextBody"/>
        <w:bidi w:val="0"/>
        <w:spacing w:before="360" w:after="0"/>
        <w:jc w:val="left"/>
        <w:rPr>
          <w:rFonts w:ascii="Times New Roman" w:hAnsi="Times New Roman"/>
          <w:b/>
          <w:sz w:val="20"/>
        </w:rPr>
      </w:pPr>
      <w:r>
        <w:rPr>
          <w:rFonts w:ascii="Times New Roman" w:hAnsi="Times New Roman"/>
          <w:b/>
          <w:sz w:val="20"/>
        </w:rPr>
        <w:t xml:space="preserve">Full Year Fiscal 2026 Highlights </w:t>
      </w:r>
    </w:p>
    <w:p>
      <w:pPr>
        <w:pStyle w:val="TextBody"/>
        <w:bidi w:val="0"/>
        <w:spacing w:before="120" w:after="0"/>
        <w:jc w:val="left"/>
        <w:rPr>
          <w:rFonts w:ascii="Times New Roman" w:hAnsi="Times New Roman"/>
          <w:i/>
          <w:sz w:val="20"/>
        </w:rPr>
      </w:pPr>
      <w:r>
        <w:rPr>
          <w:rFonts w:ascii="Times New Roman" w:hAnsi="Times New Roman"/>
          <w:i/>
          <w:sz w:val="20"/>
        </w:rPr>
        <w:t xml:space="preserve">(All comparisons are against prior year, unless otherwise stated)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of $4,697 million, up 3.6% as reported and up 3.0% in constant currency(1)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Managed services revenue of $3,023 million, equivalent to approximately 64% of total revenue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diluted EPS of $4.68 down 7.3% including a restructuring charge of 130 cents per share; without Q4 restructuring charges GAAP diluted EPS would have been at the higher end of the guidance range of (5.0)%-(3.0)%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diluted EPS of $7.41, up 6.0% and at the midpoint of the 5.5%-6.5% guidance range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Free cash flow(3) of $562 million, comprised of cash flow from operations of $673 million, less $111 million in net capital expenditures and other; excluding $167 million of restructuring payments which were not included in the full year free cash flow(3) guidance of $710-$730 million, free cash flow(3) would have been $729 million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on a constant currency basis assumes exchange rates in the current period were unchanged from the prior period </w:t>
            </w:r>
          </w:p>
        </w:tc>
      </w:tr>
    </w:tbl>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pPr>
            <w: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comparison purposes, pro forma adjusts fiscal year 2026 revenue by approximately $360 million to reflect the exit of non-strategic business activities relating to the resale of hardware activities, and the divestiture of the media business; these activities substantially already ceased in the first quarter fiscal 2027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refer to the Selected Financial Metrics tables below (figures may not sum because of rounding) </w:t>
            </w:r>
          </w:p>
        </w:tc>
      </w:tr>
    </w:tbl>
    <w:p>
      <w:pPr>
        <w:pStyle w:val="HorizontalLine"/>
        <w:pBdr>
          <w:bottom w:val="double" w:sz="6" w:space="0" w:color="808080"/>
        </w:pBdr>
        <w:bidi w:val="0"/>
        <w:jc w:val="left"/>
      </w:pPr>
      <w:r>
        <w:br w:type="page"/>
      </w:r>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Repurchased $511 million of ordinary shares during the fiscal year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Twelve-month backlog of $3.50 billion; adjusting comparable periods for the exit of non-strategic business activities relating to the resale of hardware activities, and the divestiture of the media business, twelve-month backlog was down 9.6%(2) as compared to last year’s fourth fiscal quarter, and down approximately $370 million(2) sequentially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Fourth Quarter Fiscal 2026 Highlights </w:t>
      </w:r>
    </w:p>
    <w:p>
      <w:pPr>
        <w:pStyle w:val="TextBody"/>
        <w:bidi w:val="0"/>
        <w:spacing w:before="120" w:after="0"/>
        <w:jc w:val="left"/>
        <w:rPr>
          <w:rFonts w:ascii="Times New Roman" w:hAnsi="Times New Roman"/>
          <w:i/>
          <w:sz w:val="20"/>
        </w:rPr>
      </w:pPr>
      <w:r>
        <w:rPr>
          <w:rFonts w:ascii="Times New Roman" w:hAnsi="Times New Roman"/>
          <w:i/>
          <w:sz w:val="20"/>
        </w:rPr>
        <w:t xml:space="preserve">(All comparisons are against same quarter of the prior year, unless otherwise stated)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of $1,194 million, up 3.8% as reported and up 4.0% in constant currency(1); revenue was in line with the midpoint of the $1,175-$1,215 million guidance range in constant currency(1)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Managed services revenue of $728 million, equivalent to approximately 61% of total revenue and down 3%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diluted EPS of $1.35, including a restructuring charge of 22 cents per share, without which GAAP diluted EPS would have been $1.57, above the guidance range of $1.48-$1.56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diluted EPS of $1.98, slightly above the midpoint of the guidance range of $1.94-$2.00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c>
          <w:tcPr>
            <w:tcW w:w="508"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operating income of $189 million, including a restructuring charge of $25.3 million; GAAP operating margin of 15.8%, up 430 basis points compared to last year’s fourth quarter and up 690 basis points sequentially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income of $257 million; non-GAAP operating margin of 21.6%, unchanged as compared to last year’s fourth fiscal quarter and unchanged sequentially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(the “Board”) approved an 3% increase in the Company’s quarterly cash dividend payment from $0.569 per share to $0.586 per share, anticipated to be first paid in April 2027, subject to shareholder approval at the January 2027 annual meeting </w:t>
            </w:r>
          </w:p>
        </w:tc>
      </w:tr>
    </w:tbl>
    <w:p>
      <w:pPr>
        <w:pStyle w:val="HorizontalLine"/>
        <w:pBdr>
          <w:bottom w:val="double" w:sz="6" w:space="0" w:color="808080"/>
        </w:pBdr>
        <w:bidi w:val="0"/>
        <w:jc w:val="left"/>
      </w:pPr>
      <w:r>
        <w:br w:type="page"/>
      </w: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Amdocs and T-Mobile have both issued notices to one another, asserting that the other party has materially breached one or more of the agreements pursuant to which Amdocs provides software and services to T-Mobile. Both Amdocs’ notices and T-Mobile’s notices threaten to terminate the agreement(s) and/or pursue monetary and other relief, including in arbitration. Amdocs is prepared to pursue its claims and defend itself against T-Mobile’s assertions, including in arbitration. As with any litigation, there can be no assurance as to the outcome of these matters. These circumstances have been taken into consideration in forming our conservative guidance assumptions for fiscal 2027, which reflect our best estimates as of this date, including in case of termination of our agreements with T-Mobile by either party </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JERSEY CITY, NJ - November 3, 2026 - </w:t>
      </w:r>
      <w:r>
        <w:rPr>
          <w:rFonts w:ascii="Times New Roman" w:hAnsi="Times New Roman"/>
          <w:sz w:val="20"/>
        </w:rPr>
        <w:t xml:space="preserve">Amdocs Limited (NASDAQ:DOX today reported operating results for the three months ended September 30, 2026. </w:t>
      </w:r>
    </w:p>
    <w:p>
      <w:pPr>
        <w:pStyle w:val="TextBody"/>
        <w:bidi w:val="0"/>
        <w:spacing w:before="240" w:after="0"/>
        <w:jc w:val="left"/>
      </w:pPr>
      <w:r>
        <w:t>“</w:t>
      </w:r>
      <w:r>
        <w:rPr>
          <w:rFonts w:ascii="Times New Roman" w:hAnsi="Times New Roman"/>
          <w:sz w:val="20"/>
        </w:rPr>
        <w:t xml:space="preserve">We delivered solid fourth quarter and full year fiscal 2026 results, consistent with our guidance, and I want to thank our employees around the world for their focus and commitment. I took over as CEO two quarters ago, and since then we have moved fast to develop a new growth strategy and are busy executing it. The core pillar of that strategy is aOS, our Agentic Operating System for telco, which is quickly gaining market traction. Today we announced a significant, eight-year strategic agreement with AT&amp;T, our largest customer. It expands our longstanding partnership by pairing aOS with AT&amp;T’s AI-enabled delivery framework to modernize its business and customer operations. On top of AT&amp;T, we are also excited to announce another three major strategic aOS deals with VodafoneThree in UK, VEON in Eurasia and Globe in Philippines. Together, these deals are great examples of how aOS is enabling Amdocs to expand its activities and becoming the trusted partner of choice for our customers’ agentic journeys,” said Shimie Hortig, president and chief executive officer of Amdocs Management Limited. </w:t>
      </w:r>
      <w:r>
        <w:br w:type="page"/>
      </w:r>
    </w:p>
    <w:p>
      <w:pPr>
        <w:pStyle w:val="HorizontalLine"/>
        <w:pBdr>
          <w:bottom w:val="double" w:sz="6" w:space="0" w:color="808080"/>
        </w:pBdr>
        <w:bidi w:val="0"/>
        <w:jc w:val="left"/>
      </w:pPr>
      <w:r/>
    </w:p>
    <w:p>
      <w:pPr>
        <w:pStyle w:val="TextBody"/>
        <w:bidi w:val="0"/>
        <w:spacing w:before="0" w:after="0"/>
        <w:jc w:val="left"/>
        <w:rPr>
          <w:rFonts w:ascii="Times New Roman" w:hAnsi="Times New Roman"/>
          <w:sz w:val="20"/>
        </w:rPr>
      </w:pPr>
      <w:r>
        <w:rPr>
          <w:rFonts w:ascii="Times New Roman" w:hAnsi="Times New Roman"/>
          <w:sz w:val="20"/>
        </w:rPr>
        <w:t xml:space="preserve">Hortig continued, “We are also excited to announce our entry into a new vertical with the acquisition of EIS, a leading provider of an agentic multi-line insurance platform. This is our first step into the insurance industry. It significantly expands our addressable market and establishes insurance as a strategic medium- to long-term growth engine for Amdocs. The rationale is compelling. Insurance shares many of the characteristics that have defined our success in telecommunications: highly regulated environments, complex and mission-critical platforms, and data-intensive workflows. EIS brings an AI-native core platform, an established global customer base, and deep knowledge of both Life &amp; Annuities and Property &amp; Casualty. By combining EIS’ assets and deep vertical expertise, with Amdocs aOS, our scale and our accountability-driven business model, we aim to provide a differentiated offering and become their partner of choice to lead their agentic journey.” </w:t>
      </w:r>
    </w:p>
    <w:p>
      <w:pPr>
        <w:pStyle w:val="TextBody"/>
        <w:bidi w:val="0"/>
        <w:spacing w:before="240" w:after="0"/>
        <w:jc w:val="left"/>
        <w:rPr>
          <w:rFonts w:ascii="Times New Roman" w:hAnsi="Times New Roman"/>
          <w:sz w:val="20"/>
        </w:rPr>
      </w:pPr>
      <w:r>
        <w:rPr>
          <w:rFonts w:ascii="Times New Roman" w:hAnsi="Times New Roman"/>
          <w:sz w:val="20"/>
        </w:rPr>
        <w:t xml:space="preserve">Hortig concluded, “We believe our growing strategic momentum, expansion into the insurance market and internal transformation will position us for long-term growth and improved profitability. As part of the focus of our new strategy, we also decided to exit certain businesses and activities that aren’t strategically relevant to our agentic future, including the recently announced sale of our media business and the exit of non-strategic business activities relating to the resale of hardware activities. Looking into fiscal 2027, our guidance reflects major headwinds from T-Mobile due to a recent dispute, the completion of the integration project of the USCellular customers and reduction in T-Mobile’s discretionary spending. That said, the rest of our business remains robust and continues showing growth in fiscal 2027. Moreover, with positive market traction for aOS and an expanding pipeline of significant customer opportunities, our fiscal 2028 expectations position us for mid-single digit revenue growth, high-single digit earnings growth and a steadily rising dividend.” </w:t>
      </w:r>
      <w:r>
        <w:br w:type="page"/>
      </w:r>
    </w:p>
    <w:p>
      <w:pPr>
        <w:pStyle w:val="HorizontalLine"/>
        <w:pBdr>
          <w:bottom w:val="double" w:sz="6" w:space="0" w:color="808080"/>
        </w:pBdr>
        <w:bidi w:val="0"/>
        <w:jc w:val="left"/>
      </w:pPr>
      <w:r/>
    </w:p>
    <w:p>
      <w:pPr>
        <w:pStyle w:val="TextBody"/>
        <w:bidi w:val="0"/>
        <w:spacing w:before="0" w:after="0"/>
        <w:jc w:val="left"/>
        <w:rPr>
          <w:rFonts w:ascii="Times New Roman" w:hAnsi="Times New Roman"/>
          <w:b/>
          <w:sz w:val="20"/>
        </w:rPr>
      </w:pPr>
      <w:r>
        <w:rPr>
          <w:rFonts w:ascii="Times New Roman" w:hAnsi="Times New Roman"/>
          <w:b/>
          <w:sz w:val="20"/>
        </w:rPr>
        <w:t xml:space="preserve">Revenue </w:t>
      </w:r>
    </w:p>
    <w:p>
      <w:pPr>
        <w:pStyle w:val="TextBody"/>
        <w:bidi w:val="0"/>
        <w:spacing w:before="120" w:after="0"/>
        <w:jc w:val="left"/>
        <w:rPr>
          <w:rFonts w:ascii="Times New Roman" w:hAnsi="Times New Roman"/>
          <w:i/>
          <w:sz w:val="20"/>
        </w:rPr>
      </w:pPr>
      <w:r>
        <w:rPr>
          <w:rFonts w:ascii="Times New Roman" w:hAnsi="Times New Roman"/>
          <w:i/>
          <w:sz w:val="20"/>
        </w:rPr>
        <w:t xml:space="preserve">(All comparisons are against the prior year period) </w:t>
      </w:r>
    </w:p>
    <w:p>
      <w:pPr>
        <w:pStyle w:val="TextBody"/>
        <w:bidi w:val="0"/>
        <w:spacing w:before="0" w:after="0"/>
        <w:jc w:val="left"/>
      </w:pPr>
      <w:r>
        <w:t> </w:t>
      </w:r>
    </w:p>
    <w:tbl>
      <w:tblPr>
        <w:tblW w:w="4600" w:type="pct"/>
        <w:jc w:val="center"/>
        <w:tblInd w:w="0" w:type="dxa"/>
        <w:tblLayout w:type="fixed"/>
        <w:tblCellMar>
          <w:top w:w="0" w:type="dxa"/>
          <w:left w:w="0" w:type="dxa"/>
          <w:bottom w:w="0" w:type="dxa"/>
          <w:right w:w="0" w:type="dxa"/>
        </w:tblCellMar>
      </w:tblPr>
      <w:tblGrid>
        <w:gridCol w:w="3572"/>
        <w:gridCol w:w="243"/>
        <w:gridCol w:w="140"/>
        <w:gridCol w:w="611"/>
        <w:gridCol w:w="277"/>
        <w:gridCol w:w="145"/>
        <w:gridCol w:w="140"/>
        <w:gridCol w:w="1416"/>
        <w:gridCol w:w="60"/>
        <w:gridCol w:w="243"/>
        <w:gridCol w:w="143"/>
        <w:gridCol w:w="623"/>
        <w:gridCol w:w="283"/>
        <w:gridCol w:w="146"/>
        <w:gridCol w:w="61"/>
        <w:gridCol w:w="1219"/>
        <w:gridCol w:w="66"/>
      </w:tblGrid>
      <w:tr>
        <w:tc>
          <w:tcPr>
            <w:tcW w:w="3572"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c>
          <w:tcPr>
            <w:tcW w:w="3572" w:type="dxa"/>
            <w:tcBorders/>
            <w:vAlign w:val="bottom"/>
          </w:tcPr>
          <w:p>
            <w:pPr>
              <w:pStyle w:val="TableContents"/>
              <w:bidi w:val="0"/>
              <w:spacing w:before="0" w:after="283"/>
              <w:jc w:val="left"/>
            </w:pPr>
            <w:r>
              <w:t> </w:t>
            </w:r>
          </w:p>
        </w:tc>
        <w:tc>
          <w:tcPr>
            <w:tcW w:w="243" w:type="dxa"/>
            <w:tcBorders/>
            <w:vAlign w:val="bottom"/>
          </w:tcPr>
          <w:p>
            <w:pPr>
              <w:pStyle w:val="TableContents"/>
              <w:bidi w:val="0"/>
              <w:spacing w:before="0" w:after="283"/>
              <w:jc w:val="left"/>
            </w:pPr>
            <w:r>
              <w:t>  </w:t>
            </w:r>
          </w:p>
        </w:tc>
        <w:tc>
          <w:tcPr>
            <w:tcW w:w="5507"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In millions</w:t>
            </w:r>
          </w:p>
        </w:tc>
        <w:tc>
          <w:tcPr>
            <w:tcW w:w="66" w:type="dxa"/>
            <w:tcBorders/>
            <w:vAlign w:val="bottom"/>
          </w:tcPr>
          <w:p>
            <w:pPr>
              <w:pStyle w:val="TableContents"/>
              <w:bidi w:val="0"/>
              <w:spacing w:before="0" w:after="283"/>
              <w:jc w:val="left"/>
            </w:pPr>
            <w:r>
              <w:t> </w:t>
            </w:r>
          </w:p>
        </w:tc>
      </w:tr>
      <w:tr>
        <w:tc>
          <w:tcPr>
            <w:tcW w:w="3572" w:type="dxa"/>
            <w:tcBorders/>
            <w:vAlign w:val="bottom"/>
          </w:tcPr>
          <w:p>
            <w:pPr>
              <w:pStyle w:val="TableContents"/>
              <w:bidi w:val="0"/>
              <w:spacing w:before="0" w:after="283"/>
              <w:jc w:val="left"/>
            </w:pPr>
            <w:r>
              <w:t> </w:t>
            </w:r>
          </w:p>
        </w:tc>
        <w:tc>
          <w:tcPr>
            <w:tcW w:w="243" w:type="dxa"/>
            <w:tcBorders/>
            <w:vAlign w:val="bottom"/>
          </w:tcPr>
          <w:p>
            <w:pPr>
              <w:pStyle w:val="TableContents"/>
              <w:bidi w:val="0"/>
              <w:spacing w:before="0" w:after="283"/>
              <w:jc w:val="left"/>
            </w:pPr>
            <w:r>
              <w:t>  </w:t>
            </w:r>
          </w:p>
        </w:tc>
        <w:tc>
          <w:tcPr>
            <w:tcW w:w="2729" w:type="dxa"/>
            <w:gridSpan w:val="6"/>
            <w:tcBorders/>
            <w:vAlign w:val="bottom"/>
          </w:tcPr>
          <w:p>
            <w:pPr>
              <w:pStyle w:val="TableContents"/>
              <w:bidi w:val="0"/>
              <w:spacing w:before="0" w:after="283"/>
              <w:jc w:val="center"/>
              <w:rPr>
                <w:b/>
              </w:rPr>
            </w:pPr>
            <w:r>
              <w:rPr>
                <w:b/>
              </w:rPr>
              <w:t>Three months ended</w:t>
            </w:r>
          </w:p>
        </w:tc>
        <w:tc>
          <w:tcPr>
            <w:tcW w:w="60" w:type="dxa"/>
            <w:tcBorders/>
            <w:vAlign w:val="bottom"/>
          </w:tcPr>
          <w:p>
            <w:pPr>
              <w:pStyle w:val="TableContents"/>
              <w:bidi w:val="0"/>
              <w:spacing w:before="0" w:after="283"/>
              <w:jc w:val="left"/>
            </w:pPr>
            <w:r>
              <w:t> </w:t>
            </w:r>
          </w:p>
        </w:tc>
        <w:tc>
          <w:tcPr>
            <w:tcW w:w="243" w:type="dxa"/>
            <w:tcBorders/>
            <w:vAlign w:val="bottom"/>
          </w:tcPr>
          <w:p>
            <w:pPr>
              <w:pStyle w:val="TableContents"/>
              <w:bidi w:val="0"/>
              <w:spacing w:before="0" w:after="283"/>
              <w:jc w:val="left"/>
            </w:pPr>
            <w:r>
              <w:t>  </w:t>
            </w:r>
          </w:p>
        </w:tc>
        <w:tc>
          <w:tcPr>
            <w:tcW w:w="2475" w:type="dxa"/>
            <w:gridSpan w:val="6"/>
            <w:tcBorders/>
            <w:vAlign w:val="bottom"/>
          </w:tcPr>
          <w:p>
            <w:pPr>
              <w:pStyle w:val="TableContents"/>
              <w:bidi w:val="0"/>
              <w:spacing w:before="0" w:after="283"/>
              <w:jc w:val="center"/>
              <w:rPr>
                <w:b/>
              </w:rPr>
            </w:pPr>
            <w:r>
              <w:rPr>
                <w:b/>
              </w:rPr>
              <w:t>Twelve months ended</w:t>
            </w:r>
          </w:p>
        </w:tc>
        <w:tc>
          <w:tcPr>
            <w:tcW w:w="66" w:type="dxa"/>
            <w:tcBorders/>
            <w:vAlign w:val="bottom"/>
          </w:tcPr>
          <w:p>
            <w:pPr>
              <w:pStyle w:val="TableContents"/>
              <w:bidi w:val="0"/>
              <w:spacing w:before="0" w:after="283"/>
              <w:jc w:val="left"/>
            </w:pPr>
            <w:r>
              <w:t> </w:t>
            </w:r>
          </w:p>
        </w:tc>
      </w:tr>
      <w:tr>
        <w:tc>
          <w:tcPr>
            <w:tcW w:w="3572" w:type="dxa"/>
            <w:tcBorders/>
            <w:vAlign w:val="bottom"/>
          </w:tcPr>
          <w:p>
            <w:pPr>
              <w:pStyle w:val="TableContents"/>
              <w:bidi w:val="0"/>
              <w:spacing w:before="0" w:after="283"/>
              <w:jc w:val="left"/>
            </w:pPr>
            <w:r>
              <w:t> </w:t>
            </w:r>
          </w:p>
        </w:tc>
        <w:tc>
          <w:tcPr>
            <w:tcW w:w="243" w:type="dxa"/>
            <w:tcBorders/>
            <w:vAlign w:val="bottom"/>
          </w:tcPr>
          <w:p>
            <w:pPr>
              <w:pStyle w:val="TableContents"/>
              <w:bidi w:val="0"/>
              <w:spacing w:before="0" w:after="283"/>
              <w:jc w:val="left"/>
            </w:pPr>
            <w:r>
              <w:t>  </w:t>
            </w:r>
          </w:p>
        </w:tc>
        <w:tc>
          <w:tcPr>
            <w:tcW w:w="272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September 30, 2026</w:t>
            </w:r>
          </w:p>
        </w:tc>
        <w:tc>
          <w:tcPr>
            <w:tcW w:w="60" w:type="dxa"/>
            <w:tcBorders/>
            <w:vAlign w:val="bottom"/>
          </w:tcPr>
          <w:p>
            <w:pPr>
              <w:pStyle w:val="TableContents"/>
              <w:bidi w:val="0"/>
              <w:spacing w:before="0" w:after="283"/>
              <w:jc w:val="left"/>
            </w:pPr>
            <w:r>
              <w:t> </w:t>
            </w:r>
          </w:p>
        </w:tc>
        <w:tc>
          <w:tcPr>
            <w:tcW w:w="243" w:type="dxa"/>
            <w:tcBorders/>
            <w:vAlign w:val="bottom"/>
          </w:tcPr>
          <w:p>
            <w:pPr>
              <w:pStyle w:val="TableContents"/>
              <w:bidi w:val="0"/>
              <w:spacing w:before="0" w:after="283"/>
              <w:jc w:val="left"/>
            </w:pPr>
            <w:r>
              <w:t>  </w:t>
            </w:r>
          </w:p>
        </w:tc>
        <w:tc>
          <w:tcPr>
            <w:tcW w:w="24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September 30, 2026</w:t>
            </w:r>
          </w:p>
        </w:tc>
        <w:tc>
          <w:tcPr>
            <w:tcW w:w="66" w:type="dxa"/>
            <w:tcBorders/>
            <w:vAlign w:val="bottom"/>
          </w:tcPr>
          <w:p>
            <w:pPr>
              <w:pStyle w:val="TableContents"/>
              <w:bidi w:val="0"/>
              <w:spacing w:before="0" w:after="283"/>
              <w:jc w:val="left"/>
            </w:pPr>
            <w:r>
              <w:t> </w:t>
            </w:r>
          </w:p>
        </w:tc>
      </w:tr>
      <w:tr>
        <w:tc>
          <w:tcPr>
            <w:tcW w:w="3572" w:type="dxa"/>
            <w:tcBorders/>
            <w:vAlign w:val="bottom"/>
          </w:tcPr>
          <w:p>
            <w:pPr>
              <w:pStyle w:val="TableContents"/>
              <w:bidi w:val="0"/>
              <w:spacing w:before="0" w:after="283"/>
              <w:jc w:val="left"/>
            </w:pPr>
            <w:r>
              <w:t> </w:t>
            </w:r>
          </w:p>
        </w:tc>
        <w:tc>
          <w:tcPr>
            <w:tcW w:w="243" w:type="dxa"/>
            <w:tcBorders/>
            <w:vAlign w:val="bottom"/>
          </w:tcPr>
          <w:p>
            <w:pPr>
              <w:pStyle w:val="TableContents"/>
              <w:bidi w:val="0"/>
              <w:spacing w:before="0" w:after="283"/>
              <w:jc w:val="left"/>
            </w:pPr>
            <w:r>
              <w:t>  </w:t>
            </w:r>
          </w:p>
        </w:tc>
        <w:tc>
          <w:tcPr>
            <w:tcW w:w="7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277"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1556" w:type="dxa"/>
            <w:gridSpan w:val="2"/>
            <w:tcBorders>
              <w:bottom w:val="single" w:sz="8" w:space="0" w:color="000000"/>
            </w:tcBorders>
            <w:tcMar>
              <w:bottom w:w="28" w:type="dxa"/>
            </w:tcMar>
            <w:vAlign w:val="bottom"/>
          </w:tcPr>
          <w:p>
            <w:pPr>
              <w:pStyle w:val="TableContents"/>
              <w:bidi w:val="0"/>
              <w:spacing w:before="0" w:after="283"/>
              <w:jc w:val="center"/>
            </w:pPr>
            <w:r>
              <w:rPr>
                <w:b/>
              </w:rPr>
              <w:t>Previous</w:t>
            </w:r>
            <w:r>
              <w:br/>
            </w:r>
            <w:r>
              <w:rPr>
                <w:b/>
              </w:rPr>
              <w:t>Guidance</w:t>
            </w:r>
          </w:p>
        </w:tc>
        <w:tc>
          <w:tcPr>
            <w:tcW w:w="60" w:type="dxa"/>
            <w:tcBorders/>
            <w:vAlign w:val="bottom"/>
          </w:tcPr>
          <w:p>
            <w:pPr>
              <w:pStyle w:val="TableContents"/>
              <w:bidi w:val="0"/>
              <w:spacing w:before="0" w:after="283"/>
              <w:jc w:val="left"/>
            </w:pPr>
            <w:r>
              <w:t> </w:t>
            </w:r>
          </w:p>
        </w:tc>
        <w:tc>
          <w:tcPr>
            <w:tcW w:w="243" w:type="dxa"/>
            <w:tcBorders/>
            <w:vAlign w:val="bottom"/>
          </w:tcPr>
          <w:p>
            <w:pPr>
              <w:pStyle w:val="TableContents"/>
              <w:bidi w:val="0"/>
              <w:spacing w:before="0" w:after="283"/>
              <w:jc w:val="left"/>
            </w:pPr>
            <w: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283"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pPr>
            <w:r>
              <w:rPr>
                <w:b/>
              </w:rPr>
              <w:t>Previous</w:t>
            </w:r>
            <w:r>
              <w:br/>
            </w:r>
            <w:r>
              <w:rPr>
                <w:b/>
              </w:rPr>
              <w:t>Guidance</w:t>
            </w:r>
          </w:p>
        </w:tc>
        <w:tc>
          <w:tcPr>
            <w:tcW w:w="66" w:type="dxa"/>
            <w:tcBorders/>
            <w:vAlign w:val="bottom"/>
          </w:tcPr>
          <w:p>
            <w:pPr>
              <w:pStyle w:val="TableContents"/>
              <w:bidi w:val="0"/>
              <w:spacing w:before="0" w:after="283"/>
              <w:jc w:val="left"/>
            </w:pPr>
            <w:r>
              <w:t> </w:t>
            </w:r>
          </w:p>
        </w:tc>
      </w:tr>
      <w:tr>
        <w:tc>
          <w:tcPr>
            <w:tcW w:w="3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4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611" w:type="dxa"/>
            <w:tcBorders/>
            <w:shd w:fill="CCEEFF" w:val="clear"/>
            <w:vAlign w:val="bottom"/>
          </w:tcPr>
          <w:p>
            <w:pPr>
              <w:pStyle w:val="TableContents"/>
              <w:bidi w:val="0"/>
              <w:spacing w:before="0" w:after="283"/>
              <w:jc w:val="right"/>
            </w:pPr>
            <w:r>
              <w:t>1,194</w:t>
            </w:r>
          </w:p>
        </w:tc>
        <w:tc>
          <w:tcPr>
            <w:tcW w:w="277"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416" w:type="dxa"/>
            <w:tcBorders/>
            <w:shd w:fill="CCEEFF" w:val="clear"/>
            <w:vAlign w:val="bottom"/>
          </w:tcPr>
          <w:p>
            <w:pPr>
              <w:pStyle w:val="TableContents"/>
              <w:bidi w:val="0"/>
              <w:spacing w:before="0" w:after="283"/>
              <w:jc w:val="right"/>
            </w:pPr>
            <w:r>
              <w:t>1,175-$1,215</w:t>
            </w:r>
          </w:p>
        </w:tc>
        <w:tc>
          <w:tcPr>
            <w:tcW w:w="60" w:type="dxa"/>
            <w:tcBorders/>
            <w:shd w:fill="CCEEFF" w:val="clear"/>
            <w:vAlign w:val="bottom"/>
          </w:tcPr>
          <w:p>
            <w:pPr>
              <w:pStyle w:val="TableContents"/>
              <w:bidi w:val="0"/>
              <w:spacing w:before="0" w:after="283"/>
              <w:jc w:val="left"/>
            </w:pPr>
            <w:r>
              <w:t> </w:t>
            </w:r>
          </w:p>
        </w:tc>
        <w:tc>
          <w:tcPr>
            <w:tcW w:w="243" w:type="dxa"/>
            <w:tcBorders/>
            <w:shd w:fill="CCEEFF" w:val="clear"/>
            <w:vAlign w:val="bottom"/>
          </w:tcPr>
          <w:p>
            <w:pPr>
              <w:pStyle w:val="TableContents"/>
              <w:bidi w:val="0"/>
              <w:spacing w:before="0" w:after="283"/>
              <w:jc w:val="left"/>
            </w:pPr>
            <w:r>
              <w:t>  </w:t>
            </w:r>
          </w:p>
        </w:tc>
        <w:tc>
          <w:tcPr>
            <w:tcW w:w="143" w:type="dxa"/>
            <w:tcBorders/>
            <w:shd w:fill="CCEEFF" w:val="clear"/>
            <w:vAlign w:val="bottom"/>
          </w:tcPr>
          <w:p>
            <w:pPr>
              <w:pStyle w:val="TableContents"/>
              <w:bidi w:val="0"/>
              <w:spacing w:before="0" w:after="283"/>
              <w:jc w:val="left"/>
            </w:pPr>
            <w:r>
              <w:t>$</w:t>
            </w:r>
          </w:p>
        </w:tc>
        <w:tc>
          <w:tcPr>
            <w:tcW w:w="623" w:type="dxa"/>
            <w:tcBorders/>
            <w:shd w:fill="CCEEFF" w:val="clear"/>
            <w:vAlign w:val="bottom"/>
          </w:tcPr>
          <w:p>
            <w:pPr>
              <w:pStyle w:val="TableContents"/>
              <w:bidi w:val="0"/>
              <w:spacing w:before="0" w:after="283"/>
              <w:jc w:val="right"/>
            </w:pPr>
            <w:r>
              <w:t>4,697</w:t>
            </w:r>
          </w:p>
        </w:tc>
        <w:tc>
          <w:tcPr>
            <w:tcW w:w="283"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 w:type="dxa"/>
            <w:tcBorders/>
            <w:shd w:fill="CCEEFF" w:val="clear"/>
            <w:vAlign w:val="bottom"/>
          </w:tcPr>
          <w:p>
            <w:pPr>
              <w:pStyle w:val="TableContents"/>
              <w:bidi w:val="0"/>
              <w:spacing w:before="0" w:after="283"/>
              <w:jc w:val="left"/>
            </w:pPr>
            <w:r>
              <w:t> </w:t>
            </w:r>
          </w:p>
        </w:tc>
        <w:tc>
          <w:tcPr>
            <w:tcW w:w="1219" w:type="dxa"/>
            <w:tcBorders/>
            <w:shd w:fill="CCEEFF" w:val="clear"/>
            <w:vAlign w:val="bottom"/>
          </w:tcPr>
          <w:p>
            <w:pPr>
              <w:pStyle w:val="TableContents"/>
              <w:bidi w:val="0"/>
              <w:spacing w:before="0" w:after="283"/>
              <w:jc w:val="right"/>
            </w:pPr>
            <w:r>
              <w:t>— </w:t>
            </w:r>
          </w:p>
        </w:tc>
        <w:tc>
          <w:tcPr>
            <w:tcW w:w="66" w:type="dxa"/>
            <w:tcBorders/>
            <w:shd w:fill="CCEEFF" w:val="clear"/>
            <w:vAlign w:val="bottom"/>
          </w:tcPr>
          <w:p>
            <w:pPr>
              <w:pStyle w:val="TableContents"/>
              <w:bidi w:val="0"/>
              <w:spacing w:before="0" w:after="283"/>
              <w:jc w:val="left"/>
            </w:pPr>
            <w:r>
              <w:t> </w:t>
            </w:r>
          </w:p>
        </w:tc>
      </w:tr>
      <w:tr>
        <w:tc>
          <w:tcPr>
            <w:tcW w:w="3572" w:type="dxa"/>
            <w:tcBorders/>
          </w:tcPr>
          <w:p>
            <w:pPr>
              <w:pStyle w:val="TableContents"/>
              <w:bidi w:val="0"/>
              <w:spacing w:before="0" w:after="0"/>
              <w:jc w:val="left"/>
              <w:rPr>
                <w:rFonts w:ascii="Times New Roman" w:hAnsi="Times New Roman"/>
                <w:sz w:val="20"/>
              </w:rPr>
            </w:pPr>
            <w:r>
              <w:rPr>
                <w:rFonts w:ascii="Times New Roman" w:hAnsi="Times New Roman"/>
                <w:sz w:val="20"/>
              </w:rPr>
              <w:t>Revenue Growth, as reported</w:t>
            </w:r>
          </w:p>
        </w:tc>
        <w:tc>
          <w:tcPr>
            <w:tcW w:w="24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11" w:type="dxa"/>
            <w:tcBorders/>
            <w:vAlign w:val="bottom"/>
          </w:tcPr>
          <w:p>
            <w:pPr>
              <w:pStyle w:val="TableContents"/>
              <w:bidi w:val="0"/>
              <w:spacing w:before="0" w:after="283"/>
              <w:jc w:val="right"/>
            </w:pPr>
            <w:r>
              <w:t>3.8</w:t>
            </w:r>
          </w:p>
        </w:tc>
        <w:tc>
          <w:tcPr>
            <w:tcW w:w="277"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16"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243" w:type="dxa"/>
            <w:tcBorders/>
            <w:vAlign w:val="bottom"/>
          </w:tcPr>
          <w:p>
            <w:pPr>
              <w:pStyle w:val="TableContents"/>
              <w:bidi w:val="0"/>
              <w:spacing w:before="0" w:after="283"/>
              <w:jc w:val="left"/>
            </w:pPr>
            <w:r>
              <w:t>  </w:t>
            </w:r>
          </w:p>
        </w:tc>
        <w:tc>
          <w:tcPr>
            <w:tcW w:w="143" w:type="dxa"/>
            <w:tcBorders/>
            <w:vAlign w:val="bottom"/>
          </w:tcPr>
          <w:p>
            <w:pPr>
              <w:pStyle w:val="TableContents"/>
              <w:bidi w:val="0"/>
              <w:spacing w:before="0" w:after="283"/>
              <w:jc w:val="left"/>
            </w:pPr>
            <w:r>
              <w:t> </w:t>
            </w:r>
          </w:p>
        </w:tc>
        <w:tc>
          <w:tcPr>
            <w:tcW w:w="623" w:type="dxa"/>
            <w:tcBorders/>
            <w:vAlign w:val="bottom"/>
          </w:tcPr>
          <w:p>
            <w:pPr>
              <w:pStyle w:val="TableContents"/>
              <w:bidi w:val="0"/>
              <w:spacing w:before="0" w:after="283"/>
              <w:jc w:val="right"/>
            </w:pPr>
            <w:r>
              <w:t>3.6</w:t>
            </w:r>
          </w:p>
        </w:tc>
        <w:tc>
          <w:tcPr>
            <w:tcW w:w="283"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 w:type="dxa"/>
            <w:tcBorders/>
            <w:vAlign w:val="bottom"/>
          </w:tcPr>
          <w:p>
            <w:pPr>
              <w:pStyle w:val="TableContents"/>
              <w:bidi w:val="0"/>
              <w:spacing w:before="0" w:after="283"/>
              <w:jc w:val="left"/>
            </w:pPr>
            <w:r>
              <w:t> </w:t>
            </w:r>
          </w:p>
        </w:tc>
        <w:tc>
          <w:tcPr>
            <w:tcW w:w="1219" w:type="dxa"/>
            <w:tcBorders/>
            <w:vAlign w:val="bottom"/>
          </w:tcPr>
          <w:p>
            <w:pPr>
              <w:pStyle w:val="TableContents"/>
              <w:bidi w:val="0"/>
              <w:spacing w:before="0" w:after="283"/>
              <w:jc w:val="right"/>
            </w:pPr>
            <w:r>
              <w:t>3.2%-4.0%</w:t>
            </w:r>
          </w:p>
        </w:tc>
        <w:tc>
          <w:tcPr>
            <w:tcW w:w="66" w:type="dxa"/>
            <w:tcBorders/>
            <w:vAlign w:val="bottom"/>
          </w:tcPr>
          <w:p>
            <w:pPr>
              <w:pStyle w:val="TableContents"/>
              <w:bidi w:val="0"/>
              <w:spacing w:before="0" w:after="283"/>
              <w:jc w:val="left"/>
            </w:pPr>
            <w:r>
              <w:t> </w:t>
            </w:r>
          </w:p>
        </w:tc>
      </w:tr>
      <w:tr>
        <w:tc>
          <w:tcPr>
            <w:tcW w:w="3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Growth, constant currency (1)</w:t>
            </w:r>
          </w:p>
        </w:tc>
        <w:tc>
          <w:tcPr>
            <w:tcW w:w="24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11" w:type="dxa"/>
            <w:tcBorders/>
            <w:shd w:fill="CCEEFF" w:val="clear"/>
            <w:vAlign w:val="bottom"/>
          </w:tcPr>
          <w:p>
            <w:pPr>
              <w:pStyle w:val="TableContents"/>
              <w:bidi w:val="0"/>
              <w:spacing w:before="0" w:after="283"/>
              <w:jc w:val="right"/>
            </w:pPr>
            <w:r>
              <w:t>4.0</w:t>
            </w:r>
          </w:p>
        </w:tc>
        <w:tc>
          <w:tcPr>
            <w:tcW w:w="277"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16"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243" w:type="dxa"/>
            <w:tcBorders/>
            <w:shd w:fill="CCEEFF" w:val="clear"/>
            <w:vAlign w:val="bottom"/>
          </w:tcPr>
          <w:p>
            <w:pPr>
              <w:pStyle w:val="TableContents"/>
              <w:bidi w:val="0"/>
              <w:spacing w:before="0" w:after="283"/>
              <w:jc w:val="left"/>
            </w:pPr>
            <w:r>
              <w:t>  </w:t>
            </w:r>
          </w:p>
        </w:tc>
        <w:tc>
          <w:tcPr>
            <w:tcW w:w="143" w:type="dxa"/>
            <w:tcBorders/>
            <w:shd w:fill="CCEEFF" w:val="clear"/>
            <w:vAlign w:val="bottom"/>
          </w:tcPr>
          <w:p>
            <w:pPr>
              <w:pStyle w:val="TableContents"/>
              <w:bidi w:val="0"/>
              <w:spacing w:before="0" w:after="283"/>
              <w:jc w:val="left"/>
            </w:pPr>
            <w:r>
              <w:t> </w:t>
            </w:r>
          </w:p>
        </w:tc>
        <w:tc>
          <w:tcPr>
            <w:tcW w:w="623" w:type="dxa"/>
            <w:tcBorders/>
            <w:shd w:fill="CCEEFF" w:val="clear"/>
            <w:vAlign w:val="bottom"/>
          </w:tcPr>
          <w:p>
            <w:pPr>
              <w:pStyle w:val="TableContents"/>
              <w:bidi w:val="0"/>
              <w:spacing w:before="0" w:after="283"/>
              <w:jc w:val="right"/>
            </w:pPr>
            <w:r>
              <w:t>3.0</w:t>
            </w:r>
          </w:p>
        </w:tc>
        <w:tc>
          <w:tcPr>
            <w:tcW w:w="283"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 w:type="dxa"/>
            <w:tcBorders/>
            <w:shd w:fill="CCEEFF" w:val="clear"/>
            <w:vAlign w:val="bottom"/>
          </w:tcPr>
          <w:p>
            <w:pPr>
              <w:pStyle w:val="TableContents"/>
              <w:bidi w:val="0"/>
              <w:spacing w:before="0" w:after="283"/>
              <w:jc w:val="left"/>
            </w:pPr>
            <w:r>
              <w:t> </w:t>
            </w:r>
          </w:p>
        </w:tc>
        <w:tc>
          <w:tcPr>
            <w:tcW w:w="1219" w:type="dxa"/>
            <w:tcBorders/>
            <w:shd w:fill="CCEEFF" w:val="clear"/>
            <w:vAlign w:val="bottom"/>
          </w:tcPr>
          <w:p>
            <w:pPr>
              <w:pStyle w:val="TableContents"/>
              <w:bidi w:val="0"/>
              <w:spacing w:before="0" w:after="283"/>
              <w:jc w:val="right"/>
            </w:pPr>
            <w:r>
              <w:t>2.6%-3.4%</w:t>
            </w:r>
          </w:p>
        </w:tc>
        <w:tc>
          <w:tcPr>
            <w:tcW w:w="66" w:type="dxa"/>
            <w:tcBorders/>
            <w:shd w:fill="CCEEFF" w:val="clear"/>
            <w:vAlign w:val="bottom"/>
          </w:tcPr>
          <w:p>
            <w:pPr>
              <w:pStyle w:val="TableContents"/>
              <w:bidi w:val="0"/>
              <w:spacing w:before="0" w:after="283"/>
              <w:jc w:val="left"/>
            </w:pPr>
            <w:r>
              <w: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for the fourth fiscal quarter of 2026 was in line with the midpoint of Amdocs’ guidance range in constant currency(1), and includes a $1 million negative impact from foreign currency movements compared to our guidance assumptions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for the fourth fiscal quarter includes a negative impact from foreign currency movements of $2 million relative to the fourth quarter of fiscal 2025 and a negative impact from foreign currency movements of $3 million relative to the third quarter of fiscal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Net Income and Earnings Per Share </w:t>
      </w:r>
    </w:p>
    <w:p>
      <w:pPr>
        <w:pStyle w:val="TextBody"/>
        <w:bidi w:val="0"/>
        <w:spacing w:before="0" w:after="0"/>
        <w:jc w:val="left"/>
      </w:pPr>
      <w:r>
        <w:t> </w:t>
      </w:r>
    </w:p>
    <w:tbl>
      <w:tblPr>
        <w:tblW w:w="4600" w:type="pct"/>
        <w:jc w:val="center"/>
        <w:tblInd w:w="0" w:type="dxa"/>
        <w:tblLayout w:type="fixed"/>
        <w:tblCellMar>
          <w:top w:w="0" w:type="dxa"/>
          <w:left w:w="0" w:type="dxa"/>
          <w:bottom w:w="0" w:type="dxa"/>
          <w:right w:w="0" w:type="dxa"/>
        </w:tblCellMar>
      </w:tblPr>
      <w:tblGrid>
        <w:gridCol w:w="4350"/>
        <w:gridCol w:w="257"/>
        <w:gridCol w:w="140"/>
        <w:gridCol w:w="801"/>
        <w:gridCol w:w="60"/>
        <w:gridCol w:w="257"/>
        <w:gridCol w:w="140"/>
        <w:gridCol w:w="801"/>
        <w:gridCol w:w="60"/>
        <w:gridCol w:w="257"/>
        <w:gridCol w:w="140"/>
        <w:gridCol w:w="801"/>
        <w:gridCol w:w="60"/>
        <w:gridCol w:w="257"/>
        <w:gridCol w:w="140"/>
        <w:gridCol w:w="800"/>
        <w:gridCol w:w="67"/>
      </w:tblGrid>
      <w:tr>
        <w:tc>
          <w:tcPr>
            <w:tcW w:w="435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c>
          <w:tcPr>
            <w:tcW w:w="4350"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471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In thousands, except per share data</w:t>
            </w:r>
          </w:p>
        </w:tc>
        <w:tc>
          <w:tcPr>
            <w:tcW w:w="67" w:type="dxa"/>
            <w:tcBorders/>
            <w:vAlign w:val="bottom"/>
          </w:tcPr>
          <w:p>
            <w:pPr>
              <w:pStyle w:val="TableContents"/>
              <w:bidi w:val="0"/>
              <w:spacing w:before="0" w:after="283"/>
              <w:jc w:val="left"/>
            </w:pPr>
            <w:r>
              <w:t> </w:t>
            </w:r>
          </w:p>
        </w:tc>
      </w:tr>
      <w:tr>
        <w:tc>
          <w:tcPr>
            <w:tcW w:w="4350"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2199" w:type="dxa"/>
            <w:gridSpan w:val="6"/>
            <w:tcBorders/>
            <w:vAlign w:val="bottom"/>
          </w:tcPr>
          <w:p>
            <w:pPr>
              <w:pStyle w:val="TableContents"/>
              <w:bidi w:val="0"/>
              <w:spacing w:before="0" w:after="283"/>
              <w:jc w:val="center"/>
              <w:rPr>
                <w:b/>
              </w:rPr>
            </w:pPr>
            <w:r>
              <w:rPr>
                <w:b/>
              </w:rPr>
              <w:t>Three months ended</w:t>
            </w:r>
          </w:p>
        </w:tc>
        <w:tc>
          <w:tcPr>
            <w:tcW w:w="60"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2198" w:type="dxa"/>
            <w:gridSpan w:val="6"/>
            <w:tcBorders/>
            <w:vAlign w:val="bottom"/>
          </w:tcPr>
          <w:p>
            <w:pPr>
              <w:pStyle w:val="TableContents"/>
              <w:bidi w:val="0"/>
              <w:spacing w:before="0" w:after="283"/>
              <w:jc w:val="center"/>
              <w:rPr>
                <w:b/>
              </w:rPr>
            </w:pPr>
            <w:r>
              <w:rPr>
                <w:b/>
              </w:rPr>
              <w:t>Twelve months ended</w:t>
            </w:r>
          </w:p>
        </w:tc>
        <w:tc>
          <w:tcPr>
            <w:tcW w:w="67" w:type="dxa"/>
            <w:tcBorders/>
            <w:vAlign w:val="bottom"/>
          </w:tcPr>
          <w:p>
            <w:pPr>
              <w:pStyle w:val="TableContents"/>
              <w:bidi w:val="0"/>
              <w:spacing w:before="0" w:after="283"/>
              <w:jc w:val="left"/>
            </w:pPr>
            <w:r>
              <w:t> </w:t>
            </w:r>
          </w:p>
        </w:tc>
      </w:tr>
      <w:tr>
        <w:tc>
          <w:tcPr>
            <w:tcW w:w="4350"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21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September 30,</w:t>
            </w:r>
          </w:p>
        </w:tc>
        <w:tc>
          <w:tcPr>
            <w:tcW w:w="60"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219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September 30,</w:t>
            </w:r>
          </w:p>
        </w:tc>
        <w:tc>
          <w:tcPr>
            <w:tcW w:w="67" w:type="dxa"/>
            <w:tcBorders/>
            <w:vAlign w:val="bottom"/>
          </w:tcPr>
          <w:p>
            <w:pPr>
              <w:pStyle w:val="TableContents"/>
              <w:bidi w:val="0"/>
              <w:spacing w:before="0" w:after="283"/>
              <w:jc w:val="left"/>
            </w:pPr>
            <w:r>
              <w:t> </w:t>
            </w:r>
          </w:p>
        </w:tc>
      </w:tr>
      <w:tr>
        <w:tc>
          <w:tcPr>
            <w:tcW w:w="4350"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7" w:type="dxa"/>
            <w:tcBorders/>
            <w:vAlign w:val="bottom"/>
          </w:tcPr>
          <w:p>
            <w:pPr>
              <w:pStyle w:val="TableContents"/>
              <w:bidi w:val="0"/>
              <w:spacing w:before="0" w:after="283"/>
              <w:jc w:val="left"/>
            </w:pPr>
            <w:r>
              <w:t> </w:t>
            </w:r>
          </w:p>
        </w:tc>
      </w:tr>
      <w:tr>
        <w:tc>
          <w:tcPr>
            <w:tcW w:w="43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GAAP Measures</w:t>
            </w:r>
          </w:p>
        </w:tc>
        <w:tc>
          <w:tcPr>
            <w:tcW w:w="25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c>
          <w:tcPr>
            <w:tcW w:w="43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5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01" w:type="dxa"/>
            <w:tcBorders/>
            <w:vAlign w:val="bottom"/>
          </w:tcPr>
          <w:p>
            <w:pPr>
              <w:pStyle w:val="TableContents"/>
              <w:bidi w:val="0"/>
              <w:spacing w:before="0" w:after="283"/>
              <w:jc w:val="right"/>
            </w:pPr>
            <w:r>
              <w:t>140,823</w:t>
            </w:r>
          </w:p>
        </w:tc>
        <w:tc>
          <w:tcPr>
            <w:tcW w:w="60"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01" w:type="dxa"/>
            <w:tcBorders/>
            <w:vAlign w:val="bottom"/>
          </w:tcPr>
          <w:p>
            <w:pPr>
              <w:pStyle w:val="TableContents"/>
              <w:bidi w:val="0"/>
              <w:spacing w:before="0" w:after="283"/>
              <w:jc w:val="right"/>
            </w:pPr>
            <w:r>
              <w:t>97,114</w:t>
            </w:r>
          </w:p>
        </w:tc>
        <w:tc>
          <w:tcPr>
            <w:tcW w:w="60"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01" w:type="dxa"/>
            <w:tcBorders/>
            <w:vAlign w:val="bottom"/>
          </w:tcPr>
          <w:p>
            <w:pPr>
              <w:pStyle w:val="TableContents"/>
              <w:bidi w:val="0"/>
              <w:spacing w:before="0" w:after="283"/>
              <w:jc w:val="right"/>
            </w:pPr>
            <w:r>
              <w:t>501,242</w:t>
            </w:r>
          </w:p>
        </w:tc>
        <w:tc>
          <w:tcPr>
            <w:tcW w:w="60"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00" w:type="dxa"/>
            <w:tcBorders/>
            <w:vAlign w:val="bottom"/>
          </w:tcPr>
          <w:p>
            <w:pPr>
              <w:pStyle w:val="TableContents"/>
              <w:bidi w:val="0"/>
              <w:spacing w:before="0" w:after="283"/>
              <w:jc w:val="right"/>
            </w:pPr>
            <w:r>
              <w:t>567,769</w:t>
            </w:r>
          </w:p>
        </w:tc>
        <w:tc>
          <w:tcPr>
            <w:tcW w:w="67" w:type="dxa"/>
            <w:tcBorders/>
            <w:vAlign w:val="bottom"/>
          </w:tcPr>
          <w:p>
            <w:pPr>
              <w:pStyle w:val="TableContents"/>
              <w:bidi w:val="0"/>
              <w:spacing w:before="0" w:after="283"/>
              <w:jc w:val="left"/>
            </w:pPr>
            <w:r>
              <w:t> </w:t>
            </w:r>
          </w:p>
        </w:tc>
      </w:tr>
      <w:tr>
        <w:tc>
          <w:tcPr>
            <w:tcW w:w="4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25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1" w:type="dxa"/>
            <w:tcBorders/>
            <w:shd w:fill="CCEEFF" w:val="clear"/>
            <w:vAlign w:val="bottom"/>
          </w:tcPr>
          <w:p>
            <w:pPr>
              <w:pStyle w:val="TableContents"/>
              <w:bidi w:val="0"/>
              <w:spacing w:before="0" w:after="283"/>
              <w:jc w:val="right"/>
            </w:pPr>
            <w:r>
              <w:t>139,871</w:t>
            </w:r>
          </w:p>
        </w:tc>
        <w:tc>
          <w:tcPr>
            <w:tcW w:w="60" w:type="dxa"/>
            <w:tcBorders/>
            <w:shd w:fill="CCEEFF" w:val="clear"/>
            <w:vAlign w:val="bottom"/>
          </w:tcPr>
          <w:p>
            <w:pPr>
              <w:pStyle w:val="TableContents"/>
              <w:bidi w:val="0"/>
              <w:spacing w:before="0" w:after="283"/>
              <w:jc w:val="left"/>
            </w:pPr>
            <w:r>
              <w:t> </w:t>
            </w:r>
          </w:p>
        </w:tc>
        <w:tc>
          <w:tcPr>
            <w:tcW w:w="25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1" w:type="dxa"/>
            <w:tcBorders/>
            <w:shd w:fill="CCEEFF" w:val="clear"/>
            <w:vAlign w:val="bottom"/>
          </w:tcPr>
          <w:p>
            <w:pPr>
              <w:pStyle w:val="TableContents"/>
              <w:bidi w:val="0"/>
              <w:spacing w:before="0" w:after="283"/>
              <w:jc w:val="right"/>
            </w:pPr>
            <w:r>
              <w:t>96,327</w:t>
            </w:r>
          </w:p>
        </w:tc>
        <w:tc>
          <w:tcPr>
            <w:tcW w:w="60" w:type="dxa"/>
            <w:tcBorders/>
            <w:shd w:fill="CCEEFF" w:val="clear"/>
            <w:vAlign w:val="bottom"/>
          </w:tcPr>
          <w:p>
            <w:pPr>
              <w:pStyle w:val="TableContents"/>
              <w:bidi w:val="0"/>
              <w:spacing w:before="0" w:after="283"/>
              <w:jc w:val="left"/>
            </w:pPr>
            <w:r>
              <w:t> </w:t>
            </w:r>
          </w:p>
        </w:tc>
        <w:tc>
          <w:tcPr>
            <w:tcW w:w="25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1" w:type="dxa"/>
            <w:tcBorders/>
            <w:shd w:fill="CCEEFF" w:val="clear"/>
            <w:vAlign w:val="bottom"/>
          </w:tcPr>
          <w:p>
            <w:pPr>
              <w:pStyle w:val="TableContents"/>
              <w:bidi w:val="0"/>
              <w:spacing w:before="0" w:after="283"/>
              <w:jc w:val="right"/>
            </w:pPr>
            <w:r>
              <w:t>497,421</w:t>
            </w:r>
          </w:p>
        </w:tc>
        <w:tc>
          <w:tcPr>
            <w:tcW w:w="60" w:type="dxa"/>
            <w:tcBorders/>
            <w:shd w:fill="CCEEFF" w:val="clear"/>
            <w:vAlign w:val="bottom"/>
          </w:tcPr>
          <w:p>
            <w:pPr>
              <w:pStyle w:val="TableContents"/>
              <w:bidi w:val="0"/>
              <w:spacing w:before="0" w:after="283"/>
              <w:jc w:val="left"/>
            </w:pPr>
            <w:r>
              <w:t> </w:t>
            </w:r>
          </w:p>
        </w:tc>
        <w:tc>
          <w:tcPr>
            <w:tcW w:w="25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0" w:type="dxa"/>
            <w:tcBorders/>
            <w:shd w:fill="CCEEFF" w:val="clear"/>
            <w:vAlign w:val="bottom"/>
          </w:tcPr>
          <w:p>
            <w:pPr>
              <w:pStyle w:val="TableContents"/>
              <w:bidi w:val="0"/>
              <w:spacing w:before="0" w:after="283"/>
              <w:jc w:val="right"/>
            </w:pPr>
            <w:r>
              <w:t>564,704</w:t>
            </w:r>
          </w:p>
        </w:tc>
        <w:tc>
          <w:tcPr>
            <w:tcW w:w="67" w:type="dxa"/>
            <w:tcBorders/>
            <w:shd w:fill="CCEEFF" w:val="clear"/>
            <w:vAlign w:val="bottom"/>
          </w:tcPr>
          <w:p>
            <w:pPr>
              <w:pStyle w:val="TableContents"/>
              <w:bidi w:val="0"/>
              <w:spacing w:before="0" w:after="283"/>
              <w:jc w:val="left"/>
            </w:pPr>
            <w:r>
              <w:t> </w:t>
            </w:r>
          </w:p>
        </w:tc>
      </w:tr>
      <w:tr>
        <w:tc>
          <w:tcPr>
            <w:tcW w:w="4350"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 per share</w:t>
            </w:r>
          </w:p>
        </w:tc>
        <w:tc>
          <w:tcPr>
            <w:tcW w:w="25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01" w:type="dxa"/>
            <w:tcBorders/>
            <w:vAlign w:val="bottom"/>
          </w:tcPr>
          <w:p>
            <w:pPr>
              <w:pStyle w:val="TableContents"/>
              <w:bidi w:val="0"/>
              <w:spacing w:before="0" w:after="283"/>
              <w:jc w:val="right"/>
            </w:pPr>
            <w:r>
              <w:t>1.35</w:t>
            </w:r>
          </w:p>
        </w:tc>
        <w:tc>
          <w:tcPr>
            <w:tcW w:w="60"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01" w:type="dxa"/>
            <w:tcBorders/>
            <w:vAlign w:val="bottom"/>
          </w:tcPr>
          <w:p>
            <w:pPr>
              <w:pStyle w:val="TableContents"/>
              <w:bidi w:val="0"/>
              <w:spacing w:before="0" w:after="283"/>
              <w:jc w:val="right"/>
            </w:pPr>
            <w:r>
              <w:t>0.88</w:t>
            </w:r>
          </w:p>
        </w:tc>
        <w:tc>
          <w:tcPr>
            <w:tcW w:w="60"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01" w:type="dxa"/>
            <w:tcBorders/>
            <w:vAlign w:val="bottom"/>
          </w:tcPr>
          <w:p>
            <w:pPr>
              <w:pStyle w:val="TableContents"/>
              <w:bidi w:val="0"/>
              <w:spacing w:before="0" w:after="283"/>
              <w:jc w:val="right"/>
            </w:pPr>
            <w:r>
              <w:t>4.68</w:t>
            </w:r>
          </w:p>
        </w:tc>
        <w:tc>
          <w:tcPr>
            <w:tcW w:w="60"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00" w:type="dxa"/>
            <w:tcBorders/>
            <w:vAlign w:val="bottom"/>
          </w:tcPr>
          <w:p>
            <w:pPr>
              <w:pStyle w:val="TableContents"/>
              <w:bidi w:val="0"/>
              <w:spacing w:before="0" w:after="283"/>
              <w:jc w:val="right"/>
            </w:pPr>
            <w:r>
              <w:t>5.05</w:t>
            </w:r>
          </w:p>
        </w:tc>
        <w:tc>
          <w:tcPr>
            <w:tcW w:w="67" w:type="dxa"/>
            <w:tcBorders/>
            <w:vAlign w:val="bottom"/>
          </w:tcPr>
          <w:p>
            <w:pPr>
              <w:pStyle w:val="TableContents"/>
              <w:bidi w:val="0"/>
              <w:spacing w:before="0" w:after="283"/>
              <w:jc w:val="left"/>
            </w:pPr>
            <w:r>
              <w:t> </w:t>
            </w:r>
          </w:p>
        </w:tc>
      </w:tr>
      <w:tr>
        <w:tc>
          <w:tcPr>
            <w:tcW w:w="43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Non-GAAP Measures</w:t>
            </w:r>
          </w:p>
        </w:tc>
        <w:tc>
          <w:tcPr>
            <w:tcW w:w="25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c>
          <w:tcPr>
            <w:tcW w:w="4350" w:type="dxa"/>
            <w:tcBorders/>
          </w:tcPr>
          <w:p>
            <w:pPr>
              <w:pStyle w:val="TableContents"/>
              <w:bidi w:val="0"/>
              <w:spacing w:before="0" w:after="0"/>
              <w:jc w:val="left"/>
              <w:rPr>
                <w:rFonts w:ascii="Times New Roman" w:hAnsi="Times New Roman"/>
                <w:sz w:val="20"/>
              </w:rPr>
            </w:pPr>
            <w:r>
              <w:rPr>
                <w:rFonts w:ascii="Times New Roman" w:hAnsi="Times New Roman"/>
                <w:sz w:val="20"/>
              </w:rPr>
              <w:t>Non-GAAP Net Income</w:t>
            </w:r>
          </w:p>
        </w:tc>
        <w:tc>
          <w:tcPr>
            <w:tcW w:w="25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01" w:type="dxa"/>
            <w:tcBorders/>
            <w:vAlign w:val="bottom"/>
          </w:tcPr>
          <w:p>
            <w:pPr>
              <w:pStyle w:val="TableContents"/>
              <w:bidi w:val="0"/>
              <w:spacing w:before="0" w:after="283"/>
              <w:jc w:val="right"/>
            </w:pPr>
            <w:r>
              <w:t>206,097</w:t>
            </w:r>
          </w:p>
        </w:tc>
        <w:tc>
          <w:tcPr>
            <w:tcW w:w="60"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01" w:type="dxa"/>
            <w:tcBorders/>
            <w:vAlign w:val="bottom"/>
          </w:tcPr>
          <w:p>
            <w:pPr>
              <w:pStyle w:val="TableContents"/>
              <w:bidi w:val="0"/>
              <w:spacing w:before="0" w:after="283"/>
              <w:jc w:val="right"/>
            </w:pPr>
            <w:r>
              <w:t>202,203</w:t>
            </w:r>
          </w:p>
        </w:tc>
        <w:tc>
          <w:tcPr>
            <w:tcW w:w="60"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01" w:type="dxa"/>
            <w:tcBorders/>
            <w:vAlign w:val="bottom"/>
          </w:tcPr>
          <w:p>
            <w:pPr>
              <w:pStyle w:val="TableContents"/>
              <w:bidi w:val="0"/>
              <w:spacing w:before="0" w:after="283"/>
              <w:jc w:val="right"/>
            </w:pPr>
            <w:r>
              <w:t>791,669</w:t>
            </w:r>
          </w:p>
        </w:tc>
        <w:tc>
          <w:tcPr>
            <w:tcW w:w="60"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00" w:type="dxa"/>
            <w:tcBorders/>
            <w:vAlign w:val="bottom"/>
          </w:tcPr>
          <w:p>
            <w:pPr>
              <w:pStyle w:val="TableContents"/>
              <w:bidi w:val="0"/>
              <w:spacing w:before="0" w:after="283"/>
              <w:jc w:val="right"/>
            </w:pPr>
            <w:r>
              <w:t>784,267</w:t>
            </w:r>
          </w:p>
        </w:tc>
        <w:tc>
          <w:tcPr>
            <w:tcW w:w="67" w:type="dxa"/>
            <w:tcBorders/>
            <w:vAlign w:val="bottom"/>
          </w:tcPr>
          <w:p>
            <w:pPr>
              <w:pStyle w:val="TableContents"/>
              <w:bidi w:val="0"/>
              <w:spacing w:before="0" w:after="283"/>
              <w:jc w:val="left"/>
            </w:pPr>
            <w:r>
              <w:t> </w:t>
            </w:r>
          </w:p>
        </w:tc>
      </w:tr>
      <w:tr>
        <w:tc>
          <w:tcPr>
            <w:tcW w:w="4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Net Income attributable to Amdocs Limited</w:t>
            </w:r>
          </w:p>
        </w:tc>
        <w:tc>
          <w:tcPr>
            <w:tcW w:w="25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1" w:type="dxa"/>
            <w:tcBorders/>
            <w:shd w:fill="CCEEFF" w:val="clear"/>
            <w:vAlign w:val="bottom"/>
          </w:tcPr>
          <w:p>
            <w:pPr>
              <w:pStyle w:val="TableContents"/>
              <w:bidi w:val="0"/>
              <w:spacing w:before="0" w:after="283"/>
              <w:jc w:val="right"/>
            </w:pPr>
            <w:r>
              <w:t>205,145</w:t>
            </w:r>
          </w:p>
        </w:tc>
        <w:tc>
          <w:tcPr>
            <w:tcW w:w="60" w:type="dxa"/>
            <w:tcBorders/>
            <w:shd w:fill="CCEEFF" w:val="clear"/>
            <w:vAlign w:val="bottom"/>
          </w:tcPr>
          <w:p>
            <w:pPr>
              <w:pStyle w:val="TableContents"/>
              <w:bidi w:val="0"/>
              <w:spacing w:before="0" w:after="283"/>
              <w:jc w:val="left"/>
            </w:pPr>
            <w:r>
              <w:t> </w:t>
            </w:r>
          </w:p>
        </w:tc>
        <w:tc>
          <w:tcPr>
            <w:tcW w:w="25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1" w:type="dxa"/>
            <w:tcBorders/>
            <w:shd w:fill="CCEEFF" w:val="clear"/>
            <w:vAlign w:val="bottom"/>
          </w:tcPr>
          <w:p>
            <w:pPr>
              <w:pStyle w:val="TableContents"/>
              <w:bidi w:val="0"/>
              <w:spacing w:before="0" w:after="283"/>
              <w:jc w:val="right"/>
            </w:pPr>
            <w:r>
              <w:t>201,416</w:t>
            </w:r>
          </w:p>
        </w:tc>
        <w:tc>
          <w:tcPr>
            <w:tcW w:w="60" w:type="dxa"/>
            <w:tcBorders/>
            <w:shd w:fill="CCEEFF" w:val="clear"/>
            <w:vAlign w:val="bottom"/>
          </w:tcPr>
          <w:p>
            <w:pPr>
              <w:pStyle w:val="TableContents"/>
              <w:bidi w:val="0"/>
              <w:spacing w:before="0" w:after="283"/>
              <w:jc w:val="left"/>
            </w:pPr>
            <w:r>
              <w:t> </w:t>
            </w:r>
          </w:p>
        </w:tc>
        <w:tc>
          <w:tcPr>
            <w:tcW w:w="25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1" w:type="dxa"/>
            <w:tcBorders/>
            <w:shd w:fill="CCEEFF" w:val="clear"/>
            <w:vAlign w:val="bottom"/>
          </w:tcPr>
          <w:p>
            <w:pPr>
              <w:pStyle w:val="TableContents"/>
              <w:bidi w:val="0"/>
              <w:spacing w:before="0" w:after="283"/>
              <w:jc w:val="right"/>
            </w:pPr>
            <w:r>
              <w:t>787,848</w:t>
            </w:r>
          </w:p>
        </w:tc>
        <w:tc>
          <w:tcPr>
            <w:tcW w:w="60" w:type="dxa"/>
            <w:tcBorders/>
            <w:shd w:fill="CCEEFF" w:val="clear"/>
            <w:vAlign w:val="bottom"/>
          </w:tcPr>
          <w:p>
            <w:pPr>
              <w:pStyle w:val="TableContents"/>
              <w:bidi w:val="0"/>
              <w:spacing w:before="0" w:after="283"/>
              <w:jc w:val="left"/>
            </w:pPr>
            <w:r>
              <w:t> </w:t>
            </w:r>
          </w:p>
        </w:tc>
        <w:tc>
          <w:tcPr>
            <w:tcW w:w="25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0" w:type="dxa"/>
            <w:tcBorders/>
            <w:shd w:fill="CCEEFF" w:val="clear"/>
            <w:vAlign w:val="bottom"/>
          </w:tcPr>
          <w:p>
            <w:pPr>
              <w:pStyle w:val="TableContents"/>
              <w:bidi w:val="0"/>
              <w:spacing w:before="0" w:after="283"/>
              <w:jc w:val="right"/>
            </w:pPr>
            <w:r>
              <w:t>781,202</w:t>
            </w:r>
          </w:p>
        </w:tc>
        <w:tc>
          <w:tcPr>
            <w:tcW w:w="67" w:type="dxa"/>
            <w:tcBorders/>
            <w:shd w:fill="CCEEFF" w:val="clear"/>
            <w:vAlign w:val="bottom"/>
          </w:tcPr>
          <w:p>
            <w:pPr>
              <w:pStyle w:val="TableContents"/>
              <w:bidi w:val="0"/>
              <w:spacing w:before="0" w:after="283"/>
              <w:jc w:val="left"/>
            </w:pPr>
            <w:r>
              <w:t> </w:t>
            </w:r>
          </w:p>
        </w:tc>
      </w:tr>
      <w:tr>
        <w:tc>
          <w:tcPr>
            <w:tcW w:w="4350" w:type="dxa"/>
            <w:tcBorders/>
          </w:tcPr>
          <w:p>
            <w:pPr>
              <w:pStyle w:val="TableContents"/>
              <w:bidi w:val="0"/>
              <w:spacing w:before="0" w:after="0"/>
              <w:jc w:val="left"/>
              <w:rPr>
                <w:rFonts w:ascii="Times New Roman" w:hAnsi="Times New Roman"/>
                <w:sz w:val="20"/>
              </w:rPr>
            </w:pPr>
            <w:r>
              <w:rPr>
                <w:rFonts w:ascii="Times New Roman" w:hAnsi="Times New Roman"/>
                <w:sz w:val="20"/>
              </w:rPr>
              <w:t>Non-GAAP Diluted earnings per share</w:t>
            </w:r>
          </w:p>
        </w:tc>
        <w:tc>
          <w:tcPr>
            <w:tcW w:w="25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01" w:type="dxa"/>
            <w:tcBorders/>
            <w:vAlign w:val="bottom"/>
          </w:tcPr>
          <w:p>
            <w:pPr>
              <w:pStyle w:val="TableContents"/>
              <w:bidi w:val="0"/>
              <w:spacing w:before="0" w:after="283"/>
              <w:jc w:val="right"/>
            </w:pPr>
            <w:r>
              <w:t>1.98</w:t>
            </w:r>
          </w:p>
        </w:tc>
        <w:tc>
          <w:tcPr>
            <w:tcW w:w="60"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01" w:type="dxa"/>
            <w:tcBorders/>
            <w:vAlign w:val="bottom"/>
          </w:tcPr>
          <w:p>
            <w:pPr>
              <w:pStyle w:val="TableContents"/>
              <w:bidi w:val="0"/>
              <w:spacing w:before="0" w:after="283"/>
              <w:jc w:val="right"/>
            </w:pPr>
            <w:r>
              <w:t>1.83</w:t>
            </w:r>
          </w:p>
        </w:tc>
        <w:tc>
          <w:tcPr>
            <w:tcW w:w="60"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01" w:type="dxa"/>
            <w:tcBorders/>
            <w:vAlign w:val="bottom"/>
          </w:tcPr>
          <w:p>
            <w:pPr>
              <w:pStyle w:val="TableContents"/>
              <w:bidi w:val="0"/>
              <w:spacing w:before="0" w:after="283"/>
              <w:jc w:val="right"/>
            </w:pPr>
            <w:r>
              <w:t>7.41</w:t>
            </w:r>
          </w:p>
        </w:tc>
        <w:tc>
          <w:tcPr>
            <w:tcW w:w="60"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00" w:type="dxa"/>
            <w:tcBorders/>
            <w:vAlign w:val="bottom"/>
          </w:tcPr>
          <w:p>
            <w:pPr>
              <w:pStyle w:val="TableContents"/>
              <w:bidi w:val="0"/>
              <w:spacing w:before="0" w:after="283"/>
              <w:jc w:val="right"/>
            </w:pPr>
            <w:r>
              <w:t>6.99</w:t>
            </w:r>
          </w:p>
        </w:tc>
        <w:tc>
          <w:tcPr>
            <w:tcW w:w="67" w:type="dxa"/>
            <w:tcBorders/>
            <w:vAlign w:val="bottom"/>
          </w:tcPr>
          <w:p>
            <w:pPr>
              <w:pStyle w:val="TableContents"/>
              <w:bidi w:val="0"/>
              <w:spacing w:before="0" w:after="283"/>
              <w:jc w:val="left"/>
            </w:pPr>
            <w:r>
              <w: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c>
          <w:tcPr>
            <w:tcW w:w="406" w:type="dxa"/>
            <w:tcBorders/>
            <w:vAlign w:val="center"/>
          </w:tcPr>
          <w:p>
            <w:pPr>
              <w:pStyle w:val="TableContents"/>
              <w:bidi w:val="0"/>
              <w:spacing w:before="0" w:after="283"/>
              <w:jc w:val="left"/>
            </w:pPr>
            <w:r>
              <w:t> </w:t>
            </w:r>
          </w:p>
        </w:tc>
        <w:tc>
          <w:tcPr>
            <w:tcW w:w="407"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net income excludes amortization of purchased intangible assets and other acquisition-related costs, changes in certain acquisition related liabilities measured at fair value, equity-based compensation expenses, restructuring charges, and other, net of related tax effects. For further details of the reconciliation of selected financial metrics from GAAP to Non-GAAP, please refer to the tables below </w:t>
            </w:r>
          </w:p>
        </w:tc>
      </w:tr>
    </w:tbl>
    <w:p>
      <w:pPr>
        <w:pStyle w:val="HorizontalLine"/>
        <w:pBdr>
          <w:bottom w:val="double" w:sz="6" w:space="0" w:color="808080"/>
        </w:pBdr>
        <w:bidi w:val="0"/>
        <w:jc w:val="left"/>
      </w:pPr>
      <w:r>
        <w:br w:type="page"/>
      </w:r>
      <w:r/>
    </w:p>
    <w:p>
      <w:pPr>
        <w:pStyle w:val="TextBody"/>
        <w:bidi w:val="0"/>
        <w:spacing w:before="0" w:after="0"/>
        <w:jc w:val="left"/>
        <w:rPr>
          <w:rFonts w:ascii="Times New Roman" w:hAnsi="Times New Roman"/>
          <w:b/>
          <w:sz w:val="20"/>
        </w:rPr>
      </w:pPr>
      <w:r>
        <w:rPr>
          <w:rFonts w:ascii="Times New Roman" w:hAnsi="Times New Roman"/>
          <w:b/>
          <w:sz w:val="20"/>
        </w:rPr>
        <w:t xml:space="preserve">Capital Allocation &amp; Liquidity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Quarterly Cash Dividend Program</w:t>
            </w:r>
            <w:r>
              <w:rPr>
                <w:rFonts w:ascii="Times New Roman" w:hAnsi="Times New Roman"/>
                <w:sz w:val="20"/>
              </w:rPr>
              <w:t xml:space="preserve">: On November 3, 2026, the Board approved the Company’s next quarterly cash dividend payment at the rate of $0.569 per share, and set December 31, 2026 as the record date for determining the shareholders entitled to receive the dividend, which will be payable on January 29, 2027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also approved a 3% increase in the Company’s quarterly cash dividend payment to $0.586 per share, which is anticipated to be first paid in April 2027, provided that the increase is approved by shareholders at the January 2027 annual general meeting of shareholders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Share Repurchase Activity</w:t>
            </w:r>
            <w:r>
              <w:rPr>
                <w:rFonts w:ascii="Times New Roman" w:hAnsi="Times New Roman"/>
                <w:sz w:val="20"/>
              </w:rPr>
              <w:t xml:space="preserve">: Repurchased $83 million of ordinary shares during the fourth quarter of fiscal 2026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M&amp;A Activity</w:t>
            </w:r>
            <w:r>
              <w:rPr>
                <w:rFonts w:ascii="Times New Roman" w:hAnsi="Times New Roman"/>
                <w:sz w:val="20"/>
              </w:rPr>
              <w:t xml:space="preserve">: On November 3, 2026, Amdocs announced it has acquired EIS, a global insurance technology provider offering a modern, cloud-native and agentic multi-line platform spanning policy administration, billing, claims and customer engagement, for consideration of approximately $340 million in cash. Additional consideration may be paid later based on the achievement of certain performance metrics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Financing Arrangements:</w:t>
            </w:r>
            <w:r>
              <w:rPr>
                <w:rFonts w:ascii="Times New Roman" w:hAnsi="Times New Roman"/>
                <w:sz w:val="20"/>
              </w:rPr>
              <w:t xml:space="preserve"> In October 2026, Amdocs secured two term loans, for an aggregate amount of $500 million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Twelve-month Backlog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Twelve-month backlog was $3.50 billion at the end of the fourth quarter of fiscal 2026. On a pro forma(2) basis, adjusting comparable periods for the exit of non-strategic business activities relating to the resale of hardware activities, and the divestiture of the media business, twelve-month backlog was down approximately 9.6% as compared to last year’s fourth fiscal quarter. </w:t>
            </w:r>
          </w:p>
        </w:tc>
      </w:tr>
    </w:tbl>
    <w:p>
      <w:pPr>
        <w:pStyle w:val="HorizontalLine"/>
        <w:pBdr>
          <w:bottom w:val="double" w:sz="6" w:space="0" w:color="808080"/>
        </w:pBdr>
        <w:bidi w:val="0"/>
        <w:jc w:val="left"/>
      </w:pPr>
      <w:r>
        <w:br w:type="page"/>
      </w: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Twelve-month backlog includes anticipated revenue related to contracts, estimated revenue from managed services contracts, letters of intent, maintenance and estimated on-going support activities.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First Quarter Fiscal 2027 Outlook </w:t>
      </w:r>
    </w:p>
    <w:p>
      <w:pPr>
        <w:pStyle w:val="TextBody"/>
        <w:bidi w:val="0"/>
        <w:spacing w:before="0" w:after="0"/>
        <w:jc w:val="left"/>
      </w:pPr>
      <w:r>
        <w:t> </w:t>
      </w:r>
    </w:p>
    <w:tbl>
      <w:tblPr>
        <w:tblW w:w="3400" w:type="pct"/>
        <w:jc w:val="center"/>
        <w:tblInd w:w="0" w:type="dxa"/>
        <w:tblLayout w:type="fixed"/>
        <w:tblCellMar>
          <w:top w:w="0" w:type="dxa"/>
          <w:left w:w="0" w:type="dxa"/>
          <w:bottom w:w="0" w:type="dxa"/>
          <w:right w:w="0" w:type="dxa"/>
        </w:tblCellMar>
      </w:tblPr>
      <w:tblGrid>
        <w:gridCol w:w="4157"/>
        <w:gridCol w:w="577"/>
        <w:gridCol w:w="2205"/>
      </w:tblGrid>
      <w:tr>
        <w:tc>
          <w:tcPr>
            <w:tcW w:w="4157" w:type="dxa"/>
            <w:tcBorders/>
            <w:vAlign w:val="center"/>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r>
      <w:tr>
        <w:tc>
          <w:tcPr>
            <w:tcW w:w="4157" w:type="dxa"/>
            <w:tcBorders/>
            <w:vAlign w:val="bottom"/>
          </w:tcPr>
          <w:p>
            <w:pPr>
              <w:pStyle w:val="TableContents"/>
              <w:bidi w:val="0"/>
              <w:spacing w:before="0" w:after="283"/>
              <w:jc w:val="left"/>
            </w:pPr>
            <w:r>
              <w:t> </w:t>
            </w:r>
          </w:p>
        </w:tc>
        <w:tc>
          <w:tcPr>
            <w:tcW w:w="577" w:type="dxa"/>
            <w:tcBorders/>
            <w:vAlign w:val="bottom"/>
          </w:tcPr>
          <w:p>
            <w:pPr>
              <w:pStyle w:val="TableContents"/>
              <w:bidi w:val="0"/>
              <w:spacing w:before="0" w:after="283"/>
              <w:jc w:val="left"/>
            </w:pPr>
            <w:r>
              <w:t>  </w:t>
            </w:r>
          </w:p>
        </w:tc>
        <w:tc>
          <w:tcPr>
            <w:tcW w:w="2205" w:type="dxa"/>
            <w:tcBorders>
              <w:bottom w:val="single" w:sz="8" w:space="0" w:color="000000"/>
            </w:tcBorders>
            <w:tcMar>
              <w:bottom w:w="28" w:type="dxa"/>
            </w:tcMar>
            <w:vAlign w:val="bottom"/>
          </w:tcPr>
          <w:p>
            <w:pPr>
              <w:pStyle w:val="TableContents"/>
              <w:bidi w:val="0"/>
              <w:spacing w:before="0" w:after="283"/>
              <w:jc w:val="center"/>
              <w:rPr>
                <w:b/>
              </w:rPr>
            </w:pPr>
            <w:r>
              <w:rPr>
                <w:b/>
              </w:rPr>
              <w:t>In millions</w:t>
            </w:r>
          </w:p>
        </w:tc>
      </w:tr>
      <w:tr>
        <w:tc>
          <w:tcPr>
            <w:tcW w:w="4157" w:type="dxa"/>
            <w:tcBorders/>
            <w:vAlign w:val="bottom"/>
          </w:tcPr>
          <w:p>
            <w:pPr>
              <w:pStyle w:val="TableContents"/>
              <w:bidi w:val="0"/>
              <w:spacing w:before="0" w:after="283"/>
              <w:jc w:val="left"/>
            </w:pPr>
            <w:r>
              <w:t> </w:t>
            </w:r>
          </w:p>
        </w:tc>
        <w:tc>
          <w:tcPr>
            <w:tcW w:w="577" w:type="dxa"/>
            <w:tcBorders/>
            <w:vAlign w:val="bottom"/>
          </w:tcPr>
          <w:p>
            <w:pPr>
              <w:pStyle w:val="TableContents"/>
              <w:bidi w:val="0"/>
              <w:spacing w:before="0" w:after="283"/>
              <w:jc w:val="left"/>
            </w:pPr>
            <w:r>
              <w:t>  </w:t>
            </w:r>
          </w:p>
        </w:tc>
        <w:tc>
          <w:tcPr>
            <w:tcW w:w="2205" w:type="dxa"/>
            <w:tcBorders>
              <w:bottom w:val="single" w:sz="8" w:space="0" w:color="000000"/>
            </w:tcBorders>
            <w:tcMar>
              <w:bottom w:w="28" w:type="dxa"/>
            </w:tcMar>
            <w:vAlign w:val="bottom"/>
          </w:tcPr>
          <w:p>
            <w:pPr>
              <w:pStyle w:val="TableContents"/>
              <w:bidi w:val="0"/>
              <w:spacing w:before="0" w:after="283"/>
              <w:jc w:val="center"/>
              <w:rPr>
                <w:b/>
              </w:rPr>
            </w:pPr>
            <w:r>
              <w:rPr>
                <w:b/>
              </w:rPr>
              <w:t>except per share data</w:t>
            </w:r>
          </w:p>
        </w:tc>
      </w:tr>
      <w:tr>
        <w:tc>
          <w:tcPr>
            <w:tcW w:w="4157" w:type="dxa"/>
            <w:tcBorders/>
            <w:vAlign w:val="bottom"/>
          </w:tcPr>
          <w:p>
            <w:pPr>
              <w:pStyle w:val="TableContents"/>
              <w:bidi w:val="0"/>
              <w:spacing w:before="0" w:after="283"/>
              <w:jc w:val="left"/>
            </w:pPr>
            <w:r>
              <w:t> </w:t>
            </w:r>
          </w:p>
        </w:tc>
        <w:tc>
          <w:tcPr>
            <w:tcW w:w="577" w:type="dxa"/>
            <w:tcBorders/>
            <w:vAlign w:val="bottom"/>
          </w:tcPr>
          <w:p>
            <w:pPr>
              <w:pStyle w:val="TableContents"/>
              <w:bidi w:val="0"/>
              <w:spacing w:before="0" w:after="283"/>
              <w:jc w:val="left"/>
            </w:pPr>
            <w:r>
              <w:t>  </w:t>
            </w:r>
          </w:p>
        </w:tc>
        <w:tc>
          <w:tcPr>
            <w:tcW w:w="2205" w:type="dxa"/>
            <w:tcBorders>
              <w:bottom w:val="single" w:sz="8" w:space="0" w:color="000000"/>
            </w:tcBorders>
            <w:tcMar>
              <w:bottom w:w="28" w:type="dxa"/>
            </w:tcMar>
            <w:vAlign w:val="bottom"/>
          </w:tcPr>
          <w:p>
            <w:pPr>
              <w:pStyle w:val="TableContents"/>
              <w:bidi w:val="0"/>
              <w:spacing w:before="0" w:after="283"/>
              <w:jc w:val="center"/>
              <w:rPr>
                <w:b/>
              </w:rPr>
            </w:pPr>
            <w:r>
              <w:rPr>
                <w:b/>
              </w:rPr>
              <w:t>Q1 2027</w:t>
            </w:r>
          </w:p>
        </w:tc>
      </w:tr>
      <w:tr>
        <w:tc>
          <w:tcPr>
            <w:tcW w:w="415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577" w:type="dxa"/>
            <w:tcBorders/>
            <w:shd w:fill="CCEEFF" w:val="clear"/>
            <w:vAlign w:val="bottom"/>
          </w:tcPr>
          <w:p>
            <w:pPr>
              <w:pStyle w:val="TableContents"/>
              <w:bidi w:val="0"/>
              <w:spacing w:before="0" w:after="283"/>
              <w:jc w:val="left"/>
            </w:pPr>
            <w:r>
              <w:t>  </w:t>
            </w:r>
          </w:p>
        </w:tc>
        <w:tc>
          <w:tcPr>
            <w:tcW w:w="2205" w:type="dxa"/>
            <w:tcBorders/>
            <w:shd w:fill="CCEEFF" w:val="clear"/>
            <w:vAlign w:val="bottom"/>
          </w:tcPr>
          <w:p>
            <w:pPr>
              <w:pStyle w:val="TableContents"/>
              <w:bidi w:val="0"/>
              <w:spacing w:before="0" w:after="283"/>
              <w:jc w:val="center"/>
            </w:pPr>
            <w:r>
              <w:t>$955-$995</w:t>
            </w:r>
          </w:p>
        </w:tc>
      </w:tr>
      <w:tr>
        <w:tc>
          <w:tcPr>
            <w:tcW w:w="41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GAAP Diluted earnings per share</w:t>
            </w:r>
          </w:p>
        </w:tc>
        <w:tc>
          <w:tcPr>
            <w:tcW w:w="577" w:type="dxa"/>
            <w:tcBorders/>
            <w:vAlign w:val="bottom"/>
          </w:tcPr>
          <w:p>
            <w:pPr>
              <w:pStyle w:val="TableContents"/>
              <w:bidi w:val="0"/>
              <w:spacing w:before="0" w:after="283"/>
              <w:jc w:val="left"/>
            </w:pPr>
            <w:r>
              <w:t>  </w:t>
            </w:r>
          </w:p>
        </w:tc>
        <w:tc>
          <w:tcPr>
            <w:tcW w:w="2205" w:type="dxa"/>
            <w:tcBorders/>
            <w:vAlign w:val="bottom"/>
          </w:tcPr>
          <w:p>
            <w:pPr>
              <w:pStyle w:val="TableContents"/>
              <w:bidi w:val="0"/>
              <w:spacing w:before="0" w:after="283"/>
              <w:jc w:val="center"/>
            </w:pPr>
            <w:r>
              <w:t>$0.81-$0.89</w:t>
            </w:r>
          </w:p>
        </w:tc>
      </w:tr>
      <w:tr>
        <w:tc>
          <w:tcPr>
            <w:tcW w:w="415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Non-GAAP Diluted earnings per share</w:t>
            </w:r>
          </w:p>
        </w:tc>
        <w:tc>
          <w:tcPr>
            <w:tcW w:w="577" w:type="dxa"/>
            <w:tcBorders/>
            <w:shd w:fill="CCEEFF" w:val="clear"/>
            <w:vAlign w:val="bottom"/>
          </w:tcPr>
          <w:p>
            <w:pPr>
              <w:pStyle w:val="TableContents"/>
              <w:bidi w:val="0"/>
              <w:spacing w:before="0" w:after="283"/>
              <w:jc w:val="left"/>
            </w:pPr>
            <w:r>
              <w:t>  </w:t>
            </w:r>
          </w:p>
        </w:tc>
        <w:tc>
          <w:tcPr>
            <w:tcW w:w="2205" w:type="dxa"/>
            <w:tcBorders/>
            <w:shd w:fill="CCEEFF" w:val="clear"/>
            <w:vAlign w:val="bottom"/>
          </w:tcPr>
          <w:p>
            <w:pPr>
              <w:pStyle w:val="TableContents"/>
              <w:bidi w:val="0"/>
              <w:spacing w:before="0" w:after="283"/>
              <w:jc w:val="center"/>
            </w:pPr>
            <w:r>
              <w:t>$1.27-$1.33</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First quarter revenue guidance assumes a positive $1 million sequential impact from foreign currency fluctuations as compared to the fourth quarter of fiscal 2026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diluted EPS guidance does not include: the impact of future restructuring charges; the impact of the acquisition of EIS; and the impact of the divestiture of Vubiquity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First quarter non-GAAP diluted EPS guidance excludes primarily equity-based compensation expense of approximately $0.24-$0.26 per share, amortization of purchased intangible assets and other acquisition-related costs of approximately $0.17 per share, changes in certain acquisitions related liabilities measured at fair value, and other, net of related tax effects. </w:t>
            </w:r>
          </w:p>
        </w:tc>
      </w:tr>
    </w:tbl>
    <w:p>
      <w:pPr>
        <w:pStyle w:val="HorizontalLine"/>
        <w:pBdr>
          <w:bottom w:val="double" w:sz="6" w:space="0" w:color="808080"/>
        </w:pBdr>
        <w:bidi w:val="0"/>
        <w:jc w:val="left"/>
      </w:pPr>
      <w:r>
        <w:br w:type="page"/>
      </w:r>
      <w:r/>
    </w:p>
    <w:p>
      <w:pPr>
        <w:pStyle w:val="TextBody"/>
        <w:bidi w:val="0"/>
        <w:spacing w:before="0" w:after="0"/>
        <w:jc w:val="left"/>
        <w:rPr>
          <w:rFonts w:ascii="Times New Roman" w:hAnsi="Times New Roman"/>
          <w:b/>
          <w:sz w:val="20"/>
        </w:rPr>
      </w:pPr>
      <w:r>
        <w:rPr>
          <w:rFonts w:ascii="Times New Roman" w:hAnsi="Times New Roman"/>
          <w:b/>
          <w:sz w:val="20"/>
        </w:rPr>
        <w:t xml:space="preserve">Full Year Fiscal 2027 Outlook </w:t>
      </w:r>
    </w:p>
    <w:p>
      <w:pPr>
        <w:pStyle w:val="TextBody"/>
        <w:bidi w:val="0"/>
        <w:spacing w:before="0" w:after="0"/>
        <w:jc w:val="left"/>
      </w:pPr>
      <w:r>
        <w:t> </w:t>
      </w:r>
    </w:p>
    <w:tbl>
      <w:tblPr>
        <w:tblW w:w="3400" w:type="pct"/>
        <w:jc w:val="center"/>
        <w:tblInd w:w="0" w:type="dxa"/>
        <w:tblLayout w:type="fixed"/>
        <w:tblCellMar>
          <w:top w:w="0" w:type="dxa"/>
          <w:left w:w="0" w:type="dxa"/>
          <w:bottom w:w="0" w:type="dxa"/>
          <w:right w:w="0" w:type="dxa"/>
        </w:tblCellMar>
      </w:tblPr>
      <w:tblGrid>
        <w:gridCol w:w="3589"/>
        <w:gridCol w:w="891"/>
        <w:gridCol w:w="2459"/>
      </w:tblGrid>
      <w:tr>
        <w:tc>
          <w:tcPr>
            <w:tcW w:w="3589" w:type="dxa"/>
            <w:tcBorders/>
            <w:vAlign w:val="center"/>
          </w:tcPr>
          <w:p>
            <w:pPr>
              <w:pStyle w:val="TableContents"/>
              <w:bidi w:val="0"/>
              <w:spacing w:before="0" w:after="283"/>
              <w:jc w:val="left"/>
              <w:rPr>
                <w:sz w:val="4"/>
                <w:szCs w:val="4"/>
              </w:rPr>
            </w:pPr>
            <w:r>
              <w:rPr>
                <w:sz w:val="4"/>
                <w:szCs w:val="4"/>
              </w:rPr>
            </w:r>
          </w:p>
        </w:tc>
        <w:tc>
          <w:tcPr>
            <w:tcW w:w="891" w:type="dxa"/>
            <w:tcBorders/>
            <w:vAlign w:val="bottom"/>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r>
      <w:tr>
        <w:tc>
          <w:tcPr>
            <w:tcW w:w="3589" w:type="dxa"/>
            <w:tcBorders/>
            <w:vAlign w:val="bottom"/>
          </w:tcPr>
          <w:p>
            <w:pPr>
              <w:pStyle w:val="TableContents"/>
              <w:bidi w:val="0"/>
              <w:spacing w:before="0" w:after="283"/>
              <w:jc w:val="left"/>
            </w:pPr>
            <w:r>
              <w:t> </w:t>
            </w:r>
          </w:p>
        </w:tc>
        <w:tc>
          <w:tcPr>
            <w:tcW w:w="891" w:type="dxa"/>
            <w:tcBorders/>
            <w:vAlign w:val="bottom"/>
          </w:tcPr>
          <w:p>
            <w:pPr>
              <w:pStyle w:val="TableContents"/>
              <w:bidi w:val="0"/>
              <w:spacing w:before="0" w:after="283"/>
              <w:jc w:val="left"/>
            </w:pPr>
            <w:r>
              <w:t>  </w:t>
            </w:r>
          </w:p>
        </w:tc>
        <w:tc>
          <w:tcPr>
            <w:tcW w:w="2459" w:type="dxa"/>
            <w:tcBorders>
              <w:bottom w:val="single" w:sz="8" w:space="0" w:color="000000"/>
            </w:tcBorders>
            <w:tcMar>
              <w:bottom w:w="28" w:type="dxa"/>
            </w:tcMar>
            <w:vAlign w:val="bottom"/>
          </w:tcPr>
          <w:p>
            <w:pPr>
              <w:pStyle w:val="TableContents"/>
              <w:bidi w:val="0"/>
              <w:spacing w:before="0" w:after="283"/>
              <w:jc w:val="center"/>
              <w:rPr>
                <w:b/>
              </w:rPr>
            </w:pPr>
            <w:r>
              <w:rPr>
                <w:b/>
              </w:rPr>
              <w:t>Year-over-Year growth</w:t>
            </w:r>
          </w:p>
        </w:tc>
      </w:tr>
      <w:tr>
        <w:tc>
          <w:tcPr>
            <w:tcW w:w="3589" w:type="dxa"/>
            <w:tcBorders/>
            <w:vAlign w:val="bottom"/>
          </w:tcPr>
          <w:p>
            <w:pPr>
              <w:pStyle w:val="TableContents"/>
              <w:bidi w:val="0"/>
              <w:spacing w:before="0" w:after="283"/>
              <w:jc w:val="left"/>
            </w:pPr>
            <w:r>
              <w:t> </w:t>
            </w:r>
          </w:p>
        </w:tc>
        <w:tc>
          <w:tcPr>
            <w:tcW w:w="891" w:type="dxa"/>
            <w:tcBorders/>
            <w:vAlign w:val="bottom"/>
          </w:tcPr>
          <w:p>
            <w:pPr>
              <w:pStyle w:val="TableContents"/>
              <w:bidi w:val="0"/>
              <w:spacing w:before="0" w:after="283"/>
              <w:jc w:val="left"/>
            </w:pPr>
            <w:r>
              <w:t>  </w:t>
            </w:r>
          </w:p>
        </w:tc>
        <w:tc>
          <w:tcPr>
            <w:tcW w:w="2459" w:type="dxa"/>
            <w:tcBorders>
              <w:bottom w:val="single" w:sz="8" w:space="0" w:color="000000"/>
            </w:tcBorders>
            <w:tcMar>
              <w:bottom w:w="28" w:type="dxa"/>
            </w:tcMar>
            <w:vAlign w:val="bottom"/>
          </w:tcPr>
          <w:p>
            <w:pPr>
              <w:pStyle w:val="TableContents"/>
              <w:bidi w:val="0"/>
              <w:spacing w:before="0" w:after="283"/>
              <w:jc w:val="center"/>
              <w:rPr>
                <w:b/>
              </w:rPr>
            </w:pPr>
            <w:r>
              <w:rPr>
                <w:b/>
              </w:rPr>
              <w:t>FY 2027</w:t>
            </w:r>
          </w:p>
        </w:tc>
      </w:tr>
      <w:tr>
        <w:tc>
          <w:tcPr>
            <w:tcW w:w="358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Revenue Growth, as reported</w:t>
            </w:r>
          </w:p>
        </w:tc>
        <w:tc>
          <w:tcPr>
            <w:tcW w:w="891" w:type="dxa"/>
            <w:tcBorders/>
            <w:shd w:fill="CCEEFF" w:val="clear"/>
            <w:vAlign w:val="bottom"/>
          </w:tcPr>
          <w:p>
            <w:pPr>
              <w:pStyle w:val="TableContents"/>
              <w:bidi w:val="0"/>
              <w:spacing w:before="0" w:after="283"/>
              <w:jc w:val="left"/>
            </w:pPr>
            <w:r>
              <w:t>  </w:t>
            </w:r>
          </w:p>
        </w:tc>
        <w:tc>
          <w:tcPr>
            <w:tcW w:w="2459" w:type="dxa"/>
            <w:tcBorders/>
            <w:shd w:fill="CCEEFF" w:val="clear"/>
            <w:vAlign w:val="bottom"/>
          </w:tcPr>
          <w:p>
            <w:pPr>
              <w:pStyle w:val="TableContents"/>
              <w:bidi w:val="0"/>
              <w:spacing w:before="0" w:after="283"/>
              <w:jc w:val="center"/>
            </w:pPr>
            <w:r>
              <w:t>(17.9%)-(14.3%)</w:t>
            </w:r>
          </w:p>
        </w:tc>
      </w:tr>
      <w:tr>
        <w:tc>
          <w:tcPr>
            <w:tcW w:w="358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Revenue growth, pro forma(2) constant currency(1)</w:t>
            </w:r>
          </w:p>
        </w:tc>
        <w:tc>
          <w:tcPr>
            <w:tcW w:w="891" w:type="dxa"/>
            <w:tcBorders/>
            <w:vAlign w:val="bottom"/>
          </w:tcPr>
          <w:p>
            <w:pPr>
              <w:pStyle w:val="TableContents"/>
              <w:bidi w:val="0"/>
              <w:spacing w:before="0" w:after="283"/>
              <w:jc w:val="left"/>
            </w:pPr>
            <w:r>
              <w:t>  </w:t>
            </w:r>
          </w:p>
        </w:tc>
        <w:tc>
          <w:tcPr>
            <w:tcW w:w="2459" w:type="dxa"/>
            <w:tcBorders/>
            <w:vAlign w:val="bottom"/>
          </w:tcPr>
          <w:p>
            <w:pPr>
              <w:pStyle w:val="TableContents"/>
              <w:bidi w:val="0"/>
              <w:spacing w:before="0" w:after="283"/>
              <w:jc w:val="center"/>
            </w:pPr>
            <w:r>
              <w:t>(11%)-(7%)</w:t>
            </w:r>
          </w:p>
        </w:tc>
      </w:tr>
      <w:tr>
        <w:tc>
          <w:tcPr>
            <w:tcW w:w="358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GAAP Diluted earnings per share</w:t>
            </w:r>
          </w:p>
        </w:tc>
        <w:tc>
          <w:tcPr>
            <w:tcW w:w="891" w:type="dxa"/>
            <w:tcBorders/>
            <w:shd w:fill="CCEEFF" w:val="clear"/>
            <w:vAlign w:val="bottom"/>
          </w:tcPr>
          <w:p>
            <w:pPr>
              <w:pStyle w:val="TableContents"/>
              <w:bidi w:val="0"/>
              <w:spacing w:before="0" w:after="283"/>
              <w:jc w:val="left"/>
            </w:pPr>
            <w:r>
              <w:t>  </w:t>
            </w:r>
          </w:p>
        </w:tc>
        <w:tc>
          <w:tcPr>
            <w:tcW w:w="2459" w:type="dxa"/>
            <w:tcBorders/>
            <w:shd w:fill="CCEEFF" w:val="clear"/>
            <w:vAlign w:val="bottom"/>
          </w:tcPr>
          <w:p>
            <w:pPr>
              <w:pStyle w:val="TableContents"/>
              <w:bidi w:val="0"/>
              <w:spacing w:before="0" w:after="283"/>
              <w:jc w:val="center"/>
            </w:pPr>
            <w:r>
              <w:t>(25%)-(17%)</w:t>
            </w:r>
          </w:p>
        </w:tc>
      </w:tr>
      <w:tr>
        <w:tc>
          <w:tcPr>
            <w:tcW w:w="358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Non-GAAP Diluted earnings per share</w:t>
            </w:r>
          </w:p>
        </w:tc>
        <w:tc>
          <w:tcPr>
            <w:tcW w:w="891" w:type="dxa"/>
            <w:tcBorders/>
            <w:vAlign w:val="bottom"/>
          </w:tcPr>
          <w:p>
            <w:pPr>
              <w:pStyle w:val="TableContents"/>
              <w:bidi w:val="0"/>
              <w:spacing w:before="0" w:after="283"/>
              <w:jc w:val="left"/>
            </w:pPr>
            <w:r>
              <w:t>  </w:t>
            </w:r>
          </w:p>
        </w:tc>
        <w:tc>
          <w:tcPr>
            <w:tcW w:w="2459" w:type="dxa"/>
            <w:tcBorders/>
            <w:vAlign w:val="bottom"/>
          </w:tcPr>
          <w:p>
            <w:pPr>
              <w:pStyle w:val="TableContents"/>
              <w:bidi w:val="0"/>
              <w:spacing w:before="0" w:after="283"/>
              <w:jc w:val="center"/>
            </w:pPr>
            <w:r>
              <w:t>(30%)-(26%)</w:t>
            </w:r>
          </w:p>
        </w:tc>
      </w:tr>
      <w:tr>
        <w:trPr>
          <w:trHeight w:val="240" w:hRule="atLeast"/>
        </w:trPr>
        <w:tc>
          <w:tcPr>
            <w:tcW w:w="3589" w:type="dxa"/>
            <w:tcBorders/>
            <w:vAlign w:val="center"/>
          </w:tcPr>
          <w:p>
            <w:pPr>
              <w:pStyle w:val="TableContents"/>
              <w:bidi w:val="0"/>
              <w:spacing w:before="0" w:after="283"/>
              <w:jc w:val="left"/>
              <w:rPr>
                <w:sz w:val="4"/>
                <w:szCs w:val="4"/>
              </w:rPr>
            </w:pPr>
            <w:r>
              <w:rPr>
                <w:sz w:val="4"/>
                <w:szCs w:val="4"/>
              </w:rPr>
            </w:r>
          </w:p>
        </w:tc>
        <w:tc>
          <w:tcPr>
            <w:tcW w:w="3350" w:type="dxa"/>
            <w:gridSpan w:val="2"/>
            <w:tcBorders/>
            <w:vAlign w:val="center"/>
          </w:tcPr>
          <w:p>
            <w:pPr>
              <w:pStyle w:val="TableContents"/>
              <w:bidi w:val="0"/>
              <w:spacing w:before="0" w:after="283"/>
              <w:jc w:val="left"/>
              <w:rPr>
                <w:sz w:val="4"/>
                <w:szCs w:val="4"/>
              </w:rPr>
            </w:pPr>
            <w:r>
              <w:rPr>
                <w:sz w:val="4"/>
                <w:szCs w:val="4"/>
              </w:rPr>
            </w:r>
          </w:p>
        </w:tc>
      </w:tr>
      <w:tr>
        <w:tc>
          <w:tcPr>
            <w:tcW w:w="3589" w:type="dxa"/>
            <w:tcBorders/>
            <w:vAlign w:val="bottom"/>
          </w:tcPr>
          <w:p>
            <w:pPr>
              <w:pStyle w:val="TableContents"/>
              <w:bidi w:val="0"/>
              <w:spacing w:before="0" w:after="283"/>
              <w:jc w:val="left"/>
            </w:pPr>
            <w:r>
              <w:t> </w:t>
            </w:r>
          </w:p>
        </w:tc>
        <w:tc>
          <w:tcPr>
            <w:tcW w:w="891" w:type="dxa"/>
            <w:tcBorders/>
            <w:vAlign w:val="bottom"/>
          </w:tcPr>
          <w:p>
            <w:pPr>
              <w:pStyle w:val="TableContents"/>
              <w:bidi w:val="0"/>
              <w:spacing w:before="0" w:after="283"/>
              <w:jc w:val="left"/>
            </w:pPr>
            <w:r>
              <w:t>  </w:t>
            </w:r>
          </w:p>
        </w:tc>
        <w:tc>
          <w:tcPr>
            <w:tcW w:w="2459" w:type="dxa"/>
            <w:tcBorders>
              <w:bottom w:val="single" w:sz="8" w:space="0" w:color="000000"/>
            </w:tcBorders>
            <w:tcMar>
              <w:bottom w:w="28" w:type="dxa"/>
            </w:tcMar>
            <w:vAlign w:val="bottom"/>
          </w:tcPr>
          <w:p>
            <w:pPr>
              <w:pStyle w:val="TableContents"/>
              <w:bidi w:val="0"/>
              <w:spacing w:before="0" w:after="283"/>
              <w:jc w:val="center"/>
              <w:rPr>
                <w:b/>
              </w:rPr>
            </w:pPr>
            <w:r>
              <w:rPr>
                <w:b/>
              </w:rPr>
              <w:t>In millions</w:t>
            </w:r>
          </w:p>
        </w:tc>
      </w:tr>
      <w:tr>
        <w:tc>
          <w:tcPr>
            <w:tcW w:w="3589" w:type="dxa"/>
            <w:tcBorders/>
            <w:vAlign w:val="bottom"/>
          </w:tcPr>
          <w:p>
            <w:pPr>
              <w:pStyle w:val="TableContents"/>
              <w:bidi w:val="0"/>
              <w:spacing w:before="0" w:after="283"/>
              <w:jc w:val="left"/>
            </w:pPr>
            <w:r>
              <w:t> </w:t>
            </w:r>
          </w:p>
        </w:tc>
        <w:tc>
          <w:tcPr>
            <w:tcW w:w="891" w:type="dxa"/>
            <w:tcBorders/>
            <w:vAlign w:val="bottom"/>
          </w:tcPr>
          <w:p>
            <w:pPr>
              <w:pStyle w:val="TableContents"/>
              <w:bidi w:val="0"/>
              <w:spacing w:before="0" w:after="283"/>
              <w:jc w:val="left"/>
            </w:pPr>
            <w:r>
              <w:t>  </w:t>
            </w:r>
          </w:p>
        </w:tc>
        <w:tc>
          <w:tcPr>
            <w:tcW w:w="2459" w:type="dxa"/>
            <w:tcBorders>
              <w:bottom w:val="single" w:sz="8" w:space="0" w:color="000000"/>
            </w:tcBorders>
            <w:tcMar>
              <w:bottom w:w="28" w:type="dxa"/>
            </w:tcMar>
            <w:vAlign w:val="bottom"/>
          </w:tcPr>
          <w:p>
            <w:pPr>
              <w:pStyle w:val="TableContents"/>
              <w:bidi w:val="0"/>
              <w:spacing w:before="0" w:after="283"/>
              <w:jc w:val="center"/>
              <w:rPr>
                <w:b/>
              </w:rPr>
            </w:pPr>
            <w:r>
              <w:rPr>
                <w:b/>
              </w:rPr>
              <w:t>FY 2027</w:t>
            </w:r>
          </w:p>
        </w:tc>
      </w:tr>
      <w:tr>
        <w:tc>
          <w:tcPr>
            <w:tcW w:w="358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Free Cash Flow (3)</w:t>
            </w:r>
          </w:p>
        </w:tc>
        <w:tc>
          <w:tcPr>
            <w:tcW w:w="891" w:type="dxa"/>
            <w:tcBorders/>
            <w:shd w:fill="CCEEFF" w:val="clear"/>
            <w:vAlign w:val="bottom"/>
          </w:tcPr>
          <w:p>
            <w:pPr>
              <w:pStyle w:val="TableContents"/>
              <w:bidi w:val="0"/>
              <w:spacing w:before="0" w:after="283"/>
              <w:jc w:val="left"/>
            </w:pPr>
            <w:r>
              <w:t>  </w:t>
            </w:r>
          </w:p>
        </w:tc>
        <w:tc>
          <w:tcPr>
            <w:tcW w:w="2459" w:type="dxa"/>
            <w:tcBorders/>
            <w:shd w:fill="CCEEFF" w:val="clear"/>
            <w:vAlign w:val="bottom"/>
          </w:tcPr>
          <w:p>
            <w:pPr>
              <w:pStyle w:val="TableContents"/>
              <w:bidi w:val="0"/>
              <w:spacing w:before="0" w:after="283"/>
              <w:jc w:val="center"/>
            </w:pPr>
            <w:r>
              <w:t>$440-$500</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 year fiscal 2027 revenue guidance takes into consideration best estimates to reflect the legal dispute with T-Mobile as of this date, including in case of termination of agreements with T-Mobile by either party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 year fiscal 2027 revenue guidance incorporates an expected negative impact from foreign currency fluctuations of approximately 0.1% year-over-year, and includes some inorganic contribution, including the acquisition of EIS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growth on a pro forma(2) constant currency(1) basis adjusts fiscal 2026 revenue by approximately $360 million to reflect the exit of non-strategic business activities relating to the resale of hardware activities, and the divestiture of the media business; these actions were substantially already taken in the first quarter of fiscal 2027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diluted EPS guidance does not include: the impact of future restructuring charges; the impact of the acquisition of EIS; and the impact of the divestiture of Vubiquity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diluted earnings per share growth excludes primarily equity-based compensation expense of approximately $0.84-$0.92 per share, amortization of purchased intangible assets and other acquisition-related costs of approximately $0.61 per share, changes in certain acquisitions related liabilities measured at fair value, and other, net of related tax effects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margin is anticipated to be within a range of 19.2% to 19.8% for the full year fiscal 2027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margin is comprised of GAAP operating margin, excluding amortization of purchased intangible assets and other, equity-based compensation expense, restructuring charges, and changes in certain acquisitions related liabilities measured at fair value </w:t>
            </w:r>
          </w:p>
        </w:tc>
      </w:tr>
    </w:tbl>
    <w:p>
      <w:pPr>
        <w:pStyle w:val="HorizontalLine"/>
        <w:pBdr>
          <w:bottom w:val="double" w:sz="6" w:space="0" w:color="808080"/>
        </w:pBdr>
        <w:bidi w:val="0"/>
        <w:jc w:val="left"/>
      </w:pPr>
      <w:r>
        <w:br w:type="page"/>
      </w:r>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effective tax rate is anticipated to be within a range of 16% to 19% for the full year fiscal 2027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 year fiscal 2027 free cash flow(3) of $440-$500 million, excluding payments related to restructuring charges; free cash flow(3) is comprised of cash flow from operations, less net capital expenditures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regarding our first fiscal quarter 2027 and full year fiscal 2027 guidance take into consideration the Company’s current expectations regarding macroeconomic, geopolitical and industry specific risks and various uncertainties and certain assumptions, some of which we will discuss on our earnings conference call. However, we note that market dynamics continue to shift rapidly and we cannot predict all possible outcomes, including those resulting from certain geopolitical events, the current inflationary environment, changes to trade policies including tariffs and trade restrictions and the resulting impact on economic activities (as our outlook assumes current economic conditions do not deteriorate significantly due to trade policy or other macro factors) global or regional events, and the prevailing level of macro-economic, business and operational uncertainty, including customer spending behavior which have created, and continue to create, a significant amount of uncertainty, or from current and potential customer consolidation or their other strategic corporate activities. In particular, our guidance makes assumptions about our relationship with T-Mobile, and actual developments could vary materially, including due to the results of any potential proceeding or settlement thereof. See “Forward-Looking Statements” below.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and Earnings Webcast Presentation Details </w:t>
      </w:r>
    </w:p>
    <w:p>
      <w:pPr>
        <w:pStyle w:val="TextBody"/>
        <w:bidi w:val="0"/>
        <w:spacing w:before="120" w:after="0"/>
        <w:jc w:val="left"/>
        <w:rPr>
          <w:rFonts w:ascii="Times New Roman" w:hAnsi="Times New Roman"/>
          <w:sz w:val="20"/>
        </w:rPr>
      </w:pPr>
      <w:r>
        <w:rPr>
          <w:rFonts w:ascii="Times New Roman" w:hAnsi="Times New Roman"/>
          <w:sz w:val="20"/>
        </w:rPr>
        <w:t xml:space="preserve">Amdocs will host a conference call and earnings webcast presentation on November 3, 2026 at 5:00 p.m. Eastern Time to discuss the Company’s fourth quarter of fiscal 2026 results. To participate in the call, please register </w:t>
      </w:r>
      <w:r>
        <w:rPr>
          <w:rFonts w:ascii="Times New Roman" w:hAnsi="Times New Roman"/>
          <w:sz w:val="20"/>
          <w:u w:val="single"/>
        </w:rPr>
        <w:t>here</w:t>
      </w:r>
      <w:r>
        <w:rPr>
          <w:rFonts w:ascii="Times New Roman" w:hAnsi="Times New Roman"/>
          <w:sz w:val="20"/>
        </w:rPr>
        <w:t xml:space="preserve"> to receive the dial-in numbers and unique access PIN. The conference call and webcast will also be carried live on the Internet and may be accessed via the Amdocs website at https://investors.amdocs.com. Presentation slides will be available shortly before the webcast. </w:t>
      </w:r>
      <w:r>
        <w:br w:type="page"/>
      </w:r>
    </w:p>
    <w:p>
      <w:pPr>
        <w:pStyle w:val="HorizontalLine"/>
        <w:pBdr>
          <w:bottom w:val="double" w:sz="6" w:space="0" w:color="808080"/>
        </w:pBdr>
        <w:bidi w:val="0"/>
        <w:jc w:val="left"/>
      </w:pPr>
      <w:r/>
    </w:p>
    <w:p>
      <w:pPr>
        <w:pStyle w:val="TextBody"/>
        <w:bidi w:val="0"/>
        <w:spacing w:before="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This release includes non-GAAP financial measures, including non-GAAP diluted earnings per share, free cash flow(3), revenue on a constant currency(1)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These other non-GAAP measures exclude the following items: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Amortization of purchased intangible assets and other acquisition-related costs;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certain acquisition-related liabilities measured at fair value;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Restructuring and unusual charges or benefits;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Equity-based compensation expense;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effects related to the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Free cash flow(3) equals cash generated by operating activities less net capital expenditures.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 </w:t>
      </w:r>
      <w:r>
        <w:br w:type="page"/>
      </w:r>
    </w:p>
    <w:p>
      <w:pPr>
        <w:pStyle w:val="HorizontalLine"/>
        <w:pBdr>
          <w:bottom w:val="double" w:sz="6" w:space="0" w:color="808080"/>
        </w:pBdr>
        <w:bidi w:val="0"/>
        <w:jc w:val="left"/>
      </w:pPr>
      <w:r/>
    </w:p>
    <w:p>
      <w:pPr>
        <w:pStyle w:val="TextBody"/>
        <w:bidi w:val="0"/>
        <w:spacing w:before="0" w:after="0"/>
        <w:jc w:val="left"/>
        <w:rPr>
          <w:rFonts w:ascii="Times New Roman" w:hAnsi="Times New Roman"/>
          <w:sz w:val="20"/>
        </w:rPr>
      </w:pPr>
      <w:r>
        <w:rPr>
          <w:rFonts w:ascii="Times New Roman" w:hAnsi="Times New Roman"/>
          <w:sz w:val="20"/>
        </w:rPr>
        <w:t xml:space="preserve">Amdocs believes that the presentation of non-GAAP financial measures, including non-GAAP diluted earnings per share, free cash flow(2), revenue on a constant currency(1)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 </w:t>
      </w:r>
    </w:p>
    <w:p>
      <w:pPr>
        <w:pStyle w:val="TextBody"/>
        <w:bidi w:val="0"/>
        <w:spacing w:before="240" w:after="0"/>
        <w:jc w:val="left"/>
        <w:rPr>
          <w:rFonts w:ascii="Times New Roman" w:hAnsi="Times New Roman"/>
          <w:sz w:val="20"/>
        </w:rPr>
      </w:pPr>
      <w:r>
        <w:rPr>
          <w:rFonts w:ascii="Times New Roman" w:hAnsi="Times New Roman"/>
          <w:sz w:val="20"/>
        </w:rPr>
        <w:t xml:space="preserve">For its internal budgeting process and in monitoring the results of the business, Amdocs’ management uses financial statements that do not include amortization of purchased intangible assets and other acquisition-related costs, changes in certain acquisition related liabilities measured at fair value, restructuring and unusual charges or benefits, equity-based compensation expense, other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 </w:t>
      </w:r>
    </w:p>
    <w:p>
      <w:pPr>
        <w:pStyle w:val="TextBody"/>
        <w:bidi w:val="0"/>
        <w:spacing w:before="240" w:after="0"/>
        <w:jc w:val="left"/>
        <w:rPr>
          <w:rFonts w:ascii="Times New Roman" w:hAnsi="Times New Roman"/>
          <w:sz w:val="20"/>
        </w:rPr>
      </w:pPr>
      <w:r>
        <w:rPr>
          <w:rFonts w:ascii="Times New Roman" w:hAnsi="Times New Roman"/>
          <w:sz w:val="20"/>
        </w:rPr>
        <w:t xml:space="preserve">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 </w:t>
      </w:r>
      <w:r>
        <w:br w:type="page"/>
      </w:r>
    </w:p>
    <w:p>
      <w:pPr>
        <w:pStyle w:val="HorizontalLine"/>
        <w:pBdr>
          <w:bottom w:val="double" w:sz="6" w:space="0" w:color="808080"/>
        </w:pBdr>
        <w:bidi w:val="0"/>
        <w:jc w:val="left"/>
      </w:pPr>
      <w:r/>
    </w:p>
    <w:p>
      <w:pPr>
        <w:pStyle w:val="TextBody"/>
        <w:bidi w:val="0"/>
        <w:spacing w:before="0" w:after="0"/>
        <w:jc w:val="left"/>
        <w:rPr>
          <w:rFonts w:ascii="Times New Roman" w:hAnsi="Times New Roman"/>
          <w:b/>
          <w:sz w:val="20"/>
        </w:rPr>
      </w:pPr>
      <w:r>
        <w:rPr>
          <w:rFonts w:ascii="Times New Roman" w:hAnsi="Times New Roman"/>
          <w:b/>
          <w:sz w:val="20"/>
        </w:rPr>
        <w:t xml:space="preserve">Supporting Resources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Keep up with Amdocs news by visiting the Company’s </w:t>
            </w:r>
            <w:r>
              <w:rPr>
                <w:rFonts w:ascii="Times New Roman" w:hAnsi="Times New Roman"/>
                <w:sz w:val="20"/>
                <w:u w:val="single"/>
              </w:rPr>
              <w:t>website</w:t>
            </w:r>
            <w:r>
              <w:rPr>
                <w:rFonts w:ascii="Times New Roman" w:hAnsi="Times New Roman"/>
                <w:sz w:val="20"/>
              </w:rPr>
              <w:t xml:space="preserv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 us on </w:t>
            </w:r>
            <w:r>
              <w:rPr>
                <w:rFonts w:ascii="Times New Roman" w:hAnsi="Times New Roman"/>
                <w:sz w:val="20"/>
                <w:u w:val="single"/>
              </w:rPr>
              <w:t>X</w:t>
            </w:r>
            <w:r>
              <w:rPr>
                <w:rFonts w:ascii="Times New Roman" w:hAnsi="Times New Roman"/>
                <w:sz w:val="20"/>
              </w:rPr>
              <w:t xml:space="preserve">, </w:t>
            </w:r>
            <w:r>
              <w:rPr>
                <w:rFonts w:ascii="Times New Roman" w:hAnsi="Times New Roman"/>
                <w:sz w:val="20"/>
                <w:u w:val="single"/>
              </w:rPr>
              <w:t>Facebook</w:t>
            </w:r>
            <w:r>
              <w:rPr>
                <w:rFonts w:ascii="Times New Roman" w:hAnsi="Times New Roman"/>
                <w:sz w:val="20"/>
              </w:rPr>
              <w:t xml:space="preserve">, </w:t>
            </w:r>
            <w:r>
              <w:rPr>
                <w:rFonts w:ascii="Times New Roman" w:hAnsi="Times New Roman"/>
                <w:sz w:val="20"/>
                <w:u w:val="single"/>
              </w:rPr>
              <w:t>LinkedIn</w:t>
            </w:r>
            <w:r>
              <w:rPr>
                <w:rFonts w:ascii="Times New Roman" w:hAnsi="Times New Roman"/>
                <w:sz w:val="20"/>
              </w:rPr>
              <w:t xml:space="preserve"> and </w:t>
            </w:r>
            <w:r>
              <w:rPr>
                <w:rFonts w:ascii="Times New Roman" w:hAnsi="Times New Roman"/>
                <w:sz w:val="20"/>
                <w:u w:val="single"/>
              </w:rPr>
              <w:t>YouTube</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About Amdocs </w:t>
      </w:r>
    </w:p>
    <w:p>
      <w:pPr>
        <w:pStyle w:val="TextBody"/>
        <w:bidi w:val="0"/>
        <w:spacing w:before="120" w:after="0"/>
        <w:jc w:val="left"/>
        <w:rPr>
          <w:rFonts w:ascii="Times New Roman" w:hAnsi="Times New Roman"/>
          <w:sz w:val="20"/>
        </w:rPr>
      </w:pPr>
      <w:r>
        <w:rPr>
          <w:rFonts w:ascii="Times New Roman" w:hAnsi="Times New Roman"/>
          <w:sz w:val="20"/>
        </w:rPr>
        <w:t xml:space="preserve">Amdocs develops, transforms and operates the mission-critical systems that businesses depend on every day. With more than 40 years of experience serving the world’s leading communications companies, we combine proprietary technology, deep industry expertise and end-to-end accountability, from transformation through ongoing operations and evolution. Powered by aOS, our agentic operating system, we bring industry-specific AI into core business processes, advancing customers toward intelligent, increasingly autonomous operations across business, IT and network domains. We enable customers to modernize complex systems in highly regulated environments while maintaining the reliability, security and scale their businesses demand, driving measurable improvements in customer experience, operational efficiency and revenue growth. </w:t>
      </w:r>
    </w:p>
    <w:p>
      <w:pPr>
        <w:pStyle w:val="TextBody"/>
        <w:bidi w:val="0"/>
        <w:spacing w:before="240" w:after="0"/>
        <w:jc w:val="left"/>
        <w:rPr>
          <w:rFonts w:ascii="Times New Roman" w:hAnsi="Times New Roman"/>
          <w:sz w:val="20"/>
        </w:rPr>
      </w:pPr>
      <w:r>
        <w:rPr>
          <w:rFonts w:ascii="Times New Roman" w:hAnsi="Times New Roman"/>
          <w:sz w:val="20"/>
        </w:rPr>
        <w:t>Amdocs runs billions of transactions daily, and our technology is relied on every day. Together, we help those who shape the future to make it amazing. Amdocs is listed on the NASDAQ Global Select Market (NASDAQ: DOX) and reported revenue of $4.7 billion in fiscal 2026. For more information, visit </w:t>
      </w:r>
      <w:r>
        <w:rPr>
          <w:rFonts w:ascii="Times New Roman" w:hAnsi="Times New Roman"/>
          <w:sz w:val="20"/>
          <w:u w:val="single"/>
        </w:rPr>
        <w:t>www.amdocs.com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includes information that constitutes forward-looking statements made pursuant to the safe harbor provision of the Private Securities Litigation Reform Act of 1995, including statements about Amdocs’ strategy, including with respect to artificial intelligence and agentic opportunities, growth, financial outlook, and business results in future quarters and years. Although we believe the expectations reflected in such forward-looking statements are based upon reasonable assumptions, we can give no </w:t>
      </w:r>
      <w:r>
        <w:br w:type="page"/>
      </w:r>
    </w:p>
    <w:p>
      <w:pPr>
        <w:pStyle w:val="HorizontalLine"/>
        <w:pBdr>
          <w:bottom w:val="double" w:sz="6" w:space="0" w:color="808080"/>
        </w:pBdr>
        <w:bidi w:val="0"/>
        <w:jc w:val="left"/>
      </w:pPr>
      <w:r/>
    </w:p>
    <w:p>
      <w:pPr>
        <w:pStyle w:val="TextBody"/>
        <w:bidi w:val="0"/>
        <w:spacing w:before="0" w:after="0"/>
        <w:jc w:val="left"/>
        <w:rPr>
          <w:rFonts w:ascii="Times New Roman" w:hAnsi="Times New Roman"/>
          <w:sz w:val="20"/>
        </w:rPr>
      </w:pPr>
      <w:r>
        <w:rPr>
          <w:rFonts w:ascii="Times New Roman" w:hAnsi="Times New Roman"/>
          <w:sz w:val="20"/>
        </w:rPr>
        <w:t xml:space="preserve">assurance that our expectations will be obtained or that any deviations will not be material. Such statements involve risks, uncertainties, and other important factors that may cause future results to differ materially from those anticipated. These risks include, but are not limited to, the effects of general macroeconomic conditions, prevailing level of macroeconomic, business and operational uncertainty, including as a result of geopolitical events or other regional events or pandemics, changes to trade policies including tariffs and trade restrictions, as well as the current inflationary environment, and the effects of these conditions on the Company’s customers’ businesses and levels of business activity, including the effect of the current economic uncertainty and industry pressure on the spending decisions of the Company’s customers, Amdocs’ ability to grow in the business markets that it serves, Amdocs’ ability to successfully integrate acquired businesses, adverse effects of market competition, rapid technological shifts that may render the Company’s products and services obsolete, security incidents, including breaches and cyber attacks to our systems and networks and those of our partners or customers, potential loss of a major customer, our ability to develop long-term relationships with our customers, continued developments with T-Mobile including potential arbitration and loss of revenue from their contracts, our ability to successfully and effectively implement artificial intelligence and Generative AI in the Company’s offerings and operations,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2025, filed on December 15, 2025, and our Form 6-K furnished for the first quarter of fiscal 2026 on February 17, 2026, for the second quarter of fiscal 2026 on May 26, 2026 and for the third quarter of fiscal 2026 on August 18, 2026. </w:t>
      </w:r>
      <w:r>
        <w:br w:type="page"/>
      </w:r>
    </w:p>
    <w:p>
      <w:pPr>
        <w:pStyle w:val="HorizontalLine"/>
        <w:pBdr>
          <w:bottom w:val="double" w:sz="6" w:space="0" w:color="808080"/>
        </w:pBdr>
        <w:bidi w:val="0"/>
        <w:jc w:val="left"/>
      </w:pPr>
      <w:r/>
    </w:p>
    <w:p>
      <w:pPr>
        <w:pStyle w:val="TextBody"/>
        <w:bidi w:val="0"/>
        <w:spacing w:before="0" w:after="0"/>
        <w:jc w:val="left"/>
        <w:rPr>
          <w:rFonts w:ascii="Times New Roman" w:hAnsi="Times New Roman"/>
          <w:sz w:val="20"/>
        </w:rPr>
      </w:pPr>
      <w:r>
        <w:rPr>
          <w:rFonts w:ascii="Times New Roman" w:hAnsi="Times New Roman"/>
          <w:b/>
          <w:sz w:val="20"/>
        </w:rPr>
        <w:t>Contact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Matthew Smith </w:t>
      </w:r>
    </w:p>
    <w:p>
      <w:pPr>
        <w:pStyle w:val="TextBody"/>
        <w:bidi w:val="0"/>
        <w:spacing w:before="0" w:after="0"/>
        <w:jc w:val="left"/>
        <w:rPr>
          <w:rFonts w:ascii="Times New Roman" w:hAnsi="Times New Roman"/>
          <w:sz w:val="20"/>
        </w:rPr>
      </w:pPr>
      <w:r>
        <w:rPr>
          <w:rFonts w:ascii="Times New Roman" w:hAnsi="Times New Roman"/>
          <w:sz w:val="20"/>
        </w:rPr>
        <w:t xml:space="preserve">Head of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Amdocs </w:t>
      </w:r>
    </w:p>
    <w:p>
      <w:pPr>
        <w:pStyle w:val="TextBody"/>
        <w:bidi w:val="0"/>
        <w:spacing w:before="0" w:after="0"/>
        <w:jc w:val="left"/>
        <w:rPr>
          <w:rFonts w:ascii="Times New Roman" w:hAnsi="Times New Roman"/>
          <w:sz w:val="20"/>
        </w:rPr>
      </w:pPr>
      <w:r>
        <w:rPr>
          <w:rFonts w:ascii="Times New Roman" w:hAnsi="Times New Roman"/>
          <w:sz w:val="20"/>
        </w:rPr>
        <w:t xml:space="preserve">314-212-8328 </w:t>
      </w:r>
    </w:p>
    <w:p>
      <w:pPr>
        <w:pStyle w:val="TextBody"/>
        <w:bidi w:val="0"/>
        <w:spacing w:before="0" w:after="0"/>
        <w:jc w:val="left"/>
        <w:rPr>
          <w:rFonts w:ascii="Times New Roman" w:hAnsi="Times New Roman"/>
          <w:sz w:val="20"/>
        </w:rPr>
      </w:pPr>
      <w:r>
        <w:rPr>
          <w:rFonts w:ascii="Times New Roman" w:hAnsi="Times New Roman"/>
          <w:sz w:val="20"/>
        </w:rPr>
        <w:t xml:space="preserve">E-mail: dox_info@amdocs.com </w:t>
      </w:r>
      <w:r>
        <w:br w:type="page"/>
      </w:r>
    </w:p>
    <w:p>
      <w:pPr>
        <w:pStyle w:val="HorizontalLine"/>
        <w:pBdr>
          <w:bottom w:val="double" w:sz="6" w:space="0" w:color="808080"/>
        </w:pBdr>
        <w:bidi w:val="0"/>
        <w:jc w:val="left"/>
      </w:p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240" w:after="0"/>
        <w:jc w:val="center"/>
        <w:rPr>
          <w:rFonts w:ascii="Times New Roman" w:hAnsi="Times New Roman"/>
          <w:b/>
          <w:sz w:val="20"/>
        </w:rPr>
      </w:pPr>
      <w:r>
        <w:rPr>
          <w:rFonts w:ascii="Times New Roman" w:hAnsi="Times New Roman"/>
          <w:b/>
          <w:sz w:val="20"/>
        </w:rPr>
        <w:t xml:space="preserve">Consolidated Statements of Income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4647"/>
        <w:gridCol w:w="136"/>
        <w:gridCol w:w="140"/>
        <w:gridCol w:w="986"/>
        <w:gridCol w:w="155"/>
        <w:gridCol w:w="98"/>
        <w:gridCol w:w="140"/>
        <w:gridCol w:w="986"/>
        <w:gridCol w:w="155"/>
        <w:gridCol w:w="98"/>
        <w:gridCol w:w="140"/>
        <w:gridCol w:w="986"/>
        <w:gridCol w:w="155"/>
        <w:gridCol w:w="98"/>
        <w:gridCol w:w="140"/>
        <w:gridCol w:w="985"/>
        <w:gridCol w:w="160"/>
      </w:tblGrid>
      <w:tr>
        <w:tc>
          <w:tcPr>
            <w:tcW w:w="4647"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4647" w:type="dxa"/>
            <w:tcBorders/>
            <w:vAlign w:val="bottom"/>
          </w:tcPr>
          <w:p>
            <w:pPr>
              <w:pStyle w:val="TableContents"/>
              <w:bidi w:val="0"/>
              <w:spacing w:before="0" w:after="283"/>
              <w:jc w:val="left"/>
            </w:pPr>
            <w:r>
              <w:t> </w:t>
            </w:r>
          </w:p>
        </w:tc>
        <w:tc>
          <w:tcPr>
            <w:tcW w:w="136" w:type="dxa"/>
            <w:tcBorders/>
            <w:vAlign w:val="bottom"/>
          </w:tcPr>
          <w:p>
            <w:pPr>
              <w:pStyle w:val="TableContents"/>
              <w:bidi w:val="0"/>
              <w:spacing w:before="0" w:after="283"/>
              <w:jc w:val="left"/>
            </w:pPr>
            <w:r>
              <w:t>  </w:t>
            </w:r>
          </w:p>
        </w:tc>
        <w:tc>
          <w:tcPr>
            <w:tcW w:w="2505" w:type="dxa"/>
            <w:gridSpan w:val="6"/>
            <w:tcBorders>
              <w:bottom w:val="single" w:sz="8" w:space="0" w:color="000000"/>
            </w:tcBorders>
            <w:tcMar>
              <w:bottom w:w="28" w:type="dxa"/>
            </w:tcMar>
            <w:vAlign w:val="bottom"/>
          </w:tcPr>
          <w:p>
            <w:pPr>
              <w:pStyle w:val="TableContents"/>
              <w:bidi w:val="0"/>
              <w:spacing w:before="0" w:after="283"/>
              <w:jc w:val="center"/>
            </w:pPr>
            <w:r>
              <w:rPr>
                <w:b/>
              </w:rPr>
              <w:t>Three months ended</w:t>
            </w:r>
            <w:r>
              <w:br/>
            </w:r>
            <w:r>
              <w:rPr>
                <w:b/>
              </w:rPr>
              <w:t>September 30,</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2504" w:type="dxa"/>
            <w:gridSpan w:val="6"/>
            <w:tcBorders>
              <w:bottom w:val="single" w:sz="8" w:space="0" w:color="000000"/>
            </w:tcBorders>
            <w:tcMar>
              <w:bottom w:w="28" w:type="dxa"/>
            </w:tcMar>
            <w:vAlign w:val="bottom"/>
          </w:tcPr>
          <w:p>
            <w:pPr>
              <w:pStyle w:val="TableContents"/>
              <w:bidi w:val="0"/>
              <w:spacing w:before="0" w:after="283"/>
              <w:jc w:val="center"/>
            </w:pPr>
            <w:r>
              <w:rPr>
                <w:b/>
              </w:rPr>
              <w:t>Fiscal year ended</w:t>
            </w:r>
            <w:r>
              <w:br/>
            </w:r>
            <w:r>
              <w:rPr>
                <w:b/>
              </w:rPr>
              <w:t>September 30,</w:t>
            </w:r>
          </w:p>
        </w:tc>
        <w:tc>
          <w:tcPr>
            <w:tcW w:w="160" w:type="dxa"/>
            <w:tcBorders/>
            <w:vAlign w:val="bottom"/>
          </w:tcPr>
          <w:p>
            <w:pPr>
              <w:pStyle w:val="TableContents"/>
              <w:bidi w:val="0"/>
              <w:spacing w:before="0" w:after="283"/>
              <w:jc w:val="left"/>
            </w:pPr>
            <w:r>
              <w:t> </w:t>
            </w:r>
          </w:p>
        </w:tc>
      </w:tr>
      <w:tr>
        <w:tc>
          <w:tcPr>
            <w:tcW w:w="4647" w:type="dxa"/>
            <w:tcBorders/>
            <w:vAlign w:val="bottom"/>
          </w:tcPr>
          <w:p>
            <w:pPr>
              <w:pStyle w:val="TableContents"/>
              <w:bidi w:val="0"/>
              <w:spacing w:before="0" w:after="283"/>
              <w:jc w:val="left"/>
            </w:pPr>
            <w:r>
              <w:t> </w:t>
            </w:r>
          </w:p>
        </w:tc>
        <w:tc>
          <w:tcPr>
            <w:tcW w:w="136" w:type="dxa"/>
            <w:tcBorders/>
            <w:vAlign w:val="bottom"/>
          </w:tcPr>
          <w:p>
            <w:pPr>
              <w:pStyle w:val="TableContents"/>
              <w:bidi w:val="0"/>
              <w:spacing w:before="0" w:after="283"/>
              <w:jc w:val="left"/>
            </w:pPr>
            <w: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pPr>
            <w:r>
              <w:t> </w:t>
            </w:r>
          </w:p>
        </w:tc>
      </w:tr>
      <w:tr>
        <w:tc>
          <w:tcPr>
            <w:tcW w:w="46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13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6" w:type="dxa"/>
            <w:tcBorders/>
            <w:shd w:fill="CCEEFF" w:val="clear"/>
            <w:vAlign w:val="bottom"/>
          </w:tcPr>
          <w:p>
            <w:pPr>
              <w:pStyle w:val="TableContents"/>
              <w:bidi w:val="0"/>
              <w:spacing w:before="0" w:after="283"/>
              <w:jc w:val="right"/>
            </w:pPr>
            <w:r>
              <w:t>1,193,769</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6" w:type="dxa"/>
            <w:tcBorders/>
            <w:shd w:fill="CCEEFF" w:val="clear"/>
            <w:vAlign w:val="bottom"/>
          </w:tcPr>
          <w:p>
            <w:pPr>
              <w:pStyle w:val="TableContents"/>
              <w:bidi w:val="0"/>
              <w:spacing w:before="0" w:after="283"/>
              <w:jc w:val="right"/>
            </w:pPr>
            <w:r>
              <w:t>1,150,218</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6" w:type="dxa"/>
            <w:tcBorders/>
            <w:shd w:fill="CCEEFF" w:val="clear"/>
            <w:vAlign w:val="bottom"/>
          </w:tcPr>
          <w:p>
            <w:pPr>
              <w:pStyle w:val="TableContents"/>
              <w:bidi w:val="0"/>
              <w:spacing w:before="0" w:after="283"/>
              <w:jc w:val="right"/>
            </w:pPr>
            <w:r>
              <w:t>4,696,582</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5" w:type="dxa"/>
            <w:tcBorders/>
            <w:shd w:fill="CCEEFF" w:val="clear"/>
            <w:vAlign w:val="bottom"/>
          </w:tcPr>
          <w:p>
            <w:pPr>
              <w:pStyle w:val="TableContents"/>
              <w:bidi w:val="0"/>
              <w:spacing w:before="0" w:after="283"/>
              <w:jc w:val="right"/>
            </w:pPr>
            <w:r>
              <w:t>4,532,913</w:t>
            </w:r>
          </w:p>
        </w:tc>
        <w:tc>
          <w:tcPr>
            <w:tcW w:w="160" w:type="dxa"/>
            <w:tcBorders/>
            <w:shd w:fill="CCEEFF" w:val="clear"/>
            <w:vAlign w:val="bottom"/>
          </w:tcPr>
          <w:p>
            <w:pPr>
              <w:pStyle w:val="TableContents"/>
              <w:bidi w:val="0"/>
              <w:spacing w:before="0" w:after="283"/>
              <w:jc w:val="left"/>
            </w:pPr>
            <w:r>
              <w:t> </w:t>
            </w:r>
          </w:p>
        </w:tc>
      </w:tr>
      <w:tr>
        <w:tc>
          <w:tcPr>
            <w:tcW w:w="4647"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3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3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6" w:type="dxa"/>
            <w:tcBorders/>
            <w:shd w:fill="CCEEFF" w:val="clear"/>
            <w:vAlign w:val="bottom"/>
          </w:tcPr>
          <w:p>
            <w:pPr>
              <w:pStyle w:val="TableContents"/>
              <w:bidi w:val="0"/>
              <w:spacing w:before="0" w:after="283"/>
              <w:jc w:val="right"/>
            </w:pPr>
            <w:r>
              <w:t>754,156</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6" w:type="dxa"/>
            <w:tcBorders/>
            <w:shd w:fill="CCEEFF" w:val="clear"/>
            <w:vAlign w:val="bottom"/>
          </w:tcPr>
          <w:p>
            <w:pPr>
              <w:pStyle w:val="TableContents"/>
              <w:bidi w:val="0"/>
              <w:spacing w:before="0" w:after="283"/>
              <w:jc w:val="right"/>
            </w:pPr>
            <w:r>
              <w:t>719,878</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6" w:type="dxa"/>
            <w:tcBorders/>
            <w:shd w:fill="CCEEFF" w:val="clear"/>
            <w:vAlign w:val="bottom"/>
          </w:tcPr>
          <w:p>
            <w:pPr>
              <w:pStyle w:val="TableContents"/>
              <w:bidi w:val="0"/>
              <w:spacing w:before="0" w:after="283"/>
              <w:jc w:val="right"/>
            </w:pPr>
            <w:r>
              <w:t>2,906,352</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5" w:type="dxa"/>
            <w:tcBorders/>
            <w:shd w:fill="CCEEFF" w:val="clear"/>
            <w:vAlign w:val="bottom"/>
          </w:tcPr>
          <w:p>
            <w:pPr>
              <w:pStyle w:val="TableContents"/>
              <w:bidi w:val="0"/>
              <w:spacing w:before="0" w:after="283"/>
              <w:jc w:val="right"/>
            </w:pPr>
            <w:r>
              <w:t>2,811,333</w:t>
            </w:r>
          </w:p>
        </w:tc>
        <w:tc>
          <w:tcPr>
            <w:tcW w:w="160" w:type="dxa"/>
            <w:tcBorders/>
            <w:shd w:fill="CCEEFF" w:val="clear"/>
            <w:vAlign w:val="bottom"/>
          </w:tcPr>
          <w:p>
            <w:pPr>
              <w:pStyle w:val="TableContents"/>
              <w:bidi w:val="0"/>
              <w:spacing w:before="0" w:after="283"/>
              <w:jc w:val="left"/>
            </w:pPr>
            <w:r>
              <w:t> </w:t>
            </w:r>
          </w:p>
        </w:tc>
      </w:tr>
      <w:t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3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6" w:type="dxa"/>
            <w:tcBorders/>
            <w:vAlign w:val="bottom"/>
          </w:tcPr>
          <w:p>
            <w:pPr>
              <w:pStyle w:val="TableContents"/>
              <w:bidi w:val="0"/>
              <w:spacing w:before="0" w:after="283"/>
              <w:jc w:val="right"/>
            </w:pPr>
            <w:r>
              <w:t>80,114</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6" w:type="dxa"/>
            <w:tcBorders/>
            <w:vAlign w:val="bottom"/>
          </w:tcPr>
          <w:p>
            <w:pPr>
              <w:pStyle w:val="TableContents"/>
              <w:bidi w:val="0"/>
              <w:spacing w:before="0" w:after="283"/>
              <w:jc w:val="right"/>
            </w:pPr>
            <w:r>
              <w:t>87,865</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6" w:type="dxa"/>
            <w:tcBorders/>
            <w:vAlign w:val="bottom"/>
          </w:tcPr>
          <w:p>
            <w:pPr>
              <w:pStyle w:val="TableContents"/>
              <w:bidi w:val="0"/>
              <w:spacing w:before="0" w:after="283"/>
              <w:jc w:val="right"/>
            </w:pPr>
            <w:r>
              <w:t>335,460</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5" w:type="dxa"/>
            <w:tcBorders/>
            <w:vAlign w:val="bottom"/>
          </w:tcPr>
          <w:p>
            <w:pPr>
              <w:pStyle w:val="TableContents"/>
              <w:bidi w:val="0"/>
              <w:spacing w:before="0" w:after="283"/>
              <w:jc w:val="right"/>
            </w:pPr>
            <w:r>
              <w:t>340,845</w:t>
            </w:r>
          </w:p>
        </w:tc>
        <w:tc>
          <w:tcPr>
            <w:tcW w:w="160" w:type="dxa"/>
            <w:tcBorders/>
            <w:vAlign w:val="bottom"/>
          </w:tcPr>
          <w:p>
            <w:pPr>
              <w:pStyle w:val="TableContents"/>
              <w:bidi w:val="0"/>
              <w:spacing w:before="0" w:after="283"/>
              <w:jc w:val="left"/>
            </w:pPr>
            <w:r>
              <w:t> </w:t>
            </w:r>
          </w:p>
        </w:tc>
      </w:tr>
      <w:t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3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6" w:type="dxa"/>
            <w:tcBorders/>
            <w:shd w:fill="CCEEFF" w:val="clear"/>
            <w:vAlign w:val="bottom"/>
          </w:tcPr>
          <w:p>
            <w:pPr>
              <w:pStyle w:val="TableContents"/>
              <w:bidi w:val="0"/>
              <w:spacing w:before="0" w:after="283"/>
              <w:jc w:val="right"/>
            </w:pPr>
            <w:r>
              <w:t>123,872</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6" w:type="dxa"/>
            <w:tcBorders/>
            <w:shd w:fill="CCEEFF" w:val="clear"/>
            <w:vAlign w:val="bottom"/>
          </w:tcPr>
          <w:p>
            <w:pPr>
              <w:pStyle w:val="TableContents"/>
              <w:bidi w:val="0"/>
              <w:spacing w:before="0" w:after="283"/>
              <w:jc w:val="right"/>
            </w:pPr>
            <w:r>
              <w:t>121,807</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6" w:type="dxa"/>
            <w:tcBorders/>
            <w:shd w:fill="CCEEFF" w:val="clear"/>
            <w:vAlign w:val="bottom"/>
          </w:tcPr>
          <w:p>
            <w:pPr>
              <w:pStyle w:val="TableContents"/>
              <w:bidi w:val="0"/>
              <w:spacing w:before="0" w:after="283"/>
              <w:jc w:val="right"/>
            </w:pPr>
            <w:r>
              <w:t>540,522</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5" w:type="dxa"/>
            <w:tcBorders/>
            <w:shd w:fill="CCEEFF" w:val="clear"/>
            <w:vAlign w:val="bottom"/>
          </w:tcPr>
          <w:p>
            <w:pPr>
              <w:pStyle w:val="TableContents"/>
              <w:bidi w:val="0"/>
              <w:spacing w:before="0" w:after="283"/>
              <w:jc w:val="right"/>
            </w:pPr>
            <w:r>
              <w:t>506,108</w:t>
            </w:r>
          </w:p>
        </w:tc>
        <w:tc>
          <w:tcPr>
            <w:tcW w:w="160" w:type="dxa"/>
            <w:tcBorders/>
            <w:shd w:fill="CCEEFF" w:val="clear"/>
            <w:vAlign w:val="bottom"/>
          </w:tcPr>
          <w:p>
            <w:pPr>
              <w:pStyle w:val="TableContents"/>
              <w:bidi w:val="0"/>
              <w:spacing w:before="0" w:after="283"/>
              <w:jc w:val="left"/>
            </w:pPr>
            <w:r>
              <w:t> </w:t>
            </w:r>
          </w:p>
        </w:tc>
      </w:tr>
      <w:t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3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6" w:type="dxa"/>
            <w:tcBorders/>
            <w:vAlign w:val="bottom"/>
          </w:tcPr>
          <w:p>
            <w:pPr>
              <w:pStyle w:val="TableContents"/>
              <w:bidi w:val="0"/>
              <w:spacing w:before="0" w:after="283"/>
              <w:jc w:val="right"/>
            </w:pPr>
            <w:r>
              <w:t>21,412</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6" w:type="dxa"/>
            <w:tcBorders/>
            <w:vAlign w:val="bottom"/>
          </w:tcPr>
          <w:p>
            <w:pPr>
              <w:pStyle w:val="TableContents"/>
              <w:bidi w:val="0"/>
              <w:spacing w:before="0" w:after="283"/>
              <w:jc w:val="right"/>
            </w:pPr>
            <w:r>
              <w:t>14,287</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6" w:type="dxa"/>
            <w:tcBorders/>
            <w:vAlign w:val="bottom"/>
          </w:tcPr>
          <w:p>
            <w:pPr>
              <w:pStyle w:val="TableContents"/>
              <w:bidi w:val="0"/>
              <w:spacing w:before="0" w:after="283"/>
              <w:jc w:val="right"/>
            </w:pPr>
            <w:r>
              <w:t>77,828</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5" w:type="dxa"/>
            <w:tcBorders/>
            <w:vAlign w:val="bottom"/>
          </w:tcPr>
          <w:p>
            <w:pPr>
              <w:pStyle w:val="TableContents"/>
              <w:bidi w:val="0"/>
              <w:spacing w:before="0" w:after="283"/>
              <w:jc w:val="right"/>
            </w:pPr>
            <w:r>
              <w:t>62,424</w:t>
            </w:r>
          </w:p>
        </w:tc>
        <w:tc>
          <w:tcPr>
            <w:tcW w:w="160" w:type="dxa"/>
            <w:tcBorders/>
            <w:vAlign w:val="bottom"/>
          </w:tcPr>
          <w:p>
            <w:pPr>
              <w:pStyle w:val="TableContents"/>
              <w:bidi w:val="0"/>
              <w:spacing w:before="0" w:after="283"/>
              <w:jc w:val="left"/>
            </w:pPr>
            <w:r>
              <w:t> </w:t>
            </w:r>
          </w:p>
        </w:tc>
      </w:tr>
      <w:t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3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6" w:type="dxa"/>
            <w:tcBorders/>
            <w:shd w:fill="CCEEFF" w:val="clear"/>
            <w:vAlign w:val="bottom"/>
          </w:tcPr>
          <w:p>
            <w:pPr>
              <w:pStyle w:val="TableContents"/>
              <w:bidi w:val="0"/>
              <w:spacing w:before="0" w:after="283"/>
              <w:jc w:val="right"/>
            </w:pPr>
            <w:r>
              <w:t>25,346</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6" w:type="dxa"/>
            <w:tcBorders/>
            <w:shd w:fill="CCEEFF" w:val="clear"/>
            <w:vAlign w:val="bottom"/>
          </w:tcPr>
          <w:p>
            <w:pPr>
              <w:pStyle w:val="TableContents"/>
              <w:bidi w:val="0"/>
              <w:spacing w:before="0" w:after="283"/>
              <w:jc w:val="right"/>
            </w:pPr>
            <w:r>
              <w:t>73,756</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6" w:type="dxa"/>
            <w:tcBorders/>
            <w:shd w:fill="CCEEFF" w:val="clear"/>
            <w:vAlign w:val="bottom"/>
          </w:tcPr>
          <w:p>
            <w:pPr>
              <w:pStyle w:val="TableContents"/>
              <w:bidi w:val="0"/>
              <w:spacing w:before="0" w:after="283"/>
              <w:jc w:val="right"/>
            </w:pPr>
            <w:r>
              <w:t>153,476</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5" w:type="dxa"/>
            <w:tcBorders/>
            <w:shd w:fill="CCEEFF" w:val="clear"/>
            <w:vAlign w:val="bottom"/>
          </w:tcPr>
          <w:p>
            <w:pPr>
              <w:pStyle w:val="TableContents"/>
              <w:bidi w:val="0"/>
              <w:spacing w:before="0" w:after="283"/>
              <w:jc w:val="right"/>
            </w:pPr>
            <w:r>
              <w:t>80,539</w:t>
            </w:r>
          </w:p>
        </w:tc>
        <w:tc>
          <w:tcPr>
            <w:tcW w:w="160" w:type="dxa"/>
            <w:tcBorders/>
            <w:shd w:fill="CCEEFF" w:val="clear"/>
            <w:vAlign w:val="bottom"/>
          </w:tcPr>
          <w:p>
            <w:pPr>
              <w:pStyle w:val="TableContents"/>
              <w:bidi w:val="0"/>
              <w:spacing w:before="0" w:after="283"/>
              <w:jc w:val="left"/>
            </w:pPr>
            <w:r>
              <w:t> </w:t>
            </w:r>
          </w:p>
        </w:tc>
      </w:tr>
      <w:t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5" w:type="dxa"/>
            <w:tcBorders/>
            <w:vAlign w:val="bottom"/>
          </w:tcPr>
          <w:p>
            <w:pPr>
              <w:pStyle w:val="TableContents"/>
              <w:pBdr>
                <w:top w:val="single" w:sz="2"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r>
      <w:tr>
        <w:tc>
          <w:tcPr>
            <w:tcW w:w="4647"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6" w:type="dxa"/>
            <w:tcBorders/>
            <w:vAlign w:val="bottom"/>
          </w:tcPr>
          <w:p>
            <w:pPr>
              <w:pStyle w:val="TableContents"/>
              <w:bidi w:val="0"/>
              <w:spacing w:before="0" w:after="283"/>
              <w:jc w:val="right"/>
            </w:pPr>
            <w:r>
              <w:t>1,004,900</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6" w:type="dxa"/>
            <w:tcBorders/>
            <w:vAlign w:val="bottom"/>
          </w:tcPr>
          <w:p>
            <w:pPr>
              <w:pStyle w:val="TableContents"/>
              <w:bidi w:val="0"/>
              <w:spacing w:before="0" w:after="283"/>
              <w:jc w:val="right"/>
            </w:pPr>
            <w:r>
              <w:t>1,017,593</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6" w:type="dxa"/>
            <w:tcBorders/>
            <w:vAlign w:val="bottom"/>
          </w:tcPr>
          <w:p>
            <w:pPr>
              <w:pStyle w:val="TableContents"/>
              <w:bidi w:val="0"/>
              <w:spacing w:before="0" w:after="283"/>
              <w:jc w:val="right"/>
            </w:pPr>
            <w:r>
              <w:t>4,013,638</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5" w:type="dxa"/>
            <w:tcBorders/>
            <w:vAlign w:val="bottom"/>
          </w:tcPr>
          <w:p>
            <w:pPr>
              <w:pStyle w:val="TableContents"/>
              <w:bidi w:val="0"/>
              <w:spacing w:before="0" w:after="283"/>
              <w:jc w:val="right"/>
            </w:pPr>
            <w:r>
              <w:t>3,801,249</w:t>
            </w:r>
          </w:p>
        </w:tc>
        <w:tc>
          <w:tcPr>
            <w:tcW w:w="160" w:type="dxa"/>
            <w:tcBorders/>
            <w:vAlign w:val="bottom"/>
          </w:tcPr>
          <w:p>
            <w:pPr>
              <w:pStyle w:val="TableContents"/>
              <w:bidi w:val="0"/>
              <w:spacing w:before="0" w:after="283"/>
              <w:jc w:val="left"/>
            </w:pPr>
            <w:r>
              <w:t> </w:t>
            </w:r>
          </w:p>
        </w:tc>
      </w:tr>
      <w:t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5" w:type="dxa"/>
            <w:tcBorders/>
            <w:vAlign w:val="bottom"/>
          </w:tcPr>
          <w:p>
            <w:pPr>
              <w:pStyle w:val="TableContents"/>
              <w:pBdr>
                <w:top w:val="single" w:sz="2"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r>
      <w:t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3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6" w:type="dxa"/>
            <w:tcBorders/>
            <w:shd w:fill="CCEEFF" w:val="clear"/>
            <w:vAlign w:val="bottom"/>
          </w:tcPr>
          <w:p>
            <w:pPr>
              <w:pStyle w:val="TableContents"/>
              <w:bidi w:val="0"/>
              <w:spacing w:before="0" w:after="283"/>
              <w:jc w:val="right"/>
            </w:pPr>
            <w:r>
              <w:t>188,869</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6" w:type="dxa"/>
            <w:tcBorders/>
            <w:shd w:fill="CCEEFF" w:val="clear"/>
            <w:vAlign w:val="bottom"/>
          </w:tcPr>
          <w:p>
            <w:pPr>
              <w:pStyle w:val="TableContents"/>
              <w:bidi w:val="0"/>
              <w:spacing w:before="0" w:after="283"/>
              <w:jc w:val="right"/>
            </w:pPr>
            <w:r>
              <w:t>132,625</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6" w:type="dxa"/>
            <w:tcBorders/>
            <w:shd w:fill="CCEEFF" w:val="clear"/>
            <w:vAlign w:val="bottom"/>
          </w:tcPr>
          <w:p>
            <w:pPr>
              <w:pStyle w:val="TableContents"/>
              <w:bidi w:val="0"/>
              <w:spacing w:before="0" w:after="283"/>
              <w:jc w:val="right"/>
            </w:pPr>
            <w:r>
              <w:t>682,944</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5" w:type="dxa"/>
            <w:tcBorders/>
            <w:shd w:fill="CCEEFF" w:val="clear"/>
            <w:vAlign w:val="bottom"/>
          </w:tcPr>
          <w:p>
            <w:pPr>
              <w:pStyle w:val="TableContents"/>
              <w:bidi w:val="0"/>
              <w:spacing w:before="0" w:after="283"/>
              <w:jc w:val="right"/>
            </w:pPr>
            <w:r>
              <w:t>731,664</w:t>
            </w:r>
          </w:p>
        </w:tc>
        <w:tc>
          <w:tcPr>
            <w:tcW w:w="160" w:type="dxa"/>
            <w:tcBorders/>
            <w:shd w:fill="CCEEFF" w:val="clear"/>
            <w:vAlign w:val="bottom"/>
          </w:tcPr>
          <w:p>
            <w:pPr>
              <w:pStyle w:val="TableContents"/>
              <w:bidi w:val="0"/>
              <w:spacing w:before="0" w:after="283"/>
              <w:jc w:val="left"/>
            </w:pPr>
            <w:r>
              <w:t> </w:t>
            </w:r>
          </w:p>
        </w:tc>
      </w:tr>
      <w:t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3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6" w:type="dxa"/>
            <w:tcBorders/>
            <w:vAlign w:val="bottom"/>
          </w:tcPr>
          <w:p>
            <w:pPr>
              <w:pStyle w:val="TableContents"/>
              <w:bidi w:val="0"/>
              <w:spacing w:before="0" w:after="283"/>
              <w:jc w:val="right"/>
            </w:pPr>
            <w:r>
              <w:t>(15,867</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6" w:type="dxa"/>
            <w:tcBorders/>
            <w:vAlign w:val="bottom"/>
          </w:tcPr>
          <w:p>
            <w:pPr>
              <w:pStyle w:val="TableContents"/>
              <w:bidi w:val="0"/>
              <w:spacing w:before="0" w:after="283"/>
              <w:jc w:val="right"/>
            </w:pPr>
            <w:r>
              <w:t>(11,843</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6" w:type="dxa"/>
            <w:tcBorders/>
            <w:vAlign w:val="bottom"/>
          </w:tcPr>
          <w:p>
            <w:pPr>
              <w:pStyle w:val="TableContents"/>
              <w:bidi w:val="0"/>
              <w:spacing w:before="0" w:after="283"/>
              <w:jc w:val="right"/>
            </w:pPr>
            <w:r>
              <w:t>(47,177</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5" w:type="dxa"/>
            <w:tcBorders/>
            <w:vAlign w:val="bottom"/>
          </w:tcPr>
          <w:p>
            <w:pPr>
              <w:pStyle w:val="TableContents"/>
              <w:bidi w:val="0"/>
              <w:spacing w:before="0" w:after="283"/>
              <w:jc w:val="right"/>
            </w:pPr>
            <w:r>
              <w:t>(38,422</w:t>
            </w:r>
          </w:p>
        </w:tc>
        <w:tc>
          <w:tcPr>
            <w:tcW w:w="160" w:type="dxa"/>
            <w:tcBorders/>
            <w:vAlign w:val="bottom"/>
          </w:tcPr>
          <w:p>
            <w:pPr>
              <w:pStyle w:val="TableContents"/>
              <w:bidi w:val="0"/>
              <w:spacing w:before="0" w:after="283"/>
              <w:jc w:val="left"/>
            </w:pPr>
            <w:r>
              <w:t>) </w:t>
            </w:r>
          </w:p>
        </w:tc>
      </w:tr>
      <w:t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5" w:type="dxa"/>
            <w:tcBorders/>
            <w:vAlign w:val="bottom"/>
          </w:tcPr>
          <w:p>
            <w:pPr>
              <w:pStyle w:val="TableContents"/>
              <w:pBdr>
                <w:top w:val="single" w:sz="2"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r>
      <w:t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3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6" w:type="dxa"/>
            <w:tcBorders/>
            <w:shd w:fill="CCEEFF" w:val="clear"/>
            <w:vAlign w:val="bottom"/>
          </w:tcPr>
          <w:p>
            <w:pPr>
              <w:pStyle w:val="TableContents"/>
              <w:bidi w:val="0"/>
              <w:spacing w:before="0" w:after="283"/>
              <w:jc w:val="right"/>
            </w:pPr>
            <w:r>
              <w:t>173,002</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6" w:type="dxa"/>
            <w:tcBorders/>
            <w:shd w:fill="CCEEFF" w:val="clear"/>
            <w:vAlign w:val="bottom"/>
          </w:tcPr>
          <w:p>
            <w:pPr>
              <w:pStyle w:val="TableContents"/>
              <w:bidi w:val="0"/>
              <w:spacing w:before="0" w:after="283"/>
              <w:jc w:val="right"/>
            </w:pPr>
            <w:r>
              <w:t>120,782</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6" w:type="dxa"/>
            <w:tcBorders/>
            <w:shd w:fill="CCEEFF" w:val="clear"/>
            <w:vAlign w:val="bottom"/>
          </w:tcPr>
          <w:p>
            <w:pPr>
              <w:pStyle w:val="TableContents"/>
              <w:bidi w:val="0"/>
              <w:spacing w:before="0" w:after="283"/>
              <w:jc w:val="right"/>
            </w:pPr>
            <w:r>
              <w:t>635,767</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5" w:type="dxa"/>
            <w:tcBorders/>
            <w:shd w:fill="CCEEFF" w:val="clear"/>
            <w:vAlign w:val="bottom"/>
          </w:tcPr>
          <w:p>
            <w:pPr>
              <w:pStyle w:val="TableContents"/>
              <w:bidi w:val="0"/>
              <w:spacing w:before="0" w:after="283"/>
              <w:jc w:val="right"/>
            </w:pPr>
            <w:r>
              <w:t>693,242</w:t>
            </w:r>
          </w:p>
        </w:tc>
        <w:tc>
          <w:tcPr>
            <w:tcW w:w="160" w:type="dxa"/>
            <w:tcBorders/>
            <w:shd w:fill="CCEEFF" w:val="clear"/>
            <w:vAlign w:val="bottom"/>
          </w:tcPr>
          <w:p>
            <w:pPr>
              <w:pStyle w:val="TableContents"/>
              <w:bidi w:val="0"/>
              <w:spacing w:before="0" w:after="283"/>
              <w:jc w:val="left"/>
            </w:pPr>
            <w:r>
              <w:t> </w:t>
            </w:r>
          </w:p>
        </w:tc>
      </w:tr>
      <w:t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3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6" w:type="dxa"/>
            <w:tcBorders/>
            <w:vAlign w:val="bottom"/>
          </w:tcPr>
          <w:p>
            <w:pPr>
              <w:pStyle w:val="TableContents"/>
              <w:bidi w:val="0"/>
              <w:spacing w:before="0" w:after="283"/>
              <w:jc w:val="right"/>
            </w:pPr>
            <w:r>
              <w:t>32,179</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6" w:type="dxa"/>
            <w:tcBorders/>
            <w:vAlign w:val="bottom"/>
          </w:tcPr>
          <w:p>
            <w:pPr>
              <w:pStyle w:val="TableContents"/>
              <w:bidi w:val="0"/>
              <w:spacing w:before="0" w:after="283"/>
              <w:jc w:val="right"/>
            </w:pPr>
            <w:r>
              <w:t>23,668</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6" w:type="dxa"/>
            <w:tcBorders/>
            <w:vAlign w:val="bottom"/>
          </w:tcPr>
          <w:p>
            <w:pPr>
              <w:pStyle w:val="TableContents"/>
              <w:bidi w:val="0"/>
              <w:spacing w:before="0" w:after="283"/>
              <w:jc w:val="right"/>
            </w:pPr>
            <w:r>
              <w:t>134,525</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5" w:type="dxa"/>
            <w:tcBorders/>
            <w:vAlign w:val="bottom"/>
          </w:tcPr>
          <w:p>
            <w:pPr>
              <w:pStyle w:val="TableContents"/>
              <w:bidi w:val="0"/>
              <w:spacing w:before="0" w:after="283"/>
              <w:jc w:val="right"/>
            </w:pPr>
            <w:r>
              <w:t>125,473</w:t>
            </w:r>
          </w:p>
        </w:tc>
        <w:tc>
          <w:tcPr>
            <w:tcW w:w="160" w:type="dxa"/>
            <w:tcBorders/>
            <w:vAlign w:val="bottom"/>
          </w:tcPr>
          <w:p>
            <w:pPr>
              <w:pStyle w:val="TableContents"/>
              <w:bidi w:val="0"/>
              <w:spacing w:before="0" w:after="283"/>
              <w:jc w:val="left"/>
            </w:pPr>
            <w:r>
              <w:t> </w:t>
            </w:r>
          </w:p>
        </w:tc>
      </w:tr>
      <w:t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5" w:type="dxa"/>
            <w:tcBorders/>
            <w:vAlign w:val="bottom"/>
          </w:tcPr>
          <w:p>
            <w:pPr>
              <w:pStyle w:val="TableContents"/>
              <w:pBdr>
                <w:top w:val="single" w:sz="2"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r>
      <w:tr>
        <w:tc>
          <w:tcPr>
            <w:tcW w:w="464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13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6" w:type="dxa"/>
            <w:tcBorders/>
            <w:shd w:fill="CCEEFF" w:val="clear"/>
            <w:vAlign w:val="bottom"/>
          </w:tcPr>
          <w:p>
            <w:pPr>
              <w:pStyle w:val="TableContents"/>
              <w:bidi w:val="0"/>
              <w:spacing w:before="0" w:after="283"/>
              <w:jc w:val="right"/>
            </w:pPr>
            <w:r>
              <w:t>140,823</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6" w:type="dxa"/>
            <w:tcBorders/>
            <w:shd w:fill="CCEEFF" w:val="clear"/>
            <w:vAlign w:val="bottom"/>
          </w:tcPr>
          <w:p>
            <w:pPr>
              <w:pStyle w:val="TableContents"/>
              <w:bidi w:val="0"/>
              <w:spacing w:before="0" w:after="283"/>
              <w:jc w:val="right"/>
            </w:pPr>
            <w:r>
              <w:t>97,114</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6" w:type="dxa"/>
            <w:tcBorders/>
            <w:shd w:fill="CCEEFF" w:val="clear"/>
            <w:vAlign w:val="bottom"/>
          </w:tcPr>
          <w:p>
            <w:pPr>
              <w:pStyle w:val="TableContents"/>
              <w:bidi w:val="0"/>
              <w:spacing w:before="0" w:after="283"/>
              <w:jc w:val="right"/>
            </w:pPr>
            <w:r>
              <w:t>501,242</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5" w:type="dxa"/>
            <w:tcBorders/>
            <w:shd w:fill="CCEEFF" w:val="clear"/>
            <w:vAlign w:val="bottom"/>
          </w:tcPr>
          <w:p>
            <w:pPr>
              <w:pStyle w:val="TableContents"/>
              <w:bidi w:val="0"/>
              <w:spacing w:before="0" w:after="283"/>
              <w:jc w:val="right"/>
            </w:pPr>
            <w:r>
              <w:t>567,769</w:t>
            </w:r>
          </w:p>
        </w:tc>
        <w:tc>
          <w:tcPr>
            <w:tcW w:w="160" w:type="dxa"/>
            <w:tcBorders/>
            <w:shd w:fill="CCEEFF" w:val="clear"/>
            <w:vAlign w:val="bottom"/>
          </w:tcPr>
          <w:p>
            <w:pPr>
              <w:pStyle w:val="TableContents"/>
              <w:bidi w:val="0"/>
              <w:spacing w:before="0" w:after="283"/>
              <w:jc w:val="left"/>
            </w:pPr>
            <w:r>
              <w:t> </w:t>
            </w:r>
          </w:p>
        </w:tc>
      </w:tr>
      <w:t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6"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6"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6"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5" w:type="dxa"/>
            <w:tcBorders/>
            <w:vAlign w:val="bottom"/>
          </w:tcPr>
          <w:p>
            <w:pPr>
              <w:pStyle w:val="TableContents"/>
              <w:pBdr>
                <w:top w:val="double" w:sz="6"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r>
      <w:t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3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6" w:type="dxa"/>
            <w:tcBorders/>
            <w:vAlign w:val="bottom"/>
          </w:tcPr>
          <w:p>
            <w:pPr>
              <w:pStyle w:val="TableContents"/>
              <w:bidi w:val="0"/>
              <w:spacing w:before="0" w:after="283"/>
              <w:jc w:val="right"/>
            </w:pPr>
            <w:r>
              <w:t>952</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6" w:type="dxa"/>
            <w:tcBorders/>
            <w:vAlign w:val="bottom"/>
          </w:tcPr>
          <w:p>
            <w:pPr>
              <w:pStyle w:val="TableContents"/>
              <w:bidi w:val="0"/>
              <w:spacing w:before="0" w:after="283"/>
              <w:jc w:val="right"/>
            </w:pPr>
            <w:r>
              <w:t>787</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6" w:type="dxa"/>
            <w:tcBorders/>
            <w:vAlign w:val="bottom"/>
          </w:tcPr>
          <w:p>
            <w:pPr>
              <w:pStyle w:val="TableContents"/>
              <w:bidi w:val="0"/>
              <w:spacing w:before="0" w:after="283"/>
              <w:jc w:val="right"/>
            </w:pPr>
            <w:r>
              <w:t>3,821</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5" w:type="dxa"/>
            <w:tcBorders/>
            <w:vAlign w:val="bottom"/>
          </w:tcPr>
          <w:p>
            <w:pPr>
              <w:pStyle w:val="TableContents"/>
              <w:bidi w:val="0"/>
              <w:spacing w:before="0" w:after="283"/>
              <w:jc w:val="right"/>
            </w:pPr>
            <w:r>
              <w:t>3,065</w:t>
            </w:r>
          </w:p>
        </w:tc>
        <w:tc>
          <w:tcPr>
            <w:tcW w:w="160" w:type="dxa"/>
            <w:tcBorders/>
            <w:vAlign w:val="bottom"/>
          </w:tcPr>
          <w:p>
            <w:pPr>
              <w:pStyle w:val="TableContents"/>
              <w:bidi w:val="0"/>
              <w:spacing w:before="0" w:after="283"/>
              <w:jc w:val="left"/>
            </w:pPr>
            <w:r>
              <w:t> </w:t>
            </w:r>
          </w:p>
        </w:tc>
      </w:tr>
      <w:t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5" w:type="dxa"/>
            <w:tcBorders/>
            <w:vAlign w:val="bottom"/>
          </w:tcPr>
          <w:p>
            <w:pPr>
              <w:pStyle w:val="TableContents"/>
              <w:pBdr>
                <w:top w:val="single" w:sz="2"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r>
      <w:t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3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6" w:type="dxa"/>
            <w:tcBorders/>
            <w:shd w:fill="CCEEFF" w:val="clear"/>
            <w:vAlign w:val="bottom"/>
          </w:tcPr>
          <w:p>
            <w:pPr>
              <w:pStyle w:val="TableContents"/>
              <w:bidi w:val="0"/>
              <w:spacing w:before="0" w:after="283"/>
              <w:jc w:val="right"/>
            </w:pPr>
            <w:r>
              <w:t>139,871</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6" w:type="dxa"/>
            <w:tcBorders/>
            <w:shd w:fill="CCEEFF" w:val="clear"/>
            <w:vAlign w:val="bottom"/>
          </w:tcPr>
          <w:p>
            <w:pPr>
              <w:pStyle w:val="TableContents"/>
              <w:bidi w:val="0"/>
              <w:spacing w:before="0" w:after="283"/>
              <w:jc w:val="right"/>
            </w:pPr>
            <w:r>
              <w:t>96,327</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6" w:type="dxa"/>
            <w:tcBorders/>
            <w:shd w:fill="CCEEFF" w:val="clear"/>
            <w:vAlign w:val="bottom"/>
          </w:tcPr>
          <w:p>
            <w:pPr>
              <w:pStyle w:val="TableContents"/>
              <w:bidi w:val="0"/>
              <w:spacing w:before="0" w:after="283"/>
              <w:jc w:val="right"/>
            </w:pPr>
            <w:r>
              <w:t>497,421</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5" w:type="dxa"/>
            <w:tcBorders/>
            <w:shd w:fill="CCEEFF" w:val="clear"/>
            <w:vAlign w:val="bottom"/>
          </w:tcPr>
          <w:p>
            <w:pPr>
              <w:pStyle w:val="TableContents"/>
              <w:bidi w:val="0"/>
              <w:spacing w:before="0" w:after="283"/>
              <w:jc w:val="right"/>
            </w:pPr>
            <w:r>
              <w:t>564,704</w:t>
            </w:r>
          </w:p>
        </w:tc>
        <w:tc>
          <w:tcPr>
            <w:tcW w:w="160" w:type="dxa"/>
            <w:tcBorders/>
            <w:shd w:fill="CCEEFF" w:val="clear"/>
            <w:vAlign w:val="bottom"/>
          </w:tcPr>
          <w:p>
            <w:pPr>
              <w:pStyle w:val="TableContents"/>
              <w:bidi w:val="0"/>
              <w:spacing w:before="0" w:after="283"/>
              <w:jc w:val="left"/>
            </w:pPr>
            <w:r>
              <w:t> </w:t>
            </w:r>
          </w:p>
        </w:tc>
      </w:tr>
      <w:t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6"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6"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6"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5" w:type="dxa"/>
            <w:tcBorders/>
            <w:vAlign w:val="bottom"/>
          </w:tcPr>
          <w:p>
            <w:pPr>
              <w:pStyle w:val="TableContents"/>
              <w:pBdr>
                <w:top w:val="double" w:sz="6"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r>
      <w:t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per share attributable to Amdocs Limited</w:t>
            </w:r>
          </w:p>
        </w:tc>
        <w:tc>
          <w:tcPr>
            <w:tcW w:w="13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86" w:type="dxa"/>
            <w:tcBorders/>
            <w:vAlign w:val="bottom"/>
          </w:tcPr>
          <w:p>
            <w:pPr>
              <w:pStyle w:val="TableContents"/>
              <w:bidi w:val="0"/>
              <w:spacing w:before="0" w:after="283"/>
              <w:jc w:val="right"/>
            </w:pPr>
            <w:r>
              <w:t>1.35</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86" w:type="dxa"/>
            <w:tcBorders/>
            <w:vAlign w:val="bottom"/>
          </w:tcPr>
          <w:p>
            <w:pPr>
              <w:pStyle w:val="TableContents"/>
              <w:bidi w:val="0"/>
              <w:spacing w:before="0" w:after="283"/>
              <w:jc w:val="right"/>
            </w:pPr>
            <w:r>
              <w:t>0.88</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86" w:type="dxa"/>
            <w:tcBorders/>
            <w:vAlign w:val="bottom"/>
          </w:tcPr>
          <w:p>
            <w:pPr>
              <w:pStyle w:val="TableContents"/>
              <w:bidi w:val="0"/>
              <w:spacing w:before="0" w:after="283"/>
              <w:jc w:val="right"/>
            </w:pPr>
            <w:r>
              <w:t>4.69</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85" w:type="dxa"/>
            <w:tcBorders/>
            <w:vAlign w:val="bottom"/>
          </w:tcPr>
          <w:p>
            <w:pPr>
              <w:pStyle w:val="TableContents"/>
              <w:bidi w:val="0"/>
              <w:spacing w:before="0" w:after="283"/>
              <w:jc w:val="right"/>
            </w:pPr>
            <w:r>
              <w:t>5.08</w:t>
            </w:r>
          </w:p>
        </w:tc>
        <w:tc>
          <w:tcPr>
            <w:tcW w:w="160" w:type="dxa"/>
            <w:tcBorders/>
            <w:vAlign w:val="bottom"/>
          </w:tcPr>
          <w:p>
            <w:pPr>
              <w:pStyle w:val="TableContents"/>
              <w:bidi w:val="0"/>
              <w:spacing w:before="0" w:after="283"/>
              <w:jc w:val="left"/>
            </w:pPr>
            <w:r>
              <w:t> </w:t>
            </w:r>
          </w:p>
        </w:tc>
      </w:tr>
      <w:t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6"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6"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6"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5" w:type="dxa"/>
            <w:tcBorders/>
            <w:vAlign w:val="bottom"/>
          </w:tcPr>
          <w:p>
            <w:pPr>
              <w:pStyle w:val="TableContents"/>
              <w:pBdr>
                <w:top w:val="double" w:sz="6"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r>
      <w:t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per share attributable to Amdocs Limited</w:t>
            </w:r>
          </w:p>
        </w:tc>
        <w:tc>
          <w:tcPr>
            <w:tcW w:w="13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6" w:type="dxa"/>
            <w:tcBorders/>
            <w:shd w:fill="CCEEFF" w:val="clear"/>
            <w:vAlign w:val="bottom"/>
          </w:tcPr>
          <w:p>
            <w:pPr>
              <w:pStyle w:val="TableContents"/>
              <w:bidi w:val="0"/>
              <w:spacing w:before="0" w:after="283"/>
              <w:jc w:val="right"/>
            </w:pPr>
            <w:r>
              <w:t>1.35</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6" w:type="dxa"/>
            <w:tcBorders/>
            <w:shd w:fill="CCEEFF" w:val="clear"/>
            <w:vAlign w:val="bottom"/>
          </w:tcPr>
          <w:p>
            <w:pPr>
              <w:pStyle w:val="TableContents"/>
              <w:bidi w:val="0"/>
              <w:spacing w:before="0" w:after="283"/>
              <w:jc w:val="right"/>
            </w:pPr>
            <w:r>
              <w:t>0.88</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6" w:type="dxa"/>
            <w:tcBorders/>
            <w:shd w:fill="CCEEFF" w:val="clear"/>
            <w:vAlign w:val="bottom"/>
          </w:tcPr>
          <w:p>
            <w:pPr>
              <w:pStyle w:val="TableContents"/>
              <w:bidi w:val="0"/>
              <w:spacing w:before="0" w:after="283"/>
              <w:jc w:val="right"/>
            </w:pPr>
            <w:r>
              <w:t>4.68</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5" w:type="dxa"/>
            <w:tcBorders/>
            <w:shd w:fill="CCEEFF" w:val="clear"/>
            <w:vAlign w:val="bottom"/>
          </w:tcPr>
          <w:p>
            <w:pPr>
              <w:pStyle w:val="TableContents"/>
              <w:bidi w:val="0"/>
              <w:spacing w:before="0" w:after="283"/>
              <w:jc w:val="right"/>
            </w:pPr>
            <w:r>
              <w:t>5.05</w:t>
            </w:r>
          </w:p>
        </w:tc>
        <w:tc>
          <w:tcPr>
            <w:tcW w:w="160" w:type="dxa"/>
            <w:tcBorders/>
            <w:shd w:fill="CCEEFF" w:val="clear"/>
            <w:vAlign w:val="bottom"/>
          </w:tcPr>
          <w:p>
            <w:pPr>
              <w:pStyle w:val="TableContents"/>
              <w:bidi w:val="0"/>
              <w:spacing w:before="0" w:after="283"/>
              <w:jc w:val="left"/>
            </w:pPr>
            <w:r>
              <w:t> </w:t>
            </w:r>
          </w:p>
        </w:tc>
      </w:tr>
      <w:t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6"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6"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6"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5" w:type="dxa"/>
            <w:tcBorders/>
            <w:vAlign w:val="bottom"/>
          </w:tcPr>
          <w:p>
            <w:pPr>
              <w:pStyle w:val="TableContents"/>
              <w:pBdr>
                <w:top w:val="double" w:sz="6"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r>
      <w:t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Basic weighted average number of shares outstanding</w:t>
            </w:r>
          </w:p>
        </w:tc>
        <w:tc>
          <w:tcPr>
            <w:tcW w:w="13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6" w:type="dxa"/>
            <w:tcBorders/>
            <w:vAlign w:val="bottom"/>
          </w:tcPr>
          <w:p>
            <w:pPr>
              <w:pStyle w:val="TableContents"/>
              <w:bidi w:val="0"/>
              <w:spacing w:before="0" w:after="283"/>
              <w:jc w:val="right"/>
            </w:pPr>
            <w:r>
              <w:t>103,282</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6" w:type="dxa"/>
            <w:tcBorders/>
            <w:vAlign w:val="bottom"/>
          </w:tcPr>
          <w:p>
            <w:pPr>
              <w:pStyle w:val="TableContents"/>
              <w:bidi w:val="0"/>
              <w:spacing w:before="0" w:after="283"/>
              <w:jc w:val="right"/>
            </w:pPr>
            <w:r>
              <w:t>109,279</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6" w:type="dxa"/>
            <w:tcBorders/>
            <w:vAlign w:val="bottom"/>
          </w:tcPr>
          <w:p>
            <w:pPr>
              <w:pStyle w:val="TableContents"/>
              <w:bidi w:val="0"/>
              <w:spacing w:before="0" w:after="283"/>
              <w:jc w:val="right"/>
            </w:pPr>
            <w:r>
              <w:t>105,947</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5" w:type="dxa"/>
            <w:tcBorders/>
            <w:vAlign w:val="bottom"/>
          </w:tcPr>
          <w:p>
            <w:pPr>
              <w:pStyle w:val="TableContents"/>
              <w:bidi w:val="0"/>
              <w:spacing w:before="0" w:after="283"/>
              <w:jc w:val="right"/>
            </w:pPr>
            <w:r>
              <w:t>111,147</w:t>
            </w:r>
          </w:p>
        </w:tc>
        <w:tc>
          <w:tcPr>
            <w:tcW w:w="160" w:type="dxa"/>
            <w:tcBorders/>
            <w:vAlign w:val="bottom"/>
          </w:tcPr>
          <w:p>
            <w:pPr>
              <w:pStyle w:val="TableContents"/>
              <w:bidi w:val="0"/>
              <w:spacing w:before="0" w:after="283"/>
              <w:jc w:val="left"/>
            </w:pPr>
            <w:r>
              <w:t> </w:t>
            </w:r>
          </w:p>
        </w:tc>
      </w:tr>
      <w:t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6"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6"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6"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5" w:type="dxa"/>
            <w:tcBorders/>
            <w:vAlign w:val="bottom"/>
          </w:tcPr>
          <w:p>
            <w:pPr>
              <w:pStyle w:val="TableContents"/>
              <w:pBdr>
                <w:top w:val="double" w:sz="6"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r>
      <w:t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weighted average number of shares outstanding</w:t>
            </w:r>
          </w:p>
        </w:tc>
        <w:tc>
          <w:tcPr>
            <w:tcW w:w="13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6" w:type="dxa"/>
            <w:tcBorders/>
            <w:shd w:fill="CCEEFF" w:val="clear"/>
            <w:vAlign w:val="bottom"/>
          </w:tcPr>
          <w:p>
            <w:pPr>
              <w:pStyle w:val="TableContents"/>
              <w:bidi w:val="0"/>
              <w:spacing w:before="0" w:after="283"/>
              <w:jc w:val="right"/>
            </w:pPr>
            <w:r>
              <w:t>103,494</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6" w:type="dxa"/>
            <w:tcBorders/>
            <w:shd w:fill="CCEEFF" w:val="clear"/>
            <w:vAlign w:val="bottom"/>
          </w:tcPr>
          <w:p>
            <w:pPr>
              <w:pStyle w:val="TableContents"/>
              <w:bidi w:val="0"/>
              <w:spacing w:before="0" w:after="283"/>
              <w:jc w:val="right"/>
            </w:pPr>
            <w:r>
              <w:t>109,853</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6" w:type="dxa"/>
            <w:tcBorders/>
            <w:shd w:fill="CCEEFF" w:val="clear"/>
            <w:vAlign w:val="bottom"/>
          </w:tcPr>
          <w:p>
            <w:pPr>
              <w:pStyle w:val="TableContents"/>
              <w:bidi w:val="0"/>
              <w:spacing w:before="0" w:after="283"/>
              <w:jc w:val="right"/>
            </w:pPr>
            <w:r>
              <w:t>106,288</w:t>
            </w:r>
          </w:p>
        </w:tc>
        <w:tc>
          <w:tcPr>
            <w:tcW w:w="155"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5" w:type="dxa"/>
            <w:tcBorders/>
            <w:shd w:fill="CCEEFF" w:val="clear"/>
            <w:vAlign w:val="bottom"/>
          </w:tcPr>
          <w:p>
            <w:pPr>
              <w:pStyle w:val="TableContents"/>
              <w:bidi w:val="0"/>
              <w:spacing w:before="0" w:after="283"/>
              <w:jc w:val="right"/>
            </w:pPr>
            <w:r>
              <w:t>111,746</w:t>
            </w:r>
          </w:p>
        </w:tc>
        <w:tc>
          <w:tcPr>
            <w:tcW w:w="160" w:type="dxa"/>
            <w:tcBorders/>
            <w:shd w:fill="CCEEFF" w:val="clear"/>
            <w:vAlign w:val="bottom"/>
          </w:tcPr>
          <w:p>
            <w:pPr>
              <w:pStyle w:val="TableContents"/>
              <w:bidi w:val="0"/>
              <w:spacing w:before="0" w:after="283"/>
              <w:jc w:val="left"/>
            </w:pPr>
            <w:r>
              <w:t> </w:t>
            </w:r>
          </w:p>
        </w:tc>
      </w:tr>
      <w:t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6"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6"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6"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5" w:type="dxa"/>
            <w:tcBorders/>
            <w:vAlign w:val="bottom"/>
          </w:tcPr>
          <w:p>
            <w:pPr>
              <w:pStyle w:val="TableContents"/>
              <w:pBdr>
                <w:top w:val="double" w:sz="6"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r>
      <w:t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Cash dividends declared per share</w:t>
            </w:r>
          </w:p>
        </w:tc>
        <w:tc>
          <w:tcPr>
            <w:tcW w:w="13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86" w:type="dxa"/>
            <w:tcBorders/>
            <w:vAlign w:val="bottom"/>
          </w:tcPr>
          <w:p>
            <w:pPr>
              <w:pStyle w:val="TableContents"/>
              <w:bidi w:val="0"/>
              <w:spacing w:before="0" w:after="283"/>
              <w:jc w:val="right"/>
            </w:pPr>
            <w:r>
              <w:t>0.569</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86" w:type="dxa"/>
            <w:tcBorders/>
            <w:vAlign w:val="bottom"/>
          </w:tcPr>
          <w:p>
            <w:pPr>
              <w:pStyle w:val="TableContents"/>
              <w:bidi w:val="0"/>
              <w:spacing w:before="0" w:after="283"/>
              <w:jc w:val="right"/>
            </w:pPr>
            <w:r>
              <w:t>0.527</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86" w:type="dxa"/>
            <w:tcBorders/>
            <w:vAlign w:val="bottom"/>
          </w:tcPr>
          <w:p>
            <w:pPr>
              <w:pStyle w:val="TableContents"/>
              <w:bidi w:val="0"/>
              <w:spacing w:before="0" w:after="283"/>
              <w:jc w:val="right"/>
            </w:pPr>
            <w:r>
              <w:t>2.234</w:t>
            </w:r>
          </w:p>
        </w:tc>
        <w:tc>
          <w:tcPr>
            <w:tcW w:w="155"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85" w:type="dxa"/>
            <w:tcBorders/>
            <w:vAlign w:val="bottom"/>
          </w:tcPr>
          <w:p>
            <w:pPr>
              <w:pStyle w:val="TableContents"/>
              <w:bidi w:val="0"/>
              <w:spacing w:before="0" w:after="283"/>
              <w:jc w:val="right"/>
            </w:pPr>
            <w:r>
              <w:t>2.060</w:t>
            </w:r>
          </w:p>
        </w:tc>
        <w:tc>
          <w:tcPr>
            <w:tcW w:w="160" w:type="dxa"/>
            <w:tcBorders/>
            <w:vAlign w:val="bottom"/>
          </w:tcPr>
          <w:p>
            <w:pPr>
              <w:pStyle w:val="TableContents"/>
              <w:bidi w:val="0"/>
              <w:spacing w:before="0" w:after="283"/>
              <w:jc w:val="left"/>
            </w:pPr>
            <w:r>
              <w:t> </w:t>
            </w:r>
          </w:p>
        </w:tc>
      </w:tr>
      <w:t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6"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6"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6"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5" w:type="dxa"/>
            <w:tcBorders/>
            <w:vAlign w:val="bottom"/>
          </w:tcPr>
          <w:p>
            <w:pPr>
              <w:pStyle w:val="TableContents"/>
              <w:pBdr>
                <w:top w:val="double" w:sz="6"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r>
    </w:tbl>
    <w:p>
      <w:pPr>
        <w:pStyle w:val="HorizontalLine"/>
        <w:pBdr>
          <w:bottom w:val="double" w:sz="6" w:space="0" w:color="808080"/>
        </w:pBdr>
        <w:bidi w:val="0"/>
        <w:jc w:val="left"/>
      </w:pPr>
      <w:r>
        <w:br w:type="page"/>
      </w: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240" w:after="0"/>
        <w:jc w:val="center"/>
        <w:rPr>
          <w:rFonts w:ascii="Times New Roman" w:hAnsi="Times New Roman"/>
          <w:b/>
          <w:sz w:val="20"/>
        </w:rPr>
      </w:pPr>
      <w:r>
        <w:rPr>
          <w:rFonts w:ascii="Times New Roman" w:hAnsi="Times New Roman"/>
          <w:b/>
          <w:sz w:val="20"/>
        </w:rPr>
        <w:t xml:space="preserve">Selected Financial Metrics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4635"/>
        <w:gridCol w:w="206"/>
        <w:gridCol w:w="140"/>
        <w:gridCol w:w="985"/>
        <w:gridCol w:w="60"/>
        <w:gridCol w:w="206"/>
        <w:gridCol w:w="140"/>
        <w:gridCol w:w="985"/>
        <w:gridCol w:w="60"/>
        <w:gridCol w:w="206"/>
        <w:gridCol w:w="140"/>
        <w:gridCol w:w="985"/>
        <w:gridCol w:w="60"/>
        <w:gridCol w:w="205"/>
        <w:gridCol w:w="140"/>
        <w:gridCol w:w="985"/>
        <w:gridCol w:w="67"/>
      </w:tblGrid>
      <w:tr>
        <w:tc>
          <w:tcPr>
            <w:tcW w:w="4635"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c>
          <w:tcPr>
            <w:tcW w:w="4635" w:type="dxa"/>
            <w:tcBorders/>
            <w:vAlign w:val="bottom"/>
          </w:tcPr>
          <w:p>
            <w:pPr>
              <w:pStyle w:val="TableContents"/>
              <w:bidi w:val="0"/>
              <w:spacing w:before="0" w:after="283"/>
              <w:jc w:val="left"/>
            </w:pPr>
            <w:r>
              <w:t> </w:t>
            </w:r>
          </w:p>
        </w:tc>
        <w:tc>
          <w:tcPr>
            <w:tcW w:w="206" w:type="dxa"/>
            <w:tcBorders/>
            <w:vAlign w:val="bottom"/>
          </w:tcPr>
          <w:p>
            <w:pPr>
              <w:pStyle w:val="TableContents"/>
              <w:bidi w:val="0"/>
              <w:spacing w:before="0" w:after="283"/>
              <w:jc w:val="left"/>
            </w:pPr>
            <w:r>
              <w:t>  </w:t>
            </w:r>
          </w:p>
        </w:tc>
        <w:tc>
          <w:tcPr>
            <w:tcW w:w="2516" w:type="dxa"/>
            <w:gridSpan w:val="6"/>
            <w:tcBorders>
              <w:bottom w:val="single" w:sz="8" w:space="0" w:color="000000"/>
            </w:tcBorders>
            <w:tcMar>
              <w:bottom w:w="28" w:type="dxa"/>
            </w:tcMar>
            <w:vAlign w:val="bottom"/>
          </w:tcPr>
          <w:p>
            <w:pPr>
              <w:pStyle w:val="TableContents"/>
              <w:bidi w:val="0"/>
              <w:spacing w:before="0" w:after="283"/>
              <w:jc w:val="center"/>
            </w:pPr>
            <w:r>
              <w:rPr>
                <w:b/>
              </w:rPr>
              <w:t>Three months ended</w:t>
            </w:r>
            <w:r>
              <w:br/>
            </w:r>
            <w:r>
              <w:rPr>
                <w:b/>
              </w:rPr>
              <w:t>September 30,</w:t>
            </w:r>
          </w:p>
        </w:tc>
        <w:tc>
          <w:tcPr>
            <w:tcW w:w="60" w:type="dxa"/>
            <w:tcBorders/>
            <w:vAlign w:val="bottom"/>
          </w:tcPr>
          <w:p>
            <w:pPr>
              <w:pStyle w:val="TableContents"/>
              <w:bidi w:val="0"/>
              <w:spacing w:before="0" w:after="283"/>
              <w:jc w:val="left"/>
            </w:pPr>
            <w:r>
              <w:t> </w:t>
            </w:r>
          </w:p>
        </w:tc>
        <w:tc>
          <w:tcPr>
            <w:tcW w:w="206" w:type="dxa"/>
            <w:tcBorders/>
            <w:vAlign w:val="bottom"/>
          </w:tcPr>
          <w:p>
            <w:pPr>
              <w:pStyle w:val="TableContents"/>
              <w:bidi w:val="0"/>
              <w:spacing w:before="0" w:after="283"/>
              <w:jc w:val="left"/>
            </w:pPr>
            <w: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pPr>
            <w:r>
              <w:rPr>
                <w:b/>
              </w:rPr>
              <w:t>Fiscal year ended</w:t>
            </w:r>
            <w:r>
              <w:br/>
            </w:r>
            <w:r>
              <w:rPr>
                <w:b/>
              </w:rPr>
              <w:t>September 30,</w:t>
            </w:r>
          </w:p>
        </w:tc>
        <w:tc>
          <w:tcPr>
            <w:tcW w:w="67" w:type="dxa"/>
            <w:tcBorders/>
            <w:vAlign w:val="bottom"/>
          </w:tcPr>
          <w:p>
            <w:pPr>
              <w:pStyle w:val="TableContents"/>
              <w:bidi w:val="0"/>
              <w:spacing w:before="0" w:after="283"/>
              <w:jc w:val="left"/>
            </w:pPr>
            <w:r>
              <w:t> </w:t>
            </w:r>
          </w:p>
        </w:tc>
      </w:tr>
      <w:tr>
        <w:tc>
          <w:tcPr>
            <w:tcW w:w="4635" w:type="dxa"/>
            <w:tcBorders/>
            <w:vAlign w:val="bottom"/>
          </w:tcPr>
          <w:p>
            <w:pPr>
              <w:pStyle w:val="TableContents"/>
              <w:bidi w:val="0"/>
              <w:spacing w:before="0" w:after="283"/>
              <w:jc w:val="left"/>
            </w:pPr>
            <w:r>
              <w:t> </w:t>
            </w:r>
          </w:p>
        </w:tc>
        <w:tc>
          <w:tcPr>
            <w:tcW w:w="206" w:type="dxa"/>
            <w:tcBorders/>
            <w:vAlign w:val="bottom"/>
          </w:tcPr>
          <w:p>
            <w:pPr>
              <w:pStyle w:val="TableContents"/>
              <w:bidi w:val="0"/>
              <w:spacing w:before="0" w:after="283"/>
              <w:jc w:val="left"/>
            </w:pPr>
            <w: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pPr>
            <w:r>
              <w:t> </w:t>
            </w:r>
          </w:p>
        </w:tc>
        <w:tc>
          <w:tcPr>
            <w:tcW w:w="206" w:type="dxa"/>
            <w:tcBorders/>
            <w:vAlign w:val="bottom"/>
          </w:tcPr>
          <w:p>
            <w:pPr>
              <w:pStyle w:val="TableContents"/>
              <w:bidi w:val="0"/>
              <w:spacing w:before="0" w:after="283"/>
              <w:jc w:val="left"/>
            </w:pPr>
            <w: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pPr>
            <w:r>
              <w:t> </w:t>
            </w:r>
          </w:p>
        </w:tc>
        <w:tc>
          <w:tcPr>
            <w:tcW w:w="206" w:type="dxa"/>
            <w:tcBorders/>
            <w:vAlign w:val="bottom"/>
          </w:tcPr>
          <w:p>
            <w:pPr>
              <w:pStyle w:val="TableContents"/>
              <w:bidi w:val="0"/>
              <w:spacing w:before="0" w:after="283"/>
              <w:jc w:val="left"/>
            </w:pPr>
            <w: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pPr>
            <w:r>
              <w:t> </w:t>
            </w:r>
          </w:p>
        </w:tc>
        <w:tc>
          <w:tcPr>
            <w:tcW w:w="205" w:type="dxa"/>
            <w:tcBorders/>
            <w:vAlign w:val="bottom"/>
          </w:tcPr>
          <w:p>
            <w:pPr>
              <w:pStyle w:val="TableContents"/>
              <w:bidi w:val="0"/>
              <w:spacing w:before="0" w:after="283"/>
              <w:jc w:val="left"/>
            </w:pPr>
            <w: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7" w:type="dxa"/>
            <w:tcBorders/>
            <w:vAlign w:val="bottom"/>
          </w:tcPr>
          <w:p>
            <w:pPr>
              <w:pStyle w:val="TableContents"/>
              <w:bidi w:val="0"/>
              <w:spacing w:before="0" w:after="283"/>
              <w:jc w:val="left"/>
            </w:pPr>
            <w:r>
              <w:t> </w:t>
            </w:r>
          </w:p>
        </w:tc>
      </w:tr>
      <w:tr>
        <w:tc>
          <w:tcPr>
            <w:tcW w:w="46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0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5" w:type="dxa"/>
            <w:tcBorders/>
            <w:shd w:fill="CCEEFF" w:val="clear"/>
            <w:vAlign w:val="bottom"/>
          </w:tcPr>
          <w:p>
            <w:pPr>
              <w:pStyle w:val="TableContents"/>
              <w:bidi w:val="0"/>
              <w:spacing w:before="0" w:after="283"/>
              <w:jc w:val="right"/>
            </w:pPr>
            <w:r>
              <w:t>1,193,769</w:t>
            </w:r>
          </w:p>
        </w:tc>
        <w:tc>
          <w:tcPr>
            <w:tcW w:w="60" w:type="dxa"/>
            <w:tcBorders/>
            <w:shd w:fill="CCEEFF" w:val="clear"/>
            <w:vAlign w:val="bottom"/>
          </w:tcPr>
          <w:p>
            <w:pPr>
              <w:pStyle w:val="TableContents"/>
              <w:bidi w:val="0"/>
              <w:spacing w:before="0" w:after="283"/>
              <w:jc w:val="left"/>
            </w:pPr>
            <w:r>
              <w:t> </w:t>
            </w:r>
          </w:p>
        </w:tc>
        <w:tc>
          <w:tcPr>
            <w:tcW w:w="20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5" w:type="dxa"/>
            <w:tcBorders/>
            <w:shd w:fill="CCEEFF" w:val="clear"/>
            <w:vAlign w:val="bottom"/>
          </w:tcPr>
          <w:p>
            <w:pPr>
              <w:pStyle w:val="TableContents"/>
              <w:bidi w:val="0"/>
              <w:spacing w:before="0" w:after="283"/>
              <w:jc w:val="right"/>
            </w:pPr>
            <w:r>
              <w:t>1,150,218</w:t>
            </w:r>
          </w:p>
        </w:tc>
        <w:tc>
          <w:tcPr>
            <w:tcW w:w="60" w:type="dxa"/>
            <w:tcBorders/>
            <w:shd w:fill="CCEEFF" w:val="clear"/>
            <w:vAlign w:val="bottom"/>
          </w:tcPr>
          <w:p>
            <w:pPr>
              <w:pStyle w:val="TableContents"/>
              <w:bidi w:val="0"/>
              <w:spacing w:before="0" w:after="283"/>
              <w:jc w:val="left"/>
            </w:pPr>
            <w:r>
              <w:t> </w:t>
            </w:r>
          </w:p>
        </w:tc>
        <w:tc>
          <w:tcPr>
            <w:tcW w:w="20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5" w:type="dxa"/>
            <w:tcBorders/>
            <w:shd w:fill="CCEEFF" w:val="clear"/>
            <w:vAlign w:val="bottom"/>
          </w:tcPr>
          <w:p>
            <w:pPr>
              <w:pStyle w:val="TableContents"/>
              <w:bidi w:val="0"/>
              <w:spacing w:before="0" w:after="283"/>
              <w:jc w:val="right"/>
            </w:pPr>
            <w:r>
              <w:t>4,696,582</w:t>
            </w:r>
          </w:p>
        </w:tc>
        <w:tc>
          <w:tcPr>
            <w:tcW w:w="60" w:type="dxa"/>
            <w:tcBorders/>
            <w:shd w:fill="CCEEFF" w:val="clear"/>
            <w:vAlign w:val="bottom"/>
          </w:tcPr>
          <w:p>
            <w:pPr>
              <w:pStyle w:val="TableContents"/>
              <w:bidi w:val="0"/>
              <w:spacing w:before="0" w:after="283"/>
              <w:jc w:val="left"/>
            </w:pPr>
            <w:r>
              <w:t> </w:t>
            </w:r>
          </w:p>
        </w:tc>
        <w:tc>
          <w:tcPr>
            <w:tcW w:w="20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5" w:type="dxa"/>
            <w:tcBorders/>
            <w:shd w:fill="CCEEFF" w:val="clear"/>
            <w:vAlign w:val="bottom"/>
          </w:tcPr>
          <w:p>
            <w:pPr>
              <w:pStyle w:val="TableContents"/>
              <w:bidi w:val="0"/>
              <w:spacing w:before="0" w:after="283"/>
              <w:jc w:val="right"/>
            </w:pPr>
            <w:r>
              <w:t>4,532,913</w:t>
            </w:r>
          </w:p>
        </w:tc>
        <w:tc>
          <w:tcPr>
            <w:tcW w:w="67" w:type="dxa"/>
            <w:tcBorders/>
            <w:shd w:fill="CCEEFF" w:val="clear"/>
            <w:vAlign w:val="bottom"/>
          </w:tcPr>
          <w:p>
            <w:pPr>
              <w:pStyle w:val="TableContents"/>
              <w:bidi w:val="0"/>
              <w:spacing w:before="0" w:after="283"/>
              <w:jc w:val="left"/>
            </w:pPr>
            <w:r>
              <w:t> </w:t>
            </w:r>
          </w:p>
        </w:tc>
      </w:tr>
      <w:tr>
        <w:tc>
          <w:tcPr>
            <w:tcW w:w="4635" w:type="dxa"/>
            <w:tcBorders/>
          </w:tcPr>
          <w:p>
            <w:pPr>
              <w:pStyle w:val="TableContents"/>
              <w:bidi w:val="0"/>
              <w:spacing w:before="0" w:after="0"/>
              <w:jc w:val="left"/>
              <w:rPr>
                <w:rFonts w:ascii="Times New Roman" w:hAnsi="Times New Roman"/>
                <w:sz w:val="20"/>
              </w:rPr>
            </w:pPr>
            <w:r>
              <w:rPr>
                <w:rFonts w:ascii="Times New Roman" w:hAnsi="Times New Roman"/>
                <w:sz w:val="20"/>
              </w:rPr>
              <w:t>Non-GAAP operating income</w:t>
            </w:r>
          </w:p>
        </w:tc>
        <w:tc>
          <w:tcPr>
            <w:tcW w:w="20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5" w:type="dxa"/>
            <w:tcBorders/>
            <w:vAlign w:val="bottom"/>
          </w:tcPr>
          <w:p>
            <w:pPr>
              <w:pStyle w:val="TableContents"/>
              <w:bidi w:val="0"/>
              <w:spacing w:before="0" w:after="283"/>
              <w:jc w:val="right"/>
            </w:pPr>
            <w:r>
              <w:t>257,268</w:t>
            </w:r>
          </w:p>
        </w:tc>
        <w:tc>
          <w:tcPr>
            <w:tcW w:w="60" w:type="dxa"/>
            <w:tcBorders/>
            <w:vAlign w:val="bottom"/>
          </w:tcPr>
          <w:p>
            <w:pPr>
              <w:pStyle w:val="TableContents"/>
              <w:bidi w:val="0"/>
              <w:spacing w:before="0" w:after="283"/>
              <w:jc w:val="left"/>
            </w:pPr>
            <w:r>
              <w:t> </w:t>
            </w:r>
          </w:p>
        </w:tc>
        <w:tc>
          <w:tcPr>
            <w:tcW w:w="20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5" w:type="dxa"/>
            <w:tcBorders/>
            <w:vAlign w:val="bottom"/>
          </w:tcPr>
          <w:p>
            <w:pPr>
              <w:pStyle w:val="TableContents"/>
              <w:bidi w:val="0"/>
              <w:spacing w:before="0" w:after="283"/>
              <w:jc w:val="right"/>
            </w:pPr>
            <w:r>
              <w:t>248,118</w:t>
            </w:r>
          </w:p>
        </w:tc>
        <w:tc>
          <w:tcPr>
            <w:tcW w:w="60" w:type="dxa"/>
            <w:tcBorders/>
            <w:vAlign w:val="bottom"/>
          </w:tcPr>
          <w:p>
            <w:pPr>
              <w:pStyle w:val="TableContents"/>
              <w:bidi w:val="0"/>
              <w:spacing w:before="0" w:after="283"/>
              <w:jc w:val="left"/>
            </w:pPr>
            <w:r>
              <w:t> </w:t>
            </w:r>
          </w:p>
        </w:tc>
        <w:tc>
          <w:tcPr>
            <w:tcW w:w="20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5" w:type="dxa"/>
            <w:tcBorders/>
            <w:vAlign w:val="bottom"/>
          </w:tcPr>
          <w:p>
            <w:pPr>
              <w:pStyle w:val="TableContents"/>
              <w:bidi w:val="0"/>
              <w:spacing w:before="0" w:after="283"/>
              <w:jc w:val="right"/>
            </w:pPr>
            <w:r>
              <w:t>1,012,452</w:t>
            </w:r>
          </w:p>
        </w:tc>
        <w:tc>
          <w:tcPr>
            <w:tcW w:w="60" w:type="dxa"/>
            <w:tcBorders/>
            <w:vAlign w:val="bottom"/>
          </w:tcPr>
          <w:p>
            <w:pPr>
              <w:pStyle w:val="TableContents"/>
              <w:bidi w:val="0"/>
              <w:spacing w:before="0" w:after="283"/>
              <w:jc w:val="left"/>
            </w:pPr>
            <w:r>
              <w:t> </w:t>
            </w:r>
          </w:p>
        </w:tc>
        <w:tc>
          <w:tcPr>
            <w:tcW w:w="20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5" w:type="dxa"/>
            <w:tcBorders/>
            <w:vAlign w:val="bottom"/>
          </w:tcPr>
          <w:p>
            <w:pPr>
              <w:pStyle w:val="TableContents"/>
              <w:bidi w:val="0"/>
              <w:spacing w:before="0" w:after="283"/>
              <w:jc w:val="right"/>
            </w:pPr>
            <w:r>
              <w:t>968,330</w:t>
            </w:r>
          </w:p>
        </w:tc>
        <w:tc>
          <w:tcPr>
            <w:tcW w:w="67" w:type="dxa"/>
            <w:tcBorders/>
            <w:vAlign w:val="bottom"/>
          </w:tcPr>
          <w:p>
            <w:pPr>
              <w:pStyle w:val="TableContents"/>
              <w:bidi w:val="0"/>
              <w:spacing w:before="0" w:after="283"/>
              <w:jc w:val="left"/>
            </w:pPr>
            <w:r>
              <w:t> </w:t>
            </w:r>
          </w:p>
        </w:tc>
      </w:tr>
      <w:tr>
        <w:tc>
          <w:tcPr>
            <w:tcW w:w="46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net income</w:t>
            </w:r>
          </w:p>
        </w:tc>
        <w:tc>
          <w:tcPr>
            <w:tcW w:w="20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5" w:type="dxa"/>
            <w:tcBorders/>
            <w:shd w:fill="CCEEFF" w:val="clear"/>
            <w:vAlign w:val="bottom"/>
          </w:tcPr>
          <w:p>
            <w:pPr>
              <w:pStyle w:val="TableContents"/>
              <w:bidi w:val="0"/>
              <w:spacing w:before="0" w:after="283"/>
              <w:jc w:val="right"/>
            </w:pPr>
            <w:r>
              <w:t>206,097</w:t>
            </w:r>
          </w:p>
        </w:tc>
        <w:tc>
          <w:tcPr>
            <w:tcW w:w="60" w:type="dxa"/>
            <w:tcBorders/>
            <w:shd w:fill="CCEEFF" w:val="clear"/>
            <w:vAlign w:val="bottom"/>
          </w:tcPr>
          <w:p>
            <w:pPr>
              <w:pStyle w:val="TableContents"/>
              <w:bidi w:val="0"/>
              <w:spacing w:before="0" w:after="283"/>
              <w:jc w:val="left"/>
            </w:pPr>
            <w:r>
              <w:t> </w:t>
            </w:r>
          </w:p>
        </w:tc>
        <w:tc>
          <w:tcPr>
            <w:tcW w:w="20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5" w:type="dxa"/>
            <w:tcBorders/>
            <w:shd w:fill="CCEEFF" w:val="clear"/>
            <w:vAlign w:val="bottom"/>
          </w:tcPr>
          <w:p>
            <w:pPr>
              <w:pStyle w:val="TableContents"/>
              <w:bidi w:val="0"/>
              <w:spacing w:before="0" w:after="283"/>
              <w:jc w:val="right"/>
            </w:pPr>
            <w:r>
              <w:t>202,203</w:t>
            </w:r>
          </w:p>
        </w:tc>
        <w:tc>
          <w:tcPr>
            <w:tcW w:w="60" w:type="dxa"/>
            <w:tcBorders/>
            <w:shd w:fill="CCEEFF" w:val="clear"/>
            <w:vAlign w:val="bottom"/>
          </w:tcPr>
          <w:p>
            <w:pPr>
              <w:pStyle w:val="TableContents"/>
              <w:bidi w:val="0"/>
              <w:spacing w:before="0" w:after="283"/>
              <w:jc w:val="left"/>
            </w:pPr>
            <w:r>
              <w:t> </w:t>
            </w:r>
          </w:p>
        </w:tc>
        <w:tc>
          <w:tcPr>
            <w:tcW w:w="20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5" w:type="dxa"/>
            <w:tcBorders/>
            <w:shd w:fill="CCEEFF" w:val="clear"/>
            <w:vAlign w:val="bottom"/>
          </w:tcPr>
          <w:p>
            <w:pPr>
              <w:pStyle w:val="TableContents"/>
              <w:bidi w:val="0"/>
              <w:spacing w:before="0" w:after="283"/>
              <w:jc w:val="right"/>
            </w:pPr>
            <w:r>
              <w:t>791,669</w:t>
            </w:r>
          </w:p>
        </w:tc>
        <w:tc>
          <w:tcPr>
            <w:tcW w:w="60" w:type="dxa"/>
            <w:tcBorders/>
            <w:shd w:fill="CCEEFF" w:val="clear"/>
            <w:vAlign w:val="bottom"/>
          </w:tcPr>
          <w:p>
            <w:pPr>
              <w:pStyle w:val="TableContents"/>
              <w:bidi w:val="0"/>
              <w:spacing w:before="0" w:after="283"/>
              <w:jc w:val="left"/>
            </w:pPr>
            <w:r>
              <w:t> </w:t>
            </w:r>
          </w:p>
        </w:tc>
        <w:tc>
          <w:tcPr>
            <w:tcW w:w="20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5" w:type="dxa"/>
            <w:tcBorders/>
            <w:shd w:fill="CCEEFF" w:val="clear"/>
            <w:vAlign w:val="bottom"/>
          </w:tcPr>
          <w:p>
            <w:pPr>
              <w:pStyle w:val="TableContents"/>
              <w:bidi w:val="0"/>
              <w:spacing w:before="0" w:after="283"/>
              <w:jc w:val="right"/>
            </w:pPr>
            <w:r>
              <w:t>784,267</w:t>
            </w:r>
          </w:p>
        </w:tc>
        <w:tc>
          <w:tcPr>
            <w:tcW w:w="67" w:type="dxa"/>
            <w:tcBorders/>
            <w:shd w:fill="CCEEFF" w:val="clear"/>
            <w:vAlign w:val="bottom"/>
          </w:tcPr>
          <w:p>
            <w:pPr>
              <w:pStyle w:val="TableContents"/>
              <w:bidi w:val="0"/>
              <w:spacing w:before="0" w:after="283"/>
              <w:jc w:val="left"/>
            </w:pPr>
            <w:r>
              <w:t> </w:t>
            </w:r>
          </w:p>
        </w:tc>
      </w:tr>
      <w:tr>
        <w:tc>
          <w:tcPr>
            <w:tcW w:w="4635" w:type="dxa"/>
            <w:tcBorders/>
          </w:tcPr>
          <w:p>
            <w:pPr>
              <w:pStyle w:val="TableContents"/>
              <w:bidi w:val="0"/>
              <w:spacing w:before="0" w:after="0"/>
              <w:jc w:val="left"/>
              <w:rPr>
                <w:rFonts w:ascii="Times New Roman" w:hAnsi="Times New Roman"/>
                <w:sz w:val="20"/>
              </w:rPr>
            </w:pPr>
            <w:r>
              <w:rPr>
                <w:rFonts w:ascii="Times New Roman" w:hAnsi="Times New Roman"/>
                <w:sz w:val="20"/>
              </w:rPr>
              <w:t>Non-GAAP net income attributable to Amdocs Limited</w:t>
            </w:r>
          </w:p>
        </w:tc>
        <w:tc>
          <w:tcPr>
            <w:tcW w:w="20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5" w:type="dxa"/>
            <w:tcBorders/>
            <w:vAlign w:val="bottom"/>
          </w:tcPr>
          <w:p>
            <w:pPr>
              <w:pStyle w:val="TableContents"/>
              <w:bidi w:val="0"/>
              <w:spacing w:before="0" w:after="283"/>
              <w:jc w:val="right"/>
            </w:pPr>
            <w:r>
              <w:t>205,145</w:t>
            </w:r>
          </w:p>
        </w:tc>
        <w:tc>
          <w:tcPr>
            <w:tcW w:w="60" w:type="dxa"/>
            <w:tcBorders/>
            <w:vAlign w:val="bottom"/>
          </w:tcPr>
          <w:p>
            <w:pPr>
              <w:pStyle w:val="TableContents"/>
              <w:bidi w:val="0"/>
              <w:spacing w:before="0" w:after="283"/>
              <w:jc w:val="left"/>
            </w:pPr>
            <w:r>
              <w:t> </w:t>
            </w:r>
          </w:p>
        </w:tc>
        <w:tc>
          <w:tcPr>
            <w:tcW w:w="20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5" w:type="dxa"/>
            <w:tcBorders/>
            <w:vAlign w:val="bottom"/>
          </w:tcPr>
          <w:p>
            <w:pPr>
              <w:pStyle w:val="TableContents"/>
              <w:bidi w:val="0"/>
              <w:spacing w:before="0" w:after="283"/>
              <w:jc w:val="right"/>
            </w:pPr>
            <w:r>
              <w:t>201,416</w:t>
            </w:r>
          </w:p>
        </w:tc>
        <w:tc>
          <w:tcPr>
            <w:tcW w:w="60" w:type="dxa"/>
            <w:tcBorders/>
            <w:vAlign w:val="bottom"/>
          </w:tcPr>
          <w:p>
            <w:pPr>
              <w:pStyle w:val="TableContents"/>
              <w:bidi w:val="0"/>
              <w:spacing w:before="0" w:after="283"/>
              <w:jc w:val="left"/>
            </w:pPr>
            <w:r>
              <w:t> </w:t>
            </w:r>
          </w:p>
        </w:tc>
        <w:tc>
          <w:tcPr>
            <w:tcW w:w="20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5" w:type="dxa"/>
            <w:tcBorders/>
            <w:vAlign w:val="bottom"/>
          </w:tcPr>
          <w:p>
            <w:pPr>
              <w:pStyle w:val="TableContents"/>
              <w:bidi w:val="0"/>
              <w:spacing w:before="0" w:after="283"/>
              <w:jc w:val="right"/>
            </w:pPr>
            <w:r>
              <w:t>787,848</w:t>
            </w:r>
          </w:p>
        </w:tc>
        <w:tc>
          <w:tcPr>
            <w:tcW w:w="60" w:type="dxa"/>
            <w:tcBorders/>
            <w:vAlign w:val="bottom"/>
          </w:tcPr>
          <w:p>
            <w:pPr>
              <w:pStyle w:val="TableContents"/>
              <w:bidi w:val="0"/>
              <w:spacing w:before="0" w:after="283"/>
              <w:jc w:val="left"/>
            </w:pPr>
            <w:r>
              <w:t> </w:t>
            </w:r>
          </w:p>
        </w:tc>
        <w:tc>
          <w:tcPr>
            <w:tcW w:w="20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5" w:type="dxa"/>
            <w:tcBorders/>
            <w:vAlign w:val="bottom"/>
          </w:tcPr>
          <w:p>
            <w:pPr>
              <w:pStyle w:val="TableContents"/>
              <w:bidi w:val="0"/>
              <w:spacing w:before="0" w:after="283"/>
              <w:jc w:val="right"/>
            </w:pPr>
            <w:r>
              <w:t>781,202</w:t>
            </w:r>
          </w:p>
        </w:tc>
        <w:tc>
          <w:tcPr>
            <w:tcW w:w="67" w:type="dxa"/>
            <w:tcBorders/>
            <w:vAlign w:val="bottom"/>
          </w:tcPr>
          <w:p>
            <w:pPr>
              <w:pStyle w:val="TableContents"/>
              <w:bidi w:val="0"/>
              <w:spacing w:before="0" w:after="283"/>
              <w:jc w:val="left"/>
            </w:pPr>
            <w:r>
              <w:t> </w:t>
            </w:r>
          </w:p>
        </w:tc>
      </w:tr>
      <w:tr>
        <w:tc>
          <w:tcPr>
            <w:tcW w:w="46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diluted earnings per share</w:t>
            </w:r>
          </w:p>
        </w:tc>
        <w:tc>
          <w:tcPr>
            <w:tcW w:w="20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5" w:type="dxa"/>
            <w:tcBorders/>
            <w:shd w:fill="CCEEFF" w:val="clear"/>
            <w:vAlign w:val="bottom"/>
          </w:tcPr>
          <w:p>
            <w:pPr>
              <w:pStyle w:val="TableContents"/>
              <w:bidi w:val="0"/>
              <w:spacing w:before="0" w:after="283"/>
              <w:jc w:val="right"/>
            </w:pPr>
            <w:r>
              <w:t>1.98</w:t>
            </w:r>
          </w:p>
        </w:tc>
        <w:tc>
          <w:tcPr>
            <w:tcW w:w="60" w:type="dxa"/>
            <w:tcBorders/>
            <w:shd w:fill="CCEEFF" w:val="clear"/>
            <w:vAlign w:val="bottom"/>
          </w:tcPr>
          <w:p>
            <w:pPr>
              <w:pStyle w:val="TableContents"/>
              <w:bidi w:val="0"/>
              <w:spacing w:before="0" w:after="283"/>
              <w:jc w:val="left"/>
            </w:pPr>
            <w:r>
              <w:t> </w:t>
            </w:r>
          </w:p>
        </w:tc>
        <w:tc>
          <w:tcPr>
            <w:tcW w:w="20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5" w:type="dxa"/>
            <w:tcBorders/>
            <w:shd w:fill="CCEEFF" w:val="clear"/>
            <w:vAlign w:val="bottom"/>
          </w:tcPr>
          <w:p>
            <w:pPr>
              <w:pStyle w:val="TableContents"/>
              <w:bidi w:val="0"/>
              <w:spacing w:before="0" w:after="283"/>
              <w:jc w:val="right"/>
            </w:pPr>
            <w:r>
              <w:t>1.83</w:t>
            </w:r>
          </w:p>
        </w:tc>
        <w:tc>
          <w:tcPr>
            <w:tcW w:w="60" w:type="dxa"/>
            <w:tcBorders/>
            <w:shd w:fill="CCEEFF" w:val="clear"/>
            <w:vAlign w:val="bottom"/>
          </w:tcPr>
          <w:p>
            <w:pPr>
              <w:pStyle w:val="TableContents"/>
              <w:bidi w:val="0"/>
              <w:spacing w:before="0" w:after="283"/>
              <w:jc w:val="left"/>
            </w:pPr>
            <w:r>
              <w:t> </w:t>
            </w:r>
          </w:p>
        </w:tc>
        <w:tc>
          <w:tcPr>
            <w:tcW w:w="20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5" w:type="dxa"/>
            <w:tcBorders/>
            <w:shd w:fill="CCEEFF" w:val="clear"/>
            <w:vAlign w:val="bottom"/>
          </w:tcPr>
          <w:p>
            <w:pPr>
              <w:pStyle w:val="TableContents"/>
              <w:bidi w:val="0"/>
              <w:spacing w:before="0" w:after="283"/>
              <w:jc w:val="right"/>
            </w:pPr>
            <w:r>
              <w:t>7.41</w:t>
            </w:r>
          </w:p>
        </w:tc>
        <w:tc>
          <w:tcPr>
            <w:tcW w:w="60" w:type="dxa"/>
            <w:tcBorders/>
            <w:shd w:fill="CCEEFF" w:val="clear"/>
            <w:vAlign w:val="bottom"/>
          </w:tcPr>
          <w:p>
            <w:pPr>
              <w:pStyle w:val="TableContents"/>
              <w:bidi w:val="0"/>
              <w:spacing w:before="0" w:after="283"/>
              <w:jc w:val="left"/>
            </w:pPr>
            <w:r>
              <w:t> </w:t>
            </w:r>
          </w:p>
        </w:tc>
        <w:tc>
          <w:tcPr>
            <w:tcW w:w="20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5" w:type="dxa"/>
            <w:tcBorders/>
            <w:shd w:fill="CCEEFF" w:val="clear"/>
            <w:vAlign w:val="bottom"/>
          </w:tcPr>
          <w:p>
            <w:pPr>
              <w:pStyle w:val="TableContents"/>
              <w:bidi w:val="0"/>
              <w:spacing w:before="0" w:after="283"/>
              <w:jc w:val="right"/>
            </w:pPr>
            <w:r>
              <w:t>6.99</w:t>
            </w:r>
          </w:p>
        </w:tc>
        <w:tc>
          <w:tcPr>
            <w:tcW w:w="67" w:type="dxa"/>
            <w:tcBorders/>
            <w:shd w:fill="CCEEFF" w:val="clear"/>
            <w:vAlign w:val="bottom"/>
          </w:tcPr>
          <w:p>
            <w:pPr>
              <w:pStyle w:val="TableContents"/>
              <w:bidi w:val="0"/>
              <w:spacing w:before="0" w:after="283"/>
              <w:jc w:val="left"/>
            </w:pPr>
            <w:r>
              <w:t> </w:t>
            </w:r>
          </w:p>
        </w:tc>
      </w:tr>
      <w:tr>
        <w:tc>
          <w:tcPr>
            <w:tcW w:w="4635" w:type="dxa"/>
            <w:tcBorders/>
          </w:tcPr>
          <w:p>
            <w:pPr>
              <w:pStyle w:val="TableContents"/>
              <w:bidi w:val="0"/>
              <w:spacing w:before="0" w:after="0"/>
              <w:jc w:val="left"/>
              <w:rPr>
                <w:rFonts w:ascii="Times New Roman" w:hAnsi="Times New Roman"/>
                <w:sz w:val="20"/>
              </w:rPr>
            </w:pPr>
            <w:r>
              <w:rPr>
                <w:rFonts w:ascii="Times New Roman" w:hAnsi="Times New Roman"/>
                <w:sz w:val="20"/>
              </w:rPr>
              <w:t>Diluted weighted average number of shares outstanding</w:t>
            </w:r>
          </w:p>
        </w:tc>
        <w:tc>
          <w:tcPr>
            <w:tcW w:w="20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5" w:type="dxa"/>
            <w:tcBorders/>
            <w:vAlign w:val="bottom"/>
          </w:tcPr>
          <w:p>
            <w:pPr>
              <w:pStyle w:val="TableContents"/>
              <w:bidi w:val="0"/>
              <w:spacing w:before="0" w:after="283"/>
              <w:jc w:val="right"/>
            </w:pPr>
            <w:r>
              <w:t>103,494</w:t>
            </w:r>
          </w:p>
        </w:tc>
        <w:tc>
          <w:tcPr>
            <w:tcW w:w="60" w:type="dxa"/>
            <w:tcBorders/>
            <w:vAlign w:val="bottom"/>
          </w:tcPr>
          <w:p>
            <w:pPr>
              <w:pStyle w:val="TableContents"/>
              <w:bidi w:val="0"/>
              <w:spacing w:before="0" w:after="283"/>
              <w:jc w:val="left"/>
            </w:pPr>
            <w:r>
              <w:t> </w:t>
            </w:r>
          </w:p>
        </w:tc>
        <w:tc>
          <w:tcPr>
            <w:tcW w:w="20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5" w:type="dxa"/>
            <w:tcBorders/>
            <w:vAlign w:val="bottom"/>
          </w:tcPr>
          <w:p>
            <w:pPr>
              <w:pStyle w:val="TableContents"/>
              <w:bidi w:val="0"/>
              <w:spacing w:before="0" w:after="283"/>
              <w:jc w:val="right"/>
            </w:pPr>
            <w:r>
              <w:t>109,853</w:t>
            </w:r>
          </w:p>
        </w:tc>
        <w:tc>
          <w:tcPr>
            <w:tcW w:w="60" w:type="dxa"/>
            <w:tcBorders/>
            <w:vAlign w:val="bottom"/>
          </w:tcPr>
          <w:p>
            <w:pPr>
              <w:pStyle w:val="TableContents"/>
              <w:bidi w:val="0"/>
              <w:spacing w:before="0" w:after="283"/>
              <w:jc w:val="left"/>
            </w:pPr>
            <w:r>
              <w:t> </w:t>
            </w:r>
          </w:p>
        </w:tc>
        <w:tc>
          <w:tcPr>
            <w:tcW w:w="20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5" w:type="dxa"/>
            <w:tcBorders/>
            <w:vAlign w:val="bottom"/>
          </w:tcPr>
          <w:p>
            <w:pPr>
              <w:pStyle w:val="TableContents"/>
              <w:bidi w:val="0"/>
              <w:spacing w:before="0" w:after="283"/>
              <w:jc w:val="right"/>
            </w:pPr>
            <w:r>
              <w:t>106,288</w:t>
            </w:r>
          </w:p>
        </w:tc>
        <w:tc>
          <w:tcPr>
            <w:tcW w:w="60" w:type="dxa"/>
            <w:tcBorders/>
            <w:vAlign w:val="bottom"/>
          </w:tcPr>
          <w:p>
            <w:pPr>
              <w:pStyle w:val="TableContents"/>
              <w:bidi w:val="0"/>
              <w:spacing w:before="0" w:after="283"/>
              <w:jc w:val="left"/>
            </w:pPr>
            <w:r>
              <w:t> </w:t>
            </w:r>
          </w:p>
        </w:tc>
        <w:tc>
          <w:tcPr>
            <w:tcW w:w="20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5" w:type="dxa"/>
            <w:tcBorders/>
            <w:vAlign w:val="bottom"/>
          </w:tcPr>
          <w:p>
            <w:pPr>
              <w:pStyle w:val="TableContents"/>
              <w:bidi w:val="0"/>
              <w:spacing w:before="0" w:after="283"/>
              <w:jc w:val="right"/>
            </w:pPr>
            <w:r>
              <w:t>111,746</w:t>
            </w:r>
          </w:p>
        </w:tc>
        <w:tc>
          <w:tcPr>
            <w:tcW w:w="67" w:type="dxa"/>
            <w:tcBorders/>
            <w:vAlign w:val="bottom"/>
          </w:tcPr>
          <w:p>
            <w:pPr>
              <w:pStyle w:val="TableContents"/>
              <w:bidi w:val="0"/>
              <w:spacing w:before="0" w:after="283"/>
              <w:jc w:val="left"/>
            </w:pPr>
            <w: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Free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4906"/>
        <w:gridCol w:w="210"/>
        <w:gridCol w:w="140"/>
        <w:gridCol w:w="824"/>
        <w:gridCol w:w="155"/>
        <w:gridCol w:w="167"/>
        <w:gridCol w:w="140"/>
        <w:gridCol w:w="824"/>
        <w:gridCol w:w="155"/>
        <w:gridCol w:w="167"/>
        <w:gridCol w:w="140"/>
        <w:gridCol w:w="878"/>
        <w:gridCol w:w="155"/>
        <w:gridCol w:w="167"/>
        <w:gridCol w:w="140"/>
        <w:gridCol w:w="878"/>
        <w:gridCol w:w="159"/>
      </w:tblGrid>
      <w:tr>
        <w:tc>
          <w:tcPr>
            <w:tcW w:w="4906"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4906" w:type="dxa"/>
            <w:tcBorders/>
            <w:vAlign w:val="bottom"/>
          </w:tcPr>
          <w:p>
            <w:pPr>
              <w:pStyle w:val="TableContents"/>
              <w:bidi w:val="0"/>
              <w:spacing w:before="0" w:after="283"/>
              <w:jc w:val="left"/>
            </w:pPr>
            <w:r>
              <w:t> </w:t>
            </w:r>
          </w:p>
        </w:tc>
        <w:tc>
          <w:tcPr>
            <w:tcW w:w="210" w:type="dxa"/>
            <w:tcBorders/>
            <w:vAlign w:val="bottom"/>
          </w:tcPr>
          <w:p>
            <w:pPr>
              <w:pStyle w:val="TableContents"/>
              <w:bidi w:val="0"/>
              <w:spacing w:before="0" w:after="283"/>
              <w:jc w:val="left"/>
            </w:pPr>
            <w:r>
              <w:t>  </w:t>
            </w:r>
          </w:p>
        </w:tc>
        <w:tc>
          <w:tcPr>
            <w:tcW w:w="2250" w:type="dxa"/>
            <w:gridSpan w:val="6"/>
            <w:tcBorders>
              <w:bottom w:val="single" w:sz="8" w:space="0" w:color="000000"/>
            </w:tcBorders>
            <w:tcMar>
              <w:bottom w:w="28" w:type="dxa"/>
            </w:tcMar>
            <w:vAlign w:val="bottom"/>
          </w:tcPr>
          <w:p>
            <w:pPr>
              <w:pStyle w:val="TableContents"/>
              <w:bidi w:val="0"/>
              <w:spacing w:before="0" w:after="283"/>
              <w:jc w:val="center"/>
            </w:pPr>
            <w:r>
              <w:rPr>
                <w:b/>
              </w:rPr>
              <w:t>Three months ended</w:t>
            </w:r>
            <w:r>
              <w:br/>
            </w:r>
            <w:r>
              <w:rPr>
                <w:b/>
              </w:rPr>
              <w:t>September 30,</w:t>
            </w:r>
          </w:p>
        </w:tc>
        <w:tc>
          <w:tcPr>
            <w:tcW w:w="155" w:type="dxa"/>
            <w:tcBorders/>
            <w:vAlign w:val="bottom"/>
          </w:tcPr>
          <w:p>
            <w:pPr>
              <w:pStyle w:val="TableContents"/>
              <w:bidi w:val="0"/>
              <w:spacing w:before="0" w:after="283"/>
              <w:jc w:val="left"/>
            </w:pPr>
            <w:r>
              <w:t> </w:t>
            </w:r>
          </w:p>
        </w:tc>
        <w:tc>
          <w:tcPr>
            <w:tcW w:w="167" w:type="dxa"/>
            <w:tcBorders/>
            <w:vAlign w:val="bottom"/>
          </w:tcPr>
          <w:p>
            <w:pPr>
              <w:pStyle w:val="TableContents"/>
              <w:bidi w:val="0"/>
              <w:spacing w:before="0" w:after="283"/>
              <w:jc w:val="left"/>
            </w:pPr>
            <w:r>
              <w:t> </w:t>
            </w:r>
          </w:p>
        </w:tc>
        <w:tc>
          <w:tcPr>
            <w:tcW w:w="2358" w:type="dxa"/>
            <w:gridSpan w:val="6"/>
            <w:tcBorders>
              <w:bottom w:val="single" w:sz="8" w:space="0" w:color="000000"/>
            </w:tcBorders>
            <w:tcMar>
              <w:bottom w:w="28" w:type="dxa"/>
            </w:tcMar>
            <w:vAlign w:val="bottom"/>
          </w:tcPr>
          <w:p>
            <w:pPr>
              <w:pStyle w:val="TableContents"/>
              <w:bidi w:val="0"/>
              <w:spacing w:before="0" w:after="283"/>
              <w:jc w:val="center"/>
            </w:pPr>
            <w:r>
              <w:rPr>
                <w:b/>
              </w:rPr>
              <w:t>Fiscal year ended</w:t>
            </w:r>
            <w:r>
              <w:br/>
            </w:r>
            <w:r>
              <w:rPr>
                <w:b/>
              </w:rPr>
              <w:t>September 30,</w:t>
            </w:r>
          </w:p>
        </w:tc>
        <w:tc>
          <w:tcPr>
            <w:tcW w:w="159" w:type="dxa"/>
            <w:tcBorders/>
            <w:vAlign w:val="bottom"/>
          </w:tcPr>
          <w:p>
            <w:pPr>
              <w:pStyle w:val="TableContents"/>
              <w:bidi w:val="0"/>
              <w:spacing w:before="0" w:after="283"/>
              <w:jc w:val="left"/>
            </w:pPr>
            <w:r>
              <w:t> </w:t>
            </w:r>
          </w:p>
        </w:tc>
      </w:tr>
      <w:tr>
        <w:tc>
          <w:tcPr>
            <w:tcW w:w="4906" w:type="dxa"/>
            <w:tcBorders/>
            <w:vAlign w:val="bottom"/>
          </w:tcPr>
          <w:p>
            <w:pPr>
              <w:pStyle w:val="TableContents"/>
              <w:bidi w:val="0"/>
              <w:spacing w:before="0" w:after="283"/>
              <w:jc w:val="left"/>
            </w:pPr>
            <w:r>
              <w:t> </w:t>
            </w:r>
          </w:p>
        </w:tc>
        <w:tc>
          <w:tcPr>
            <w:tcW w:w="210" w:type="dxa"/>
            <w:tcBorders/>
            <w:vAlign w:val="bottom"/>
          </w:tcPr>
          <w:p>
            <w:pPr>
              <w:pStyle w:val="TableContents"/>
              <w:bidi w:val="0"/>
              <w:spacing w:before="0" w:after="283"/>
              <w:jc w:val="left"/>
            </w:pPr>
            <w: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pPr>
            <w:r>
              <w:t> </w:t>
            </w:r>
          </w:p>
        </w:tc>
        <w:tc>
          <w:tcPr>
            <w:tcW w:w="167" w:type="dxa"/>
            <w:tcBorders/>
            <w:vAlign w:val="bottom"/>
          </w:tcPr>
          <w:p>
            <w:pPr>
              <w:pStyle w:val="TableContents"/>
              <w:bidi w:val="0"/>
              <w:spacing w:before="0" w:after="283"/>
              <w:jc w:val="left"/>
            </w:pPr>
            <w: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pPr>
            <w:r>
              <w:t> </w:t>
            </w:r>
          </w:p>
        </w:tc>
        <w:tc>
          <w:tcPr>
            <w:tcW w:w="167" w:type="dxa"/>
            <w:tcBorders/>
            <w:vAlign w:val="bottom"/>
          </w:tcPr>
          <w:p>
            <w:pPr>
              <w:pStyle w:val="TableContents"/>
              <w:bidi w:val="0"/>
              <w:spacing w:before="0" w:after="283"/>
              <w:jc w:val="left"/>
            </w:pPr>
            <w: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pPr>
            <w:r>
              <w:t> </w:t>
            </w:r>
          </w:p>
        </w:tc>
        <w:tc>
          <w:tcPr>
            <w:tcW w:w="167" w:type="dxa"/>
            <w:tcBorders/>
            <w:vAlign w:val="bottom"/>
          </w:tcPr>
          <w:p>
            <w:pPr>
              <w:pStyle w:val="TableContents"/>
              <w:bidi w:val="0"/>
              <w:spacing w:before="0" w:after="283"/>
              <w:jc w:val="left"/>
            </w:pPr>
            <w: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pPr>
            <w:r>
              <w:t> </w:t>
            </w:r>
          </w:p>
        </w:tc>
      </w:tr>
      <w:tr>
        <w:tc>
          <w:tcPr>
            <w:tcW w:w="49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1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24" w:type="dxa"/>
            <w:tcBorders/>
            <w:shd w:fill="CCEEFF" w:val="clear"/>
            <w:vAlign w:val="bottom"/>
          </w:tcPr>
          <w:p>
            <w:pPr>
              <w:pStyle w:val="TableContents"/>
              <w:bidi w:val="0"/>
              <w:spacing w:before="0" w:after="283"/>
              <w:jc w:val="right"/>
            </w:pPr>
            <w:r>
              <w:t>153,740</w:t>
            </w:r>
          </w:p>
        </w:tc>
        <w:tc>
          <w:tcPr>
            <w:tcW w:w="155" w:type="dxa"/>
            <w:tcBorders/>
            <w:shd w:fill="CCEEFF" w:val="clear"/>
            <w:vAlign w:val="bottom"/>
          </w:tcPr>
          <w:p>
            <w:pPr>
              <w:pStyle w:val="TableContents"/>
              <w:bidi w:val="0"/>
              <w:spacing w:before="0" w:after="283"/>
              <w:jc w:val="left"/>
            </w:pPr>
            <w:r>
              <w:t> </w:t>
            </w:r>
          </w:p>
        </w:tc>
        <w:tc>
          <w:tcPr>
            <w:tcW w:w="16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24" w:type="dxa"/>
            <w:tcBorders/>
            <w:shd w:fill="CCEEFF" w:val="clear"/>
            <w:vAlign w:val="bottom"/>
          </w:tcPr>
          <w:p>
            <w:pPr>
              <w:pStyle w:val="TableContents"/>
              <w:bidi w:val="0"/>
              <w:spacing w:before="0" w:after="283"/>
              <w:jc w:val="right"/>
            </w:pPr>
            <w:r>
              <w:t>229,840</w:t>
            </w:r>
          </w:p>
        </w:tc>
        <w:tc>
          <w:tcPr>
            <w:tcW w:w="155" w:type="dxa"/>
            <w:tcBorders/>
            <w:shd w:fill="CCEEFF" w:val="clear"/>
            <w:vAlign w:val="bottom"/>
          </w:tcPr>
          <w:p>
            <w:pPr>
              <w:pStyle w:val="TableContents"/>
              <w:bidi w:val="0"/>
              <w:spacing w:before="0" w:after="283"/>
              <w:jc w:val="left"/>
            </w:pPr>
            <w:r>
              <w:t> </w:t>
            </w:r>
          </w:p>
        </w:tc>
        <w:tc>
          <w:tcPr>
            <w:tcW w:w="16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78" w:type="dxa"/>
            <w:tcBorders/>
            <w:shd w:fill="CCEEFF" w:val="clear"/>
            <w:vAlign w:val="bottom"/>
          </w:tcPr>
          <w:p>
            <w:pPr>
              <w:pStyle w:val="TableContents"/>
              <w:bidi w:val="0"/>
              <w:spacing w:before="0" w:after="283"/>
              <w:jc w:val="right"/>
            </w:pPr>
            <w:r>
              <w:t>672,723</w:t>
            </w:r>
          </w:p>
        </w:tc>
        <w:tc>
          <w:tcPr>
            <w:tcW w:w="155" w:type="dxa"/>
            <w:tcBorders/>
            <w:shd w:fill="CCEEFF" w:val="clear"/>
            <w:vAlign w:val="bottom"/>
          </w:tcPr>
          <w:p>
            <w:pPr>
              <w:pStyle w:val="TableContents"/>
              <w:bidi w:val="0"/>
              <w:spacing w:before="0" w:after="283"/>
              <w:jc w:val="left"/>
            </w:pPr>
            <w:r>
              <w:t> </w:t>
            </w:r>
          </w:p>
        </w:tc>
        <w:tc>
          <w:tcPr>
            <w:tcW w:w="16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78" w:type="dxa"/>
            <w:tcBorders/>
            <w:shd w:fill="CCEEFF" w:val="clear"/>
            <w:vAlign w:val="bottom"/>
          </w:tcPr>
          <w:p>
            <w:pPr>
              <w:pStyle w:val="TableContents"/>
              <w:bidi w:val="0"/>
              <w:spacing w:before="0" w:after="283"/>
              <w:jc w:val="right"/>
            </w:pPr>
            <w:r>
              <w:t>749,096</w:t>
            </w:r>
          </w:p>
        </w:tc>
        <w:tc>
          <w:tcPr>
            <w:tcW w:w="159" w:type="dxa"/>
            <w:tcBorders/>
            <w:shd w:fill="CCEEFF" w:val="clear"/>
            <w:vAlign w:val="bottom"/>
          </w:tcPr>
          <w:p>
            <w:pPr>
              <w:pStyle w:val="TableContents"/>
              <w:bidi w:val="0"/>
              <w:spacing w:before="0" w:after="283"/>
              <w:jc w:val="left"/>
            </w:pPr>
            <w:r>
              <w:t> </w:t>
            </w:r>
          </w:p>
        </w:tc>
      </w:tr>
      <w:tr>
        <w:tc>
          <w:tcPr>
            <w:tcW w:w="4906"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 net (a)</w:t>
            </w:r>
          </w:p>
        </w:tc>
        <w:tc>
          <w:tcPr>
            <w:tcW w:w="21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24" w:type="dxa"/>
            <w:tcBorders/>
            <w:vAlign w:val="bottom"/>
          </w:tcPr>
          <w:p>
            <w:pPr>
              <w:pStyle w:val="TableContents"/>
              <w:bidi w:val="0"/>
              <w:spacing w:before="0" w:after="283"/>
              <w:jc w:val="right"/>
            </w:pPr>
            <w:r>
              <w:t>(31,759</w:t>
            </w:r>
          </w:p>
        </w:tc>
        <w:tc>
          <w:tcPr>
            <w:tcW w:w="155" w:type="dxa"/>
            <w:tcBorders/>
            <w:vAlign w:val="bottom"/>
          </w:tcPr>
          <w:p>
            <w:pPr>
              <w:pStyle w:val="TableContents"/>
              <w:bidi w:val="0"/>
              <w:spacing w:before="0" w:after="283"/>
              <w:jc w:val="left"/>
            </w:pPr>
            <w:r>
              <w:t>) </w:t>
            </w:r>
          </w:p>
        </w:tc>
        <w:tc>
          <w:tcPr>
            <w:tcW w:w="16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24" w:type="dxa"/>
            <w:tcBorders/>
            <w:vAlign w:val="bottom"/>
          </w:tcPr>
          <w:p>
            <w:pPr>
              <w:pStyle w:val="TableContents"/>
              <w:bidi w:val="0"/>
              <w:spacing w:before="0" w:after="283"/>
              <w:jc w:val="right"/>
            </w:pPr>
            <w:r>
              <w:t>(31,212</w:t>
            </w:r>
          </w:p>
        </w:tc>
        <w:tc>
          <w:tcPr>
            <w:tcW w:w="155" w:type="dxa"/>
            <w:tcBorders/>
            <w:vAlign w:val="bottom"/>
          </w:tcPr>
          <w:p>
            <w:pPr>
              <w:pStyle w:val="TableContents"/>
              <w:bidi w:val="0"/>
              <w:spacing w:before="0" w:after="283"/>
              <w:jc w:val="left"/>
            </w:pPr>
            <w:r>
              <w:t>) </w:t>
            </w:r>
          </w:p>
        </w:tc>
        <w:tc>
          <w:tcPr>
            <w:tcW w:w="16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78" w:type="dxa"/>
            <w:tcBorders/>
            <w:vAlign w:val="bottom"/>
          </w:tcPr>
          <w:p>
            <w:pPr>
              <w:pStyle w:val="TableContents"/>
              <w:bidi w:val="0"/>
              <w:spacing w:before="0" w:after="283"/>
              <w:jc w:val="right"/>
            </w:pPr>
            <w:r>
              <w:t>(110,528</w:t>
            </w:r>
          </w:p>
        </w:tc>
        <w:tc>
          <w:tcPr>
            <w:tcW w:w="155" w:type="dxa"/>
            <w:tcBorders/>
            <w:vAlign w:val="bottom"/>
          </w:tcPr>
          <w:p>
            <w:pPr>
              <w:pStyle w:val="TableContents"/>
              <w:bidi w:val="0"/>
              <w:spacing w:before="0" w:after="283"/>
              <w:jc w:val="left"/>
            </w:pPr>
            <w:r>
              <w:t>) </w:t>
            </w:r>
          </w:p>
        </w:tc>
        <w:tc>
          <w:tcPr>
            <w:tcW w:w="16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78" w:type="dxa"/>
            <w:tcBorders/>
            <w:vAlign w:val="bottom"/>
          </w:tcPr>
          <w:p>
            <w:pPr>
              <w:pStyle w:val="TableContents"/>
              <w:bidi w:val="0"/>
              <w:spacing w:before="0" w:after="283"/>
              <w:jc w:val="right"/>
            </w:pPr>
            <w:r>
              <w:t>(103,952</w:t>
            </w:r>
          </w:p>
        </w:tc>
        <w:tc>
          <w:tcPr>
            <w:tcW w:w="159" w:type="dxa"/>
            <w:tcBorders/>
            <w:vAlign w:val="bottom"/>
          </w:tcPr>
          <w:p>
            <w:pPr>
              <w:pStyle w:val="TableContents"/>
              <w:bidi w:val="0"/>
              <w:spacing w:before="0" w:after="283"/>
              <w:jc w:val="left"/>
            </w:pPr>
            <w:r>
              <w:t>) </w:t>
            </w:r>
          </w:p>
        </w:tc>
      </w:tr>
      <w:tr>
        <w:tc>
          <w:tcPr>
            <w:tcW w:w="4906"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24"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67"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24"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67"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78"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67"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78"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49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Free Cash Flow</w:t>
            </w:r>
          </w:p>
        </w:tc>
        <w:tc>
          <w:tcPr>
            <w:tcW w:w="21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24" w:type="dxa"/>
            <w:tcBorders/>
            <w:shd w:fill="CCEEFF" w:val="clear"/>
            <w:vAlign w:val="bottom"/>
          </w:tcPr>
          <w:p>
            <w:pPr>
              <w:pStyle w:val="TableContents"/>
              <w:bidi w:val="0"/>
              <w:spacing w:before="0" w:after="283"/>
              <w:jc w:val="right"/>
            </w:pPr>
            <w:r>
              <w:t>121,981</w:t>
            </w:r>
          </w:p>
        </w:tc>
        <w:tc>
          <w:tcPr>
            <w:tcW w:w="155" w:type="dxa"/>
            <w:tcBorders/>
            <w:shd w:fill="CCEEFF" w:val="clear"/>
            <w:vAlign w:val="bottom"/>
          </w:tcPr>
          <w:p>
            <w:pPr>
              <w:pStyle w:val="TableContents"/>
              <w:bidi w:val="0"/>
              <w:spacing w:before="0" w:after="283"/>
              <w:jc w:val="left"/>
            </w:pPr>
            <w:r>
              <w:t> </w:t>
            </w:r>
          </w:p>
        </w:tc>
        <w:tc>
          <w:tcPr>
            <w:tcW w:w="16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24" w:type="dxa"/>
            <w:tcBorders/>
            <w:shd w:fill="CCEEFF" w:val="clear"/>
            <w:vAlign w:val="bottom"/>
          </w:tcPr>
          <w:p>
            <w:pPr>
              <w:pStyle w:val="TableContents"/>
              <w:bidi w:val="0"/>
              <w:spacing w:before="0" w:after="283"/>
              <w:jc w:val="right"/>
            </w:pPr>
            <w:r>
              <w:t>198,628</w:t>
            </w:r>
          </w:p>
        </w:tc>
        <w:tc>
          <w:tcPr>
            <w:tcW w:w="155" w:type="dxa"/>
            <w:tcBorders/>
            <w:shd w:fill="CCEEFF" w:val="clear"/>
            <w:vAlign w:val="bottom"/>
          </w:tcPr>
          <w:p>
            <w:pPr>
              <w:pStyle w:val="TableContents"/>
              <w:bidi w:val="0"/>
              <w:spacing w:before="0" w:after="283"/>
              <w:jc w:val="left"/>
            </w:pPr>
            <w:r>
              <w:t> </w:t>
            </w:r>
          </w:p>
        </w:tc>
        <w:tc>
          <w:tcPr>
            <w:tcW w:w="16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78" w:type="dxa"/>
            <w:tcBorders/>
            <w:shd w:fill="CCEEFF" w:val="clear"/>
            <w:vAlign w:val="bottom"/>
          </w:tcPr>
          <w:p>
            <w:pPr>
              <w:pStyle w:val="TableContents"/>
              <w:bidi w:val="0"/>
              <w:spacing w:before="0" w:after="283"/>
              <w:jc w:val="right"/>
            </w:pPr>
            <w:r>
              <w:t>562,195</w:t>
            </w:r>
          </w:p>
        </w:tc>
        <w:tc>
          <w:tcPr>
            <w:tcW w:w="155" w:type="dxa"/>
            <w:tcBorders/>
            <w:shd w:fill="CCEEFF" w:val="clear"/>
            <w:vAlign w:val="bottom"/>
          </w:tcPr>
          <w:p>
            <w:pPr>
              <w:pStyle w:val="TableContents"/>
              <w:bidi w:val="0"/>
              <w:spacing w:before="0" w:after="283"/>
              <w:jc w:val="left"/>
            </w:pPr>
            <w:r>
              <w:t> </w:t>
            </w:r>
          </w:p>
        </w:tc>
        <w:tc>
          <w:tcPr>
            <w:tcW w:w="16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78" w:type="dxa"/>
            <w:tcBorders/>
            <w:shd w:fill="CCEEFF" w:val="clear"/>
            <w:vAlign w:val="bottom"/>
          </w:tcPr>
          <w:p>
            <w:pPr>
              <w:pStyle w:val="TableContents"/>
              <w:bidi w:val="0"/>
              <w:spacing w:before="0" w:after="283"/>
              <w:jc w:val="right"/>
            </w:pPr>
            <w:r>
              <w:t>645,144</w:t>
            </w:r>
          </w:p>
        </w:tc>
        <w:tc>
          <w:tcPr>
            <w:tcW w:w="159" w:type="dxa"/>
            <w:tcBorders/>
            <w:shd w:fill="CCEEFF" w:val="clear"/>
            <w:vAlign w:val="bottom"/>
          </w:tcPr>
          <w:p>
            <w:pPr>
              <w:pStyle w:val="TableContents"/>
              <w:bidi w:val="0"/>
              <w:spacing w:before="0" w:after="283"/>
              <w:jc w:val="left"/>
            </w:pPr>
            <w: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under “Purchase of property and equipment, net”, include immaterial proceeds from sale of property and equipment. </w:t>
            </w:r>
          </w:p>
        </w:tc>
      </w:tr>
    </w:tbl>
    <w:p>
      <w:pPr>
        <w:pStyle w:val="HorizontalLine"/>
        <w:pBdr>
          <w:bottom w:val="double" w:sz="6" w:space="0" w:color="808080"/>
        </w:pBdr>
        <w:bidi w:val="0"/>
        <w:jc w:val="left"/>
      </w:pPr>
      <w:r>
        <w:br w:type="page"/>
      </w: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240" w:after="0"/>
        <w:jc w:val="center"/>
        <w:rPr>
          <w:rFonts w:ascii="Times New Roman" w:hAnsi="Times New Roman"/>
          <w:b/>
          <w:sz w:val="20"/>
        </w:rPr>
      </w:pPr>
      <w:r>
        <w:rPr>
          <w:rFonts w:ascii="Times New Roman" w:hAnsi="Times New Roman"/>
          <w:b/>
          <w:sz w:val="20"/>
        </w:rPr>
        <w:t xml:space="preserve">Reconciliation of Selected Financial Metrics from GAAP to Non-GAAP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pPr>
      <w:r>
        <w:t> </w:t>
      </w:r>
    </w:p>
    <w:tbl>
      <w:tblPr>
        <w:tblW w:w="12245" w:type="dxa"/>
        <w:jc w:val="center"/>
        <w:tblInd w:w="0" w:type="dxa"/>
        <w:tblLayout w:type="fixed"/>
        <w:tblCellMar>
          <w:top w:w="0" w:type="dxa"/>
          <w:left w:w="0" w:type="dxa"/>
          <w:bottom w:w="0" w:type="dxa"/>
          <w:right w:w="0" w:type="dxa"/>
        </w:tblCellMar>
      </w:tblPr>
      <w:tblGrid>
        <w:gridCol w:w="1250"/>
        <w:gridCol w:w="120"/>
        <w:gridCol w:w="140"/>
        <w:gridCol w:w="980"/>
        <w:gridCol w:w="155"/>
        <w:gridCol w:w="60"/>
        <w:gridCol w:w="214"/>
        <w:gridCol w:w="1156"/>
        <w:gridCol w:w="155"/>
        <w:gridCol w:w="60"/>
        <w:gridCol w:w="221"/>
        <w:gridCol w:w="1194"/>
        <w:gridCol w:w="155"/>
        <w:gridCol w:w="60"/>
        <w:gridCol w:w="283"/>
        <w:gridCol w:w="922"/>
        <w:gridCol w:w="155"/>
        <w:gridCol w:w="60"/>
        <w:gridCol w:w="226"/>
        <w:gridCol w:w="1219"/>
        <w:gridCol w:w="155"/>
        <w:gridCol w:w="60"/>
        <w:gridCol w:w="140"/>
        <w:gridCol w:w="560"/>
        <w:gridCol w:w="60"/>
        <w:gridCol w:w="120"/>
        <w:gridCol w:w="140"/>
        <w:gridCol w:w="635"/>
        <w:gridCol w:w="155"/>
        <w:gridCol w:w="60"/>
        <w:gridCol w:w="181"/>
        <w:gridCol w:w="1039"/>
        <w:gridCol w:w="155"/>
      </w:tblGrid>
      <w:t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125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0720"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 2026</w:t>
            </w:r>
          </w:p>
        </w:tc>
        <w:tc>
          <w:tcPr>
            <w:tcW w:w="155" w:type="dxa"/>
            <w:tcBorders/>
            <w:vAlign w:val="bottom"/>
          </w:tcPr>
          <w:p>
            <w:pPr>
              <w:pStyle w:val="TableContents"/>
              <w:bidi w:val="0"/>
              <w:spacing w:before="0" w:after="283"/>
              <w:jc w:val="left"/>
            </w:pPr>
            <w:r>
              <w:t> </w:t>
            </w:r>
          </w:p>
        </w:tc>
      </w:tr>
      <w:tr>
        <w:tc>
          <w:tcPr>
            <w:tcW w:w="125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Amortization</w:t>
              <w:br/>
              <w:t>of purchased</w:t>
              <w:br/>
              <w:t>intangible</w:t>
              <w:br/>
              <w:t>assets and</w:t>
              <w:br/>
              <w:t>other</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based</w:t>
              <w:br/>
              <w:t>compensation</w:t>
              <w:br/>
              <w:t>expense</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Changes in</w:t>
              <w:br/>
              <w:t>certain</w:t>
              <w:br/>
              <w:t>acquisitions</w:t>
              <w:br/>
              <w:t>related</w:t>
              <w:br/>
              <w:t>liabilities</w:t>
              <w:br/>
              <w:t>measured</w:t>
              <w:br/>
              <w:t>at fair</w:t>
              <w:br/>
              <w:t>value</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Restructuring</w:t>
              <w:br/>
              <w:t>charges</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pPr>
            <w:r>
              <w:rPr>
                <w:b/>
              </w:rPr>
              <w:t>Tax</w:t>
            </w:r>
            <w:r>
              <w:br/>
            </w:r>
            <w:r>
              <w:rPr>
                <w:b/>
              </w:rPr>
              <w:t>effect</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Non-GAAP</w:t>
            </w:r>
          </w:p>
        </w:tc>
        <w:tc>
          <w:tcPr>
            <w:tcW w:w="155" w:type="dxa"/>
            <w:tcBorders/>
            <w:vAlign w:val="bottom"/>
          </w:tcPr>
          <w:p>
            <w:pPr>
              <w:pStyle w:val="TableContents"/>
              <w:bidi w:val="0"/>
              <w:spacing w:before="0" w:after="283"/>
              <w:jc w:val="left"/>
            </w:pPr>
            <w:r>
              <w:t> </w:t>
            </w:r>
          </w:p>
        </w:tc>
      </w:tr>
      <w:t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80" w:type="dxa"/>
            <w:tcBorders/>
            <w:vAlign w:val="bottom"/>
          </w:tcPr>
          <w:p>
            <w:pPr>
              <w:pStyle w:val="TableContents"/>
              <w:bidi w:val="0"/>
              <w:spacing w:before="0" w:after="283"/>
              <w:jc w:val="right"/>
            </w:pPr>
            <w:r>
              <w:t>754,156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bidi w:val="0"/>
              <w:spacing w:before="0" w:after="283"/>
              <w:jc w:val="left"/>
            </w:pPr>
            <w:r>
              <w:t>$</w:t>
            </w:r>
          </w:p>
        </w:tc>
        <w:tc>
          <w:tcPr>
            <w:tcW w:w="1156"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pPr>
            <w:r>
              <w:t>$</w:t>
            </w:r>
          </w:p>
        </w:tc>
        <w:tc>
          <w:tcPr>
            <w:tcW w:w="1194" w:type="dxa"/>
            <w:tcBorders/>
            <w:vAlign w:val="bottom"/>
          </w:tcPr>
          <w:p>
            <w:pPr>
              <w:pStyle w:val="TableContents"/>
              <w:bidi w:val="0"/>
              <w:spacing w:before="0" w:after="283"/>
              <w:jc w:val="right"/>
            </w:pPr>
            <w:r>
              <w:t>(10,420</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83" w:type="dxa"/>
            <w:tcBorders/>
            <w:vAlign w:val="bottom"/>
          </w:tcPr>
          <w:p>
            <w:pPr>
              <w:pStyle w:val="TableContents"/>
              <w:bidi w:val="0"/>
              <w:spacing w:before="0" w:after="283"/>
              <w:jc w:val="left"/>
            </w:pPr>
            <w:r>
              <w:t>$</w:t>
            </w:r>
          </w:p>
        </w:tc>
        <w:tc>
          <w:tcPr>
            <w:tcW w:w="922" w:type="dxa"/>
            <w:tcBorders/>
            <w:vAlign w:val="bottom"/>
          </w:tcPr>
          <w:p>
            <w:pPr>
              <w:pStyle w:val="TableContents"/>
              <w:bidi w:val="0"/>
              <w:spacing w:before="0" w:after="283"/>
              <w:jc w:val="right"/>
            </w:pPr>
            <w:r>
              <w:t>(135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pPr>
            <w:r>
              <w:t>$</w:t>
            </w:r>
          </w:p>
        </w:tc>
        <w:tc>
          <w:tcPr>
            <w:tcW w:w="1219"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56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63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w:t>
            </w:r>
          </w:p>
        </w:tc>
        <w:tc>
          <w:tcPr>
            <w:tcW w:w="1039" w:type="dxa"/>
            <w:tcBorders/>
            <w:vAlign w:val="bottom"/>
          </w:tcPr>
          <w:p>
            <w:pPr>
              <w:pStyle w:val="TableContents"/>
              <w:bidi w:val="0"/>
              <w:spacing w:before="0" w:after="283"/>
              <w:jc w:val="right"/>
            </w:pPr>
            <w:r>
              <w:t>743,601</w:t>
            </w:r>
          </w:p>
        </w:tc>
        <w:tc>
          <w:tcPr>
            <w:tcW w:w="155" w:type="dxa"/>
            <w:tcBorders/>
            <w:vAlign w:val="bottom"/>
          </w:tcPr>
          <w:p>
            <w:pPr>
              <w:pStyle w:val="TableContents"/>
              <w:bidi w:val="0"/>
              <w:spacing w:before="0" w:after="283"/>
              <w:jc w:val="left"/>
            </w:pPr>
            <w:r>
              <w:t> </w:t>
            </w:r>
          </w:p>
        </w:tc>
      </w:tr>
      <w:t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80,114</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pPr>
            <w:r>
              <w:t> </w:t>
            </w:r>
          </w:p>
        </w:tc>
        <w:tc>
          <w:tcPr>
            <w:tcW w:w="1194" w:type="dxa"/>
            <w:tcBorders/>
            <w:shd w:fill="CCEEFF" w:val="clear"/>
            <w:vAlign w:val="bottom"/>
          </w:tcPr>
          <w:p>
            <w:pPr>
              <w:pStyle w:val="TableContents"/>
              <w:bidi w:val="0"/>
              <w:spacing w:before="0" w:after="283"/>
              <w:jc w:val="right"/>
            </w:pPr>
            <w:r>
              <w:t>(1,919</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 </w:t>
            </w:r>
          </w:p>
        </w:tc>
        <w:tc>
          <w:tcPr>
            <w:tcW w:w="1039" w:type="dxa"/>
            <w:tcBorders/>
            <w:shd w:fill="CCEEFF" w:val="clear"/>
            <w:vAlign w:val="bottom"/>
          </w:tcPr>
          <w:p>
            <w:pPr>
              <w:pStyle w:val="TableContents"/>
              <w:bidi w:val="0"/>
              <w:spacing w:before="0" w:after="283"/>
              <w:jc w:val="right"/>
            </w:pPr>
            <w:r>
              <w:t>78,195</w:t>
            </w:r>
          </w:p>
        </w:tc>
        <w:tc>
          <w:tcPr>
            <w:tcW w:w="155" w:type="dxa"/>
            <w:tcBorders/>
            <w:shd w:fill="CCEEFF" w:val="clear"/>
            <w:vAlign w:val="bottom"/>
          </w:tcPr>
          <w:p>
            <w:pPr>
              <w:pStyle w:val="TableContents"/>
              <w:bidi w:val="0"/>
              <w:spacing w:before="0" w:after="283"/>
              <w:jc w:val="left"/>
            </w:pPr>
            <w:r>
              <w:t> </w:t>
            </w:r>
          </w:p>
        </w:tc>
      </w:tr>
      <w:t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123,872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pPr>
            <w:r>
              <w:t> </w:t>
            </w:r>
          </w:p>
        </w:tc>
        <w:tc>
          <w:tcPr>
            <w:tcW w:w="1194" w:type="dxa"/>
            <w:tcBorders/>
            <w:vAlign w:val="bottom"/>
          </w:tcPr>
          <w:p>
            <w:pPr>
              <w:pStyle w:val="TableContents"/>
              <w:bidi w:val="0"/>
              <w:spacing w:before="0" w:after="283"/>
              <w:jc w:val="right"/>
            </w:pPr>
            <w:r>
              <w:t>(9,032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83" w:type="dxa"/>
            <w:tcBorders/>
            <w:vAlign w:val="bottom"/>
          </w:tcPr>
          <w:p>
            <w:pPr>
              <w:pStyle w:val="TableContents"/>
              <w:bidi w:val="0"/>
              <w:spacing w:before="0" w:after="283"/>
              <w:jc w:val="left"/>
            </w:pPr>
            <w:r>
              <w:t> </w:t>
            </w:r>
          </w:p>
        </w:tc>
        <w:tc>
          <w:tcPr>
            <w:tcW w:w="922" w:type="dxa"/>
            <w:tcBorders/>
            <w:vAlign w:val="bottom"/>
          </w:tcPr>
          <w:p>
            <w:pPr>
              <w:pStyle w:val="TableContents"/>
              <w:bidi w:val="0"/>
              <w:spacing w:before="0" w:after="283"/>
              <w:jc w:val="right"/>
            </w:pPr>
            <w:r>
              <w:t>(135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039" w:type="dxa"/>
            <w:tcBorders/>
            <w:vAlign w:val="bottom"/>
          </w:tcPr>
          <w:p>
            <w:pPr>
              <w:pStyle w:val="TableContents"/>
              <w:bidi w:val="0"/>
              <w:spacing w:before="0" w:after="283"/>
              <w:jc w:val="right"/>
            </w:pPr>
            <w:r>
              <w:t>114,705</w:t>
            </w:r>
          </w:p>
        </w:tc>
        <w:tc>
          <w:tcPr>
            <w:tcW w:w="155" w:type="dxa"/>
            <w:tcBorders/>
            <w:vAlign w:val="bottom"/>
          </w:tcPr>
          <w:p>
            <w:pPr>
              <w:pStyle w:val="TableContents"/>
              <w:bidi w:val="0"/>
              <w:spacing w:before="0" w:after="283"/>
              <w:jc w:val="left"/>
            </w:pPr>
            <w:r>
              <w:t> </w:t>
            </w:r>
          </w:p>
        </w:tc>
      </w:tr>
      <w:t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21,412</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14" w:type="dxa"/>
            <w:tcBorders/>
            <w:shd w:fill="CCEEFF" w:val="clear"/>
            <w:vAlign w:val="bottom"/>
          </w:tcPr>
          <w:p>
            <w:pPr>
              <w:pStyle w:val="TableContents"/>
              <w:bidi w:val="0"/>
              <w:spacing w:before="0" w:after="283"/>
              <w:jc w:val="left"/>
            </w:pPr>
            <w:r>
              <w:t> </w:t>
            </w:r>
          </w:p>
        </w:tc>
        <w:tc>
          <w:tcPr>
            <w:tcW w:w="1156" w:type="dxa"/>
            <w:tcBorders/>
            <w:shd w:fill="CCEEFF" w:val="clear"/>
            <w:vAlign w:val="bottom"/>
          </w:tcPr>
          <w:p>
            <w:pPr>
              <w:pStyle w:val="TableContents"/>
              <w:bidi w:val="0"/>
              <w:spacing w:before="0" w:after="283"/>
              <w:jc w:val="right"/>
            </w:pPr>
            <w:r>
              <w:t>(21,412</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 </w:t>
            </w:r>
          </w:p>
        </w:tc>
        <w:tc>
          <w:tcPr>
            <w:tcW w:w="1039"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r>
      <w:t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25,346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83" w:type="dxa"/>
            <w:tcBorders/>
            <w:vAlign w:val="bottom"/>
          </w:tcPr>
          <w:p>
            <w:pPr>
              <w:pStyle w:val="TableContents"/>
              <w:bidi w:val="0"/>
              <w:spacing w:before="0" w:after="283"/>
              <w:jc w:val="left"/>
              <w:rPr>
                <w:sz w:val="4"/>
                <w:szCs w:val="4"/>
              </w:rPr>
            </w:pPr>
            <w:r>
              <w:rPr>
                <w:sz w:val="4"/>
                <w:szCs w:val="4"/>
              </w:rPr>
            </w:r>
          </w:p>
        </w:tc>
        <w:tc>
          <w:tcPr>
            <w:tcW w:w="9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pPr>
            <w:r>
              <w:t> </w:t>
            </w:r>
          </w:p>
        </w:tc>
        <w:tc>
          <w:tcPr>
            <w:tcW w:w="1219" w:type="dxa"/>
            <w:tcBorders/>
            <w:vAlign w:val="bottom"/>
          </w:tcPr>
          <w:p>
            <w:pPr>
              <w:pStyle w:val="TableContents"/>
              <w:bidi w:val="0"/>
              <w:spacing w:before="0" w:after="283"/>
              <w:jc w:val="right"/>
            </w:pPr>
            <w:r>
              <w:t>(25,346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039"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r>
      <w:t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pBdr>
                <w:top w:val="single" w:sz="2" w:space="1" w:color="000000"/>
              </w:pBdr>
              <w:bidi w:val="0"/>
              <w:spacing w:before="0" w:after="0"/>
              <w:jc w:val="left"/>
            </w:pPr>
            <w:r>
              <w:t> </w:t>
            </w:r>
          </w:p>
        </w:tc>
        <w:tc>
          <w:tcPr>
            <w:tcW w:w="115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1" w:type="dxa"/>
            <w:tcBorders/>
            <w:vAlign w:val="bottom"/>
          </w:tcPr>
          <w:p>
            <w:pPr>
              <w:pStyle w:val="TableContents"/>
              <w:pBdr>
                <w:top w:val="single" w:sz="2" w:space="1" w:color="000000"/>
              </w:pBdr>
              <w:bidi w:val="0"/>
              <w:spacing w:before="0" w:after="0"/>
              <w:jc w:val="left"/>
            </w:pPr>
            <w:r>
              <w:t> </w:t>
            </w:r>
          </w:p>
        </w:tc>
        <w:tc>
          <w:tcPr>
            <w:tcW w:w="1194"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83" w:type="dxa"/>
            <w:tcBorders/>
            <w:vAlign w:val="bottom"/>
          </w:tcPr>
          <w:p>
            <w:pPr>
              <w:pStyle w:val="TableContents"/>
              <w:pBdr>
                <w:top w:val="single" w:sz="2" w:space="1" w:color="000000"/>
              </w:pBdr>
              <w:bidi w:val="0"/>
              <w:spacing w:before="0" w:after="0"/>
              <w:jc w:val="left"/>
            </w:pPr>
            <w:r>
              <w:t> </w:t>
            </w:r>
          </w:p>
        </w:tc>
        <w:tc>
          <w:tcPr>
            <w:tcW w:w="9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pBdr>
                <w:top w:val="single" w:sz="2" w:space="1" w:color="000000"/>
              </w:pBdr>
              <w:bidi w:val="0"/>
              <w:spacing w:before="0" w:after="0"/>
              <w:jc w:val="left"/>
            </w:pPr>
            <w:r>
              <w:t> </w:t>
            </w:r>
          </w:p>
        </w:tc>
        <w:tc>
          <w:tcPr>
            <w:tcW w:w="121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56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3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pBdr>
                <w:top w:val="single" w:sz="2" w:space="1" w:color="000000"/>
              </w:pBdr>
              <w:bidi w:val="0"/>
              <w:spacing w:before="0" w:after="0"/>
              <w:jc w:val="left"/>
            </w:pPr>
            <w:r>
              <w:t> </w:t>
            </w:r>
          </w:p>
        </w:tc>
        <w:tc>
          <w:tcPr>
            <w:tcW w:w="103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1,004,900</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14" w:type="dxa"/>
            <w:tcBorders/>
            <w:shd w:fill="CCEEFF" w:val="clear"/>
            <w:vAlign w:val="bottom"/>
          </w:tcPr>
          <w:p>
            <w:pPr>
              <w:pStyle w:val="TableContents"/>
              <w:bidi w:val="0"/>
              <w:spacing w:before="0" w:after="283"/>
              <w:jc w:val="left"/>
            </w:pPr>
            <w:r>
              <w:t> </w:t>
            </w:r>
          </w:p>
        </w:tc>
        <w:tc>
          <w:tcPr>
            <w:tcW w:w="1156" w:type="dxa"/>
            <w:tcBorders/>
            <w:shd w:fill="CCEEFF" w:val="clear"/>
            <w:vAlign w:val="bottom"/>
          </w:tcPr>
          <w:p>
            <w:pPr>
              <w:pStyle w:val="TableContents"/>
              <w:bidi w:val="0"/>
              <w:spacing w:before="0" w:after="283"/>
              <w:jc w:val="right"/>
            </w:pPr>
            <w:r>
              <w:t>(21,412</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pPr>
            <w:r>
              <w:t> </w:t>
            </w:r>
          </w:p>
        </w:tc>
        <w:tc>
          <w:tcPr>
            <w:tcW w:w="1194" w:type="dxa"/>
            <w:tcBorders/>
            <w:shd w:fill="CCEEFF" w:val="clear"/>
            <w:vAlign w:val="bottom"/>
          </w:tcPr>
          <w:p>
            <w:pPr>
              <w:pStyle w:val="TableContents"/>
              <w:bidi w:val="0"/>
              <w:spacing w:before="0" w:after="283"/>
              <w:jc w:val="right"/>
            </w:pPr>
            <w:r>
              <w:t>(21,371</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83" w:type="dxa"/>
            <w:tcBorders/>
            <w:shd w:fill="CCEEFF" w:val="clear"/>
            <w:vAlign w:val="bottom"/>
          </w:tcPr>
          <w:p>
            <w:pPr>
              <w:pStyle w:val="TableContents"/>
              <w:bidi w:val="0"/>
              <w:spacing w:before="0" w:after="283"/>
              <w:jc w:val="left"/>
            </w:pPr>
            <w:r>
              <w:t> </w:t>
            </w:r>
          </w:p>
        </w:tc>
        <w:tc>
          <w:tcPr>
            <w:tcW w:w="922" w:type="dxa"/>
            <w:tcBorders/>
            <w:shd w:fill="CCEEFF" w:val="clear"/>
            <w:vAlign w:val="bottom"/>
          </w:tcPr>
          <w:p>
            <w:pPr>
              <w:pStyle w:val="TableContents"/>
              <w:bidi w:val="0"/>
              <w:spacing w:before="0" w:after="283"/>
              <w:jc w:val="right"/>
            </w:pPr>
            <w:r>
              <w:t>(270</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pPr>
            <w:r>
              <w:t> </w:t>
            </w:r>
          </w:p>
        </w:tc>
        <w:tc>
          <w:tcPr>
            <w:tcW w:w="1219" w:type="dxa"/>
            <w:tcBorders/>
            <w:shd w:fill="CCEEFF" w:val="clear"/>
            <w:vAlign w:val="bottom"/>
          </w:tcPr>
          <w:p>
            <w:pPr>
              <w:pStyle w:val="TableContents"/>
              <w:bidi w:val="0"/>
              <w:spacing w:before="0" w:after="283"/>
              <w:jc w:val="right"/>
            </w:pPr>
            <w:r>
              <w:t>(25,346</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56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3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 </w:t>
            </w:r>
          </w:p>
        </w:tc>
        <w:tc>
          <w:tcPr>
            <w:tcW w:w="1039" w:type="dxa"/>
            <w:tcBorders/>
            <w:shd w:fill="CCEEFF" w:val="clear"/>
            <w:vAlign w:val="bottom"/>
          </w:tcPr>
          <w:p>
            <w:pPr>
              <w:pStyle w:val="TableContents"/>
              <w:bidi w:val="0"/>
              <w:spacing w:before="0" w:after="283"/>
              <w:jc w:val="right"/>
            </w:pPr>
            <w:r>
              <w:t>936,501</w:t>
            </w:r>
          </w:p>
        </w:tc>
        <w:tc>
          <w:tcPr>
            <w:tcW w:w="155" w:type="dxa"/>
            <w:tcBorders/>
            <w:shd w:fill="CCEEFF" w:val="clear"/>
            <w:vAlign w:val="bottom"/>
          </w:tcPr>
          <w:p>
            <w:pPr>
              <w:pStyle w:val="TableContents"/>
              <w:bidi w:val="0"/>
              <w:spacing w:before="0" w:after="283"/>
              <w:jc w:val="left"/>
            </w:pPr>
            <w:r>
              <w:t> </w:t>
            </w:r>
          </w:p>
        </w:tc>
      </w:tr>
      <w:t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pBdr>
                <w:top w:val="single" w:sz="2" w:space="1" w:color="000000"/>
              </w:pBdr>
              <w:bidi w:val="0"/>
              <w:spacing w:before="0" w:after="0"/>
              <w:jc w:val="left"/>
            </w:pPr>
            <w:r>
              <w:t> </w:t>
            </w:r>
          </w:p>
        </w:tc>
        <w:tc>
          <w:tcPr>
            <w:tcW w:w="115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1" w:type="dxa"/>
            <w:tcBorders/>
            <w:vAlign w:val="bottom"/>
          </w:tcPr>
          <w:p>
            <w:pPr>
              <w:pStyle w:val="TableContents"/>
              <w:pBdr>
                <w:top w:val="single" w:sz="2" w:space="1" w:color="000000"/>
              </w:pBdr>
              <w:bidi w:val="0"/>
              <w:spacing w:before="0" w:after="0"/>
              <w:jc w:val="left"/>
            </w:pPr>
            <w:r>
              <w:t> </w:t>
            </w:r>
          </w:p>
        </w:tc>
        <w:tc>
          <w:tcPr>
            <w:tcW w:w="1194"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83" w:type="dxa"/>
            <w:tcBorders/>
            <w:vAlign w:val="bottom"/>
          </w:tcPr>
          <w:p>
            <w:pPr>
              <w:pStyle w:val="TableContents"/>
              <w:pBdr>
                <w:top w:val="single" w:sz="2" w:space="1" w:color="000000"/>
              </w:pBdr>
              <w:bidi w:val="0"/>
              <w:spacing w:before="0" w:after="0"/>
              <w:jc w:val="left"/>
            </w:pPr>
            <w:r>
              <w:t> </w:t>
            </w:r>
          </w:p>
        </w:tc>
        <w:tc>
          <w:tcPr>
            <w:tcW w:w="9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pBdr>
                <w:top w:val="single" w:sz="2" w:space="1" w:color="000000"/>
              </w:pBdr>
              <w:bidi w:val="0"/>
              <w:spacing w:before="0" w:after="0"/>
              <w:jc w:val="left"/>
            </w:pPr>
            <w:r>
              <w:t> </w:t>
            </w:r>
          </w:p>
        </w:tc>
        <w:tc>
          <w:tcPr>
            <w:tcW w:w="121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56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3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pBdr>
                <w:top w:val="single" w:sz="2" w:space="1" w:color="000000"/>
              </w:pBdr>
              <w:bidi w:val="0"/>
              <w:spacing w:before="0" w:after="0"/>
              <w:jc w:val="left"/>
            </w:pPr>
            <w:r>
              <w:t> </w:t>
            </w:r>
          </w:p>
        </w:tc>
        <w:tc>
          <w:tcPr>
            <w:tcW w:w="103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188,869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bidi w:val="0"/>
              <w:spacing w:before="0" w:after="283"/>
              <w:jc w:val="left"/>
            </w:pPr>
            <w:r>
              <w:t> </w:t>
            </w:r>
          </w:p>
        </w:tc>
        <w:tc>
          <w:tcPr>
            <w:tcW w:w="1156" w:type="dxa"/>
            <w:tcBorders/>
            <w:vAlign w:val="bottom"/>
          </w:tcPr>
          <w:p>
            <w:pPr>
              <w:pStyle w:val="TableContents"/>
              <w:bidi w:val="0"/>
              <w:spacing w:before="0" w:after="283"/>
              <w:jc w:val="right"/>
            </w:pPr>
            <w:r>
              <w:t>21,412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pPr>
            <w:r>
              <w:t> </w:t>
            </w:r>
          </w:p>
        </w:tc>
        <w:tc>
          <w:tcPr>
            <w:tcW w:w="1194" w:type="dxa"/>
            <w:tcBorders/>
            <w:vAlign w:val="bottom"/>
          </w:tcPr>
          <w:p>
            <w:pPr>
              <w:pStyle w:val="TableContents"/>
              <w:bidi w:val="0"/>
              <w:spacing w:before="0" w:after="283"/>
              <w:jc w:val="right"/>
            </w:pPr>
            <w:r>
              <w:t>21,371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83" w:type="dxa"/>
            <w:tcBorders/>
            <w:vAlign w:val="bottom"/>
          </w:tcPr>
          <w:p>
            <w:pPr>
              <w:pStyle w:val="TableContents"/>
              <w:bidi w:val="0"/>
              <w:spacing w:before="0" w:after="283"/>
              <w:jc w:val="left"/>
            </w:pPr>
            <w:r>
              <w:t> </w:t>
            </w:r>
          </w:p>
        </w:tc>
        <w:tc>
          <w:tcPr>
            <w:tcW w:w="922" w:type="dxa"/>
            <w:tcBorders/>
            <w:vAlign w:val="bottom"/>
          </w:tcPr>
          <w:p>
            <w:pPr>
              <w:pStyle w:val="TableContents"/>
              <w:bidi w:val="0"/>
              <w:spacing w:before="0" w:after="283"/>
              <w:jc w:val="right"/>
            </w:pPr>
            <w:r>
              <w:t>270</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pPr>
            <w:r>
              <w:t> </w:t>
            </w:r>
          </w:p>
        </w:tc>
        <w:tc>
          <w:tcPr>
            <w:tcW w:w="1219" w:type="dxa"/>
            <w:tcBorders/>
            <w:vAlign w:val="bottom"/>
          </w:tcPr>
          <w:p>
            <w:pPr>
              <w:pStyle w:val="TableContents"/>
              <w:bidi w:val="0"/>
              <w:spacing w:before="0" w:after="283"/>
              <w:jc w:val="right"/>
            </w:pPr>
            <w:r>
              <w:t>25,346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039" w:type="dxa"/>
            <w:tcBorders/>
            <w:vAlign w:val="bottom"/>
          </w:tcPr>
          <w:p>
            <w:pPr>
              <w:pStyle w:val="TableContents"/>
              <w:bidi w:val="0"/>
              <w:spacing w:before="0" w:after="283"/>
              <w:jc w:val="right"/>
            </w:pPr>
            <w:r>
              <w:t>257,268</w:t>
            </w:r>
          </w:p>
        </w:tc>
        <w:tc>
          <w:tcPr>
            <w:tcW w:w="155" w:type="dxa"/>
            <w:tcBorders/>
            <w:vAlign w:val="bottom"/>
          </w:tcPr>
          <w:p>
            <w:pPr>
              <w:pStyle w:val="TableContents"/>
              <w:bidi w:val="0"/>
              <w:spacing w:before="0" w:after="283"/>
              <w:jc w:val="left"/>
            </w:pPr>
            <w:r>
              <w:t> </w:t>
            </w:r>
          </w:p>
        </w:tc>
      </w:tr>
      <w:t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(15,867</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560" w:type="dxa"/>
            <w:tcBorders/>
            <w:shd w:fill="CCEEFF" w:val="clear"/>
            <w:vAlign w:val="bottom"/>
          </w:tcPr>
          <w:p>
            <w:pPr>
              <w:pStyle w:val="TableContents"/>
              <w:bidi w:val="0"/>
              <w:spacing w:before="0" w:after="283"/>
              <w:jc w:val="right"/>
            </w:pPr>
            <w:r>
              <w:t>2,106</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 </w:t>
            </w:r>
          </w:p>
        </w:tc>
        <w:tc>
          <w:tcPr>
            <w:tcW w:w="1039" w:type="dxa"/>
            <w:tcBorders/>
            <w:shd w:fill="CCEEFF" w:val="clear"/>
            <w:vAlign w:val="bottom"/>
          </w:tcPr>
          <w:p>
            <w:pPr>
              <w:pStyle w:val="TableContents"/>
              <w:bidi w:val="0"/>
              <w:spacing w:before="0" w:after="283"/>
              <w:jc w:val="right"/>
            </w:pPr>
            <w:r>
              <w:t>(13,761</w:t>
            </w:r>
          </w:p>
        </w:tc>
        <w:tc>
          <w:tcPr>
            <w:tcW w:w="155" w:type="dxa"/>
            <w:tcBorders/>
            <w:shd w:fill="CCEEFF" w:val="clear"/>
            <w:vAlign w:val="bottom"/>
          </w:tcPr>
          <w:p>
            <w:pPr>
              <w:pStyle w:val="TableContents"/>
              <w:bidi w:val="0"/>
              <w:spacing w:before="0" w:after="283"/>
              <w:jc w:val="left"/>
            </w:pPr>
            <w:r>
              <w:t>) </w:t>
            </w:r>
          </w:p>
        </w:tc>
      </w:tr>
      <w:t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32,179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83" w:type="dxa"/>
            <w:tcBorders/>
            <w:vAlign w:val="bottom"/>
          </w:tcPr>
          <w:p>
            <w:pPr>
              <w:pStyle w:val="TableContents"/>
              <w:bidi w:val="0"/>
              <w:spacing w:before="0" w:after="283"/>
              <w:jc w:val="left"/>
              <w:rPr>
                <w:sz w:val="4"/>
                <w:szCs w:val="4"/>
              </w:rPr>
            </w:pPr>
            <w:r>
              <w:rPr>
                <w:sz w:val="4"/>
                <w:szCs w:val="4"/>
              </w:rPr>
            </w:r>
          </w:p>
        </w:tc>
        <w:tc>
          <w:tcPr>
            <w:tcW w:w="9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35" w:type="dxa"/>
            <w:tcBorders/>
            <w:vAlign w:val="bottom"/>
          </w:tcPr>
          <w:p>
            <w:pPr>
              <w:pStyle w:val="TableContents"/>
              <w:bidi w:val="0"/>
              <w:spacing w:before="0" w:after="283"/>
              <w:jc w:val="right"/>
            </w:pPr>
            <w:r>
              <w:t>5,231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039" w:type="dxa"/>
            <w:tcBorders/>
            <w:vAlign w:val="bottom"/>
          </w:tcPr>
          <w:p>
            <w:pPr>
              <w:pStyle w:val="TableContents"/>
              <w:bidi w:val="0"/>
              <w:spacing w:before="0" w:after="283"/>
              <w:jc w:val="right"/>
            </w:pPr>
            <w:r>
              <w:t>37,410</w:t>
            </w:r>
          </w:p>
        </w:tc>
        <w:tc>
          <w:tcPr>
            <w:tcW w:w="155" w:type="dxa"/>
            <w:tcBorders/>
            <w:vAlign w:val="bottom"/>
          </w:tcPr>
          <w:p>
            <w:pPr>
              <w:pStyle w:val="TableContents"/>
              <w:bidi w:val="0"/>
              <w:spacing w:before="0" w:after="283"/>
              <w:jc w:val="left"/>
            </w:pPr>
            <w:r>
              <w:t> </w:t>
            </w:r>
          </w:p>
        </w:tc>
      </w:tr>
      <w:t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pBdr>
                <w:top w:val="single" w:sz="2" w:space="1" w:color="000000"/>
              </w:pBdr>
              <w:bidi w:val="0"/>
              <w:spacing w:before="0" w:after="0"/>
              <w:jc w:val="left"/>
            </w:pPr>
            <w:r>
              <w:t> </w:t>
            </w:r>
          </w:p>
        </w:tc>
        <w:tc>
          <w:tcPr>
            <w:tcW w:w="115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1" w:type="dxa"/>
            <w:tcBorders/>
            <w:vAlign w:val="bottom"/>
          </w:tcPr>
          <w:p>
            <w:pPr>
              <w:pStyle w:val="TableContents"/>
              <w:pBdr>
                <w:top w:val="single" w:sz="2" w:space="1" w:color="000000"/>
              </w:pBdr>
              <w:bidi w:val="0"/>
              <w:spacing w:before="0" w:after="0"/>
              <w:jc w:val="left"/>
            </w:pPr>
            <w:r>
              <w:t> </w:t>
            </w:r>
          </w:p>
        </w:tc>
        <w:tc>
          <w:tcPr>
            <w:tcW w:w="1194"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83" w:type="dxa"/>
            <w:tcBorders/>
            <w:vAlign w:val="bottom"/>
          </w:tcPr>
          <w:p>
            <w:pPr>
              <w:pStyle w:val="TableContents"/>
              <w:pBdr>
                <w:top w:val="single" w:sz="2" w:space="1" w:color="000000"/>
              </w:pBdr>
              <w:bidi w:val="0"/>
              <w:spacing w:before="0" w:after="0"/>
              <w:jc w:val="left"/>
            </w:pPr>
            <w:r>
              <w:t> </w:t>
            </w:r>
          </w:p>
        </w:tc>
        <w:tc>
          <w:tcPr>
            <w:tcW w:w="9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pBdr>
                <w:top w:val="single" w:sz="2" w:space="1" w:color="000000"/>
              </w:pBdr>
              <w:bidi w:val="0"/>
              <w:spacing w:before="0" w:after="0"/>
              <w:jc w:val="left"/>
            </w:pPr>
            <w:r>
              <w:t> </w:t>
            </w:r>
          </w:p>
        </w:tc>
        <w:tc>
          <w:tcPr>
            <w:tcW w:w="121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56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3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pBdr>
                <w:top w:val="single" w:sz="2" w:space="1" w:color="000000"/>
              </w:pBdr>
              <w:bidi w:val="0"/>
              <w:spacing w:before="0" w:after="0"/>
              <w:jc w:val="left"/>
            </w:pPr>
            <w:r>
              <w:t> </w:t>
            </w:r>
          </w:p>
        </w:tc>
        <w:tc>
          <w:tcPr>
            <w:tcW w:w="103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140,823</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14" w:type="dxa"/>
            <w:tcBorders/>
            <w:shd w:fill="CCEEFF" w:val="clear"/>
            <w:vAlign w:val="bottom"/>
          </w:tcPr>
          <w:p>
            <w:pPr>
              <w:pStyle w:val="TableContents"/>
              <w:bidi w:val="0"/>
              <w:spacing w:before="0" w:after="283"/>
              <w:jc w:val="left"/>
            </w:pPr>
            <w:r>
              <w:t> </w:t>
            </w:r>
          </w:p>
        </w:tc>
        <w:tc>
          <w:tcPr>
            <w:tcW w:w="1156" w:type="dxa"/>
            <w:tcBorders/>
            <w:shd w:fill="CCEEFF" w:val="clear"/>
            <w:vAlign w:val="bottom"/>
          </w:tcPr>
          <w:p>
            <w:pPr>
              <w:pStyle w:val="TableContents"/>
              <w:bidi w:val="0"/>
              <w:spacing w:before="0" w:after="283"/>
              <w:jc w:val="right"/>
            </w:pPr>
            <w:r>
              <w:t>21,412</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pPr>
            <w:r>
              <w:t> </w:t>
            </w:r>
          </w:p>
        </w:tc>
        <w:tc>
          <w:tcPr>
            <w:tcW w:w="1194" w:type="dxa"/>
            <w:tcBorders/>
            <w:shd w:fill="CCEEFF" w:val="clear"/>
            <w:vAlign w:val="bottom"/>
          </w:tcPr>
          <w:p>
            <w:pPr>
              <w:pStyle w:val="TableContents"/>
              <w:bidi w:val="0"/>
              <w:spacing w:before="0" w:after="283"/>
              <w:jc w:val="right"/>
            </w:pPr>
            <w:r>
              <w:t>21,371</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83" w:type="dxa"/>
            <w:tcBorders/>
            <w:shd w:fill="CCEEFF" w:val="clear"/>
            <w:vAlign w:val="bottom"/>
          </w:tcPr>
          <w:p>
            <w:pPr>
              <w:pStyle w:val="TableContents"/>
              <w:bidi w:val="0"/>
              <w:spacing w:before="0" w:after="283"/>
              <w:jc w:val="left"/>
            </w:pPr>
            <w:r>
              <w:t> </w:t>
            </w:r>
          </w:p>
        </w:tc>
        <w:tc>
          <w:tcPr>
            <w:tcW w:w="922" w:type="dxa"/>
            <w:tcBorders/>
            <w:shd w:fill="CCEEFF" w:val="clear"/>
            <w:vAlign w:val="bottom"/>
          </w:tcPr>
          <w:p>
            <w:pPr>
              <w:pStyle w:val="TableContents"/>
              <w:bidi w:val="0"/>
              <w:spacing w:before="0" w:after="283"/>
              <w:jc w:val="right"/>
            </w:pPr>
            <w:r>
              <w:t>270</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pPr>
            <w:r>
              <w:t> </w:t>
            </w:r>
          </w:p>
        </w:tc>
        <w:tc>
          <w:tcPr>
            <w:tcW w:w="1219" w:type="dxa"/>
            <w:tcBorders/>
            <w:shd w:fill="CCEEFF" w:val="clear"/>
            <w:vAlign w:val="bottom"/>
          </w:tcPr>
          <w:p>
            <w:pPr>
              <w:pStyle w:val="TableContents"/>
              <w:bidi w:val="0"/>
              <w:spacing w:before="0" w:after="283"/>
              <w:jc w:val="right"/>
            </w:pPr>
            <w:r>
              <w:t>25,346</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560" w:type="dxa"/>
            <w:tcBorders/>
            <w:shd w:fill="CCEEFF" w:val="clear"/>
            <w:vAlign w:val="bottom"/>
          </w:tcPr>
          <w:p>
            <w:pPr>
              <w:pStyle w:val="TableContents"/>
              <w:bidi w:val="0"/>
              <w:spacing w:before="0" w:after="283"/>
              <w:jc w:val="right"/>
            </w:pPr>
            <w:r>
              <w:t>2,106</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35" w:type="dxa"/>
            <w:tcBorders/>
            <w:shd w:fill="CCEEFF" w:val="clear"/>
            <w:vAlign w:val="bottom"/>
          </w:tcPr>
          <w:p>
            <w:pPr>
              <w:pStyle w:val="TableContents"/>
              <w:bidi w:val="0"/>
              <w:spacing w:before="0" w:after="283"/>
              <w:jc w:val="right"/>
            </w:pPr>
            <w:r>
              <w:t>(5,231</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 </w:t>
            </w:r>
          </w:p>
        </w:tc>
        <w:tc>
          <w:tcPr>
            <w:tcW w:w="1039" w:type="dxa"/>
            <w:tcBorders/>
            <w:shd w:fill="CCEEFF" w:val="clear"/>
            <w:vAlign w:val="bottom"/>
          </w:tcPr>
          <w:p>
            <w:pPr>
              <w:pStyle w:val="TableContents"/>
              <w:bidi w:val="0"/>
              <w:spacing w:before="0" w:after="283"/>
              <w:jc w:val="right"/>
            </w:pPr>
            <w:r>
              <w:t>206,097</w:t>
            </w:r>
          </w:p>
        </w:tc>
        <w:tc>
          <w:tcPr>
            <w:tcW w:w="155" w:type="dxa"/>
            <w:tcBorders/>
            <w:shd w:fill="CCEEFF" w:val="clear"/>
            <w:vAlign w:val="bottom"/>
          </w:tcPr>
          <w:p>
            <w:pPr>
              <w:pStyle w:val="TableContents"/>
              <w:bidi w:val="0"/>
              <w:spacing w:before="0" w:after="283"/>
              <w:jc w:val="left"/>
            </w:pPr>
            <w:r>
              <w:t> </w:t>
            </w:r>
          </w:p>
        </w:tc>
      </w:tr>
      <w:t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pBdr>
                <w:top w:val="single" w:sz="2" w:space="1" w:color="000000"/>
              </w:pBdr>
              <w:bidi w:val="0"/>
              <w:spacing w:before="0" w:after="0"/>
              <w:jc w:val="left"/>
            </w:pPr>
            <w:r>
              <w:t> </w:t>
            </w:r>
          </w:p>
        </w:tc>
        <w:tc>
          <w:tcPr>
            <w:tcW w:w="115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1" w:type="dxa"/>
            <w:tcBorders/>
            <w:vAlign w:val="bottom"/>
          </w:tcPr>
          <w:p>
            <w:pPr>
              <w:pStyle w:val="TableContents"/>
              <w:pBdr>
                <w:top w:val="single" w:sz="2" w:space="1" w:color="000000"/>
              </w:pBdr>
              <w:bidi w:val="0"/>
              <w:spacing w:before="0" w:after="0"/>
              <w:jc w:val="left"/>
            </w:pPr>
            <w:r>
              <w:t> </w:t>
            </w:r>
          </w:p>
        </w:tc>
        <w:tc>
          <w:tcPr>
            <w:tcW w:w="1194"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83" w:type="dxa"/>
            <w:tcBorders/>
            <w:vAlign w:val="bottom"/>
          </w:tcPr>
          <w:p>
            <w:pPr>
              <w:pStyle w:val="TableContents"/>
              <w:pBdr>
                <w:top w:val="single" w:sz="2" w:space="1" w:color="000000"/>
              </w:pBdr>
              <w:bidi w:val="0"/>
              <w:spacing w:before="0" w:after="0"/>
              <w:jc w:val="left"/>
            </w:pPr>
            <w:r>
              <w:t> </w:t>
            </w:r>
          </w:p>
        </w:tc>
        <w:tc>
          <w:tcPr>
            <w:tcW w:w="9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pBdr>
                <w:top w:val="single" w:sz="2" w:space="1" w:color="000000"/>
              </w:pBdr>
              <w:bidi w:val="0"/>
              <w:spacing w:before="0" w:after="0"/>
              <w:jc w:val="left"/>
            </w:pPr>
            <w:r>
              <w:t> </w:t>
            </w:r>
          </w:p>
        </w:tc>
        <w:tc>
          <w:tcPr>
            <w:tcW w:w="121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56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3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pBdr>
                <w:top w:val="single" w:sz="2" w:space="1" w:color="000000"/>
              </w:pBdr>
              <w:bidi w:val="0"/>
              <w:spacing w:before="0" w:after="0"/>
              <w:jc w:val="left"/>
            </w:pPr>
            <w:r>
              <w:t> </w:t>
            </w:r>
          </w:p>
        </w:tc>
        <w:tc>
          <w:tcPr>
            <w:tcW w:w="103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952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83" w:type="dxa"/>
            <w:tcBorders/>
            <w:vAlign w:val="bottom"/>
          </w:tcPr>
          <w:p>
            <w:pPr>
              <w:pStyle w:val="TableContents"/>
              <w:bidi w:val="0"/>
              <w:spacing w:before="0" w:after="283"/>
              <w:jc w:val="left"/>
              <w:rPr>
                <w:sz w:val="4"/>
                <w:szCs w:val="4"/>
              </w:rPr>
            </w:pPr>
            <w:r>
              <w:rPr>
                <w:sz w:val="4"/>
                <w:szCs w:val="4"/>
              </w:rPr>
            </w:r>
          </w:p>
        </w:tc>
        <w:tc>
          <w:tcPr>
            <w:tcW w:w="9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039" w:type="dxa"/>
            <w:tcBorders/>
            <w:vAlign w:val="bottom"/>
          </w:tcPr>
          <w:p>
            <w:pPr>
              <w:pStyle w:val="TableContents"/>
              <w:bidi w:val="0"/>
              <w:spacing w:before="0" w:after="283"/>
              <w:jc w:val="right"/>
            </w:pPr>
            <w:r>
              <w:t>952</w:t>
            </w:r>
          </w:p>
        </w:tc>
        <w:tc>
          <w:tcPr>
            <w:tcW w:w="155" w:type="dxa"/>
            <w:tcBorders/>
            <w:vAlign w:val="bottom"/>
          </w:tcPr>
          <w:p>
            <w:pPr>
              <w:pStyle w:val="TableContents"/>
              <w:bidi w:val="0"/>
              <w:spacing w:before="0" w:after="283"/>
              <w:jc w:val="left"/>
            </w:pPr>
            <w:r>
              <w:t> </w:t>
            </w:r>
          </w:p>
        </w:tc>
      </w:tr>
      <w:t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pBdr>
                <w:top w:val="single" w:sz="2" w:space="1" w:color="000000"/>
              </w:pBdr>
              <w:bidi w:val="0"/>
              <w:spacing w:before="0" w:after="0"/>
              <w:jc w:val="left"/>
            </w:pPr>
            <w:r>
              <w:t> </w:t>
            </w:r>
          </w:p>
        </w:tc>
        <w:tc>
          <w:tcPr>
            <w:tcW w:w="115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1" w:type="dxa"/>
            <w:tcBorders/>
            <w:vAlign w:val="bottom"/>
          </w:tcPr>
          <w:p>
            <w:pPr>
              <w:pStyle w:val="TableContents"/>
              <w:pBdr>
                <w:top w:val="single" w:sz="2" w:space="1" w:color="000000"/>
              </w:pBdr>
              <w:bidi w:val="0"/>
              <w:spacing w:before="0" w:after="0"/>
              <w:jc w:val="left"/>
            </w:pPr>
            <w:r>
              <w:t> </w:t>
            </w:r>
          </w:p>
        </w:tc>
        <w:tc>
          <w:tcPr>
            <w:tcW w:w="1194"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83" w:type="dxa"/>
            <w:tcBorders/>
            <w:vAlign w:val="bottom"/>
          </w:tcPr>
          <w:p>
            <w:pPr>
              <w:pStyle w:val="TableContents"/>
              <w:pBdr>
                <w:top w:val="single" w:sz="2" w:space="1" w:color="000000"/>
              </w:pBdr>
              <w:bidi w:val="0"/>
              <w:spacing w:before="0" w:after="0"/>
              <w:jc w:val="left"/>
            </w:pPr>
            <w:r>
              <w:t> </w:t>
            </w:r>
          </w:p>
        </w:tc>
        <w:tc>
          <w:tcPr>
            <w:tcW w:w="9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pBdr>
                <w:top w:val="single" w:sz="2" w:space="1" w:color="000000"/>
              </w:pBdr>
              <w:bidi w:val="0"/>
              <w:spacing w:before="0" w:after="0"/>
              <w:jc w:val="left"/>
            </w:pPr>
            <w:r>
              <w:t> </w:t>
            </w:r>
          </w:p>
        </w:tc>
        <w:tc>
          <w:tcPr>
            <w:tcW w:w="121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56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3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pBdr>
                <w:top w:val="single" w:sz="2" w:space="1" w:color="000000"/>
              </w:pBdr>
              <w:bidi w:val="0"/>
              <w:spacing w:before="0" w:after="0"/>
              <w:jc w:val="left"/>
            </w:pPr>
            <w:r>
              <w:t> </w:t>
            </w:r>
          </w:p>
        </w:tc>
        <w:tc>
          <w:tcPr>
            <w:tcW w:w="103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0" w:type="dxa"/>
            <w:tcBorders/>
            <w:shd w:fill="CCEEFF" w:val="clear"/>
            <w:vAlign w:val="bottom"/>
          </w:tcPr>
          <w:p>
            <w:pPr>
              <w:pStyle w:val="TableContents"/>
              <w:bidi w:val="0"/>
              <w:spacing w:before="0" w:after="283"/>
              <w:jc w:val="right"/>
            </w:pPr>
            <w:r>
              <w:t>139,871</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14" w:type="dxa"/>
            <w:tcBorders/>
            <w:shd w:fill="CCEEFF" w:val="clear"/>
            <w:vAlign w:val="bottom"/>
          </w:tcPr>
          <w:p>
            <w:pPr>
              <w:pStyle w:val="TableContents"/>
              <w:bidi w:val="0"/>
              <w:spacing w:before="0" w:after="283"/>
              <w:jc w:val="left"/>
            </w:pPr>
            <w:r>
              <w:t>$</w:t>
            </w:r>
          </w:p>
        </w:tc>
        <w:tc>
          <w:tcPr>
            <w:tcW w:w="1156" w:type="dxa"/>
            <w:tcBorders/>
            <w:shd w:fill="CCEEFF" w:val="clear"/>
            <w:vAlign w:val="bottom"/>
          </w:tcPr>
          <w:p>
            <w:pPr>
              <w:pStyle w:val="TableContents"/>
              <w:bidi w:val="0"/>
              <w:spacing w:before="0" w:after="283"/>
              <w:jc w:val="right"/>
            </w:pPr>
            <w:r>
              <w:t>21,412</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pPr>
            <w:r>
              <w:t>$</w:t>
            </w:r>
          </w:p>
        </w:tc>
        <w:tc>
          <w:tcPr>
            <w:tcW w:w="1194" w:type="dxa"/>
            <w:tcBorders/>
            <w:shd w:fill="CCEEFF" w:val="clear"/>
            <w:vAlign w:val="bottom"/>
          </w:tcPr>
          <w:p>
            <w:pPr>
              <w:pStyle w:val="TableContents"/>
              <w:bidi w:val="0"/>
              <w:spacing w:before="0" w:after="283"/>
              <w:jc w:val="right"/>
            </w:pPr>
            <w:r>
              <w:t>21,371</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83" w:type="dxa"/>
            <w:tcBorders/>
            <w:shd w:fill="CCEEFF" w:val="clear"/>
            <w:vAlign w:val="bottom"/>
          </w:tcPr>
          <w:p>
            <w:pPr>
              <w:pStyle w:val="TableContents"/>
              <w:bidi w:val="0"/>
              <w:spacing w:before="0" w:after="283"/>
              <w:jc w:val="left"/>
            </w:pPr>
            <w:r>
              <w:t>$</w:t>
            </w:r>
          </w:p>
        </w:tc>
        <w:tc>
          <w:tcPr>
            <w:tcW w:w="922" w:type="dxa"/>
            <w:tcBorders/>
            <w:shd w:fill="CCEEFF" w:val="clear"/>
            <w:vAlign w:val="bottom"/>
          </w:tcPr>
          <w:p>
            <w:pPr>
              <w:pStyle w:val="TableContents"/>
              <w:bidi w:val="0"/>
              <w:spacing w:before="0" w:after="283"/>
              <w:jc w:val="right"/>
            </w:pPr>
            <w:r>
              <w:t>270</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pPr>
            <w:r>
              <w:t>$</w:t>
            </w:r>
          </w:p>
        </w:tc>
        <w:tc>
          <w:tcPr>
            <w:tcW w:w="1219" w:type="dxa"/>
            <w:tcBorders/>
            <w:shd w:fill="CCEEFF" w:val="clear"/>
            <w:vAlign w:val="bottom"/>
          </w:tcPr>
          <w:p>
            <w:pPr>
              <w:pStyle w:val="TableContents"/>
              <w:bidi w:val="0"/>
              <w:spacing w:before="0" w:after="283"/>
              <w:jc w:val="right"/>
            </w:pPr>
            <w:r>
              <w:t>25,346</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560" w:type="dxa"/>
            <w:tcBorders/>
            <w:shd w:fill="CCEEFF" w:val="clear"/>
            <w:vAlign w:val="bottom"/>
          </w:tcPr>
          <w:p>
            <w:pPr>
              <w:pStyle w:val="TableContents"/>
              <w:bidi w:val="0"/>
              <w:spacing w:before="0" w:after="283"/>
              <w:jc w:val="right"/>
            </w:pPr>
            <w:r>
              <w:t>2,106</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635" w:type="dxa"/>
            <w:tcBorders/>
            <w:shd w:fill="CCEEFF" w:val="clear"/>
            <w:vAlign w:val="bottom"/>
          </w:tcPr>
          <w:p>
            <w:pPr>
              <w:pStyle w:val="TableContents"/>
              <w:bidi w:val="0"/>
              <w:spacing w:before="0" w:after="283"/>
              <w:jc w:val="right"/>
            </w:pPr>
            <w:r>
              <w:t>(5,231</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w:t>
            </w:r>
          </w:p>
        </w:tc>
        <w:tc>
          <w:tcPr>
            <w:tcW w:w="1039" w:type="dxa"/>
            <w:tcBorders/>
            <w:shd w:fill="CCEEFF" w:val="clear"/>
            <w:vAlign w:val="bottom"/>
          </w:tcPr>
          <w:p>
            <w:pPr>
              <w:pStyle w:val="TableContents"/>
              <w:bidi w:val="0"/>
              <w:spacing w:before="0" w:after="283"/>
              <w:jc w:val="right"/>
            </w:pPr>
            <w:r>
              <w:t>205,145</w:t>
            </w:r>
          </w:p>
        </w:tc>
        <w:tc>
          <w:tcPr>
            <w:tcW w:w="155" w:type="dxa"/>
            <w:tcBorders/>
            <w:shd w:fill="CCEEFF" w:val="clear"/>
            <w:vAlign w:val="bottom"/>
          </w:tcPr>
          <w:p>
            <w:pPr>
              <w:pStyle w:val="TableContents"/>
              <w:bidi w:val="0"/>
              <w:spacing w:before="0" w:after="283"/>
              <w:jc w:val="left"/>
            </w:pPr>
            <w:r>
              <w:t> </w:t>
            </w:r>
          </w:p>
        </w:tc>
      </w:tr>
      <w:t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pBdr>
                <w:top w:val="single" w:sz="2" w:space="1" w:color="000000"/>
              </w:pBdr>
              <w:bidi w:val="0"/>
              <w:spacing w:before="0" w:after="0"/>
              <w:jc w:val="left"/>
            </w:pPr>
            <w:r>
              <w:t> </w:t>
            </w:r>
          </w:p>
        </w:tc>
        <w:tc>
          <w:tcPr>
            <w:tcW w:w="115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1" w:type="dxa"/>
            <w:tcBorders/>
            <w:vAlign w:val="bottom"/>
          </w:tcPr>
          <w:p>
            <w:pPr>
              <w:pStyle w:val="TableContents"/>
              <w:pBdr>
                <w:top w:val="single" w:sz="2" w:space="1" w:color="000000"/>
              </w:pBdr>
              <w:bidi w:val="0"/>
              <w:spacing w:before="0" w:after="0"/>
              <w:jc w:val="left"/>
            </w:pPr>
            <w:r>
              <w:t> </w:t>
            </w:r>
          </w:p>
        </w:tc>
        <w:tc>
          <w:tcPr>
            <w:tcW w:w="1194"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83" w:type="dxa"/>
            <w:tcBorders/>
            <w:vAlign w:val="bottom"/>
          </w:tcPr>
          <w:p>
            <w:pPr>
              <w:pStyle w:val="TableContents"/>
              <w:pBdr>
                <w:top w:val="single" w:sz="2" w:space="1" w:color="000000"/>
              </w:pBdr>
              <w:bidi w:val="0"/>
              <w:spacing w:before="0" w:after="0"/>
              <w:jc w:val="left"/>
            </w:pPr>
            <w:r>
              <w:t> </w:t>
            </w:r>
          </w:p>
        </w:tc>
        <w:tc>
          <w:tcPr>
            <w:tcW w:w="9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pBdr>
                <w:top w:val="single" w:sz="2" w:space="1" w:color="000000"/>
              </w:pBdr>
              <w:bidi w:val="0"/>
              <w:spacing w:before="0" w:after="0"/>
              <w:jc w:val="left"/>
            </w:pPr>
            <w:r>
              <w:t> </w:t>
            </w:r>
          </w:p>
        </w:tc>
        <w:tc>
          <w:tcPr>
            <w:tcW w:w="121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56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3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pBdr>
                <w:top w:val="single" w:sz="2" w:space="1" w:color="000000"/>
              </w:pBdr>
              <w:bidi w:val="0"/>
              <w:spacing w:before="0" w:after="0"/>
              <w:jc w:val="left"/>
            </w:pPr>
            <w:r>
              <w:t> </w:t>
            </w:r>
          </w:p>
        </w:tc>
        <w:tc>
          <w:tcPr>
            <w:tcW w:w="103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bl>
    <w:p>
      <w:pPr>
        <w:pStyle w:val="TextBody"/>
        <w:bidi w:val="0"/>
        <w:spacing w:before="0" w:after="0"/>
        <w:jc w:val="left"/>
      </w:pPr>
      <w:r>
        <w:t> </w:t>
      </w:r>
    </w:p>
    <w:tbl>
      <w:tblPr>
        <w:tblW w:w="12365" w:type="dxa"/>
        <w:jc w:val="center"/>
        <w:tblInd w:w="0" w:type="dxa"/>
        <w:tblLayout w:type="fixed"/>
        <w:tblCellMar>
          <w:top w:w="0" w:type="dxa"/>
          <w:left w:w="0" w:type="dxa"/>
          <w:bottom w:w="0" w:type="dxa"/>
          <w:right w:w="0" w:type="dxa"/>
        </w:tblCellMar>
      </w:tblPr>
      <w:tblGrid>
        <w:gridCol w:w="1250"/>
        <w:gridCol w:w="120"/>
        <w:gridCol w:w="140"/>
        <w:gridCol w:w="980"/>
        <w:gridCol w:w="155"/>
        <w:gridCol w:w="60"/>
        <w:gridCol w:w="214"/>
        <w:gridCol w:w="1156"/>
        <w:gridCol w:w="155"/>
        <w:gridCol w:w="60"/>
        <w:gridCol w:w="221"/>
        <w:gridCol w:w="1194"/>
        <w:gridCol w:w="155"/>
        <w:gridCol w:w="60"/>
        <w:gridCol w:w="283"/>
        <w:gridCol w:w="922"/>
        <w:gridCol w:w="155"/>
        <w:gridCol w:w="60"/>
        <w:gridCol w:w="226"/>
        <w:gridCol w:w="1219"/>
        <w:gridCol w:w="155"/>
        <w:gridCol w:w="60"/>
        <w:gridCol w:w="140"/>
        <w:gridCol w:w="560"/>
        <w:gridCol w:w="60"/>
        <w:gridCol w:w="120"/>
        <w:gridCol w:w="140"/>
        <w:gridCol w:w="755"/>
        <w:gridCol w:w="155"/>
        <w:gridCol w:w="60"/>
        <w:gridCol w:w="181"/>
        <w:gridCol w:w="1039"/>
        <w:gridCol w:w="155"/>
      </w:tblGrid>
      <w:t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125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0840"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 2025</w:t>
            </w:r>
          </w:p>
        </w:tc>
        <w:tc>
          <w:tcPr>
            <w:tcW w:w="155" w:type="dxa"/>
            <w:tcBorders/>
            <w:vAlign w:val="bottom"/>
          </w:tcPr>
          <w:p>
            <w:pPr>
              <w:pStyle w:val="TableContents"/>
              <w:bidi w:val="0"/>
              <w:spacing w:before="0" w:after="283"/>
              <w:jc w:val="left"/>
            </w:pPr>
            <w:r>
              <w:t> </w:t>
            </w:r>
          </w:p>
        </w:tc>
      </w:tr>
      <w:tr>
        <w:tc>
          <w:tcPr>
            <w:tcW w:w="125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Amortization</w:t>
              <w:br/>
              <w:t>of purchased</w:t>
              <w:br/>
              <w:t>intangible</w:t>
              <w:br/>
              <w:t>assets and</w:t>
              <w:br/>
              <w:t>other</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based</w:t>
              <w:br/>
              <w:t>compensation</w:t>
              <w:br/>
              <w:t>expense</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Changes in</w:t>
              <w:br/>
              <w:t>certain</w:t>
              <w:br/>
              <w:t>acquisitions</w:t>
              <w:br/>
              <w:t>related</w:t>
              <w:br/>
              <w:t>liabilities</w:t>
              <w:br/>
              <w:t>measured</w:t>
              <w:br/>
              <w:t>at fair</w:t>
              <w:br/>
              <w:t>value</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Restructuring</w:t>
              <w:br/>
              <w:t>charges</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pPr>
            <w:r>
              <w:rPr>
                <w:b/>
              </w:rPr>
              <w:t>Tax</w:t>
            </w:r>
            <w:r>
              <w:br/>
            </w:r>
            <w:r>
              <w:rPr>
                <w:b/>
              </w:rPr>
              <w:t>effect</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Non-GAAP</w:t>
            </w:r>
          </w:p>
        </w:tc>
        <w:tc>
          <w:tcPr>
            <w:tcW w:w="155" w:type="dxa"/>
            <w:tcBorders/>
            <w:vAlign w:val="bottom"/>
          </w:tcPr>
          <w:p>
            <w:pPr>
              <w:pStyle w:val="TableContents"/>
              <w:bidi w:val="0"/>
              <w:spacing w:before="0" w:after="283"/>
              <w:jc w:val="left"/>
            </w:pPr>
            <w:r>
              <w:t> </w:t>
            </w:r>
          </w:p>
        </w:tc>
      </w:tr>
      <w:t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80" w:type="dxa"/>
            <w:tcBorders/>
            <w:vAlign w:val="bottom"/>
          </w:tcPr>
          <w:p>
            <w:pPr>
              <w:pStyle w:val="TableContents"/>
              <w:bidi w:val="0"/>
              <w:spacing w:before="0" w:after="283"/>
              <w:jc w:val="right"/>
            </w:pPr>
            <w:r>
              <w:t>719,878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bidi w:val="0"/>
              <w:spacing w:before="0" w:after="283"/>
              <w:jc w:val="left"/>
            </w:pPr>
            <w:r>
              <w:t>$</w:t>
            </w:r>
          </w:p>
        </w:tc>
        <w:tc>
          <w:tcPr>
            <w:tcW w:w="1156"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pPr>
            <w:r>
              <w:t>$</w:t>
            </w:r>
          </w:p>
        </w:tc>
        <w:tc>
          <w:tcPr>
            <w:tcW w:w="1194" w:type="dxa"/>
            <w:tcBorders/>
            <w:vAlign w:val="bottom"/>
          </w:tcPr>
          <w:p>
            <w:pPr>
              <w:pStyle w:val="TableContents"/>
              <w:bidi w:val="0"/>
              <w:spacing w:before="0" w:after="283"/>
              <w:jc w:val="right"/>
            </w:pPr>
            <w:r>
              <w:t>(13,062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83" w:type="dxa"/>
            <w:tcBorders/>
            <w:vAlign w:val="bottom"/>
          </w:tcPr>
          <w:p>
            <w:pPr>
              <w:pStyle w:val="TableContents"/>
              <w:bidi w:val="0"/>
              <w:spacing w:before="0" w:after="283"/>
              <w:jc w:val="left"/>
            </w:pPr>
            <w:r>
              <w:t>$</w:t>
            </w:r>
          </w:p>
        </w:tc>
        <w:tc>
          <w:tcPr>
            <w:tcW w:w="922" w:type="dxa"/>
            <w:tcBorders/>
            <w:vAlign w:val="bottom"/>
          </w:tcPr>
          <w:p>
            <w:pPr>
              <w:pStyle w:val="TableContents"/>
              <w:bidi w:val="0"/>
              <w:spacing w:before="0" w:after="283"/>
              <w:jc w:val="right"/>
            </w:pPr>
            <w:r>
              <w:t>(360</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pPr>
            <w:r>
              <w:t>$</w:t>
            </w:r>
          </w:p>
        </w:tc>
        <w:tc>
          <w:tcPr>
            <w:tcW w:w="1219"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56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75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w:t>
            </w:r>
          </w:p>
        </w:tc>
        <w:tc>
          <w:tcPr>
            <w:tcW w:w="1039" w:type="dxa"/>
            <w:tcBorders/>
            <w:vAlign w:val="bottom"/>
          </w:tcPr>
          <w:p>
            <w:pPr>
              <w:pStyle w:val="TableContents"/>
              <w:bidi w:val="0"/>
              <w:spacing w:before="0" w:after="283"/>
              <w:jc w:val="right"/>
            </w:pPr>
            <w:r>
              <w:t>706,456</w:t>
            </w:r>
          </w:p>
        </w:tc>
        <w:tc>
          <w:tcPr>
            <w:tcW w:w="155" w:type="dxa"/>
            <w:tcBorders/>
            <w:vAlign w:val="bottom"/>
          </w:tcPr>
          <w:p>
            <w:pPr>
              <w:pStyle w:val="TableContents"/>
              <w:bidi w:val="0"/>
              <w:spacing w:before="0" w:after="283"/>
              <w:jc w:val="left"/>
            </w:pPr>
            <w:r>
              <w:t> </w:t>
            </w:r>
          </w:p>
        </w:tc>
      </w:tr>
      <w:t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87,865</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pPr>
            <w:r>
              <w:t> </w:t>
            </w:r>
          </w:p>
        </w:tc>
        <w:tc>
          <w:tcPr>
            <w:tcW w:w="1194" w:type="dxa"/>
            <w:tcBorders/>
            <w:shd w:fill="CCEEFF" w:val="clear"/>
            <w:vAlign w:val="bottom"/>
          </w:tcPr>
          <w:p>
            <w:pPr>
              <w:pStyle w:val="TableContents"/>
              <w:bidi w:val="0"/>
              <w:spacing w:before="0" w:after="283"/>
              <w:jc w:val="right"/>
            </w:pPr>
            <w:r>
              <w:t>(2,600</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 </w:t>
            </w:r>
          </w:p>
        </w:tc>
        <w:tc>
          <w:tcPr>
            <w:tcW w:w="1039" w:type="dxa"/>
            <w:tcBorders/>
            <w:shd w:fill="CCEEFF" w:val="clear"/>
            <w:vAlign w:val="bottom"/>
          </w:tcPr>
          <w:p>
            <w:pPr>
              <w:pStyle w:val="TableContents"/>
              <w:bidi w:val="0"/>
              <w:spacing w:before="0" w:after="283"/>
              <w:jc w:val="right"/>
            </w:pPr>
            <w:r>
              <w:t>85,265</w:t>
            </w:r>
          </w:p>
        </w:tc>
        <w:tc>
          <w:tcPr>
            <w:tcW w:w="155" w:type="dxa"/>
            <w:tcBorders/>
            <w:shd w:fill="CCEEFF" w:val="clear"/>
            <w:vAlign w:val="bottom"/>
          </w:tcPr>
          <w:p>
            <w:pPr>
              <w:pStyle w:val="TableContents"/>
              <w:bidi w:val="0"/>
              <w:spacing w:before="0" w:after="283"/>
              <w:jc w:val="left"/>
            </w:pPr>
            <w:r>
              <w:t> </w:t>
            </w:r>
          </w:p>
        </w:tc>
      </w:tr>
      <w:t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121,807</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pPr>
            <w:r>
              <w:t> </w:t>
            </w:r>
          </w:p>
        </w:tc>
        <w:tc>
          <w:tcPr>
            <w:tcW w:w="1194" w:type="dxa"/>
            <w:tcBorders/>
            <w:vAlign w:val="bottom"/>
          </w:tcPr>
          <w:p>
            <w:pPr>
              <w:pStyle w:val="TableContents"/>
              <w:bidi w:val="0"/>
              <w:spacing w:before="0" w:after="283"/>
              <w:jc w:val="right"/>
            </w:pPr>
            <w:r>
              <w:t>(11,068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83" w:type="dxa"/>
            <w:tcBorders/>
            <w:vAlign w:val="bottom"/>
          </w:tcPr>
          <w:p>
            <w:pPr>
              <w:pStyle w:val="TableContents"/>
              <w:bidi w:val="0"/>
              <w:spacing w:before="0" w:after="283"/>
              <w:jc w:val="left"/>
            </w:pPr>
            <w:r>
              <w:t> </w:t>
            </w:r>
          </w:p>
        </w:tc>
        <w:tc>
          <w:tcPr>
            <w:tcW w:w="922" w:type="dxa"/>
            <w:tcBorders/>
            <w:vAlign w:val="bottom"/>
          </w:tcPr>
          <w:p>
            <w:pPr>
              <w:pStyle w:val="TableContents"/>
              <w:bidi w:val="0"/>
              <w:spacing w:before="0" w:after="283"/>
              <w:jc w:val="right"/>
            </w:pPr>
            <w:r>
              <w:t>(360</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039" w:type="dxa"/>
            <w:tcBorders/>
            <w:vAlign w:val="bottom"/>
          </w:tcPr>
          <w:p>
            <w:pPr>
              <w:pStyle w:val="TableContents"/>
              <w:bidi w:val="0"/>
              <w:spacing w:before="0" w:after="283"/>
              <w:jc w:val="right"/>
            </w:pPr>
            <w:r>
              <w:t>110,379</w:t>
            </w:r>
          </w:p>
        </w:tc>
        <w:tc>
          <w:tcPr>
            <w:tcW w:w="155" w:type="dxa"/>
            <w:tcBorders/>
            <w:vAlign w:val="bottom"/>
          </w:tcPr>
          <w:p>
            <w:pPr>
              <w:pStyle w:val="TableContents"/>
              <w:bidi w:val="0"/>
              <w:spacing w:before="0" w:after="283"/>
              <w:jc w:val="left"/>
            </w:pPr>
            <w:r>
              <w:t> </w:t>
            </w:r>
          </w:p>
        </w:tc>
      </w:tr>
      <w:t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14,287</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14" w:type="dxa"/>
            <w:tcBorders/>
            <w:shd w:fill="CCEEFF" w:val="clear"/>
            <w:vAlign w:val="bottom"/>
          </w:tcPr>
          <w:p>
            <w:pPr>
              <w:pStyle w:val="TableContents"/>
              <w:bidi w:val="0"/>
              <w:spacing w:before="0" w:after="283"/>
              <w:jc w:val="left"/>
            </w:pPr>
            <w:r>
              <w:t> </w:t>
            </w:r>
          </w:p>
        </w:tc>
        <w:tc>
          <w:tcPr>
            <w:tcW w:w="1156" w:type="dxa"/>
            <w:tcBorders/>
            <w:shd w:fill="CCEEFF" w:val="clear"/>
            <w:vAlign w:val="bottom"/>
          </w:tcPr>
          <w:p>
            <w:pPr>
              <w:pStyle w:val="TableContents"/>
              <w:bidi w:val="0"/>
              <w:spacing w:before="0" w:after="283"/>
              <w:jc w:val="right"/>
            </w:pPr>
            <w:r>
              <w:t>(14,287</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 </w:t>
            </w:r>
          </w:p>
        </w:tc>
        <w:tc>
          <w:tcPr>
            <w:tcW w:w="1039"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r>
      <w:t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73,756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83" w:type="dxa"/>
            <w:tcBorders/>
            <w:vAlign w:val="bottom"/>
          </w:tcPr>
          <w:p>
            <w:pPr>
              <w:pStyle w:val="TableContents"/>
              <w:bidi w:val="0"/>
              <w:spacing w:before="0" w:after="283"/>
              <w:jc w:val="left"/>
              <w:rPr>
                <w:sz w:val="4"/>
                <w:szCs w:val="4"/>
              </w:rPr>
            </w:pPr>
            <w:r>
              <w:rPr>
                <w:sz w:val="4"/>
                <w:szCs w:val="4"/>
              </w:rPr>
            </w:r>
          </w:p>
        </w:tc>
        <w:tc>
          <w:tcPr>
            <w:tcW w:w="9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pPr>
            <w:r>
              <w:t> </w:t>
            </w:r>
          </w:p>
        </w:tc>
        <w:tc>
          <w:tcPr>
            <w:tcW w:w="1219" w:type="dxa"/>
            <w:tcBorders/>
            <w:vAlign w:val="bottom"/>
          </w:tcPr>
          <w:p>
            <w:pPr>
              <w:pStyle w:val="TableContents"/>
              <w:bidi w:val="0"/>
              <w:spacing w:before="0" w:after="283"/>
              <w:jc w:val="right"/>
            </w:pPr>
            <w:r>
              <w:t>(73,756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039"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r>
      <w:t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pBdr>
                <w:top w:val="single" w:sz="2" w:space="1" w:color="000000"/>
              </w:pBdr>
              <w:bidi w:val="0"/>
              <w:spacing w:before="0" w:after="0"/>
              <w:jc w:val="left"/>
            </w:pPr>
            <w:r>
              <w:t> </w:t>
            </w:r>
          </w:p>
        </w:tc>
        <w:tc>
          <w:tcPr>
            <w:tcW w:w="115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1" w:type="dxa"/>
            <w:tcBorders/>
            <w:vAlign w:val="bottom"/>
          </w:tcPr>
          <w:p>
            <w:pPr>
              <w:pStyle w:val="TableContents"/>
              <w:pBdr>
                <w:top w:val="single" w:sz="2" w:space="1" w:color="000000"/>
              </w:pBdr>
              <w:bidi w:val="0"/>
              <w:spacing w:before="0" w:after="0"/>
              <w:jc w:val="left"/>
            </w:pPr>
            <w:r>
              <w:t> </w:t>
            </w:r>
          </w:p>
        </w:tc>
        <w:tc>
          <w:tcPr>
            <w:tcW w:w="1194"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83" w:type="dxa"/>
            <w:tcBorders/>
            <w:vAlign w:val="bottom"/>
          </w:tcPr>
          <w:p>
            <w:pPr>
              <w:pStyle w:val="TableContents"/>
              <w:pBdr>
                <w:top w:val="single" w:sz="2" w:space="1" w:color="000000"/>
              </w:pBdr>
              <w:bidi w:val="0"/>
              <w:spacing w:before="0" w:after="0"/>
              <w:jc w:val="left"/>
            </w:pPr>
            <w:r>
              <w:t> </w:t>
            </w:r>
          </w:p>
        </w:tc>
        <w:tc>
          <w:tcPr>
            <w:tcW w:w="9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pBdr>
                <w:top w:val="single" w:sz="2" w:space="1" w:color="000000"/>
              </w:pBdr>
              <w:bidi w:val="0"/>
              <w:spacing w:before="0" w:after="0"/>
              <w:jc w:val="left"/>
            </w:pPr>
            <w:r>
              <w:t> </w:t>
            </w:r>
          </w:p>
        </w:tc>
        <w:tc>
          <w:tcPr>
            <w:tcW w:w="121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56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5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pBdr>
                <w:top w:val="single" w:sz="2" w:space="1" w:color="000000"/>
              </w:pBdr>
              <w:bidi w:val="0"/>
              <w:spacing w:before="0" w:after="0"/>
              <w:jc w:val="left"/>
            </w:pPr>
            <w:r>
              <w:t> </w:t>
            </w:r>
          </w:p>
        </w:tc>
        <w:tc>
          <w:tcPr>
            <w:tcW w:w="103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1,017,593</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14" w:type="dxa"/>
            <w:tcBorders/>
            <w:shd w:fill="CCEEFF" w:val="clear"/>
            <w:vAlign w:val="bottom"/>
          </w:tcPr>
          <w:p>
            <w:pPr>
              <w:pStyle w:val="TableContents"/>
              <w:bidi w:val="0"/>
              <w:spacing w:before="0" w:after="283"/>
              <w:jc w:val="left"/>
            </w:pPr>
            <w:r>
              <w:t> </w:t>
            </w:r>
          </w:p>
        </w:tc>
        <w:tc>
          <w:tcPr>
            <w:tcW w:w="1156" w:type="dxa"/>
            <w:tcBorders/>
            <w:shd w:fill="CCEEFF" w:val="clear"/>
            <w:vAlign w:val="bottom"/>
          </w:tcPr>
          <w:p>
            <w:pPr>
              <w:pStyle w:val="TableContents"/>
              <w:bidi w:val="0"/>
              <w:spacing w:before="0" w:after="283"/>
              <w:jc w:val="right"/>
            </w:pPr>
            <w:r>
              <w:t>(14,287</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pPr>
            <w:r>
              <w:t> </w:t>
            </w:r>
          </w:p>
        </w:tc>
        <w:tc>
          <w:tcPr>
            <w:tcW w:w="1194" w:type="dxa"/>
            <w:tcBorders/>
            <w:shd w:fill="CCEEFF" w:val="clear"/>
            <w:vAlign w:val="bottom"/>
          </w:tcPr>
          <w:p>
            <w:pPr>
              <w:pStyle w:val="TableContents"/>
              <w:bidi w:val="0"/>
              <w:spacing w:before="0" w:after="283"/>
              <w:jc w:val="right"/>
            </w:pPr>
            <w:r>
              <w:t>(26,730</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83" w:type="dxa"/>
            <w:tcBorders/>
            <w:shd w:fill="CCEEFF" w:val="clear"/>
            <w:vAlign w:val="bottom"/>
          </w:tcPr>
          <w:p>
            <w:pPr>
              <w:pStyle w:val="TableContents"/>
              <w:bidi w:val="0"/>
              <w:spacing w:before="0" w:after="283"/>
              <w:jc w:val="left"/>
            </w:pPr>
            <w:r>
              <w:t> </w:t>
            </w:r>
          </w:p>
        </w:tc>
        <w:tc>
          <w:tcPr>
            <w:tcW w:w="922" w:type="dxa"/>
            <w:tcBorders/>
            <w:shd w:fill="CCEEFF" w:val="clear"/>
            <w:vAlign w:val="bottom"/>
          </w:tcPr>
          <w:p>
            <w:pPr>
              <w:pStyle w:val="TableContents"/>
              <w:bidi w:val="0"/>
              <w:spacing w:before="0" w:after="283"/>
              <w:jc w:val="right"/>
            </w:pPr>
            <w:r>
              <w:t>(720</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pPr>
            <w:r>
              <w:t> </w:t>
            </w:r>
          </w:p>
        </w:tc>
        <w:tc>
          <w:tcPr>
            <w:tcW w:w="1219" w:type="dxa"/>
            <w:tcBorders/>
            <w:shd w:fill="CCEEFF" w:val="clear"/>
            <w:vAlign w:val="bottom"/>
          </w:tcPr>
          <w:p>
            <w:pPr>
              <w:pStyle w:val="TableContents"/>
              <w:bidi w:val="0"/>
              <w:spacing w:before="0" w:after="283"/>
              <w:jc w:val="right"/>
            </w:pPr>
            <w:r>
              <w:t>(73,756</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56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5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 </w:t>
            </w:r>
          </w:p>
        </w:tc>
        <w:tc>
          <w:tcPr>
            <w:tcW w:w="1039" w:type="dxa"/>
            <w:tcBorders/>
            <w:shd w:fill="CCEEFF" w:val="clear"/>
            <w:vAlign w:val="bottom"/>
          </w:tcPr>
          <w:p>
            <w:pPr>
              <w:pStyle w:val="TableContents"/>
              <w:bidi w:val="0"/>
              <w:spacing w:before="0" w:after="283"/>
              <w:jc w:val="right"/>
            </w:pPr>
            <w:r>
              <w:t>902,100</w:t>
            </w:r>
          </w:p>
        </w:tc>
        <w:tc>
          <w:tcPr>
            <w:tcW w:w="155" w:type="dxa"/>
            <w:tcBorders/>
            <w:shd w:fill="CCEEFF" w:val="clear"/>
            <w:vAlign w:val="bottom"/>
          </w:tcPr>
          <w:p>
            <w:pPr>
              <w:pStyle w:val="TableContents"/>
              <w:bidi w:val="0"/>
              <w:spacing w:before="0" w:after="283"/>
              <w:jc w:val="left"/>
            </w:pPr>
            <w:r>
              <w:t> </w:t>
            </w:r>
          </w:p>
        </w:tc>
      </w:tr>
      <w:t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pBdr>
                <w:top w:val="single" w:sz="2" w:space="1" w:color="000000"/>
              </w:pBdr>
              <w:bidi w:val="0"/>
              <w:spacing w:before="0" w:after="0"/>
              <w:jc w:val="left"/>
            </w:pPr>
            <w:r>
              <w:t> </w:t>
            </w:r>
          </w:p>
        </w:tc>
        <w:tc>
          <w:tcPr>
            <w:tcW w:w="115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1" w:type="dxa"/>
            <w:tcBorders/>
            <w:vAlign w:val="bottom"/>
          </w:tcPr>
          <w:p>
            <w:pPr>
              <w:pStyle w:val="TableContents"/>
              <w:pBdr>
                <w:top w:val="single" w:sz="2" w:space="1" w:color="000000"/>
              </w:pBdr>
              <w:bidi w:val="0"/>
              <w:spacing w:before="0" w:after="0"/>
              <w:jc w:val="left"/>
            </w:pPr>
            <w:r>
              <w:t> </w:t>
            </w:r>
          </w:p>
        </w:tc>
        <w:tc>
          <w:tcPr>
            <w:tcW w:w="1194"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83" w:type="dxa"/>
            <w:tcBorders/>
            <w:vAlign w:val="bottom"/>
          </w:tcPr>
          <w:p>
            <w:pPr>
              <w:pStyle w:val="TableContents"/>
              <w:pBdr>
                <w:top w:val="single" w:sz="2" w:space="1" w:color="000000"/>
              </w:pBdr>
              <w:bidi w:val="0"/>
              <w:spacing w:before="0" w:after="0"/>
              <w:jc w:val="left"/>
            </w:pPr>
            <w:r>
              <w:t> </w:t>
            </w:r>
          </w:p>
        </w:tc>
        <w:tc>
          <w:tcPr>
            <w:tcW w:w="9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pBdr>
                <w:top w:val="single" w:sz="2" w:space="1" w:color="000000"/>
              </w:pBdr>
              <w:bidi w:val="0"/>
              <w:spacing w:before="0" w:after="0"/>
              <w:jc w:val="left"/>
            </w:pPr>
            <w:r>
              <w:t> </w:t>
            </w:r>
          </w:p>
        </w:tc>
        <w:tc>
          <w:tcPr>
            <w:tcW w:w="121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56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5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pBdr>
                <w:top w:val="single" w:sz="2" w:space="1" w:color="000000"/>
              </w:pBdr>
              <w:bidi w:val="0"/>
              <w:spacing w:before="0" w:after="0"/>
              <w:jc w:val="left"/>
            </w:pPr>
            <w:r>
              <w:t> </w:t>
            </w:r>
          </w:p>
        </w:tc>
        <w:tc>
          <w:tcPr>
            <w:tcW w:w="103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132,625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bidi w:val="0"/>
              <w:spacing w:before="0" w:after="283"/>
              <w:jc w:val="left"/>
            </w:pPr>
            <w:r>
              <w:t> </w:t>
            </w:r>
          </w:p>
        </w:tc>
        <w:tc>
          <w:tcPr>
            <w:tcW w:w="1156" w:type="dxa"/>
            <w:tcBorders/>
            <w:vAlign w:val="bottom"/>
          </w:tcPr>
          <w:p>
            <w:pPr>
              <w:pStyle w:val="TableContents"/>
              <w:bidi w:val="0"/>
              <w:spacing w:before="0" w:after="283"/>
              <w:jc w:val="right"/>
            </w:pPr>
            <w:r>
              <w:t>14,287</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pPr>
            <w:r>
              <w:t> </w:t>
            </w:r>
          </w:p>
        </w:tc>
        <w:tc>
          <w:tcPr>
            <w:tcW w:w="1194" w:type="dxa"/>
            <w:tcBorders/>
            <w:vAlign w:val="bottom"/>
          </w:tcPr>
          <w:p>
            <w:pPr>
              <w:pStyle w:val="TableContents"/>
              <w:bidi w:val="0"/>
              <w:spacing w:before="0" w:after="283"/>
              <w:jc w:val="right"/>
            </w:pPr>
            <w:r>
              <w:t>26,730</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83" w:type="dxa"/>
            <w:tcBorders/>
            <w:vAlign w:val="bottom"/>
          </w:tcPr>
          <w:p>
            <w:pPr>
              <w:pStyle w:val="TableContents"/>
              <w:bidi w:val="0"/>
              <w:spacing w:before="0" w:after="283"/>
              <w:jc w:val="left"/>
            </w:pPr>
            <w:r>
              <w:t> </w:t>
            </w:r>
          </w:p>
        </w:tc>
        <w:tc>
          <w:tcPr>
            <w:tcW w:w="922" w:type="dxa"/>
            <w:tcBorders/>
            <w:vAlign w:val="bottom"/>
          </w:tcPr>
          <w:p>
            <w:pPr>
              <w:pStyle w:val="TableContents"/>
              <w:bidi w:val="0"/>
              <w:spacing w:before="0" w:after="283"/>
              <w:jc w:val="right"/>
            </w:pPr>
            <w:r>
              <w:t>720</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pPr>
            <w:r>
              <w:t> </w:t>
            </w:r>
          </w:p>
        </w:tc>
        <w:tc>
          <w:tcPr>
            <w:tcW w:w="1219" w:type="dxa"/>
            <w:tcBorders/>
            <w:vAlign w:val="bottom"/>
          </w:tcPr>
          <w:p>
            <w:pPr>
              <w:pStyle w:val="TableContents"/>
              <w:bidi w:val="0"/>
              <w:spacing w:before="0" w:after="283"/>
              <w:jc w:val="right"/>
            </w:pPr>
            <w:r>
              <w:t>73,756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039" w:type="dxa"/>
            <w:tcBorders/>
            <w:vAlign w:val="bottom"/>
          </w:tcPr>
          <w:p>
            <w:pPr>
              <w:pStyle w:val="TableContents"/>
              <w:bidi w:val="0"/>
              <w:spacing w:before="0" w:after="283"/>
              <w:jc w:val="right"/>
            </w:pPr>
            <w:r>
              <w:t>248,118</w:t>
            </w:r>
          </w:p>
        </w:tc>
        <w:tc>
          <w:tcPr>
            <w:tcW w:w="155" w:type="dxa"/>
            <w:tcBorders/>
            <w:vAlign w:val="bottom"/>
          </w:tcPr>
          <w:p>
            <w:pPr>
              <w:pStyle w:val="TableContents"/>
              <w:bidi w:val="0"/>
              <w:spacing w:before="0" w:after="283"/>
              <w:jc w:val="left"/>
            </w:pPr>
            <w:r>
              <w:t> </w:t>
            </w:r>
          </w:p>
        </w:tc>
      </w:tr>
      <w:t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(11,843</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560" w:type="dxa"/>
            <w:tcBorders/>
            <w:shd w:fill="CCEEFF" w:val="clear"/>
            <w:vAlign w:val="bottom"/>
          </w:tcPr>
          <w:p>
            <w:pPr>
              <w:pStyle w:val="TableContents"/>
              <w:bidi w:val="0"/>
              <w:spacing w:before="0" w:after="283"/>
              <w:jc w:val="right"/>
            </w:pPr>
            <w:r>
              <w:t>1,545</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 </w:t>
            </w:r>
          </w:p>
        </w:tc>
        <w:tc>
          <w:tcPr>
            <w:tcW w:w="1039" w:type="dxa"/>
            <w:tcBorders/>
            <w:shd w:fill="CCEEFF" w:val="clear"/>
            <w:vAlign w:val="bottom"/>
          </w:tcPr>
          <w:p>
            <w:pPr>
              <w:pStyle w:val="TableContents"/>
              <w:bidi w:val="0"/>
              <w:spacing w:before="0" w:after="283"/>
              <w:jc w:val="right"/>
            </w:pPr>
            <w:r>
              <w:t>(10,298</w:t>
            </w:r>
          </w:p>
        </w:tc>
        <w:tc>
          <w:tcPr>
            <w:tcW w:w="155" w:type="dxa"/>
            <w:tcBorders/>
            <w:shd w:fill="CCEEFF" w:val="clear"/>
            <w:vAlign w:val="bottom"/>
          </w:tcPr>
          <w:p>
            <w:pPr>
              <w:pStyle w:val="TableContents"/>
              <w:bidi w:val="0"/>
              <w:spacing w:before="0" w:after="283"/>
              <w:jc w:val="left"/>
            </w:pPr>
            <w:r>
              <w:t>) </w:t>
            </w:r>
          </w:p>
        </w:tc>
      </w:tr>
      <w:t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23,668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83" w:type="dxa"/>
            <w:tcBorders/>
            <w:vAlign w:val="bottom"/>
          </w:tcPr>
          <w:p>
            <w:pPr>
              <w:pStyle w:val="TableContents"/>
              <w:bidi w:val="0"/>
              <w:spacing w:before="0" w:after="283"/>
              <w:jc w:val="left"/>
              <w:rPr>
                <w:sz w:val="4"/>
                <w:szCs w:val="4"/>
              </w:rPr>
            </w:pPr>
            <w:r>
              <w:rPr>
                <w:sz w:val="4"/>
                <w:szCs w:val="4"/>
              </w:rPr>
            </w:r>
          </w:p>
        </w:tc>
        <w:tc>
          <w:tcPr>
            <w:tcW w:w="9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55" w:type="dxa"/>
            <w:tcBorders/>
            <w:vAlign w:val="bottom"/>
          </w:tcPr>
          <w:p>
            <w:pPr>
              <w:pStyle w:val="TableContents"/>
              <w:bidi w:val="0"/>
              <w:spacing w:before="0" w:after="283"/>
              <w:jc w:val="right"/>
            </w:pPr>
            <w:r>
              <w:t>11,949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039" w:type="dxa"/>
            <w:tcBorders/>
            <w:vAlign w:val="bottom"/>
          </w:tcPr>
          <w:p>
            <w:pPr>
              <w:pStyle w:val="TableContents"/>
              <w:bidi w:val="0"/>
              <w:spacing w:before="0" w:after="283"/>
              <w:jc w:val="right"/>
            </w:pPr>
            <w:r>
              <w:t>35,617</w:t>
            </w:r>
          </w:p>
        </w:tc>
        <w:tc>
          <w:tcPr>
            <w:tcW w:w="155" w:type="dxa"/>
            <w:tcBorders/>
            <w:vAlign w:val="bottom"/>
          </w:tcPr>
          <w:p>
            <w:pPr>
              <w:pStyle w:val="TableContents"/>
              <w:bidi w:val="0"/>
              <w:spacing w:before="0" w:after="283"/>
              <w:jc w:val="left"/>
            </w:pPr>
            <w:r>
              <w:t> </w:t>
            </w:r>
          </w:p>
        </w:tc>
      </w:tr>
      <w:t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pBdr>
                <w:top w:val="single" w:sz="2" w:space="1" w:color="000000"/>
              </w:pBdr>
              <w:bidi w:val="0"/>
              <w:spacing w:before="0" w:after="0"/>
              <w:jc w:val="left"/>
            </w:pPr>
            <w:r>
              <w:t> </w:t>
            </w:r>
          </w:p>
        </w:tc>
        <w:tc>
          <w:tcPr>
            <w:tcW w:w="115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1" w:type="dxa"/>
            <w:tcBorders/>
            <w:vAlign w:val="bottom"/>
          </w:tcPr>
          <w:p>
            <w:pPr>
              <w:pStyle w:val="TableContents"/>
              <w:pBdr>
                <w:top w:val="single" w:sz="2" w:space="1" w:color="000000"/>
              </w:pBdr>
              <w:bidi w:val="0"/>
              <w:spacing w:before="0" w:after="0"/>
              <w:jc w:val="left"/>
            </w:pPr>
            <w:r>
              <w:t> </w:t>
            </w:r>
          </w:p>
        </w:tc>
        <w:tc>
          <w:tcPr>
            <w:tcW w:w="1194"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83" w:type="dxa"/>
            <w:tcBorders/>
            <w:vAlign w:val="bottom"/>
          </w:tcPr>
          <w:p>
            <w:pPr>
              <w:pStyle w:val="TableContents"/>
              <w:pBdr>
                <w:top w:val="single" w:sz="2" w:space="1" w:color="000000"/>
              </w:pBdr>
              <w:bidi w:val="0"/>
              <w:spacing w:before="0" w:after="0"/>
              <w:jc w:val="left"/>
            </w:pPr>
            <w:r>
              <w:t> </w:t>
            </w:r>
          </w:p>
        </w:tc>
        <w:tc>
          <w:tcPr>
            <w:tcW w:w="9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pBdr>
                <w:top w:val="single" w:sz="2" w:space="1" w:color="000000"/>
              </w:pBdr>
              <w:bidi w:val="0"/>
              <w:spacing w:before="0" w:after="0"/>
              <w:jc w:val="left"/>
            </w:pPr>
            <w:r>
              <w:t> </w:t>
            </w:r>
          </w:p>
        </w:tc>
        <w:tc>
          <w:tcPr>
            <w:tcW w:w="121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56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5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pBdr>
                <w:top w:val="single" w:sz="2" w:space="1" w:color="000000"/>
              </w:pBdr>
              <w:bidi w:val="0"/>
              <w:spacing w:before="0" w:after="0"/>
              <w:jc w:val="left"/>
            </w:pPr>
            <w:r>
              <w:t> </w:t>
            </w:r>
          </w:p>
        </w:tc>
        <w:tc>
          <w:tcPr>
            <w:tcW w:w="103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97,114</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14" w:type="dxa"/>
            <w:tcBorders/>
            <w:shd w:fill="CCEEFF" w:val="clear"/>
            <w:vAlign w:val="bottom"/>
          </w:tcPr>
          <w:p>
            <w:pPr>
              <w:pStyle w:val="TableContents"/>
              <w:bidi w:val="0"/>
              <w:spacing w:before="0" w:after="283"/>
              <w:jc w:val="left"/>
            </w:pPr>
            <w:r>
              <w:t> </w:t>
            </w:r>
          </w:p>
        </w:tc>
        <w:tc>
          <w:tcPr>
            <w:tcW w:w="1156" w:type="dxa"/>
            <w:tcBorders/>
            <w:shd w:fill="CCEEFF" w:val="clear"/>
            <w:vAlign w:val="bottom"/>
          </w:tcPr>
          <w:p>
            <w:pPr>
              <w:pStyle w:val="TableContents"/>
              <w:bidi w:val="0"/>
              <w:spacing w:before="0" w:after="283"/>
              <w:jc w:val="right"/>
            </w:pPr>
            <w:r>
              <w:t>14,287</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pPr>
            <w:r>
              <w:t> </w:t>
            </w:r>
          </w:p>
        </w:tc>
        <w:tc>
          <w:tcPr>
            <w:tcW w:w="1194" w:type="dxa"/>
            <w:tcBorders/>
            <w:shd w:fill="CCEEFF" w:val="clear"/>
            <w:vAlign w:val="bottom"/>
          </w:tcPr>
          <w:p>
            <w:pPr>
              <w:pStyle w:val="TableContents"/>
              <w:bidi w:val="0"/>
              <w:spacing w:before="0" w:after="283"/>
              <w:jc w:val="right"/>
            </w:pPr>
            <w:r>
              <w:t>26,730</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83" w:type="dxa"/>
            <w:tcBorders/>
            <w:shd w:fill="CCEEFF" w:val="clear"/>
            <w:vAlign w:val="bottom"/>
          </w:tcPr>
          <w:p>
            <w:pPr>
              <w:pStyle w:val="TableContents"/>
              <w:bidi w:val="0"/>
              <w:spacing w:before="0" w:after="283"/>
              <w:jc w:val="left"/>
            </w:pPr>
            <w:r>
              <w:t> </w:t>
            </w:r>
          </w:p>
        </w:tc>
        <w:tc>
          <w:tcPr>
            <w:tcW w:w="922" w:type="dxa"/>
            <w:tcBorders/>
            <w:shd w:fill="CCEEFF" w:val="clear"/>
            <w:vAlign w:val="bottom"/>
          </w:tcPr>
          <w:p>
            <w:pPr>
              <w:pStyle w:val="TableContents"/>
              <w:bidi w:val="0"/>
              <w:spacing w:before="0" w:after="283"/>
              <w:jc w:val="right"/>
            </w:pPr>
            <w:r>
              <w:t>720</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pPr>
            <w:r>
              <w:t> </w:t>
            </w:r>
          </w:p>
        </w:tc>
        <w:tc>
          <w:tcPr>
            <w:tcW w:w="1219" w:type="dxa"/>
            <w:tcBorders/>
            <w:shd w:fill="CCEEFF" w:val="clear"/>
            <w:vAlign w:val="bottom"/>
          </w:tcPr>
          <w:p>
            <w:pPr>
              <w:pStyle w:val="TableContents"/>
              <w:bidi w:val="0"/>
              <w:spacing w:before="0" w:after="283"/>
              <w:jc w:val="right"/>
            </w:pPr>
            <w:r>
              <w:t>73,756</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560" w:type="dxa"/>
            <w:tcBorders/>
            <w:shd w:fill="CCEEFF" w:val="clear"/>
            <w:vAlign w:val="bottom"/>
          </w:tcPr>
          <w:p>
            <w:pPr>
              <w:pStyle w:val="TableContents"/>
              <w:bidi w:val="0"/>
              <w:spacing w:before="0" w:after="283"/>
              <w:jc w:val="right"/>
            </w:pPr>
            <w:r>
              <w:t>1,545</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55" w:type="dxa"/>
            <w:tcBorders/>
            <w:shd w:fill="CCEEFF" w:val="clear"/>
            <w:vAlign w:val="bottom"/>
          </w:tcPr>
          <w:p>
            <w:pPr>
              <w:pStyle w:val="TableContents"/>
              <w:bidi w:val="0"/>
              <w:spacing w:before="0" w:after="283"/>
              <w:jc w:val="right"/>
            </w:pPr>
            <w:r>
              <w:t>(11,949</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 </w:t>
            </w:r>
          </w:p>
        </w:tc>
        <w:tc>
          <w:tcPr>
            <w:tcW w:w="1039" w:type="dxa"/>
            <w:tcBorders/>
            <w:shd w:fill="CCEEFF" w:val="clear"/>
            <w:vAlign w:val="bottom"/>
          </w:tcPr>
          <w:p>
            <w:pPr>
              <w:pStyle w:val="TableContents"/>
              <w:bidi w:val="0"/>
              <w:spacing w:before="0" w:after="283"/>
              <w:jc w:val="right"/>
            </w:pPr>
            <w:r>
              <w:t>202,203</w:t>
            </w:r>
          </w:p>
        </w:tc>
        <w:tc>
          <w:tcPr>
            <w:tcW w:w="155" w:type="dxa"/>
            <w:tcBorders/>
            <w:shd w:fill="CCEEFF" w:val="clear"/>
            <w:vAlign w:val="bottom"/>
          </w:tcPr>
          <w:p>
            <w:pPr>
              <w:pStyle w:val="TableContents"/>
              <w:bidi w:val="0"/>
              <w:spacing w:before="0" w:after="283"/>
              <w:jc w:val="left"/>
            </w:pPr>
            <w:r>
              <w:t> </w:t>
            </w:r>
          </w:p>
        </w:tc>
      </w:tr>
      <w:t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pBdr>
                <w:top w:val="single" w:sz="2" w:space="1" w:color="000000"/>
              </w:pBdr>
              <w:bidi w:val="0"/>
              <w:spacing w:before="0" w:after="0"/>
              <w:jc w:val="left"/>
            </w:pPr>
            <w:r>
              <w:t> </w:t>
            </w:r>
          </w:p>
        </w:tc>
        <w:tc>
          <w:tcPr>
            <w:tcW w:w="115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1" w:type="dxa"/>
            <w:tcBorders/>
            <w:vAlign w:val="bottom"/>
          </w:tcPr>
          <w:p>
            <w:pPr>
              <w:pStyle w:val="TableContents"/>
              <w:pBdr>
                <w:top w:val="single" w:sz="2" w:space="1" w:color="000000"/>
              </w:pBdr>
              <w:bidi w:val="0"/>
              <w:spacing w:before="0" w:after="0"/>
              <w:jc w:val="left"/>
            </w:pPr>
            <w:r>
              <w:t> </w:t>
            </w:r>
          </w:p>
        </w:tc>
        <w:tc>
          <w:tcPr>
            <w:tcW w:w="1194"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83" w:type="dxa"/>
            <w:tcBorders/>
            <w:vAlign w:val="bottom"/>
          </w:tcPr>
          <w:p>
            <w:pPr>
              <w:pStyle w:val="TableContents"/>
              <w:pBdr>
                <w:top w:val="single" w:sz="2" w:space="1" w:color="000000"/>
              </w:pBdr>
              <w:bidi w:val="0"/>
              <w:spacing w:before="0" w:after="0"/>
              <w:jc w:val="left"/>
            </w:pPr>
            <w:r>
              <w:t> </w:t>
            </w:r>
          </w:p>
        </w:tc>
        <w:tc>
          <w:tcPr>
            <w:tcW w:w="9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pBdr>
                <w:top w:val="single" w:sz="2" w:space="1" w:color="000000"/>
              </w:pBdr>
              <w:bidi w:val="0"/>
              <w:spacing w:before="0" w:after="0"/>
              <w:jc w:val="left"/>
            </w:pPr>
            <w:r>
              <w:t> </w:t>
            </w:r>
          </w:p>
        </w:tc>
        <w:tc>
          <w:tcPr>
            <w:tcW w:w="121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56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5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pBdr>
                <w:top w:val="single" w:sz="2" w:space="1" w:color="000000"/>
              </w:pBdr>
              <w:bidi w:val="0"/>
              <w:spacing w:before="0" w:after="0"/>
              <w:jc w:val="left"/>
            </w:pPr>
            <w:r>
              <w:t> </w:t>
            </w:r>
          </w:p>
        </w:tc>
        <w:tc>
          <w:tcPr>
            <w:tcW w:w="103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787</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83" w:type="dxa"/>
            <w:tcBorders/>
            <w:vAlign w:val="bottom"/>
          </w:tcPr>
          <w:p>
            <w:pPr>
              <w:pStyle w:val="TableContents"/>
              <w:bidi w:val="0"/>
              <w:spacing w:before="0" w:after="283"/>
              <w:jc w:val="left"/>
              <w:rPr>
                <w:sz w:val="4"/>
                <w:szCs w:val="4"/>
              </w:rPr>
            </w:pPr>
            <w:r>
              <w:rPr>
                <w:sz w:val="4"/>
                <w:szCs w:val="4"/>
              </w:rPr>
            </w:r>
          </w:p>
        </w:tc>
        <w:tc>
          <w:tcPr>
            <w:tcW w:w="9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039" w:type="dxa"/>
            <w:tcBorders/>
            <w:vAlign w:val="bottom"/>
          </w:tcPr>
          <w:p>
            <w:pPr>
              <w:pStyle w:val="TableContents"/>
              <w:bidi w:val="0"/>
              <w:spacing w:before="0" w:after="283"/>
              <w:jc w:val="right"/>
            </w:pPr>
            <w:r>
              <w:t>787</w:t>
            </w:r>
          </w:p>
        </w:tc>
        <w:tc>
          <w:tcPr>
            <w:tcW w:w="155" w:type="dxa"/>
            <w:tcBorders/>
            <w:vAlign w:val="bottom"/>
          </w:tcPr>
          <w:p>
            <w:pPr>
              <w:pStyle w:val="TableContents"/>
              <w:bidi w:val="0"/>
              <w:spacing w:before="0" w:after="283"/>
              <w:jc w:val="left"/>
            </w:pPr>
            <w:r>
              <w:t> </w:t>
            </w:r>
          </w:p>
        </w:tc>
      </w:tr>
      <w:t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pBdr>
                <w:top w:val="single" w:sz="2" w:space="1" w:color="000000"/>
              </w:pBdr>
              <w:bidi w:val="0"/>
              <w:spacing w:before="0" w:after="0"/>
              <w:jc w:val="left"/>
            </w:pPr>
            <w:r>
              <w:t> </w:t>
            </w:r>
          </w:p>
        </w:tc>
        <w:tc>
          <w:tcPr>
            <w:tcW w:w="115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1" w:type="dxa"/>
            <w:tcBorders/>
            <w:vAlign w:val="bottom"/>
          </w:tcPr>
          <w:p>
            <w:pPr>
              <w:pStyle w:val="TableContents"/>
              <w:pBdr>
                <w:top w:val="single" w:sz="2" w:space="1" w:color="000000"/>
              </w:pBdr>
              <w:bidi w:val="0"/>
              <w:spacing w:before="0" w:after="0"/>
              <w:jc w:val="left"/>
            </w:pPr>
            <w:r>
              <w:t> </w:t>
            </w:r>
          </w:p>
        </w:tc>
        <w:tc>
          <w:tcPr>
            <w:tcW w:w="1194"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83" w:type="dxa"/>
            <w:tcBorders/>
            <w:vAlign w:val="bottom"/>
          </w:tcPr>
          <w:p>
            <w:pPr>
              <w:pStyle w:val="TableContents"/>
              <w:pBdr>
                <w:top w:val="single" w:sz="2" w:space="1" w:color="000000"/>
              </w:pBdr>
              <w:bidi w:val="0"/>
              <w:spacing w:before="0" w:after="0"/>
              <w:jc w:val="left"/>
            </w:pPr>
            <w:r>
              <w:t> </w:t>
            </w:r>
          </w:p>
        </w:tc>
        <w:tc>
          <w:tcPr>
            <w:tcW w:w="9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pBdr>
                <w:top w:val="single" w:sz="2" w:space="1" w:color="000000"/>
              </w:pBdr>
              <w:bidi w:val="0"/>
              <w:spacing w:before="0" w:after="0"/>
              <w:jc w:val="left"/>
            </w:pPr>
            <w:r>
              <w:t> </w:t>
            </w:r>
          </w:p>
        </w:tc>
        <w:tc>
          <w:tcPr>
            <w:tcW w:w="121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56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5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pBdr>
                <w:top w:val="single" w:sz="2" w:space="1" w:color="000000"/>
              </w:pBdr>
              <w:bidi w:val="0"/>
              <w:spacing w:before="0" w:after="0"/>
              <w:jc w:val="left"/>
            </w:pPr>
            <w:r>
              <w:t> </w:t>
            </w:r>
          </w:p>
        </w:tc>
        <w:tc>
          <w:tcPr>
            <w:tcW w:w="103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0" w:type="dxa"/>
            <w:tcBorders/>
            <w:shd w:fill="CCEEFF" w:val="clear"/>
            <w:vAlign w:val="bottom"/>
          </w:tcPr>
          <w:p>
            <w:pPr>
              <w:pStyle w:val="TableContents"/>
              <w:bidi w:val="0"/>
              <w:spacing w:before="0" w:after="283"/>
              <w:jc w:val="right"/>
            </w:pPr>
            <w:r>
              <w:t>96,327</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14" w:type="dxa"/>
            <w:tcBorders/>
            <w:shd w:fill="CCEEFF" w:val="clear"/>
            <w:vAlign w:val="bottom"/>
          </w:tcPr>
          <w:p>
            <w:pPr>
              <w:pStyle w:val="TableContents"/>
              <w:bidi w:val="0"/>
              <w:spacing w:before="0" w:after="283"/>
              <w:jc w:val="left"/>
            </w:pPr>
            <w:r>
              <w:t>$</w:t>
            </w:r>
          </w:p>
        </w:tc>
        <w:tc>
          <w:tcPr>
            <w:tcW w:w="1156" w:type="dxa"/>
            <w:tcBorders/>
            <w:shd w:fill="CCEEFF" w:val="clear"/>
            <w:vAlign w:val="bottom"/>
          </w:tcPr>
          <w:p>
            <w:pPr>
              <w:pStyle w:val="TableContents"/>
              <w:bidi w:val="0"/>
              <w:spacing w:before="0" w:after="283"/>
              <w:jc w:val="right"/>
            </w:pPr>
            <w:r>
              <w:t>14,287</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pPr>
            <w:r>
              <w:t>$</w:t>
            </w:r>
          </w:p>
        </w:tc>
        <w:tc>
          <w:tcPr>
            <w:tcW w:w="1194" w:type="dxa"/>
            <w:tcBorders/>
            <w:shd w:fill="CCEEFF" w:val="clear"/>
            <w:vAlign w:val="bottom"/>
          </w:tcPr>
          <w:p>
            <w:pPr>
              <w:pStyle w:val="TableContents"/>
              <w:bidi w:val="0"/>
              <w:spacing w:before="0" w:after="283"/>
              <w:jc w:val="right"/>
            </w:pPr>
            <w:r>
              <w:t>26,730</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83" w:type="dxa"/>
            <w:tcBorders/>
            <w:shd w:fill="CCEEFF" w:val="clear"/>
            <w:vAlign w:val="bottom"/>
          </w:tcPr>
          <w:p>
            <w:pPr>
              <w:pStyle w:val="TableContents"/>
              <w:bidi w:val="0"/>
              <w:spacing w:before="0" w:after="283"/>
              <w:jc w:val="left"/>
            </w:pPr>
            <w:r>
              <w:t>$</w:t>
            </w:r>
          </w:p>
        </w:tc>
        <w:tc>
          <w:tcPr>
            <w:tcW w:w="922" w:type="dxa"/>
            <w:tcBorders/>
            <w:shd w:fill="CCEEFF" w:val="clear"/>
            <w:vAlign w:val="bottom"/>
          </w:tcPr>
          <w:p>
            <w:pPr>
              <w:pStyle w:val="TableContents"/>
              <w:bidi w:val="0"/>
              <w:spacing w:before="0" w:after="283"/>
              <w:jc w:val="right"/>
            </w:pPr>
            <w:r>
              <w:t>720</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pPr>
            <w:r>
              <w:t>$</w:t>
            </w:r>
          </w:p>
        </w:tc>
        <w:tc>
          <w:tcPr>
            <w:tcW w:w="1219" w:type="dxa"/>
            <w:tcBorders/>
            <w:shd w:fill="CCEEFF" w:val="clear"/>
            <w:vAlign w:val="bottom"/>
          </w:tcPr>
          <w:p>
            <w:pPr>
              <w:pStyle w:val="TableContents"/>
              <w:bidi w:val="0"/>
              <w:spacing w:before="0" w:after="283"/>
              <w:jc w:val="right"/>
            </w:pPr>
            <w:r>
              <w:t>73,756</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560" w:type="dxa"/>
            <w:tcBorders/>
            <w:shd w:fill="CCEEFF" w:val="clear"/>
            <w:vAlign w:val="bottom"/>
          </w:tcPr>
          <w:p>
            <w:pPr>
              <w:pStyle w:val="TableContents"/>
              <w:bidi w:val="0"/>
              <w:spacing w:before="0" w:after="283"/>
              <w:jc w:val="right"/>
            </w:pPr>
            <w:r>
              <w:t>1,545</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755" w:type="dxa"/>
            <w:tcBorders/>
            <w:shd w:fill="CCEEFF" w:val="clear"/>
            <w:vAlign w:val="bottom"/>
          </w:tcPr>
          <w:p>
            <w:pPr>
              <w:pStyle w:val="TableContents"/>
              <w:bidi w:val="0"/>
              <w:spacing w:before="0" w:after="283"/>
              <w:jc w:val="right"/>
            </w:pPr>
            <w:r>
              <w:t>(11,949</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w:t>
            </w:r>
          </w:p>
        </w:tc>
        <w:tc>
          <w:tcPr>
            <w:tcW w:w="1039" w:type="dxa"/>
            <w:tcBorders/>
            <w:shd w:fill="CCEEFF" w:val="clear"/>
            <w:vAlign w:val="bottom"/>
          </w:tcPr>
          <w:p>
            <w:pPr>
              <w:pStyle w:val="TableContents"/>
              <w:bidi w:val="0"/>
              <w:spacing w:before="0" w:after="283"/>
              <w:jc w:val="right"/>
            </w:pPr>
            <w:r>
              <w:t>201,416</w:t>
            </w:r>
          </w:p>
        </w:tc>
        <w:tc>
          <w:tcPr>
            <w:tcW w:w="155" w:type="dxa"/>
            <w:tcBorders/>
            <w:shd w:fill="CCEEFF" w:val="clear"/>
            <w:vAlign w:val="bottom"/>
          </w:tcPr>
          <w:p>
            <w:pPr>
              <w:pStyle w:val="TableContents"/>
              <w:bidi w:val="0"/>
              <w:spacing w:before="0" w:after="283"/>
              <w:jc w:val="left"/>
            </w:pPr>
            <w:r>
              <w:t> </w:t>
            </w:r>
          </w:p>
        </w:tc>
      </w:tr>
      <w:t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pBdr>
                <w:top w:val="single" w:sz="2" w:space="1" w:color="000000"/>
              </w:pBdr>
              <w:bidi w:val="0"/>
              <w:spacing w:before="0" w:after="0"/>
              <w:jc w:val="left"/>
            </w:pPr>
            <w:r>
              <w:t> </w:t>
            </w:r>
          </w:p>
        </w:tc>
        <w:tc>
          <w:tcPr>
            <w:tcW w:w="115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1" w:type="dxa"/>
            <w:tcBorders/>
            <w:vAlign w:val="bottom"/>
          </w:tcPr>
          <w:p>
            <w:pPr>
              <w:pStyle w:val="TableContents"/>
              <w:pBdr>
                <w:top w:val="single" w:sz="2" w:space="1" w:color="000000"/>
              </w:pBdr>
              <w:bidi w:val="0"/>
              <w:spacing w:before="0" w:after="0"/>
              <w:jc w:val="left"/>
            </w:pPr>
            <w:r>
              <w:t> </w:t>
            </w:r>
          </w:p>
        </w:tc>
        <w:tc>
          <w:tcPr>
            <w:tcW w:w="1194"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83" w:type="dxa"/>
            <w:tcBorders/>
            <w:vAlign w:val="bottom"/>
          </w:tcPr>
          <w:p>
            <w:pPr>
              <w:pStyle w:val="TableContents"/>
              <w:pBdr>
                <w:top w:val="single" w:sz="2" w:space="1" w:color="000000"/>
              </w:pBdr>
              <w:bidi w:val="0"/>
              <w:spacing w:before="0" w:after="0"/>
              <w:jc w:val="left"/>
            </w:pPr>
            <w:r>
              <w:t> </w:t>
            </w:r>
          </w:p>
        </w:tc>
        <w:tc>
          <w:tcPr>
            <w:tcW w:w="9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pBdr>
                <w:top w:val="single" w:sz="2" w:space="1" w:color="000000"/>
              </w:pBdr>
              <w:bidi w:val="0"/>
              <w:spacing w:before="0" w:after="0"/>
              <w:jc w:val="left"/>
            </w:pPr>
            <w:r>
              <w:t> </w:t>
            </w:r>
          </w:p>
        </w:tc>
        <w:tc>
          <w:tcPr>
            <w:tcW w:w="121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56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5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pBdr>
                <w:top w:val="single" w:sz="2" w:space="1" w:color="000000"/>
              </w:pBdr>
              <w:bidi w:val="0"/>
              <w:spacing w:before="0" w:after="0"/>
              <w:jc w:val="left"/>
            </w:pPr>
            <w:r>
              <w:t> </w:t>
            </w:r>
          </w:p>
        </w:tc>
        <w:tc>
          <w:tcPr>
            <w:tcW w:w="103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bl>
    <w:p>
      <w:pPr>
        <w:pStyle w:val="HorizontalLine"/>
        <w:pBdr>
          <w:bottom w:val="double" w:sz="6" w:space="0" w:color="808080"/>
        </w:pBdr>
        <w:bidi w:val="0"/>
        <w:jc w:val="left"/>
      </w:pPr>
      <w:r>
        <w:br w:type="page"/>
      </w: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240" w:after="0"/>
        <w:jc w:val="center"/>
        <w:rPr>
          <w:rFonts w:ascii="Times New Roman" w:hAnsi="Times New Roman"/>
          <w:b/>
          <w:sz w:val="20"/>
        </w:rPr>
      </w:pPr>
      <w:r>
        <w:rPr>
          <w:rFonts w:ascii="Times New Roman" w:hAnsi="Times New Roman"/>
          <w:b/>
          <w:sz w:val="20"/>
        </w:rPr>
        <w:t xml:space="preserve">Reconciliation of Selected Financial Metrics from GAAP to Non-GAAP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pPr>
      <w:r>
        <w:t> </w:t>
      </w:r>
    </w:p>
    <w:tbl>
      <w:tblPr>
        <w:tblW w:w="12505" w:type="dxa"/>
        <w:jc w:val="center"/>
        <w:tblInd w:w="0" w:type="dxa"/>
        <w:tblLayout w:type="fixed"/>
        <w:tblCellMar>
          <w:top w:w="0" w:type="dxa"/>
          <w:left w:w="0" w:type="dxa"/>
          <w:bottom w:w="0" w:type="dxa"/>
          <w:right w:w="0" w:type="dxa"/>
        </w:tblCellMar>
      </w:tblPr>
      <w:tblGrid>
        <w:gridCol w:w="1250"/>
        <w:gridCol w:w="120"/>
        <w:gridCol w:w="140"/>
        <w:gridCol w:w="980"/>
        <w:gridCol w:w="155"/>
        <w:gridCol w:w="60"/>
        <w:gridCol w:w="214"/>
        <w:gridCol w:w="1156"/>
        <w:gridCol w:w="155"/>
        <w:gridCol w:w="60"/>
        <w:gridCol w:w="195"/>
        <w:gridCol w:w="1220"/>
        <w:gridCol w:w="155"/>
        <w:gridCol w:w="60"/>
        <w:gridCol w:w="223"/>
        <w:gridCol w:w="1012"/>
        <w:gridCol w:w="155"/>
        <w:gridCol w:w="60"/>
        <w:gridCol w:w="199"/>
        <w:gridCol w:w="1246"/>
        <w:gridCol w:w="155"/>
        <w:gridCol w:w="60"/>
        <w:gridCol w:w="140"/>
        <w:gridCol w:w="635"/>
        <w:gridCol w:w="155"/>
        <w:gridCol w:w="60"/>
        <w:gridCol w:w="140"/>
        <w:gridCol w:w="755"/>
        <w:gridCol w:w="155"/>
        <w:gridCol w:w="60"/>
        <w:gridCol w:w="152"/>
        <w:gridCol w:w="1068"/>
        <w:gridCol w:w="155"/>
      </w:tblGrid>
      <w:t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125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0980"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Fiscal year ended September 30, 2026</w:t>
            </w:r>
          </w:p>
        </w:tc>
        <w:tc>
          <w:tcPr>
            <w:tcW w:w="155" w:type="dxa"/>
            <w:tcBorders/>
            <w:vAlign w:val="bottom"/>
          </w:tcPr>
          <w:p>
            <w:pPr>
              <w:pStyle w:val="TableContents"/>
              <w:bidi w:val="0"/>
              <w:spacing w:before="0" w:after="283"/>
              <w:jc w:val="left"/>
            </w:pPr>
            <w:r>
              <w:t> </w:t>
            </w:r>
          </w:p>
        </w:tc>
      </w:tr>
      <w:tr>
        <w:tc>
          <w:tcPr>
            <w:tcW w:w="125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Amortization</w:t>
              <w:br/>
              <w:t>of purchased</w:t>
              <w:br/>
              <w:t>intangible</w:t>
              <w:br/>
              <w:t>assets and</w:t>
              <w:br/>
              <w:t>other</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based</w:t>
              <w:br/>
              <w:t>compensation</w:t>
              <w:br/>
              <w:t>expense</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Changes in</w:t>
              <w:br/>
              <w:t>certain</w:t>
              <w:br/>
              <w:t>acquisitions</w:t>
              <w:br/>
              <w:t>related</w:t>
              <w:br/>
              <w:t>liabilities</w:t>
              <w:br/>
              <w:t>measured</w:t>
              <w:br/>
              <w:t>at fair value</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Restructuring</w:t>
              <w:br/>
              <w:t>charges</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pPr>
            <w:r>
              <w:rPr>
                <w:b/>
              </w:rPr>
              <w:t>Tax</w:t>
            </w:r>
            <w:r>
              <w:br/>
            </w:r>
            <w:r>
              <w:rPr>
                <w:b/>
              </w:rPr>
              <w:t>effect</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Non-GAAP</w:t>
            </w:r>
          </w:p>
        </w:tc>
        <w:tc>
          <w:tcPr>
            <w:tcW w:w="155" w:type="dxa"/>
            <w:tcBorders/>
            <w:vAlign w:val="bottom"/>
          </w:tcPr>
          <w:p>
            <w:pPr>
              <w:pStyle w:val="TableContents"/>
              <w:bidi w:val="0"/>
              <w:spacing w:before="0" w:after="283"/>
              <w:jc w:val="left"/>
            </w:pPr>
            <w:r>
              <w:t> </w:t>
            </w:r>
          </w:p>
        </w:tc>
      </w:tr>
      <w:t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10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80" w:type="dxa"/>
            <w:tcBorders/>
            <w:vAlign w:val="bottom"/>
          </w:tcPr>
          <w:p>
            <w:pPr>
              <w:pStyle w:val="TableContents"/>
              <w:bidi w:val="0"/>
              <w:spacing w:before="0" w:after="283"/>
              <w:jc w:val="right"/>
            </w:pPr>
            <w:r>
              <w:t>2,906,352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bidi w:val="0"/>
              <w:spacing w:before="0" w:after="283"/>
              <w:jc w:val="left"/>
            </w:pPr>
            <w:r>
              <w:t>$</w:t>
            </w:r>
          </w:p>
        </w:tc>
        <w:tc>
          <w:tcPr>
            <w:tcW w:w="1156"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w:t>
            </w:r>
          </w:p>
        </w:tc>
        <w:tc>
          <w:tcPr>
            <w:tcW w:w="1220" w:type="dxa"/>
            <w:tcBorders/>
            <w:vAlign w:val="bottom"/>
          </w:tcPr>
          <w:p>
            <w:pPr>
              <w:pStyle w:val="TableContents"/>
              <w:bidi w:val="0"/>
              <w:spacing w:before="0" w:after="283"/>
              <w:jc w:val="right"/>
            </w:pPr>
            <w:r>
              <w:t>(43,191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pPr>
            <w:r>
              <w:t>$</w:t>
            </w:r>
          </w:p>
        </w:tc>
        <w:tc>
          <w:tcPr>
            <w:tcW w:w="1012" w:type="dxa"/>
            <w:tcBorders/>
            <w:vAlign w:val="bottom"/>
          </w:tcPr>
          <w:p>
            <w:pPr>
              <w:pStyle w:val="TableContents"/>
              <w:bidi w:val="0"/>
              <w:spacing w:before="0" w:after="283"/>
              <w:jc w:val="right"/>
            </w:pPr>
            <w:r>
              <w:t>(763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9" w:type="dxa"/>
            <w:tcBorders/>
            <w:vAlign w:val="bottom"/>
          </w:tcPr>
          <w:p>
            <w:pPr>
              <w:pStyle w:val="TableContents"/>
              <w:bidi w:val="0"/>
              <w:spacing w:before="0" w:after="283"/>
              <w:jc w:val="left"/>
            </w:pPr>
            <w:r>
              <w:t>$</w:t>
            </w:r>
          </w:p>
        </w:tc>
        <w:tc>
          <w:tcPr>
            <w:tcW w:w="1246"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63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75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2" w:type="dxa"/>
            <w:tcBorders/>
            <w:vAlign w:val="bottom"/>
          </w:tcPr>
          <w:p>
            <w:pPr>
              <w:pStyle w:val="TableContents"/>
              <w:bidi w:val="0"/>
              <w:spacing w:before="0" w:after="283"/>
              <w:jc w:val="left"/>
            </w:pPr>
            <w:r>
              <w:t>$</w:t>
            </w:r>
          </w:p>
        </w:tc>
        <w:tc>
          <w:tcPr>
            <w:tcW w:w="1068" w:type="dxa"/>
            <w:tcBorders/>
            <w:vAlign w:val="bottom"/>
          </w:tcPr>
          <w:p>
            <w:pPr>
              <w:pStyle w:val="TableContents"/>
              <w:bidi w:val="0"/>
              <w:spacing w:before="0" w:after="283"/>
              <w:jc w:val="right"/>
            </w:pPr>
            <w:r>
              <w:t>2,862,398</w:t>
            </w:r>
          </w:p>
        </w:tc>
        <w:tc>
          <w:tcPr>
            <w:tcW w:w="155" w:type="dxa"/>
            <w:tcBorders/>
            <w:vAlign w:val="bottom"/>
          </w:tcPr>
          <w:p>
            <w:pPr>
              <w:pStyle w:val="TableContents"/>
              <w:bidi w:val="0"/>
              <w:spacing w:before="0" w:after="283"/>
              <w:jc w:val="left"/>
            </w:pPr>
            <w:r>
              <w:t> </w:t>
            </w:r>
          </w:p>
        </w:tc>
      </w:tr>
      <w:t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335,460</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20" w:type="dxa"/>
            <w:tcBorders/>
            <w:shd w:fill="CCEEFF" w:val="clear"/>
            <w:vAlign w:val="bottom"/>
          </w:tcPr>
          <w:p>
            <w:pPr>
              <w:pStyle w:val="TableContents"/>
              <w:bidi w:val="0"/>
              <w:spacing w:before="0" w:after="283"/>
              <w:jc w:val="right"/>
            </w:pPr>
            <w:r>
              <w:t>(7,642</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10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52" w:type="dxa"/>
            <w:tcBorders/>
            <w:shd w:fill="CCEEFF" w:val="clear"/>
            <w:vAlign w:val="bottom"/>
          </w:tcPr>
          <w:p>
            <w:pPr>
              <w:pStyle w:val="TableContents"/>
              <w:bidi w:val="0"/>
              <w:spacing w:before="0" w:after="283"/>
              <w:jc w:val="left"/>
            </w:pPr>
            <w:r>
              <w:t> </w:t>
            </w:r>
          </w:p>
        </w:tc>
        <w:tc>
          <w:tcPr>
            <w:tcW w:w="1068" w:type="dxa"/>
            <w:tcBorders/>
            <w:shd w:fill="CCEEFF" w:val="clear"/>
            <w:vAlign w:val="bottom"/>
          </w:tcPr>
          <w:p>
            <w:pPr>
              <w:pStyle w:val="TableContents"/>
              <w:bidi w:val="0"/>
              <w:spacing w:before="0" w:after="283"/>
              <w:jc w:val="right"/>
            </w:pPr>
            <w:r>
              <w:t>327,818</w:t>
            </w:r>
          </w:p>
        </w:tc>
        <w:tc>
          <w:tcPr>
            <w:tcW w:w="155" w:type="dxa"/>
            <w:tcBorders/>
            <w:shd w:fill="CCEEFF" w:val="clear"/>
            <w:vAlign w:val="bottom"/>
          </w:tcPr>
          <w:p>
            <w:pPr>
              <w:pStyle w:val="TableContents"/>
              <w:bidi w:val="0"/>
              <w:spacing w:before="0" w:after="283"/>
              <w:jc w:val="left"/>
            </w:pPr>
            <w:r>
              <w:t> </w:t>
            </w:r>
          </w:p>
        </w:tc>
      </w:tr>
      <w:t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540,522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20" w:type="dxa"/>
            <w:tcBorders/>
            <w:vAlign w:val="bottom"/>
          </w:tcPr>
          <w:p>
            <w:pPr>
              <w:pStyle w:val="TableContents"/>
              <w:bidi w:val="0"/>
              <w:spacing w:before="0" w:after="283"/>
              <w:jc w:val="right"/>
            </w:pPr>
            <w:r>
              <w:t>(54,230</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pPr>
            <w:r>
              <w:t> </w:t>
            </w:r>
          </w:p>
        </w:tc>
        <w:tc>
          <w:tcPr>
            <w:tcW w:w="1012" w:type="dxa"/>
            <w:tcBorders/>
            <w:vAlign w:val="bottom"/>
          </w:tcPr>
          <w:p>
            <w:pPr>
              <w:pStyle w:val="TableContents"/>
              <w:bidi w:val="0"/>
              <w:spacing w:before="0" w:after="283"/>
              <w:jc w:val="right"/>
            </w:pPr>
            <w:r>
              <w:t>7,622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9" w:type="dxa"/>
            <w:tcBorders/>
            <w:vAlign w:val="bottom"/>
          </w:tcPr>
          <w:p>
            <w:pPr>
              <w:pStyle w:val="TableContents"/>
              <w:bidi w:val="0"/>
              <w:spacing w:before="0" w:after="283"/>
              <w:jc w:val="left"/>
              <w:rPr>
                <w:sz w:val="4"/>
                <w:szCs w:val="4"/>
              </w:rPr>
            </w:pPr>
            <w:r>
              <w:rPr>
                <w:sz w:val="4"/>
                <w:szCs w:val="4"/>
              </w:rPr>
            </w:r>
          </w:p>
        </w:tc>
        <w:tc>
          <w:tcPr>
            <w:tcW w:w="12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52" w:type="dxa"/>
            <w:tcBorders/>
            <w:vAlign w:val="bottom"/>
          </w:tcPr>
          <w:p>
            <w:pPr>
              <w:pStyle w:val="TableContents"/>
              <w:bidi w:val="0"/>
              <w:spacing w:before="0" w:after="283"/>
              <w:jc w:val="left"/>
            </w:pPr>
            <w:r>
              <w:t> </w:t>
            </w:r>
          </w:p>
        </w:tc>
        <w:tc>
          <w:tcPr>
            <w:tcW w:w="1068" w:type="dxa"/>
            <w:tcBorders/>
            <w:vAlign w:val="bottom"/>
          </w:tcPr>
          <w:p>
            <w:pPr>
              <w:pStyle w:val="TableContents"/>
              <w:bidi w:val="0"/>
              <w:spacing w:before="0" w:after="283"/>
              <w:jc w:val="right"/>
            </w:pPr>
            <w:r>
              <w:t>493,914</w:t>
            </w:r>
          </w:p>
        </w:tc>
        <w:tc>
          <w:tcPr>
            <w:tcW w:w="155" w:type="dxa"/>
            <w:tcBorders/>
            <w:vAlign w:val="bottom"/>
          </w:tcPr>
          <w:p>
            <w:pPr>
              <w:pStyle w:val="TableContents"/>
              <w:bidi w:val="0"/>
              <w:spacing w:before="0" w:after="283"/>
              <w:jc w:val="left"/>
            </w:pPr>
            <w:r>
              <w:t> </w:t>
            </w:r>
          </w:p>
        </w:tc>
      </w:tr>
      <w:t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77,828</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14" w:type="dxa"/>
            <w:tcBorders/>
            <w:shd w:fill="CCEEFF" w:val="clear"/>
            <w:vAlign w:val="bottom"/>
          </w:tcPr>
          <w:p>
            <w:pPr>
              <w:pStyle w:val="TableContents"/>
              <w:bidi w:val="0"/>
              <w:spacing w:before="0" w:after="283"/>
              <w:jc w:val="left"/>
            </w:pPr>
            <w:r>
              <w:t> </w:t>
            </w:r>
          </w:p>
        </w:tc>
        <w:tc>
          <w:tcPr>
            <w:tcW w:w="1156" w:type="dxa"/>
            <w:tcBorders/>
            <w:shd w:fill="CCEEFF" w:val="clear"/>
            <w:vAlign w:val="bottom"/>
          </w:tcPr>
          <w:p>
            <w:pPr>
              <w:pStyle w:val="TableContents"/>
              <w:bidi w:val="0"/>
              <w:spacing w:before="0" w:after="283"/>
              <w:jc w:val="right"/>
            </w:pPr>
            <w:r>
              <w:t>(77,828</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10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52" w:type="dxa"/>
            <w:tcBorders/>
            <w:shd w:fill="CCEEFF" w:val="clear"/>
            <w:vAlign w:val="bottom"/>
          </w:tcPr>
          <w:p>
            <w:pPr>
              <w:pStyle w:val="TableContents"/>
              <w:bidi w:val="0"/>
              <w:spacing w:before="0" w:after="283"/>
              <w:jc w:val="left"/>
            </w:pPr>
            <w:r>
              <w:t> </w:t>
            </w:r>
          </w:p>
        </w:tc>
        <w:tc>
          <w:tcPr>
            <w:tcW w:w="1068"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r>
      <w:t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153,476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rPr>
                <w:sz w:val="4"/>
                <w:szCs w:val="4"/>
              </w:rPr>
            </w:pPr>
            <w:r>
              <w:rPr>
                <w:sz w:val="4"/>
                <w:szCs w:val="4"/>
              </w:rPr>
            </w:r>
          </w:p>
        </w:tc>
        <w:tc>
          <w:tcPr>
            <w:tcW w:w="10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99" w:type="dxa"/>
            <w:tcBorders/>
            <w:vAlign w:val="bottom"/>
          </w:tcPr>
          <w:p>
            <w:pPr>
              <w:pStyle w:val="TableContents"/>
              <w:bidi w:val="0"/>
              <w:spacing w:before="0" w:after="283"/>
              <w:jc w:val="left"/>
            </w:pPr>
            <w:r>
              <w:t> </w:t>
            </w:r>
          </w:p>
        </w:tc>
        <w:tc>
          <w:tcPr>
            <w:tcW w:w="1246" w:type="dxa"/>
            <w:tcBorders/>
            <w:vAlign w:val="bottom"/>
          </w:tcPr>
          <w:p>
            <w:pPr>
              <w:pStyle w:val="TableContents"/>
              <w:bidi w:val="0"/>
              <w:spacing w:before="0" w:after="283"/>
              <w:jc w:val="right"/>
            </w:pPr>
            <w:r>
              <w:t>(153,476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52" w:type="dxa"/>
            <w:tcBorders/>
            <w:vAlign w:val="bottom"/>
          </w:tcPr>
          <w:p>
            <w:pPr>
              <w:pStyle w:val="TableContents"/>
              <w:bidi w:val="0"/>
              <w:spacing w:before="0" w:after="283"/>
              <w:jc w:val="left"/>
            </w:pPr>
            <w:r>
              <w:t> </w:t>
            </w:r>
          </w:p>
        </w:tc>
        <w:tc>
          <w:tcPr>
            <w:tcW w:w="1068"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r>
      <w:t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pBdr>
                <w:top w:val="single" w:sz="2" w:space="1" w:color="000000"/>
              </w:pBdr>
              <w:bidi w:val="0"/>
              <w:spacing w:before="0" w:after="0"/>
              <w:jc w:val="left"/>
            </w:pPr>
            <w:r>
              <w:t> </w:t>
            </w:r>
          </w:p>
        </w:tc>
        <w:tc>
          <w:tcPr>
            <w:tcW w:w="115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2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pBdr>
                <w:top w:val="single" w:sz="2" w:space="1" w:color="000000"/>
              </w:pBdr>
              <w:bidi w:val="0"/>
              <w:spacing w:before="0" w:after="0"/>
              <w:jc w:val="left"/>
            </w:pPr>
            <w:r>
              <w:t> </w:t>
            </w:r>
          </w:p>
        </w:tc>
        <w:tc>
          <w:tcPr>
            <w:tcW w:w="101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9" w:type="dxa"/>
            <w:tcBorders/>
            <w:vAlign w:val="bottom"/>
          </w:tcPr>
          <w:p>
            <w:pPr>
              <w:pStyle w:val="TableContents"/>
              <w:pBdr>
                <w:top w:val="single" w:sz="2" w:space="1" w:color="000000"/>
              </w:pBdr>
              <w:bidi w:val="0"/>
              <w:spacing w:before="0" w:after="0"/>
              <w:jc w:val="left"/>
            </w:pPr>
            <w:r>
              <w:t> </w:t>
            </w:r>
          </w:p>
        </w:tc>
        <w:tc>
          <w:tcPr>
            <w:tcW w:w="124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3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5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2" w:type="dxa"/>
            <w:tcBorders/>
            <w:vAlign w:val="bottom"/>
          </w:tcPr>
          <w:p>
            <w:pPr>
              <w:pStyle w:val="TableContents"/>
              <w:pBdr>
                <w:top w:val="single" w:sz="2" w:space="1" w:color="000000"/>
              </w:pBdr>
              <w:bidi w:val="0"/>
              <w:spacing w:before="0" w:after="0"/>
              <w:jc w:val="left"/>
            </w:pPr>
            <w:r>
              <w:t> </w:t>
            </w:r>
          </w:p>
        </w:tc>
        <w:tc>
          <w:tcPr>
            <w:tcW w:w="1068"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4,013,638</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14" w:type="dxa"/>
            <w:tcBorders/>
            <w:shd w:fill="CCEEFF" w:val="clear"/>
            <w:vAlign w:val="bottom"/>
          </w:tcPr>
          <w:p>
            <w:pPr>
              <w:pStyle w:val="TableContents"/>
              <w:bidi w:val="0"/>
              <w:spacing w:before="0" w:after="283"/>
              <w:jc w:val="left"/>
            </w:pPr>
            <w:r>
              <w:t> </w:t>
            </w:r>
          </w:p>
        </w:tc>
        <w:tc>
          <w:tcPr>
            <w:tcW w:w="1156" w:type="dxa"/>
            <w:tcBorders/>
            <w:shd w:fill="CCEEFF" w:val="clear"/>
            <w:vAlign w:val="bottom"/>
          </w:tcPr>
          <w:p>
            <w:pPr>
              <w:pStyle w:val="TableContents"/>
              <w:bidi w:val="0"/>
              <w:spacing w:before="0" w:after="283"/>
              <w:jc w:val="right"/>
            </w:pPr>
            <w:r>
              <w:t>(77,828</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20" w:type="dxa"/>
            <w:tcBorders/>
            <w:shd w:fill="CCEEFF" w:val="clear"/>
            <w:vAlign w:val="bottom"/>
          </w:tcPr>
          <w:p>
            <w:pPr>
              <w:pStyle w:val="TableContents"/>
              <w:bidi w:val="0"/>
              <w:spacing w:before="0" w:after="283"/>
              <w:jc w:val="right"/>
            </w:pPr>
            <w:r>
              <w:t>(105,063</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23" w:type="dxa"/>
            <w:tcBorders/>
            <w:shd w:fill="CCEEFF" w:val="clear"/>
            <w:vAlign w:val="bottom"/>
          </w:tcPr>
          <w:p>
            <w:pPr>
              <w:pStyle w:val="TableContents"/>
              <w:bidi w:val="0"/>
              <w:spacing w:before="0" w:after="283"/>
              <w:jc w:val="left"/>
            </w:pPr>
            <w:r>
              <w:t> </w:t>
            </w:r>
          </w:p>
        </w:tc>
        <w:tc>
          <w:tcPr>
            <w:tcW w:w="1012" w:type="dxa"/>
            <w:tcBorders/>
            <w:shd w:fill="CCEEFF" w:val="clear"/>
            <w:vAlign w:val="bottom"/>
          </w:tcPr>
          <w:p>
            <w:pPr>
              <w:pStyle w:val="TableContents"/>
              <w:bidi w:val="0"/>
              <w:spacing w:before="0" w:after="283"/>
              <w:jc w:val="right"/>
            </w:pPr>
            <w:r>
              <w:t>6,859</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99"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right"/>
            </w:pPr>
            <w:r>
              <w:t>(153,476</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52" w:type="dxa"/>
            <w:tcBorders/>
            <w:shd w:fill="CCEEFF" w:val="clear"/>
            <w:vAlign w:val="bottom"/>
          </w:tcPr>
          <w:p>
            <w:pPr>
              <w:pStyle w:val="TableContents"/>
              <w:bidi w:val="0"/>
              <w:spacing w:before="0" w:after="283"/>
              <w:jc w:val="left"/>
            </w:pPr>
            <w:r>
              <w:t> </w:t>
            </w:r>
          </w:p>
        </w:tc>
        <w:tc>
          <w:tcPr>
            <w:tcW w:w="1068" w:type="dxa"/>
            <w:tcBorders/>
            <w:shd w:fill="CCEEFF" w:val="clear"/>
            <w:vAlign w:val="bottom"/>
          </w:tcPr>
          <w:p>
            <w:pPr>
              <w:pStyle w:val="TableContents"/>
              <w:bidi w:val="0"/>
              <w:spacing w:before="0" w:after="283"/>
              <w:jc w:val="right"/>
            </w:pPr>
            <w:r>
              <w:t>3,684,130</w:t>
            </w:r>
          </w:p>
        </w:tc>
        <w:tc>
          <w:tcPr>
            <w:tcW w:w="155" w:type="dxa"/>
            <w:tcBorders/>
            <w:shd w:fill="CCEEFF" w:val="clear"/>
            <w:vAlign w:val="bottom"/>
          </w:tcPr>
          <w:p>
            <w:pPr>
              <w:pStyle w:val="TableContents"/>
              <w:bidi w:val="0"/>
              <w:spacing w:before="0" w:after="283"/>
              <w:jc w:val="left"/>
            </w:pPr>
            <w:r>
              <w:t> </w:t>
            </w:r>
          </w:p>
        </w:tc>
      </w:tr>
      <w:t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pBdr>
                <w:top w:val="single" w:sz="2" w:space="1" w:color="000000"/>
              </w:pBdr>
              <w:bidi w:val="0"/>
              <w:spacing w:before="0" w:after="0"/>
              <w:jc w:val="left"/>
            </w:pPr>
            <w:r>
              <w:t> </w:t>
            </w:r>
          </w:p>
        </w:tc>
        <w:tc>
          <w:tcPr>
            <w:tcW w:w="115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2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pBdr>
                <w:top w:val="single" w:sz="2" w:space="1" w:color="000000"/>
              </w:pBdr>
              <w:bidi w:val="0"/>
              <w:spacing w:before="0" w:after="0"/>
              <w:jc w:val="left"/>
            </w:pPr>
            <w:r>
              <w:t> </w:t>
            </w:r>
          </w:p>
        </w:tc>
        <w:tc>
          <w:tcPr>
            <w:tcW w:w="101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9" w:type="dxa"/>
            <w:tcBorders/>
            <w:vAlign w:val="bottom"/>
          </w:tcPr>
          <w:p>
            <w:pPr>
              <w:pStyle w:val="TableContents"/>
              <w:pBdr>
                <w:top w:val="single" w:sz="2" w:space="1" w:color="000000"/>
              </w:pBdr>
              <w:bidi w:val="0"/>
              <w:spacing w:before="0" w:after="0"/>
              <w:jc w:val="left"/>
            </w:pPr>
            <w:r>
              <w:t> </w:t>
            </w:r>
          </w:p>
        </w:tc>
        <w:tc>
          <w:tcPr>
            <w:tcW w:w="124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3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5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2" w:type="dxa"/>
            <w:tcBorders/>
            <w:vAlign w:val="bottom"/>
          </w:tcPr>
          <w:p>
            <w:pPr>
              <w:pStyle w:val="TableContents"/>
              <w:pBdr>
                <w:top w:val="single" w:sz="2" w:space="1" w:color="000000"/>
              </w:pBdr>
              <w:bidi w:val="0"/>
              <w:spacing w:before="0" w:after="0"/>
              <w:jc w:val="left"/>
            </w:pPr>
            <w:r>
              <w:t> </w:t>
            </w:r>
          </w:p>
        </w:tc>
        <w:tc>
          <w:tcPr>
            <w:tcW w:w="1068"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682,944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bidi w:val="0"/>
              <w:spacing w:before="0" w:after="283"/>
              <w:jc w:val="left"/>
            </w:pPr>
            <w:r>
              <w:t> </w:t>
            </w:r>
          </w:p>
        </w:tc>
        <w:tc>
          <w:tcPr>
            <w:tcW w:w="1156" w:type="dxa"/>
            <w:tcBorders/>
            <w:vAlign w:val="bottom"/>
          </w:tcPr>
          <w:p>
            <w:pPr>
              <w:pStyle w:val="TableContents"/>
              <w:bidi w:val="0"/>
              <w:spacing w:before="0" w:after="283"/>
              <w:jc w:val="right"/>
            </w:pPr>
            <w:r>
              <w:t>77,828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20" w:type="dxa"/>
            <w:tcBorders/>
            <w:vAlign w:val="bottom"/>
          </w:tcPr>
          <w:p>
            <w:pPr>
              <w:pStyle w:val="TableContents"/>
              <w:bidi w:val="0"/>
              <w:spacing w:before="0" w:after="283"/>
              <w:jc w:val="right"/>
            </w:pPr>
            <w:r>
              <w:t>105,063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pPr>
            <w:r>
              <w:t> </w:t>
            </w:r>
          </w:p>
        </w:tc>
        <w:tc>
          <w:tcPr>
            <w:tcW w:w="1012" w:type="dxa"/>
            <w:tcBorders/>
            <w:vAlign w:val="bottom"/>
          </w:tcPr>
          <w:p>
            <w:pPr>
              <w:pStyle w:val="TableContents"/>
              <w:bidi w:val="0"/>
              <w:spacing w:before="0" w:after="283"/>
              <w:jc w:val="right"/>
            </w:pPr>
            <w:r>
              <w:t>(6,859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9" w:type="dxa"/>
            <w:tcBorders/>
            <w:vAlign w:val="bottom"/>
          </w:tcPr>
          <w:p>
            <w:pPr>
              <w:pStyle w:val="TableContents"/>
              <w:bidi w:val="0"/>
              <w:spacing w:before="0" w:after="283"/>
              <w:jc w:val="left"/>
            </w:pPr>
            <w:r>
              <w:t> </w:t>
            </w:r>
          </w:p>
        </w:tc>
        <w:tc>
          <w:tcPr>
            <w:tcW w:w="1246" w:type="dxa"/>
            <w:tcBorders/>
            <w:vAlign w:val="bottom"/>
          </w:tcPr>
          <w:p>
            <w:pPr>
              <w:pStyle w:val="TableContents"/>
              <w:bidi w:val="0"/>
              <w:spacing w:before="0" w:after="283"/>
              <w:jc w:val="right"/>
            </w:pPr>
            <w:r>
              <w:t>153,476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52" w:type="dxa"/>
            <w:tcBorders/>
            <w:vAlign w:val="bottom"/>
          </w:tcPr>
          <w:p>
            <w:pPr>
              <w:pStyle w:val="TableContents"/>
              <w:bidi w:val="0"/>
              <w:spacing w:before="0" w:after="283"/>
              <w:jc w:val="left"/>
            </w:pPr>
            <w:r>
              <w:t> </w:t>
            </w:r>
          </w:p>
        </w:tc>
        <w:tc>
          <w:tcPr>
            <w:tcW w:w="1068" w:type="dxa"/>
            <w:tcBorders/>
            <w:vAlign w:val="bottom"/>
          </w:tcPr>
          <w:p>
            <w:pPr>
              <w:pStyle w:val="TableContents"/>
              <w:bidi w:val="0"/>
              <w:spacing w:before="0" w:after="283"/>
              <w:jc w:val="right"/>
            </w:pPr>
            <w:r>
              <w:t>1,012,452</w:t>
            </w:r>
          </w:p>
        </w:tc>
        <w:tc>
          <w:tcPr>
            <w:tcW w:w="155" w:type="dxa"/>
            <w:tcBorders/>
            <w:vAlign w:val="bottom"/>
          </w:tcPr>
          <w:p>
            <w:pPr>
              <w:pStyle w:val="TableContents"/>
              <w:bidi w:val="0"/>
              <w:spacing w:before="0" w:after="283"/>
              <w:jc w:val="left"/>
            </w:pPr>
            <w:r>
              <w:t> </w:t>
            </w:r>
          </w:p>
        </w:tc>
      </w:tr>
      <w:t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(47,177</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10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35" w:type="dxa"/>
            <w:tcBorders/>
            <w:shd w:fill="CCEEFF" w:val="clear"/>
            <w:vAlign w:val="bottom"/>
          </w:tcPr>
          <w:p>
            <w:pPr>
              <w:pStyle w:val="TableContents"/>
              <w:bidi w:val="0"/>
              <w:spacing w:before="0" w:after="283"/>
              <w:jc w:val="right"/>
            </w:pPr>
            <w:r>
              <w:t>(4,069</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52" w:type="dxa"/>
            <w:tcBorders/>
            <w:shd w:fill="CCEEFF" w:val="clear"/>
            <w:vAlign w:val="bottom"/>
          </w:tcPr>
          <w:p>
            <w:pPr>
              <w:pStyle w:val="TableContents"/>
              <w:bidi w:val="0"/>
              <w:spacing w:before="0" w:after="283"/>
              <w:jc w:val="left"/>
            </w:pPr>
            <w:r>
              <w:t> </w:t>
            </w:r>
          </w:p>
        </w:tc>
        <w:tc>
          <w:tcPr>
            <w:tcW w:w="1068" w:type="dxa"/>
            <w:tcBorders/>
            <w:shd w:fill="CCEEFF" w:val="clear"/>
            <w:vAlign w:val="bottom"/>
          </w:tcPr>
          <w:p>
            <w:pPr>
              <w:pStyle w:val="TableContents"/>
              <w:bidi w:val="0"/>
              <w:spacing w:before="0" w:after="283"/>
              <w:jc w:val="right"/>
            </w:pPr>
            <w:r>
              <w:t>(51,246</w:t>
            </w:r>
          </w:p>
        </w:tc>
        <w:tc>
          <w:tcPr>
            <w:tcW w:w="155" w:type="dxa"/>
            <w:tcBorders/>
            <w:shd w:fill="CCEEFF" w:val="clear"/>
            <w:vAlign w:val="bottom"/>
          </w:tcPr>
          <w:p>
            <w:pPr>
              <w:pStyle w:val="TableContents"/>
              <w:bidi w:val="0"/>
              <w:spacing w:before="0" w:after="283"/>
              <w:jc w:val="left"/>
            </w:pPr>
            <w:r>
              <w:t>) </w:t>
            </w:r>
          </w:p>
        </w:tc>
      </w:tr>
      <w:t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134,525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rPr>
                <w:sz w:val="4"/>
                <w:szCs w:val="4"/>
              </w:rPr>
            </w:pPr>
            <w:r>
              <w:rPr>
                <w:sz w:val="4"/>
                <w:szCs w:val="4"/>
              </w:rPr>
            </w:r>
          </w:p>
        </w:tc>
        <w:tc>
          <w:tcPr>
            <w:tcW w:w="10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99" w:type="dxa"/>
            <w:tcBorders/>
            <w:vAlign w:val="bottom"/>
          </w:tcPr>
          <w:p>
            <w:pPr>
              <w:pStyle w:val="TableContents"/>
              <w:bidi w:val="0"/>
              <w:spacing w:before="0" w:after="283"/>
              <w:jc w:val="left"/>
              <w:rPr>
                <w:sz w:val="4"/>
                <w:szCs w:val="4"/>
              </w:rPr>
            </w:pPr>
            <w:r>
              <w:rPr>
                <w:sz w:val="4"/>
                <w:szCs w:val="4"/>
              </w:rPr>
            </w:r>
          </w:p>
        </w:tc>
        <w:tc>
          <w:tcPr>
            <w:tcW w:w="12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55" w:type="dxa"/>
            <w:tcBorders/>
            <w:vAlign w:val="bottom"/>
          </w:tcPr>
          <w:p>
            <w:pPr>
              <w:pStyle w:val="TableContents"/>
              <w:bidi w:val="0"/>
              <w:spacing w:before="0" w:after="283"/>
              <w:jc w:val="right"/>
            </w:pPr>
            <w:r>
              <w:t>35,012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2" w:type="dxa"/>
            <w:tcBorders/>
            <w:vAlign w:val="bottom"/>
          </w:tcPr>
          <w:p>
            <w:pPr>
              <w:pStyle w:val="TableContents"/>
              <w:bidi w:val="0"/>
              <w:spacing w:before="0" w:after="283"/>
              <w:jc w:val="left"/>
            </w:pPr>
            <w:r>
              <w:t> </w:t>
            </w:r>
          </w:p>
        </w:tc>
        <w:tc>
          <w:tcPr>
            <w:tcW w:w="1068" w:type="dxa"/>
            <w:tcBorders/>
            <w:vAlign w:val="bottom"/>
          </w:tcPr>
          <w:p>
            <w:pPr>
              <w:pStyle w:val="TableContents"/>
              <w:bidi w:val="0"/>
              <w:spacing w:before="0" w:after="283"/>
              <w:jc w:val="right"/>
            </w:pPr>
            <w:r>
              <w:t>169,537</w:t>
            </w:r>
          </w:p>
        </w:tc>
        <w:tc>
          <w:tcPr>
            <w:tcW w:w="155" w:type="dxa"/>
            <w:tcBorders/>
            <w:vAlign w:val="bottom"/>
          </w:tcPr>
          <w:p>
            <w:pPr>
              <w:pStyle w:val="TableContents"/>
              <w:bidi w:val="0"/>
              <w:spacing w:before="0" w:after="283"/>
              <w:jc w:val="left"/>
            </w:pPr>
            <w:r>
              <w:t> </w:t>
            </w:r>
          </w:p>
        </w:tc>
      </w:tr>
      <w:t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pBdr>
                <w:top w:val="single" w:sz="2" w:space="1" w:color="000000"/>
              </w:pBdr>
              <w:bidi w:val="0"/>
              <w:spacing w:before="0" w:after="0"/>
              <w:jc w:val="left"/>
            </w:pPr>
            <w:r>
              <w:t> </w:t>
            </w:r>
          </w:p>
        </w:tc>
        <w:tc>
          <w:tcPr>
            <w:tcW w:w="115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2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pBdr>
                <w:top w:val="single" w:sz="2" w:space="1" w:color="000000"/>
              </w:pBdr>
              <w:bidi w:val="0"/>
              <w:spacing w:before="0" w:after="0"/>
              <w:jc w:val="left"/>
            </w:pPr>
            <w:r>
              <w:t> </w:t>
            </w:r>
          </w:p>
        </w:tc>
        <w:tc>
          <w:tcPr>
            <w:tcW w:w="101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9" w:type="dxa"/>
            <w:tcBorders/>
            <w:vAlign w:val="bottom"/>
          </w:tcPr>
          <w:p>
            <w:pPr>
              <w:pStyle w:val="TableContents"/>
              <w:pBdr>
                <w:top w:val="single" w:sz="2" w:space="1" w:color="000000"/>
              </w:pBdr>
              <w:bidi w:val="0"/>
              <w:spacing w:before="0" w:after="0"/>
              <w:jc w:val="left"/>
            </w:pPr>
            <w:r>
              <w:t> </w:t>
            </w:r>
          </w:p>
        </w:tc>
        <w:tc>
          <w:tcPr>
            <w:tcW w:w="124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3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5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2" w:type="dxa"/>
            <w:tcBorders/>
            <w:vAlign w:val="bottom"/>
          </w:tcPr>
          <w:p>
            <w:pPr>
              <w:pStyle w:val="TableContents"/>
              <w:pBdr>
                <w:top w:val="single" w:sz="2" w:space="1" w:color="000000"/>
              </w:pBdr>
              <w:bidi w:val="0"/>
              <w:spacing w:before="0" w:after="0"/>
              <w:jc w:val="left"/>
            </w:pPr>
            <w:r>
              <w:t> </w:t>
            </w:r>
          </w:p>
        </w:tc>
        <w:tc>
          <w:tcPr>
            <w:tcW w:w="1068"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501,242</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14" w:type="dxa"/>
            <w:tcBorders/>
            <w:shd w:fill="CCEEFF" w:val="clear"/>
            <w:vAlign w:val="bottom"/>
          </w:tcPr>
          <w:p>
            <w:pPr>
              <w:pStyle w:val="TableContents"/>
              <w:bidi w:val="0"/>
              <w:spacing w:before="0" w:after="283"/>
              <w:jc w:val="left"/>
            </w:pPr>
            <w:r>
              <w:t> </w:t>
            </w:r>
          </w:p>
        </w:tc>
        <w:tc>
          <w:tcPr>
            <w:tcW w:w="1156" w:type="dxa"/>
            <w:tcBorders/>
            <w:shd w:fill="CCEEFF" w:val="clear"/>
            <w:vAlign w:val="bottom"/>
          </w:tcPr>
          <w:p>
            <w:pPr>
              <w:pStyle w:val="TableContents"/>
              <w:bidi w:val="0"/>
              <w:spacing w:before="0" w:after="283"/>
              <w:jc w:val="right"/>
            </w:pPr>
            <w:r>
              <w:t>77,828</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20" w:type="dxa"/>
            <w:tcBorders/>
            <w:shd w:fill="CCEEFF" w:val="clear"/>
            <w:vAlign w:val="bottom"/>
          </w:tcPr>
          <w:p>
            <w:pPr>
              <w:pStyle w:val="TableContents"/>
              <w:bidi w:val="0"/>
              <w:spacing w:before="0" w:after="283"/>
              <w:jc w:val="right"/>
            </w:pPr>
            <w:r>
              <w:t>105,063</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23" w:type="dxa"/>
            <w:tcBorders/>
            <w:shd w:fill="CCEEFF" w:val="clear"/>
            <w:vAlign w:val="bottom"/>
          </w:tcPr>
          <w:p>
            <w:pPr>
              <w:pStyle w:val="TableContents"/>
              <w:bidi w:val="0"/>
              <w:spacing w:before="0" w:after="283"/>
              <w:jc w:val="left"/>
            </w:pPr>
            <w:r>
              <w:t> </w:t>
            </w:r>
          </w:p>
        </w:tc>
        <w:tc>
          <w:tcPr>
            <w:tcW w:w="1012" w:type="dxa"/>
            <w:tcBorders/>
            <w:shd w:fill="CCEEFF" w:val="clear"/>
            <w:vAlign w:val="bottom"/>
          </w:tcPr>
          <w:p>
            <w:pPr>
              <w:pStyle w:val="TableContents"/>
              <w:bidi w:val="0"/>
              <w:spacing w:before="0" w:after="283"/>
              <w:jc w:val="right"/>
            </w:pPr>
            <w:r>
              <w:t>(6,859</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99"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right"/>
            </w:pPr>
            <w:r>
              <w:t>153,476</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35" w:type="dxa"/>
            <w:tcBorders/>
            <w:shd w:fill="CCEEFF" w:val="clear"/>
            <w:vAlign w:val="bottom"/>
          </w:tcPr>
          <w:p>
            <w:pPr>
              <w:pStyle w:val="TableContents"/>
              <w:bidi w:val="0"/>
              <w:spacing w:before="0" w:after="283"/>
              <w:jc w:val="right"/>
            </w:pPr>
            <w:r>
              <w:t>(4,069</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55" w:type="dxa"/>
            <w:tcBorders/>
            <w:shd w:fill="CCEEFF" w:val="clear"/>
            <w:vAlign w:val="bottom"/>
          </w:tcPr>
          <w:p>
            <w:pPr>
              <w:pStyle w:val="TableContents"/>
              <w:bidi w:val="0"/>
              <w:spacing w:before="0" w:after="283"/>
              <w:jc w:val="right"/>
            </w:pPr>
            <w:r>
              <w:t>(35,012</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52" w:type="dxa"/>
            <w:tcBorders/>
            <w:shd w:fill="CCEEFF" w:val="clear"/>
            <w:vAlign w:val="bottom"/>
          </w:tcPr>
          <w:p>
            <w:pPr>
              <w:pStyle w:val="TableContents"/>
              <w:bidi w:val="0"/>
              <w:spacing w:before="0" w:after="283"/>
              <w:jc w:val="left"/>
            </w:pPr>
            <w:r>
              <w:t> </w:t>
            </w:r>
          </w:p>
        </w:tc>
        <w:tc>
          <w:tcPr>
            <w:tcW w:w="1068" w:type="dxa"/>
            <w:tcBorders/>
            <w:shd w:fill="CCEEFF" w:val="clear"/>
            <w:vAlign w:val="bottom"/>
          </w:tcPr>
          <w:p>
            <w:pPr>
              <w:pStyle w:val="TableContents"/>
              <w:bidi w:val="0"/>
              <w:spacing w:before="0" w:after="283"/>
              <w:jc w:val="right"/>
            </w:pPr>
            <w:r>
              <w:t>791,669</w:t>
            </w:r>
          </w:p>
        </w:tc>
        <w:tc>
          <w:tcPr>
            <w:tcW w:w="155" w:type="dxa"/>
            <w:tcBorders/>
            <w:shd w:fill="CCEEFF" w:val="clear"/>
            <w:vAlign w:val="bottom"/>
          </w:tcPr>
          <w:p>
            <w:pPr>
              <w:pStyle w:val="TableContents"/>
              <w:bidi w:val="0"/>
              <w:spacing w:before="0" w:after="283"/>
              <w:jc w:val="left"/>
            </w:pPr>
            <w:r>
              <w:t> </w:t>
            </w:r>
          </w:p>
        </w:tc>
      </w:tr>
      <w:t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pBdr>
                <w:top w:val="single" w:sz="2" w:space="1" w:color="000000"/>
              </w:pBdr>
              <w:bidi w:val="0"/>
              <w:spacing w:before="0" w:after="0"/>
              <w:jc w:val="left"/>
            </w:pPr>
            <w:r>
              <w:t> </w:t>
            </w:r>
          </w:p>
        </w:tc>
        <w:tc>
          <w:tcPr>
            <w:tcW w:w="115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2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pBdr>
                <w:top w:val="single" w:sz="2" w:space="1" w:color="000000"/>
              </w:pBdr>
              <w:bidi w:val="0"/>
              <w:spacing w:before="0" w:after="0"/>
              <w:jc w:val="left"/>
            </w:pPr>
            <w:r>
              <w:t> </w:t>
            </w:r>
          </w:p>
        </w:tc>
        <w:tc>
          <w:tcPr>
            <w:tcW w:w="101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9" w:type="dxa"/>
            <w:tcBorders/>
            <w:vAlign w:val="bottom"/>
          </w:tcPr>
          <w:p>
            <w:pPr>
              <w:pStyle w:val="TableContents"/>
              <w:pBdr>
                <w:top w:val="single" w:sz="2" w:space="1" w:color="000000"/>
              </w:pBdr>
              <w:bidi w:val="0"/>
              <w:spacing w:before="0" w:after="0"/>
              <w:jc w:val="left"/>
            </w:pPr>
            <w:r>
              <w:t> </w:t>
            </w:r>
          </w:p>
        </w:tc>
        <w:tc>
          <w:tcPr>
            <w:tcW w:w="124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3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5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2" w:type="dxa"/>
            <w:tcBorders/>
            <w:vAlign w:val="bottom"/>
          </w:tcPr>
          <w:p>
            <w:pPr>
              <w:pStyle w:val="TableContents"/>
              <w:pBdr>
                <w:top w:val="single" w:sz="2" w:space="1" w:color="000000"/>
              </w:pBdr>
              <w:bidi w:val="0"/>
              <w:spacing w:before="0" w:after="0"/>
              <w:jc w:val="left"/>
            </w:pPr>
            <w:r>
              <w:t> </w:t>
            </w:r>
          </w:p>
        </w:tc>
        <w:tc>
          <w:tcPr>
            <w:tcW w:w="1068"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3,821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rPr>
                <w:sz w:val="4"/>
                <w:szCs w:val="4"/>
              </w:rPr>
            </w:pPr>
            <w:r>
              <w:rPr>
                <w:sz w:val="4"/>
                <w:szCs w:val="4"/>
              </w:rPr>
            </w:r>
          </w:p>
        </w:tc>
        <w:tc>
          <w:tcPr>
            <w:tcW w:w="10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99" w:type="dxa"/>
            <w:tcBorders/>
            <w:vAlign w:val="bottom"/>
          </w:tcPr>
          <w:p>
            <w:pPr>
              <w:pStyle w:val="TableContents"/>
              <w:bidi w:val="0"/>
              <w:spacing w:before="0" w:after="283"/>
              <w:jc w:val="left"/>
              <w:rPr>
                <w:sz w:val="4"/>
                <w:szCs w:val="4"/>
              </w:rPr>
            </w:pPr>
            <w:r>
              <w:rPr>
                <w:sz w:val="4"/>
                <w:szCs w:val="4"/>
              </w:rPr>
            </w:r>
          </w:p>
        </w:tc>
        <w:tc>
          <w:tcPr>
            <w:tcW w:w="12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52" w:type="dxa"/>
            <w:tcBorders/>
            <w:vAlign w:val="bottom"/>
          </w:tcPr>
          <w:p>
            <w:pPr>
              <w:pStyle w:val="TableContents"/>
              <w:bidi w:val="0"/>
              <w:spacing w:before="0" w:after="283"/>
              <w:jc w:val="left"/>
            </w:pPr>
            <w:r>
              <w:t> </w:t>
            </w:r>
          </w:p>
        </w:tc>
        <w:tc>
          <w:tcPr>
            <w:tcW w:w="1068" w:type="dxa"/>
            <w:tcBorders/>
            <w:vAlign w:val="bottom"/>
          </w:tcPr>
          <w:p>
            <w:pPr>
              <w:pStyle w:val="TableContents"/>
              <w:bidi w:val="0"/>
              <w:spacing w:before="0" w:after="283"/>
              <w:jc w:val="right"/>
            </w:pPr>
            <w:r>
              <w:t>3,821</w:t>
            </w:r>
          </w:p>
        </w:tc>
        <w:tc>
          <w:tcPr>
            <w:tcW w:w="155" w:type="dxa"/>
            <w:tcBorders/>
            <w:vAlign w:val="bottom"/>
          </w:tcPr>
          <w:p>
            <w:pPr>
              <w:pStyle w:val="TableContents"/>
              <w:bidi w:val="0"/>
              <w:spacing w:before="0" w:after="283"/>
              <w:jc w:val="left"/>
            </w:pPr>
            <w:r>
              <w:t> </w:t>
            </w:r>
          </w:p>
        </w:tc>
      </w:tr>
      <w:t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pBdr>
                <w:top w:val="single" w:sz="2" w:space="1" w:color="000000"/>
              </w:pBdr>
              <w:bidi w:val="0"/>
              <w:spacing w:before="0" w:after="0"/>
              <w:jc w:val="left"/>
            </w:pPr>
            <w:r>
              <w:t> </w:t>
            </w:r>
          </w:p>
        </w:tc>
        <w:tc>
          <w:tcPr>
            <w:tcW w:w="115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2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pBdr>
                <w:top w:val="single" w:sz="2" w:space="1" w:color="000000"/>
              </w:pBdr>
              <w:bidi w:val="0"/>
              <w:spacing w:before="0" w:after="0"/>
              <w:jc w:val="left"/>
            </w:pPr>
            <w:r>
              <w:t> </w:t>
            </w:r>
          </w:p>
        </w:tc>
        <w:tc>
          <w:tcPr>
            <w:tcW w:w="101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9" w:type="dxa"/>
            <w:tcBorders/>
            <w:vAlign w:val="bottom"/>
          </w:tcPr>
          <w:p>
            <w:pPr>
              <w:pStyle w:val="TableContents"/>
              <w:pBdr>
                <w:top w:val="single" w:sz="2" w:space="1" w:color="000000"/>
              </w:pBdr>
              <w:bidi w:val="0"/>
              <w:spacing w:before="0" w:after="0"/>
              <w:jc w:val="left"/>
            </w:pPr>
            <w:r>
              <w:t> </w:t>
            </w:r>
          </w:p>
        </w:tc>
        <w:tc>
          <w:tcPr>
            <w:tcW w:w="124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3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5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2" w:type="dxa"/>
            <w:tcBorders/>
            <w:vAlign w:val="bottom"/>
          </w:tcPr>
          <w:p>
            <w:pPr>
              <w:pStyle w:val="TableContents"/>
              <w:pBdr>
                <w:top w:val="single" w:sz="2" w:space="1" w:color="000000"/>
              </w:pBdr>
              <w:bidi w:val="0"/>
              <w:spacing w:before="0" w:after="0"/>
              <w:jc w:val="left"/>
            </w:pPr>
            <w:r>
              <w:t> </w:t>
            </w:r>
          </w:p>
        </w:tc>
        <w:tc>
          <w:tcPr>
            <w:tcW w:w="1068"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0" w:type="dxa"/>
            <w:tcBorders/>
            <w:shd w:fill="CCEEFF" w:val="clear"/>
            <w:vAlign w:val="bottom"/>
          </w:tcPr>
          <w:p>
            <w:pPr>
              <w:pStyle w:val="TableContents"/>
              <w:bidi w:val="0"/>
              <w:spacing w:before="0" w:after="283"/>
              <w:jc w:val="right"/>
            </w:pPr>
            <w:r>
              <w:t>497,421</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14" w:type="dxa"/>
            <w:tcBorders/>
            <w:shd w:fill="CCEEFF" w:val="clear"/>
            <w:vAlign w:val="bottom"/>
          </w:tcPr>
          <w:p>
            <w:pPr>
              <w:pStyle w:val="TableContents"/>
              <w:bidi w:val="0"/>
              <w:spacing w:before="0" w:after="283"/>
              <w:jc w:val="left"/>
            </w:pPr>
            <w:r>
              <w:t>$</w:t>
            </w:r>
          </w:p>
        </w:tc>
        <w:tc>
          <w:tcPr>
            <w:tcW w:w="1156" w:type="dxa"/>
            <w:tcBorders/>
            <w:shd w:fill="CCEEFF" w:val="clear"/>
            <w:vAlign w:val="bottom"/>
          </w:tcPr>
          <w:p>
            <w:pPr>
              <w:pStyle w:val="TableContents"/>
              <w:bidi w:val="0"/>
              <w:spacing w:before="0" w:after="283"/>
              <w:jc w:val="right"/>
            </w:pPr>
            <w:r>
              <w:t>77,828</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w:t>
            </w:r>
          </w:p>
        </w:tc>
        <w:tc>
          <w:tcPr>
            <w:tcW w:w="1220" w:type="dxa"/>
            <w:tcBorders/>
            <w:shd w:fill="CCEEFF" w:val="clear"/>
            <w:vAlign w:val="bottom"/>
          </w:tcPr>
          <w:p>
            <w:pPr>
              <w:pStyle w:val="TableContents"/>
              <w:bidi w:val="0"/>
              <w:spacing w:before="0" w:after="283"/>
              <w:jc w:val="right"/>
            </w:pPr>
            <w:r>
              <w:t>105,063</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23" w:type="dxa"/>
            <w:tcBorders/>
            <w:shd w:fill="CCEEFF" w:val="clear"/>
            <w:vAlign w:val="bottom"/>
          </w:tcPr>
          <w:p>
            <w:pPr>
              <w:pStyle w:val="TableContents"/>
              <w:bidi w:val="0"/>
              <w:spacing w:before="0" w:after="283"/>
              <w:jc w:val="left"/>
            </w:pPr>
            <w:r>
              <w:t>$</w:t>
            </w:r>
          </w:p>
        </w:tc>
        <w:tc>
          <w:tcPr>
            <w:tcW w:w="1012" w:type="dxa"/>
            <w:tcBorders/>
            <w:shd w:fill="CCEEFF" w:val="clear"/>
            <w:vAlign w:val="bottom"/>
          </w:tcPr>
          <w:p>
            <w:pPr>
              <w:pStyle w:val="TableContents"/>
              <w:bidi w:val="0"/>
              <w:spacing w:before="0" w:after="283"/>
              <w:jc w:val="right"/>
            </w:pPr>
            <w:r>
              <w:t>(6,859</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99" w:type="dxa"/>
            <w:tcBorders/>
            <w:shd w:fill="CCEEFF" w:val="clear"/>
            <w:vAlign w:val="bottom"/>
          </w:tcPr>
          <w:p>
            <w:pPr>
              <w:pStyle w:val="TableContents"/>
              <w:bidi w:val="0"/>
              <w:spacing w:before="0" w:after="283"/>
              <w:jc w:val="left"/>
            </w:pPr>
            <w:r>
              <w:t>$</w:t>
            </w:r>
          </w:p>
        </w:tc>
        <w:tc>
          <w:tcPr>
            <w:tcW w:w="1246" w:type="dxa"/>
            <w:tcBorders/>
            <w:shd w:fill="CCEEFF" w:val="clear"/>
            <w:vAlign w:val="bottom"/>
          </w:tcPr>
          <w:p>
            <w:pPr>
              <w:pStyle w:val="TableContents"/>
              <w:bidi w:val="0"/>
              <w:spacing w:before="0" w:after="283"/>
              <w:jc w:val="right"/>
            </w:pPr>
            <w:r>
              <w:t>153,476</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635" w:type="dxa"/>
            <w:tcBorders/>
            <w:shd w:fill="CCEEFF" w:val="clear"/>
            <w:vAlign w:val="bottom"/>
          </w:tcPr>
          <w:p>
            <w:pPr>
              <w:pStyle w:val="TableContents"/>
              <w:bidi w:val="0"/>
              <w:spacing w:before="0" w:after="283"/>
              <w:jc w:val="right"/>
            </w:pPr>
            <w:r>
              <w:t>(4,069</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755" w:type="dxa"/>
            <w:tcBorders/>
            <w:shd w:fill="CCEEFF" w:val="clear"/>
            <w:vAlign w:val="bottom"/>
          </w:tcPr>
          <w:p>
            <w:pPr>
              <w:pStyle w:val="TableContents"/>
              <w:bidi w:val="0"/>
              <w:spacing w:before="0" w:after="283"/>
              <w:jc w:val="right"/>
            </w:pPr>
            <w:r>
              <w:t>(35,012</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52" w:type="dxa"/>
            <w:tcBorders/>
            <w:shd w:fill="CCEEFF" w:val="clear"/>
            <w:vAlign w:val="bottom"/>
          </w:tcPr>
          <w:p>
            <w:pPr>
              <w:pStyle w:val="TableContents"/>
              <w:bidi w:val="0"/>
              <w:spacing w:before="0" w:after="283"/>
              <w:jc w:val="left"/>
            </w:pPr>
            <w:r>
              <w:t>$</w:t>
            </w:r>
          </w:p>
        </w:tc>
        <w:tc>
          <w:tcPr>
            <w:tcW w:w="1068" w:type="dxa"/>
            <w:tcBorders/>
            <w:shd w:fill="CCEEFF" w:val="clear"/>
            <w:vAlign w:val="bottom"/>
          </w:tcPr>
          <w:p>
            <w:pPr>
              <w:pStyle w:val="TableContents"/>
              <w:bidi w:val="0"/>
              <w:spacing w:before="0" w:after="283"/>
              <w:jc w:val="right"/>
            </w:pPr>
            <w:r>
              <w:t>787,848</w:t>
            </w:r>
          </w:p>
        </w:tc>
        <w:tc>
          <w:tcPr>
            <w:tcW w:w="155" w:type="dxa"/>
            <w:tcBorders/>
            <w:shd w:fill="CCEEFF" w:val="clear"/>
            <w:vAlign w:val="bottom"/>
          </w:tcPr>
          <w:p>
            <w:pPr>
              <w:pStyle w:val="TableContents"/>
              <w:bidi w:val="0"/>
              <w:spacing w:before="0" w:after="283"/>
              <w:jc w:val="left"/>
            </w:pPr>
            <w:r>
              <w:t> </w:t>
            </w:r>
          </w:p>
        </w:tc>
      </w:tr>
      <w:t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pBdr>
                <w:top w:val="single" w:sz="2" w:space="1" w:color="000000"/>
              </w:pBdr>
              <w:bidi w:val="0"/>
              <w:spacing w:before="0" w:after="0"/>
              <w:jc w:val="left"/>
            </w:pPr>
            <w:r>
              <w:t> </w:t>
            </w:r>
          </w:p>
        </w:tc>
        <w:tc>
          <w:tcPr>
            <w:tcW w:w="115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2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pBdr>
                <w:top w:val="single" w:sz="2" w:space="1" w:color="000000"/>
              </w:pBdr>
              <w:bidi w:val="0"/>
              <w:spacing w:before="0" w:after="0"/>
              <w:jc w:val="left"/>
            </w:pPr>
            <w:r>
              <w:t> </w:t>
            </w:r>
          </w:p>
        </w:tc>
        <w:tc>
          <w:tcPr>
            <w:tcW w:w="101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9" w:type="dxa"/>
            <w:tcBorders/>
            <w:vAlign w:val="bottom"/>
          </w:tcPr>
          <w:p>
            <w:pPr>
              <w:pStyle w:val="TableContents"/>
              <w:pBdr>
                <w:top w:val="single" w:sz="2" w:space="1" w:color="000000"/>
              </w:pBdr>
              <w:bidi w:val="0"/>
              <w:spacing w:before="0" w:after="0"/>
              <w:jc w:val="left"/>
            </w:pPr>
            <w:r>
              <w:t> </w:t>
            </w:r>
          </w:p>
        </w:tc>
        <w:tc>
          <w:tcPr>
            <w:tcW w:w="124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3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5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2" w:type="dxa"/>
            <w:tcBorders/>
            <w:vAlign w:val="bottom"/>
          </w:tcPr>
          <w:p>
            <w:pPr>
              <w:pStyle w:val="TableContents"/>
              <w:pBdr>
                <w:top w:val="single" w:sz="2" w:space="1" w:color="000000"/>
              </w:pBdr>
              <w:bidi w:val="0"/>
              <w:spacing w:before="0" w:after="0"/>
              <w:jc w:val="left"/>
            </w:pPr>
            <w:r>
              <w:t> </w:t>
            </w:r>
          </w:p>
        </w:tc>
        <w:tc>
          <w:tcPr>
            <w:tcW w:w="1068"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bl>
    <w:p>
      <w:pPr>
        <w:pStyle w:val="TextBody"/>
        <w:bidi w:val="0"/>
        <w:spacing w:before="0" w:after="0"/>
        <w:jc w:val="left"/>
      </w:pPr>
      <w:r>
        <w:t> </w:t>
      </w:r>
    </w:p>
    <w:tbl>
      <w:tblPr>
        <w:tblW w:w="12395" w:type="dxa"/>
        <w:jc w:val="center"/>
        <w:tblInd w:w="0" w:type="dxa"/>
        <w:tblLayout w:type="fixed"/>
        <w:tblCellMar>
          <w:top w:w="0" w:type="dxa"/>
          <w:left w:w="0" w:type="dxa"/>
          <w:bottom w:w="0" w:type="dxa"/>
          <w:right w:w="0" w:type="dxa"/>
        </w:tblCellMar>
      </w:tblPr>
      <w:tblGrid>
        <w:gridCol w:w="1250"/>
        <w:gridCol w:w="120"/>
        <w:gridCol w:w="140"/>
        <w:gridCol w:w="980"/>
        <w:gridCol w:w="155"/>
        <w:gridCol w:w="60"/>
        <w:gridCol w:w="214"/>
        <w:gridCol w:w="1156"/>
        <w:gridCol w:w="155"/>
        <w:gridCol w:w="60"/>
        <w:gridCol w:w="195"/>
        <w:gridCol w:w="1220"/>
        <w:gridCol w:w="155"/>
        <w:gridCol w:w="60"/>
        <w:gridCol w:w="193"/>
        <w:gridCol w:w="1042"/>
        <w:gridCol w:w="155"/>
        <w:gridCol w:w="60"/>
        <w:gridCol w:w="226"/>
        <w:gridCol w:w="1219"/>
        <w:gridCol w:w="155"/>
        <w:gridCol w:w="60"/>
        <w:gridCol w:w="140"/>
        <w:gridCol w:w="560"/>
        <w:gridCol w:w="60"/>
        <w:gridCol w:w="120"/>
        <w:gridCol w:w="140"/>
        <w:gridCol w:w="755"/>
        <w:gridCol w:w="155"/>
        <w:gridCol w:w="60"/>
        <w:gridCol w:w="152"/>
        <w:gridCol w:w="1068"/>
        <w:gridCol w:w="155"/>
      </w:tblGrid>
      <w:t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125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0870"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Fiscal year ended September 30, 2025</w:t>
            </w:r>
          </w:p>
        </w:tc>
        <w:tc>
          <w:tcPr>
            <w:tcW w:w="155" w:type="dxa"/>
            <w:tcBorders/>
            <w:vAlign w:val="bottom"/>
          </w:tcPr>
          <w:p>
            <w:pPr>
              <w:pStyle w:val="TableContents"/>
              <w:bidi w:val="0"/>
              <w:spacing w:before="0" w:after="283"/>
              <w:jc w:val="left"/>
            </w:pPr>
            <w:r>
              <w:t> </w:t>
            </w:r>
          </w:p>
        </w:tc>
      </w:tr>
      <w:tr>
        <w:tc>
          <w:tcPr>
            <w:tcW w:w="125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Amortization</w:t>
              <w:br/>
              <w:t>of purchased</w:t>
              <w:br/>
              <w:t>intangible</w:t>
              <w:br/>
              <w:t>assets and</w:t>
              <w:br/>
              <w:t>other</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based</w:t>
              <w:br/>
              <w:t>compensation</w:t>
              <w:br/>
              <w:t>expense</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Changes in</w:t>
              <w:br/>
              <w:t>certain</w:t>
              <w:br/>
              <w:t>acquisitions</w:t>
              <w:br/>
              <w:t>related</w:t>
              <w:br/>
              <w:t>liabilities</w:t>
              <w:br/>
              <w:t>measured</w:t>
              <w:br/>
              <w:t>at fair value</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Restructuring</w:t>
              <w:br/>
              <w:t>charges</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pPr>
            <w:r>
              <w:rPr>
                <w:b/>
              </w:rPr>
              <w:t>Tax</w:t>
            </w:r>
            <w:r>
              <w:br/>
            </w:r>
            <w:r>
              <w:rPr>
                <w:b/>
              </w:rPr>
              <w:t>effect</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Non-GAAP</w:t>
            </w:r>
          </w:p>
        </w:tc>
        <w:tc>
          <w:tcPr>
            <w:tcW w:w="155" w:type="dxa"/>
            <w:tcBorders/>
            <w:vAlign w:val="bottom"/>
          </w:tcPr>
          <w:p>
            <w:pPr>
              <w:pStyle w:val="TableContents"/>
              <w:bidi w:val="0"/>
              <w:spacing w:before="0" w:after="283"/>
              <w:jc w:val="left"/>
            </w:pPr>
            <w:r>
              <w:t> </w:t>
            </w:r>
          </w:p>
        </w:tc>
      </w:tr>
      <w:t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104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80" w:type="dxa"/>
            <w:tcBorders/>
            <w:vAlign w:val="bottom"/>
          </w:tcPr>
          <w:p>
            <w:pPr>
              <w:pStyle w:val="TableContents"/>
              <w:bidi w:val="0"/>
              <w:spacing w:before="0" w:after="283"/>
              <w:jc w:val="right"/>
            </w:pPr>
            <w:r>
              <w:t>2,811,333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bidi w:val="0"/>
              <w:spacing w:before="0" w:after="283"/>
              <w:jc w:val="left"/>
            </w:pPr>
            <w:r>
              <w:t>$</w:t>
            </w:r>
          </w:p>
        </w:tc>
        <w:tc>
          <w:tcPr>
            <w:tcW w:w="1156"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w:t>
            </w:r>
          </w:p>
        </w:tc>
        <w:tc>
          <w:tcPr>
            <w:tcW w:w="1220" w:type="dxa"/>
            <w:tcBorders/>
            <w:vAlign w:val="bottom"/>
          </w:tcPr>
          <w:p>
            <w:pPr>
              <w:pStyle w:val="TableContents"/>
              <w:bidi w:val="0"/>
              <w:spacing w:before="0" w:after="283"/>
              <w:jc w:val="right"/>
            </w:pPr>
            <w:r>
              <w:t>(51,320</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3" w:type="dxa"/>
            <w:tcBorders/>
            <w:vAlign w:val="bottom"/>
          </w:tcPr>
          <w:p>
            <w:pPr>
              <w:pStyle w:val="TableContents"/>
              <w:bidi w:val="0"/>
              <w:spacing w:before="0" w:after="283"/>
              <w:jc w:val="left"/>
            </w:pPr>
            <w:r>
              <w:t>$</w:t>
            </w:r>
          </w:p>
        </w:tc>
        <w:tc>
          <w:tcPr>
            <w:tcW w:w="1042" w:type="dxa"/>
            <w:tcBorders/>
            <w:vAlign w:val="bottom"/>
          </w:tcPr>
          <w:p>
            <w:pPr>
              <w:pStyle w:val="TableContents"/>
              <w:bidi w:val="0"/>
              <w:spacing w:before="0" w:after="283"/>
              <w:jc w:val="right"/>
            </w:pPr>
            <w:r>
              <w:t>(1,081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pPr>
            <w:r>
              <w:t>$</w:t>
            </w:r>
          </w:p>
        </w:tc>
        <w:tc>
          <w:tcPr>
            <w:tcW w:w="1219"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56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75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2" w:type="dxa"/>
            <w:tcBorders/>
            <w:vAlign w:val="bottom"/>
          </w:tcPr>
          <w:p>
            <w:pPr>
              <w:pStyle w:val="TableContents"/>
              <w:bidi w:val="0"/>
              <w:spacing w:before="0" w:after="283"/>
              <w:jc w:val="left"/>
            </w:pPr>
            <w:r>
              <w:t>$</w:t>
            </w:r>
          </w:p>
        </w:tc>
        <w:tc>
          <w:tcPr>
            <w:tcW w:w="1068" w:type="dxa"/>
            <w:tcBorders/>
            <w:vAlign w:val="bottom"/>
          </w:tcPr>
          <w:p>
            <w:pPr>
              <w:pStyle w:val="TableContents"/>
              <w:bidi w:val="0"/>
              <w:spacing w:before="0" w:after="283"/>
              <w:jc w:val="right"/>
            </w:pPr>
            <w:r>
              <w:t>2,758,932</w:t>
            </w:r>
          </w:p>
        </w:tc>
        <w:tc>
          <w:tcPr>
            <w:tcW w:w="155" w:type="dxa"/>
            <w:tcBorders/>
            <w:vAlign w:val="bottom"/>
          </w:tcPr>
          <w:p>
            <w:pPr>
              <w:pStyle w:val="TableContents"/>
              <w:bidi w:val="0"/>
              <w:spacing w:before="0" w:after="283"/>
              <w:jc w:val="left"/>
            </w:pPr>
            <w:r>
              <w:t> </w:t>
            </w:r>
          </w:p>
        </w:tc>
      </w:tr>
      <w:t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340,845</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20" w:type="dxa"/>
            <w:tcBorders/>
            <w:shd w:fill="CCEEFF" w:val="clear"/>
            <w:vAlign w:val="bottom"/>
          </w:tcPr>
          <w:p>
            <w:pPr>
              <w:pStyle w:val="TableContents"/>
              <w:bidi w:val="0"/>
              <w:spacing w:before="0" w:after="283"/>
              <w:jc w:val="right"/>
            </w:pPr>
            <w:r>
              <w:t>(9,603</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104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52" w:type="dxa"/>
            <w:tcBorders/>
            <w:shd w:fill="CCEEFF" w:val="clear"/>
            <w:vAlign w:val="bottom"/>
          </w:tcPr>
          <w:p>
            <w:pPr>
              <w:pStyle w:val="TableContents"/>
              <w:bidi w:val="0"/>
              <w:spacing w:before="0" w:after="283"/>
              <w:jc w:val="left"/>
            </w:pPr>
            <w:r>
              <w:t> </w:t>
            </w:r>
          </w:p>
        </w:tc>
        <w:tc>
          <w:tcPr>
            <w:tcW w:w="1068" w:type="dxa"/>
            <w:tcBorders/>
            <w:shd w:fill="CCEEFF" w:val="clear"/>
            <w:vAlign w:val="bottom"/>
          </w:tcPr>
          <w:p>
            <w:pPr>
              <w:pStyle w:val="TableContents"/>
              <w:bidi w:val="0"/>
              <w:spacing w:before="0" w:after="283"/>
              <w:jc w:val="right"/>
            </w:pPr>
            <w:r>
              <w:t>331,242</w:t>
            </w:r>
          </w:p>
        </w:tc>
        <w:tc>
          <w:tcPr>
            <w:tcW w:w="155" w:type="dxa"/>
            <w:tcBorders/>
            <w:shd w:fill="CCEEFF" w:val="clear"/>
            <w:vAlign w:val="bottom"/>
          </w:tcPr>
          <w:p>
            <w:pPr>
              <w:pStyle w:val="TableContents"/>
              <w:bidi w:val="0"/>
              <w:spacing w:before="0" w:after="283"/>
              <w:jc w:val="left"/>
            </w:pPr>
            <w:r>
              <w:t> </w:t>
            </w:r>
          </w:p>
        </w:tc>
      </w:tr>
      <w:t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506,108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20" w:type="dxa"/>
            <w:tcBorders/>
            <w:vAlign w:val="bottom"/>
          </w:tcPr>
          <w:p>
            <w:pPr>
              <w:pStyle w:val="TableContents"/>
              <w:bidi w:val="0"/>
              <w:spacing w:before="0" w:after="283"/>
              <w:jc w:val="right"/>
            </w:pPr>
            <w:r>
              <w:t>(43,941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3" w:type="dxa"/>
            <w:tcBorders/>
            <w:vAlign w:val="bottom"/>
          </w:tcPr>
          <w:p>
            <w:pPr>
              <w:pStyle w:val="TableContents"/>
              <w:bidi w:val="0"/>
              <w:spacing w:before="0" w:after="283"/>
              <w:jc w:val="left"/>
            </w:pPr>
            <w:r>
              <w:t> </w:t>
            </w:r>
          </w:p>
        </w:tc>
        <w:tc>
          <w:tcPr>
            <w:tcW w:w="1042" w:type="dxa"/>
            <w:tcBorders/>
            <w:vAlign w:val="bottom"/>
          </w:tcPr>
          <w:p>
            <w:pPr>
              <w:pStyle w:val="TableContents"/>
              <w:bidi w:val="0"/>
              <w:spacing w:before="0" w:after="283"/>
              <w:jc w:val="right"/>
            </w:pPr>
            <w:r>
              <w:t>12,242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52" w:type="dxa"/>
            <w:tcBorders/>
            <w:vAlign w:val="bottom"/>
          </w:tcPr>
          <w:p>
            <w:pPr>
              <w:pStyle w:val="TableContents"/>
              <w:bidi w:val="0"/>
              <w:spacing w:before="0" w:after="283"/>
              <w:jc w:val="left"/>
            </w:pPr>
            <w:r>
              <w:t> </w:t>
            </w:r>
          </w:p>
        </w:tc>
        <w:tc>
          <w:tcPr>
            <w:tcW w:w="1068" w:type="dxa"/>
            <w:tcBorders/>
            <w:vAlign w:val="bottom"/>
          </w:tcPr>
          <w:p>
            <w:pPr>
              <w:pStyle w:val="TableContents"/>
              <w:bidi w:val="0"/>
              <w:spacing w:before="0" w:after="283"/>
              <w:jc w:val="right"/>
            </w:pPr>
            <w:r>
              <w:t>474,409</w:t>
            </w:r>
          </w:p>
        </w:tc>
        <w:tc>
          <w:tcPr>
            <w:tcW w:w="155" w:type="dxa"/>
            <w:tcBorders/>
            <w:vAlign w:val="bottom"/>
          </w:tcPr>
          <w:p>
            <w:pPr>
              <w:pStyle w:val="TableContents"/>
              <w:bidi w:val="0"/>
              <w:spacing w:before="0" w:after="283"/>
              <w:jc w:val="left"/>
            </w:pPr>
            <w:r>
              <w:t> </w:t>
            </w:r>
          </w:p>
        </w:tc>
      </w:tr>
      <w:t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62,424</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14" w:type="dxa"/>
            <w:tcBorders/>
            <w:shd w:fill="CCEEFF" w:val="clear"/>
            <w:vAlign w:val="bottom"/>
          </w:tcPr>
          <w:p>
            <w:pPr>
              <w:pStyle w:val="TableContents"/>
              <w:bidi w:val="0"/>
              <w:spacing w:before="0" w:after="283"/>
              <w:jc w:val="left"/>
            </w:pPr>
            <w:r>
              <w:t> </w:t>
            </w:r>
          </w:p>
        </w:tc>
        <w:tc>
          <w:tcPr>
            <w:tcW w:w="1156" w:type="dxa"/>
            <w:tcBorders/>
            <w:shd w:fill="CCEEFF" w:val="clear"/>
            <w:vAlign w:val="bottom"/>
          </w:tcPr>
          <w:p>
            <w:pPr>
              <w:pStyle w:val="TableContents"/>
              <w:bidi w:val="0"/>
              <w:spacing w:before="0" w:after="283"/>
              <w:jc w:val="right"/>
            </w:pPr>
            <w:r>
              <w:t>(62,424</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104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52" w:type="dxa"/>
            <w:tcBorders/>
            <w:shd w:fill="CCEEFF" w:val="clear"/>
            <w:vAlign w:val="bottom"/>
          </w:tcPr>
          <w:p>
            <w:pPr>
              <w:pStyle w:val="TableContents"/>
              <w:bidi w:val="0"/>
              <w:spacing w:before="0" w:after="283"/>
              <w:jc w:val="left"/>
            </w:pPr>
            <w:r>
              <w:t> </w:t>
            </w:r>
          </w:p>
        </w:tc>
        <w:tc>
          <w:tcPr>
            <w:tcW w:w="1068"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r>
      <w:t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80,539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93" w:type="dxa"/>
            <w:tcBorders/>
            <w:vAlign w:val="bottom"/>
          </w:tcPr>
          <w:p>
            <w:pPr>
              <w:pStyle w:val="TableContents"/>
              <w:bidi w:val="0"/>
              <w:spacing w:before="0" w:after="283"/>
              <w:jc w:val="left"/>
              <w:rPr>
                <w:sz w:val="4"/>
                <w:szCs w:val="4"/>
              </w:rPr>
            </w:pPr>
            <w:r>
              <w:rPr>
                <w:sz w:val="4"/>
                <w:szCs w:val="4"/>
              </w:rPr>
            </w:r>
          </w:p>
        </w:tc>
        <w:tc>
          <w:tcPr>
            <w:tcW w:w="104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pPr>
            <w:r>
              <w:t> </w:t>
            </w:r>
          </w:p>
        </w:tc>
        <w:tc>
          <w:tcPr>
            <w:tcW w:w="1219" w:type="dxa"/>
            <w:tcBorders/>
            <w:vAlign w:val="bottom"/>
          </w:tcPr>
          <w:p>
            <w:pPr>
              <w:pStyle w:val="TableContents"/>
              <w:bidi w:val="0"/>
              <w:spacing w:before="0" w:after="283"/>
              <w:jc w:val="right"/>
            </w:pPr>
            <w:r>
              <w:t>(80,539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52" w:type="dxa"/>
            <w:tcBorders/>
            <w:vAlign w:val="bottom"/>
          </w:tcPr>
          <w:p>
            <w:pPr>
              <w:pStyle w:val="TableContents"/>
              <w:bidi w:val="0"/>
              <w:spacing w:before="0" w:after="283"/>
              <w:jc w:val="left"/>
            </w:pPr>
            <w:r>
              <w:t> </w:t>
            </w:r>
          </w:p>
        </w:tc>
        <w:tc>
          <w:tcPr>
            <w:tcW w:w="1068"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r>
      <w:t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pBdr>
                <w:top w:val="single" w:sz="2" w:space="1" w:color="000000"/>
              </w:pBdr>
              <w:bidi w:val="0"/>
              <w:spacing w:before="0" w:after="0"/>
              <w:jc w:val="left"/>
            </w:pPr>
            <w:r>
              <w:t> </w:t>
            </w:r>
          </w:p>
        </w:tc>
        <w:tc>
          <w:tcPr>
            <w:tcW w:w="115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2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3" w:type="dxa"/>
            <w:tcBorders/>
            <w:vAlign w:val="bottom"/>
          </w:tcPr>
          <w:p>
            <w:pPr>
              <w:pStyle w:val="TableContents"/>
              <w:pBdr>
                <w:top w:val="single" w:sz="2" w:space="1" w:color="000000"/>
              </w:pBdr>
              <w:bidi w:val="0"/>
              <w:spacing w:before="0" w:after="0"/>
              <w:jc w:val="left"/>
            </w:pPr>
            <w:r>
              <w:t> </w:t>
            </w:r>
          </w:p>
        </w:tc>
        <w:tc>
          <w:tcPr>
            <w:tcW w:w="10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pBdr>
                <w:top w:val="single" w:sz="2" w:space="1" w:color="000000"/>
              </w:pBdr>
              <w:bidi w:val="0"/>
              <w:spacing w:before="0" w:after="0"/>
              <w:jc w:val="left"/>
            </w:pPr>
            <w:r>
              <w:t> </w:t>
            </w:r>
          </w:p>
        </w:tc>
        <w:tc>
          <w:tcPr>
            <w:tcW w:w="121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56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5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2" w:type="dxa"/>
            <w:tcBorders/>
            <w:vAlign w:val="bottom"/>
          </w:tcPr>
          <w:p>
            <w:pPr>
              <w:pStyle w:val="TableContents"/>
              <w:pBdr>
                <w:top w:val="single" w:sz="2" w:space="1" w:color="000000"/>
              </w:pBdr>
              <w:bidi w:val="0"/>
              <w:spacing w:before="0" w:after="0"/>
              <w:jc w:val="left"/>
            </w:pPr>
            <w:r>
              <w:t> </w:t>
            </w:r>
          </w:p>
        </w:tc>
        <w:tc>
          <w:tcPr>
            <w:tcW w:w="1068"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3,801,249</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14" w:type="dxa"/>
            <w:tcBorders/>
            <w:shd w:fill="CCEEFF" w:val="clear"/>
            <w:vAlign w:val="bottom"/>
          </w:tcPr>
          <w:p>
            <w:pPr>
              <w:pStyle w:val="TableContents"/>
              <w:bidi w:val="0"/>
              <w:spacing w:before="0" w:after="283"/>
              <w:jc w:val="left"/>
            </w:pPr>
            <w:r>
              <w:t> </w:t>
            </w:r>
          </w:p>
        </w:tc>
        <w:tc>
          <w:tcPr>
            <w:tcW w:w="1156" w:type="dxa"/>
            <w:tcBorders/>
            <w:shd w:fill="CCEEFF" w:val="clear"/>
            <w:vAlign w:val="bottom"/>
          </w:tcPr>
          <w:p>
            <w:pPr>
              <w:pStyle w:val="TableContents"/>
              <w:bidi w:val="0"/>
              <w:spacing w:before="0" w:after="283"/>
              <w:jc w:val="right"/>
            </w:pPr>
            <w:r>
              <w:t>(62,424</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20" w:type="dxa"/>
            <w:tcBorders/>
            <w:shd w:fill="CCEEFF" w:val="clear"/>
            <w:vAlign w:val="bottom"/>
          </w:tcPr>
          <w:p>
            <w:pPr>
              <w:pStyle w:val="TableContents"/>
              <w:bidi w:val="0"/>
              <w:spacing w:before="0" w:after="283"/>
              <w:jc w:val="right"/>
            </w:pPr>
            <w:r>
              <w:t>(104,864</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93" w:type="dxa"/>
            <w:tcBorders/>
            <w:shd w:fill="CCEEFF" w:val="clear"/>
            <w:vAlign w:val="bottom"/>
          </w:tcPr>
          <w:p>
            <w:pPr>
              <w:pStyle w:val="TableContents"/>
              <w:bidi w:val="0"/>
              <w:spacing w:before="0" w:after="283"/>
              <w:jc w:val="left"/>
            </w:pPr>
            <w:r>
              <w:t> </w:t>
            </w:r>
          </w:p>
        </w:tc>
        <w:tc>
          <w:tcPr>
            <w:tcW w:w="1042" w:type="dxa"/>
            <w:tcBorders/>
            <w:shd w:fill="CCEEFF" w:val="clear"/>
            <w:vAlign w:val="bottom"/>
          </w:tcPr>
          <w:p>
            <w:pPr>
              <w:pStyle w:val="TableContents"/>
              <w:bidi w:val="0"/>
              <w:spacing w:before="0" w:after="283"/>
              <w:jc w:val="right"/>
            </w:pPr>
            <w:r>
              <w:t>11,161</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pPr>
            <w:r>
              <w:t> </w:t>
            </w:r>
          </w:p>
        </w:tc>
        <w:tc>
          <w:tcPr>
            <w:tcW w:w="1219" w:type="dxa"/>
            <w:tcBorders/>
            <w:shd w:fill="CCEEFF" w:val="clear"/>
            <w:vAlign w:val="bottom"/>
          </w:tcPr>
          <w:p>
            <w:pPr>
              <w:pStyle w:val="TableContents"/>
              <w:bidi w:val="0"/>
              <w:spacing w:before="0" w:after="283"/>
              <w:jc w:val="right"/>
            </w:pPr>
            <w:r>
              <w:t>(80,539</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52" w:type="dxa"/>
            <w:tcBorders/>
            <w:shd w:fill="CCEEFF" w:val="clear"/>
            <w:vAlign w:val="bottom"/>
          </w:tcPr>
          <w:p>
            <w:pPr>
              <w:pStyle w:val="TableContents"/>
              <w:bidi w:val="0"/>
              <w:spacing w:before="0" w:after="283"/>
              <w:jc w:val="left"/>
            </w:pPr>
            <w:r>
              <w:t> </w:t>
            </w:r>
          </w:p>
        </w:tc>
        <w:tc>
          <w:tcPr>
            <w:tcW w:w="1068" w:type="dxa"/>
            <w:tcBorders/>
            <w:shd w:fill="CCEEFF" w:val="clear"/>
            <w:vAlign w:val="bottom"/>
          </w:tcPr>
          <w:p>
            <w:pPr>
              <w:pStyle w:val="TableContents"/>
              <w:bidi w:val="0"/>
              <w:spacing w:before="0" w:after="283"/>
              <w:jc w:val="right"/>
            </w:pPr>
            <w:r>
              <w:t>3,564,583</w:t>
            </w:r>
          </w:p>
        </w:tc>
        <w:tc>
          <w:tcPr>
            <w:tcW w:w="155" w:type="dxa"/>
            <w:tcBorders/>
            <w:shd w:fill="CCEEFF" w:val="clear"/>
            <w:vAlign w:val="bottom"/>
          </w:tcPr>
          <w:p>
            <w:pPr>
              <w:pStyle w:val="TableContents"/>
              <w:bidi w:val="0"/>
              <w:spacing w:before="0" w:after="283"/>
              <w:jc w:val="left"/>
            </w:pPr>
            <w:r>
              <w:t> </w:t>
            </w:r>
          </w:p>
        </w:tc>
      </w:tr>
      <w:t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pBdr>
                <w:top w:val="single" w:sz="2" w:space="1" w:color="000000"/>
              </w:pBdr>
              <w:bidi w:val="0"/>
              <w:spacing w:before="0" w:after="0"/>
              <w:jc w:val="left"/>
            </w:pPr>
            <w:r>
              <w:t> </w:t>
            </w:r>
          </w:p>
        </w:tc>
        <w:tc>
          <w:tcPr>
            <w:tcW w:w="115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2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3" w:type="dxa"/>
            <w:tcBorders/>
            <w:vAlign w:val="bottom"/>
          </w:tcPr>
          <w:p>
            <w:pPr>
              <w:pStyle w:val="TableContents"/>
              <w:pBdr>
                <w:top w:val="single" w:sz="2" w:space="1" w:color="000000"/>
              </w:pBdr>
              <w:bidi w:val="0"/>
              <w:spacing w:before="0" w:after="0"/>
              <w:jc w:val="left"/>
            </w:pPr>
            <w:r>
              <w:t> </w:t>
            </w:r>
          </w:p>
        </w:tc>
        <w:tc>
          <w:tcPr>
            <w:tcW w:w="10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pBdr>
                <w:top w:val="single" w:sz="2" w:space="1" w:color="000000"/>
              </w:pBdr>
              <w:bidi w:val="0"/>
              <w:spacing w:before="0" w:after="0"/>
              <w:jc w:val="left"/>
            </w:pPr>
            <w:r>
              <w:t> </w:t>
            </w:r>
          </w:p>
        </w:tc>
        <w:tc>
          <w:tcPr>
            <w:tcW w:w="121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56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5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2" w:type="dxa"/>
            <w:tcBorders/>
            <w:vAlign w:val="bottom"/>
          </w:tcPr>
          <w:p>
            <w:pPr>
              <w:pStyle w:val="TableContents"/>
              <w:pBdr>
                <w:top w:val="single" w:sz="2" w:space="1" w:color="000000"/>
              </w:pBdr>
              <w:bidi w:val="0"/>
              <w:spacing w:before="0" w:after="0"/>
              <w:jc w:val="left"/>
            </w:pPr>
            <w:r>
              <w:t> </w:t>
            </w:r>
          </w:p>
        </w:tc>
        <w:tc>
          <w:tcPr>
            <w:tcW w:w="1068"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731,664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bidi w:val="0"/>
              <w:spacing w:before="0" w:after="283"/>
              <w:jc w:val="left"/>
            </w:pPr>
            <w:r>
              <w:t> </w:t>
            </w:r>
          </w:p>
        </w:tc>
        <w:tc>
          <w:tcPr>
            <w:tcW w:w="1156" w:type="dxa"/>
            <w:tcBorders/>
            <w:vAlign w:val="bottom"/>
          </w:tcPr>
          <w:p>
            <w:pPr>
              <w:pStyle w:val="TableContents"/>
              <w:bidi w:val="0"/>
              <w:spacing w:before="0" w:after="283"/>
              <w:jc w:val="right"/>
            </w:pPr>
            <w:r>
              <w:t>62,424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20" w:type="dxa"/>
            <w:tcBorders/>
            <w:vAlign w:val="bottom"/>
          </w:tcPr>
          <w:p>
            <w:pPr>
              <w:pStyle w:val="TableContents"/>
              <w:bidi w:val="0"/>
              <w:spacing w:before="0" w:after="283"/>
              <w:jc w:val="right"/>
            </w:pPr>
            <w:r>
              <w:t>104,864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3" w:type="dxa"/>
            <w:tcBorders/>
            <w:vAlign w:val="bottom"/>
          </w:tcPr>
          <w:p>
            <w:pPr>
              <w:pStyle w:val="TableContents"/>
              <w:bidi w:val="0"/>
              <w:spacing w:before="0" w:after="283"/>
              <w:jc w:val="left"/>
            </w:pPr>
            <w:r>
              <w:t> </w:t>
            </w:r>
          </w:p>
        </w:tc>
        <w:tc>
          <w:tcPr>
            <w:tcW w:w="1042" w:type="dxa"/>
            <w:tcBorders/>
            <w:vAlign w:val="bottom"/>
          </w:tcPr>
          <w:p>
            <w:pPr>
              <w:pStyle w:val="TableContents"/>
              <w:bidi w:val="0"/>
              <w:spacing w:before="0" w:after="283"/>
              <w:jc w:val="right"/>
            </w:pPr>
            <w:r>
              <w:t>(11,161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pPr>
            <w:r>
              <w:t> </w:t>
            </w:r>
          </w:p>
        </w:tc>
        <w:tc>
          <w:tcPr>
            <w:tcW w:w="1219" w:type="dxa"/>
            <w:tcBorders/>
            <w:vAlign w:val="bottom"/>
          </w:tcPr>
          <w:p>
            <w:pPr>
              <w:pStyle w:val="TableContents"/>
              <w:bidi w:val="0"/>
              <w:spacing w:before="0" w:after="283"/>
              <w:jc w:val="right"/>
            </w:pPr>
            <w:r>
              <w:t>80,539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52" w:type="dxa"/>
            <w:tcBorders/>
            <w:vAlign w:val="bottom"/>
          </w:tcPr>
          <w:p>
            <w:pPr>
              <w:pStyle w:val="TableContents"/>
              <w:bidi w:val="0"/>
              <w:spacing w:before="0" w:after="283"/>
              <w:jc w:val="left"/>
            </w:pPr>
            <w:r>
              <w:t> </w:t>
            </w:r>
          </w:p>
        </w:tc>
        <w:tc>
          <w:tcPr>
            <w:tcW w:w="1068" w:type="dxa"/>
            <w:tcBorders/>
            <w:vAlign w:val="bottom"/>
          </w:tcPr>
          <w:p>
            <w:pPr>
              <w:pStyle w:val="TableContents"/>
              <w:bidi w:val="0"/>
              <w:spacing w:before="0" w:after="283"/>
              <w:jc w:val="right"/>
            </w:pPr>
            <w:r>
              <w:t>968,330</w:t>
            </w:r>
          </w:p>
        </w:tc>
        <w:tc>
          <w:tcPr>
            <w:tcW w:w="155" w:type="dxa"/>
            <w:tcBorders/>
            <w:vAlign w:val="bottom"/>
          </w:tcPr>
          <w:p>
            <w:pPr>
              <w:pStyle w:val="TableContents"/>
              <w:bidi w:val="0"/>
              <w:spacing w:before="0" w:after="283"/>
              <w:jc w:val="left"/>
            </w:pPr>
            <w:r>
              <w:t> </w:t>
            </w:r>
          </w:p>
        </w:tc>
      </w:tr>
      <w:t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(38,422</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104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560" w:type="dxa"/>
            <w:tcBorders/>
            <w:shd w:fill="CCEEFF" w:val="clear"/>
            <w:vAlign w:val="bottom"/>
          </w:tcPr>
          <w:p>
            <w:pPr>
              <w:pStyle w:val="TableContents"/>
              <w:bidi w:val="0"/>
              <w:spacing w:before="0" w:after="283"/>
              <w:jc w:val="right"/>
            </w:pPr>
            <w:r>
              <w:t>7,524</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pPr>
            <w:r>
              <w:t> </w:t>
            </w:r>
          </w:p>
        </w:tc>
        <w:tc>
          <w:tcPr>
            <w:tcW w:w="152" w:type="dxa"/>
            <w:tcBorders/>
            <w:shd w:fill="CCEEFF" w:val="clear"/>
            <w:vAlign w:val="bottom"/>
          </w:tcPr>
          <w:p>
            <w:pPr>
              <w:pStyle w:val="TableContents"/>
              <w:bidi w:val="0"/>
              <w:spacing w:before="0" w:after="283"/>
              <w:jc w:val="left"/>
            </w:pPr>
            <w:r>
              <w:t> </w:t>
            </w:r>
          </w:p>
        </w:tc>
        <w:tc>
          <w:tcPr>
            <w:tcW w:w="1068" w:type="dxa"/>
            <w:tcBorders/>
            <w:shd w:fill="CCEEFF" w:val="clear"/>
            <w:vAlign w:val="bottom"/>
          </w:tcPr>
          <w:p>
            <w:pPr>
              <w:pStyle w:val="TableContents"/>
              <w:bidi w:val="0"/>
              <w:spacing w:before="0" w:after="283"/>
              <w:jc w:val="right"/>
            </w:pPr>
            <w:r>
              <w:t>(30,898</w:t>
            </w:r>
          </w:p>
        </w:tc>
        <w:tc>
          <w:tcPr>
            <w:tcW w:w="155" w:type="dxa"/>
            <w:tcBorders/>
            <w:shd w:fill="CCEEFF" w:val="clear"/>
            <w:vAlign w:val="bottom"/>
          </w:tcPr>
          <w:p>
            <w:pPr>
              <w:pStyle w:val="TableContents"/>
              <w:bidi w:val="0"/>
              <w:spacing w:before="0" w:after="283"/>
              <w:jc w:val="left"/>
            </w:pPr>
            <w:r>
              <w:t>) </w:t>
            </w:r>
          </w:p>
        </w:tc>
      </w:tr>
      <w:t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125,473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93" w:type="dxa"/>
            <w:tcBorders/>
            <w:vAlign w:val="bottom"/>
          </w:tcPr>
          <w:p>
            <w:pPr>
              <w:pStyle w:val="TableContents"/>
              <w:bidi w:val="0"/>
              <w:spacing w:before="0" w:after="283"/>
              <w:jc w:val="left"/>
              <w:rPr>
                <w:sz w:val="4"/>
                <w:szCs w:val="4"/>
              </w:rPr>
            </w:pPr>
            <w:r>
              <w:rPr>
                <w:sz w:val="4"/>
                <w:szCs w:val="4"/>
              </w:rPr>
            </w:r>
          </w:p>
        </w:tc>
        <w:tc>
          <w:tcPr>
            <w:tcW w:w="104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55" w:type="dxa"/>
            <w:tcBorders/>
            <w:vAlign w:val="bottom"/>
          </w:tcPr>
          <w:p>
            <w:pPr>
              <w:pStyle w:val="TableContents"/>
              <w:bidi w:val="0"/>
              <w:spacing w:before="0" w:after="283"/>
              <w:jc w:val="right"/>
            </w:pPr>
            <w:r>
              <w:t>27,692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2" w:type="dxa"/>
            <w:tcBorders/>
            <w:vAlign w:val="bottom"/>
          </w:tcPr>
          <w:p>
            <w:pPr>
              <w:pStyle w:val="TableContents"/>
              <w:bidi w:val="0"/>
              <w:spacing w:before="0" w:after="283"/>
              <w:jc w:val="left"/>
            </w:pPr>
            <w:r>
              <w:t> </w:t>
            </w:r>
          </w:p>
        </w:tc>
        <w:tc>
          <w:tcPr>
            <w:tcW w:w="1068" w:type="dxa"/>
            <w:tcBorders/>
            <w:vAlign w:val="bottom"/>
          </w:tcPr>
          <w:p>
            <w:pPr>
              <w:pStyle w:val="TableContents"/>
              <w:bidi w:val="0"/>
              <w:spacing w:before="0" w:after="283"/>
              <w:jc w:val="right"/>
            </w:pPr>
            <w:r>
              <w:t>153,165</w:t>
            </w:r>
          </w:p>
        </w:tc>
        <w:tc>
          <w:tcPr>
            <w:tcW w:w="155" w:type="dxa"/>
            <w:tcBorders/>
            <w:vAlign w:val="bottom"/>
          </w:tcPr>
          <w:p>
            <w:pPr>
              <w:pStyle w:val="TableContents"/>
              <w:bidi w:val="0"/>
              <w:spacing w:before="0" w:after="283"/>
              <w:jc w:val="left"/>
            </w:pPr>
            <w:r>
              <w:t> </w:t>
            </w:r>
          </w:p>
        </w:tc>
      </w:tr>
      <w:t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pBdr>
                <w:top w:val="single" w:sz="2" w:space="1" w:color="000000"/>
              </w:pBdr>
              <w:bidi w:val="0"/>
              <w:spacing w:before="0" w:after="0"/>
              <w:jc w:val="left"/>
            </w:pPr>
            <w:r>
              <w:t> </w:t>
            </w:r>
          </w:p>
        </w:tc>
        <w:tc>
          <w:tcPr>
            <w:tcW w:w="115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2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3" w:type="dxa"/>
            <w:tcBorders/>
            <w:vAlign w:val="bottom"/>
          </w:tcPr>
          <w:p>
            <w:pPr>
              <w:pStyle w:val="TableContents"/>
              <w:pBdr>
                <w:top w:val="single" w:sz="2" w:space="1" w:color="000000"/>
              </w:pBdr>
              <w:bidi w:val="0"/>
              <w:spacing w:before="0" w:after="0"/>
              <w:jc w:val="left"/>
            </w:pPr>
            <w:r>
              <w:t> </w:t>
            </w:r>
          </w:p>
        </w:tc>
        <w:tc>
          <w:tcPr>
            <w:tcW w:w="10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pBdr>
                <w:top w:val="single" w:sz="2" w:space="1" w:color="000000"/>
              </w:pBdr>
              <w:bidi w:val="0"/>
              <w:spacing w:before="0" w:after="0"/>
              <w:jc w:val="left"/>
            </w:pPr>
            <w:r>
              <w:t> </w:t>
            </w:r>
          </w:p>
        </w:tc>
        <w:tc>
          <w:tcPr>
            <w:tcW w:w="121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56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5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2" w:type="dxa"/>
            <w:tcBorders/>
            <w:vAlign w:val="bottom"/>
          </w:tcPr>
          <w:p>
            <w:pPr>
              <w:pStyle w:val="TableContents"/>
              <w:pBdr>
                <w:top w:val="single" w:sz="2" w:space="1" w:color="000000"/>
              </w:pBdr>
              <w:bidi w:val="0"/>
              <w:spacing w:before="0" w:after="0"/>
              <w:jc w:val="left"/>
            </w:pPr>
            <w:r>
              <w:t> </w:t>
            </w:r>
          </w:p>
        </w:tc>
        <w:tc>
          <w:tcPr>
            <w:tcW w:w="1068"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567,769</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14" w:type="dxa"/>
            <w:tcBorders/>
            <w:shd w:fill="CCEEFF" w:val="clear"/>
            <w:vAlign w:val="bottom"/>
          </w:tcPr>
          <w:p>
            <w:pPr>
              <w:pStyle w:val="TableContents"/>
              <w:bidi w:val="0"/>
              <w:spacing w:before="0" w:after="283"/>
              <w:jc w:val="left"/>
            </w:pPr>
            <w:r>
              <w:t> </w:t>
            </w:r>
          </w:p>
        </w:tc>
        <w:tc>
          <w:tcPr>
            <w:tcW w:w="1156" w:type="dxa"/>
            <w:tcBorders/>
            <w:shd w:fill="CCEEFF" w:val="clear"/>
            <w:vAlign w:val="bottom"/>
          </w:tcPr>
          <w:p>
            <w:pPr>
              <w:pStyle w:val="TableContents"/>
              <w:bidi w:val="0"/>
              <w:spacing w:before="0" w:after="283"/>
              <w:jc w:val="right"/>
            </w:pPr>
            <w:r>
              <w:t>62,424</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20" w:type="dxa"/>
            <w:tcBorders/>
            <w:shd w:fill="CCEEFF" w:val="clear"/>
            <w:vAlign w:val="bottom"/>
          </w:tcPr>
          <w:p>
            <w:pPr>
              <w:pStyle w:val="TableContents"/>
              <w:bidi w:val="0"/>
              <w:spacing w:before="0" w:after="283"/>
              <w:jc w:val="right"/>
            </w:pPr>
            <w:r>
              <w:t>104,864</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93" w:type="dxa"/>
            <w:tcBorders/>
            <w:shd w:fill="CCEEFF" w:val="clear"/>
            <w:vAlign w:val="bottom"/>
          </w:tcPr>
          <w:p>
            <w:pPr>
              <w:pStyle w:val="TableContents"/>
              <w:bidi w:val="0"/>
              <w:spacing w:before="0" w:after="283"/>
              <w:jc w:val="left"/>
            </w:pPr>
            <w:r>
              <w:t> </w:t>
            </w:r>
          </w:p>
        </w:tc>
        <w:tc>
          <w:tcPr>
            <w:tcW w:w="1042" w:type="dxa"/>
            <w:tcBorders/>
            <w:shd w:fill="CCEEFF" w:val="clear"/>
            <w:vAlign w:val="bottom"/>
          </w:tcPr>
          <w:p>
            <w:pPr>
              <w:pStyle w:val="TableContents"/>
              <w:bidi w:val="0"/>
              <w:spacing w:before="0" w:after="283"/>
              <w:jc w:val="right"/>
            </w:pPr>
            <w:r>
              <w:t>(11,161</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pPr>
            <w:r>
              <w:t> </w:t>
            </w:r>
          </w:p>
        </w:tc>
        <w:tc>
          <w:tcPr>
            <w:tcW w:w="1219" w:type="dxa"/>
            <w:tcBorders/>
            <w:shd w:fill="CCEEFF" w:val="clear"/>
            <w:vAlign w:val="bottom"/>
          </w:tcPr>
          <w:p>
            <w:pPr>
              <w:pStyle w:val="TableContents"/>
              <w:bidi w:val="0"/>
              <w:spacing w:before="0" w:after="283"/>
              <w:jc w:val="right"/>
            </w:pPr>
            <w:r>
              <w:t>80,539</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560" w:type="dxa"/>
            <w:tcBorders/>
            <w:shd w:fill="CCEEFF" w:val="clear"/>
            <w:vAlign w:val="bottom"/>
          </w:tcPr>
          <w:p>
            <w:pPr>
              <w:pStyle w:val="TableContents"/>
              <w:bidi w:val="0"/>
              <w:spacing w:before="0" w:after="283"/>
              <w:jc w:val="right"/>
            </w:pPr>
            <w:r>
              <w:t>7,524</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55" w:type="dxa"/>
            <w:tcBorders/>
            <w:shd w:fill="CCEEFF" w:val="clear"/>
            <w:vAlign w:val="bottom"/>
          </w:tcPr>
          <w:p>
            <w:pPr>
              <w:pStyle w:val="TableContents"/>
              <w:bidi w:val="0"/>
              <w:spacing w:before="0" w:after="283"/>
              <w:jc w:val="right"/>
            </w:pPr>
            <w:r>
              <w:t>(27,692</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52" w:type="dxa"/>
            <w:tcBorders/>
            <w:shd w:fill="CCEEFF" w:val="clear"/>
            <w:vAlign w:val="bottom"/>
          </w:tcPr>
          <w:p>
            <w:pPr>
              <w:pStyle w:val="TableContents"/>
              <w:bidi w:val="0"/>
              <w:spacing w:before="0" w:after="283"/>
              <w:jc w:val="left"/>
            </w:pPr>
            <w:r>
              <w:t> </w:t>
            </w:r>
          </w:p>
        </w:tc>
        <w:tc>
          <w:tcPr>
            <w:tcW w:w="1068" w:type="dxa"/>
            <w:tcBorders/>
            <w:shd w:fill="CCEEFF" w:val="clear"/>
            <w:vAlign w:val="bottom"/>
          </w:tcPr>
          <w:p>
            <w:pPr>
              <w:pStyle w:val="TableContents"/>
              <w:bidi w:val="0"/>
              <w:spacing w:before="0" w:after="283"/>
              <w:jc w:val="right"/>
            </w:pPr>
            <w:r>
              <w:t>784,267</w:t>
            </w:r>
          </w:p>
        </w:tc>
        <w:tc>
          <w:tcPr>
            <w:tcW w:w="155" w:type="dxa"/>
            <w:tcBorders/>
            <w:shd w:fill="CCEEFF" w:val="clear"/>
            <w:vAlign w:val="bottom"/>
          </w:tcPr>
          <w:p>
            <w:pPr>
              <w:pStyle w:val="TableContents"/>
              <w:bidi w:val="0"/>
              <w:spacing w:before="0" w:after="283"/>
              <w:jc w:val="left"/>
            </w:pPr>
            <w:r>
              <w:t> </w:t>
            </w:r>
          </w:p>
        </w:tc>
      </w:tr>
      <w:t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pBdr>
                <w:top w:val="single" w:sz="2" w:space="1" w:color="000000"/>
              </w:pBdr>
              <w:bidi w:val="0"/>
              <w:spacing w:before="0" w:after="0"/>
              <w:jc w:val="left"/>
            </w:pPr>
            <w:r>
              <w:t> </w:t>
            </w:r>
          </w:p>
        </w:tc>
        <w:tc>
          <w:tcPr>
            <w:tcW w:w="115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2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3" w:type="dxa"/>
            <w:tcBorders/>
            <w:vAlign w:val="bottom"/>
          </w:tcPr>
          <w:p>
            <w:pPr>
              <w:pStyle w:val="TableContents"/>
              <w:pBdr>
                <w:top w:val="single" w:sz="2" w:space="1" w:color="000000"/>
              </w:pBdr>
              <w:bidi w:val="0"/>
              <w:spacing w:before="0" w:after="0"/>
              <w:jc w:val="left"/>
            </w:pPr>
            <w:r>
              <w:t> </w:t>
            </w:r>
          </w:p>
        </w:tc>
        <w:tc>
          <w:tcPr>
            <w:tcW w:w="10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pBdr>
                <w:top w:val="single" w:sz="2" w:space="1" w:color="000000"/>
              </w:pBdr>
              <w:bidi w:val="0"/>
              <w:spacing w:before="0" w:after="0"/>
              <w:jc w:val="left"/>
            </w:pPr>
            <w:r>
              <w:t> </w:t>
            </w:r>
          </w:p>
        </w:tc>
        <w:tc>
          <w:tcPr>
            <w:tcW w:w="121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56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5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2" w:type="dxa"/>
            <w:tcBorders/>
            <w:vAlign w:val="bottom"/>
          </w:tcPr>
          <w:p>
            <w:pPr>
              <w:pStyle w:val="TableContents"/>
              <w:pBdr>
                <w:top w:val="single" w:sz="2" w:space="1" w:color="000000"/>
              </w:pBdr>
              <w:bidi w:val="0"/>
              <w:spacing w:before="0" w:after="0"/>
              <w:jc w:val="left"/>
            </w:pPr>
            <w:r>
              <w:t> </w:t>
            </w:r>
          </w:p>
        </w:tc>
        <w:tc>
          <w:tcPr>
            <w:tcW w:w="1068"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3,065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93" w:type="dxa"/>
            <w:tcBorders/>
            <w:vAlign w:val="bottom"/>
          </w:tcPr>
          <w:p>
            <w:pPr>
              <w:pStyle w:val="TableContents"/>
              <w:bidi w:val="0"/>
              <w:spacing w:before="0" w:after="283"/>
              <w:jc w:val="left"/>
              <w:rPr>
                <w:sz w:val="4"/>
                <w:szCs w:val="4"/>
              </w:rPr>
            </w:pPr>
            <w:r>
              <w:rPr>
                <w:sz w:val="4"/>
                <w:szCs w:val="4"/>
              </w:rPr>
            </w:r>
          </w:p>
        </w:tc>
        <w:tc>
          <w:tcPr>
            <w:tcW w:w="104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52" w:type="dxa"/>
            <w:tcBorders/>
            <w:vAlign w:val="bottom"/>
          </w:tcPr>
          <w:p>
            <w:pPr>
              <w:pStyle w:val="TableContents"/>
              <w:bidi w:val="0"/>
              <w:spacing w:before="0" w:after="283"/>
              <w:jc w:val="left"/>
            </w:pPr>
            <w:r>
              <w:t> </w:t>
            </w:r>
          </w:p>
        </w:tc>
        <w:tc>
          <w:tcPr>
            <w:tcW w:w="1068" w:type="dxa"/>
            <w:tcBorders/>
            <w:vAlign w:val="bottom"/>
          </w:tcPr>
          <w:p>
            <w:pPr>
              <w:pStyle w:val="TableContents"/>
              <w:bidi w:val="0"/>
              <w:spacing w:before="0" w:after="283"/>
              <w:jc w:val="right"/>
            </w:pPr>
            <w:r>
              <w:t>3,065</w:t>
            </w:r>
          </w:p>
        </w:tc>
        <w:tc>
          <w:tcPr>
            <w:tcW w:w="155" w:type="dxa"/>
            <w:tcBorders/>
            <w:vAlign w:val="bottom"/>
          </w:tcPr>
          <w:p>
            <w:pPr>
              <w:pStyle w:val="TableContents"/>
              <w:bidi w:val="0"/>
              <w:spacing w:before="0" w:after="283"/>
              <w:jc w:val="left"/>
            </w:pPr>
            <w:r>
              <w:t> </w:t>
            </w:r>
          </w:p>
        </w:tc>
      </w:tr>
      <w:t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pBdr>
                <w:top w:val="single" w:sz="2" w:space="1" w:color="000000"/>
              </w:pBdr>
              <w:bidi w:val="0"/>
              <w:spacing w:before="0" w:after="0"/>
              <w:jc w:val="left"/>
            </w:pPr>
            <w:r>
              <w:t> </w:t>
            </w:r>
          </w:p>
        </w:tc>
        <w:tc>
          <w:tcPr>
            <w:tcW w:w="115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2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3" w:type="dxa"/>
            <w:tcBorders/>
            <w:vAlign w:val="bottom"/>
          </w:tcPr>
          <w:p>
            <w:pPr>
              <w:pStyle w:val="TableContents"/>
              <w:pBdr>
                <w:top w:val="single" w:sz="2" w:space="1" w:color="000000"/>
              </w:pBdr>
              <w:bidi w:val="0"/>
              <w:spacing w:before="0" w:after="0"/>
              <w:jc w:val="left"/>
            </w:pPr>
            <w:r>
              <w:t> </w:t>
            </w:r>
          </w:p>
        </w:tc>
        <w:tc>
          <w:tcPr>
            <w:tcW w:w="10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pBdr>
                <w:top w:val="single" w:sz="2" w:space="1" w:color="000000"/>
              </w:pBdr>
              <w:bidi w:val="0"/>
              <w:spacing w:before="0" w:after="0"/>
              <w:jc w:val="left"/>
            </w:pPr>
            <w:r>
              <w:t> </w:t>
            </w:r>
          </w:p>
        </w:tc>
        <w:tc>
          <w:tcPr>
            <w:tcW w:w="121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56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5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2" w:type="dxa"/>
            <w:tcBorders/>
            <w:vAlign w:val="bottom"/>
          </w:tcPr>
          <w:p>
            <w:pPr>
              <w:pStyle w:val="TableContents"/>
              <w:pBdr>
                <w:top w:val="single" w:sz="2" w:space="1" w:color="000000"/>
              </w:pBdr>
              <w:bidi w:val="0"/>
              <w:spacing w:before="0" w:after="0"/>
              <w:jc w:val="left"/>
            </w:pPr>
            <w:r>
              <w:t> </w:t>
            </w:r>
          </w:p>
        </w:tc>
        <w:tc>
          <w:tcPr>
            <w:tcW w:w="1068"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0" w:type="dxa"/>
            <w:tcBorders/>
            <w:shd w:fill="CCEEFF" w:val="clear"/>
            <w:vAlign w:val="bottom"/>
          </w:tcPr>
          <w:p>
            <w:pPr>
              <w:pStyle w:val="TableContents"/>
              <w:bidi w:val="0"/>
              <w:spacing w:before="0" w:after="283"/>
              <w:jc w:val="right"/>
            </w:pPr>
            <w:r>
              <w:t>564,704</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14" w:type="dxa"/>
            <w:tcBorders/>
            <w:shd w:fill="CCEEFF" w:val="clear"/>
            <w:vAlign w:val="bottom"/>
          </w:tcPr>
          <w:p>
            <w:pPr>
              <w:pStyle w:val="TableContents"/>
              <w:bidi w:val="0"/>
              <w:spacing w:before="0" w:after="283"/>
              <w:jc w:val="left"/>
            </w:pPr>
            <w:r>
              <w:t>$</w:t>
            </w:r>
          </w:p>
        </w:tc>
        <w:tc>
          <w:tcPr>
            <w:tcW w:w="1156" w:type="dxa"/>
            <w:tcBorders/>
            <w:shd w:fill="CCEEFF" w:val="clear"/>
            <w:vAlign w:val="bottom"/>
          </w:tcPr>
          <w:p>
            <w:pPr>
              <w:pStyle w:val="TableContents"/>
              <w:bidi w:val="0"/>
              <w:spacing w:before="0" w:after="283"/>
              <w:jc w:val="right"/>
            </w:pPr>
            <w:r>
              <w:t>62,424</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w:t>
            </w:r>
          </w:p>
        </w:tc>
        <w:tc>
          <w:tcPr>
            <w:tcW w:w="1220" w:type="dxa"/>
            <w:tcBorders/>
            <w:shd w:fill="CCEEFF" w:val="clear"/>
            <w:vAlign w:val="bottom"/>
          </w:tcPr>
          <w:p>
            <w:pPr>
              <w:pStyle w:val="TableContents"/>
              <w:bidi w:val="0"/>
              <w:spacing w:before="0" w:after="283"/>
              <w:jc w:val="right"/>
            </w:pPr>
            <w:r>
              <w:t>104,864</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93" w:type="dxa"/>
            <w:tcBorders/>
            <w:shd w:fill="CCEEFF" w:val="clear"/>
            <w:vAlign w:val="bottom"/>
          </w:tcPr>
          <w:p>
            <w:pPr>
              <w:pStyle w:val="TableContents"/>
              <w:bidi w:val="0"/>
              <w:spacing w:before="0" w:after="283"/>
              <w:jc w:val="left"/>
            </w:pPr>
            <w:r>
              <w:t>$</w:t>
            </w:r>
          </w:p>
        </w:tc>
        <w:tc>
          <w:tcPr>
            <w:tcW w:w="1042" w:type="dxa"/>
            <w:tcBorders/>
            <w:shd w:fill="CCEEFF" w:val="clear"/>
            <w:vAlign w:val="bottom"/>
          </w:tcPr>
          <w:p>
            <w:pPr>
              <w:pStyle w:val="TableContents"/>
              <w:bidi w:val="0"/>
              <w:spacing w:before="0" w:after="283"/>
              <w:jc w:val="right"/>
            </w:pPr>
            <w:r>
              <w:t>(11,161</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pPr>
            <w:r>
              <w:t>$</w:t>
            </w:r>
          </w:p>
        </w:tc>
        <w:tc>
          <w:tcPr>
            <w:tcW w:w="1219" w:type="dxa"/>
            <w:tcBorders/>
            <w:shd w:fill="CCEEFF" w:val="clear"/>
            <w:vAlign w:val="bottom"/>
          </w:tcPr>
          <w:p>
            <w:pPr>
              <w:pStyle w:val="TableContents"/>
              <w:bidi w:val="0"/>
              <w:spacing w:before="0" w:after="283"/>
              <w:jc w:val="right"/>
            </w:pPr>
            <w:r>
              <w:t>80,539</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560" w:type="dxa"/>
            <w:tcBorders/>
            <w:shd w:fill="CCEEFF" w:val="clear"/>
            <w:vAlign w:val="bottom"/>
          </w:tcPr>
          <w:p>
            <w:pPr>
              <w:pStyle w:val="TableContents"/>
              <w:bidi w:val="0"/>
              <w:spacing w:before="0" w:after="283"/>
              <w:jc w:val="right"/>
            </w:pPr>
            <w:r>
              <w:t>7,524</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755" w:type="dxa"/>
            <w:tcBorders/>
            <w:shd w:fill="CCEEFF" w:val="clear"/>
            <w:vAlign w:val="bottom"/>
          </w:tcPr>
          <w:p>
            <w:pPr>
              <w:pStyle w:val="TableContents"/>
              <w:bidi w:val="0"/>
              <w:spacing w:before="0" w:after="283"/>
              <w:jc w:val="right"/>
            </w:pPr>
            <w:r>
              <w:t>(27,692</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52" w:type="dxa"/>
            <w:tcBorders/>
            <w:shd w:fill="CCEEFF" w:val="clear"/>
            <w:vAlign w:val="bottom"/>
          </w:tcPr>
          <w:p>
            <w:pPr>
              <w:pStyle w:val="TableContents"/>
              <w:bidi w:val="0"/>
              <w:spacing w:before="0" w:after="283"/>
              <w:jc w:val="left"/>
            </w:pPr>
            <w:r>
              <w:t>$</w:t>
            </w:r>
          </w:p>
        </w:tc>
        <w:tc>
          <w:tcPr>
            <w:tcW w:w="1068" w:type="dxa"/>
            <w:tcBorders/>
            <w:shd w:fill="CCEEFF" w:val="clear"/>
            <w:vAlign w:val="bottom"/>
          </w:tcPr>
          <w:p>
            <w:pPr>
              <w:pStyle w:val="TableContents"/>
              <w:bidi w:val="0"/>
              <w:spacing w:before="0" w:after="283"/>
              <w:jc w:val="right"/>
            </w:pPr>
            <w:r>
              <w:t>781,202</w:t>
            </w:r>
          </w:p>
        </w:tc>
        <w:tc>
          <w:tcPr>
            <w:tcW w:w="155" w:type="dxa"/>
            <w:tcBorders/>
            <w:shd w:fill="CCEEFF" w:val="clear"/>
            <w:vAlign w:val="bottom"/>
          </w:tcPr>
          <w:p>
            <w:pPr>
              <w:pStyle w:val="TableContents"/>
              <w:bidi w:val="0"/>
              <w:spacing w:before="0" w:after="283"/>
              <w:jc w:val="left"/>
            </w:pPr>
            <w:r>
              <w:t> </w:t>
            </w:r>
          </w:p>
        </w:tc>
      </w:tr>
      <w:t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4" w:type="dxa"/>
            <w:tcBorders/>
            <w:vAlign w:val="bottom"/>
          </w:tcPr>
          <w:p>
            <w:pPr>
              <w:pStyle w:val="TableContents"/>
              <w:pBdr>
                <w:top w:val="single" w:sz="2" w:space="1" w:color="000000"/>
              </w:pBdr>
              <w:bidi w:val="0"/>
              <w:spacing w:before="0" w:after="0"/>
              <w:jc w:val="left"/>
            </w:pPr>
            <w:r>
              <w:t> </w:t>
            </w:r>
          </w:p>
        </w:tc>
        <w:tc>
          <w:tcPr>
            <w:tcW w:w="115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2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93" w:type="dxa"/>
            <w:tcBorders/>
            <w:vAlign w:val="bottom"/>
          </w:tcPr>
          <w:p>
            <w:pPr>
              <w:pStyle w:val="TableContents"/>
              <w:pBdr>
                <w:top w:val="single" w:sz="2" w:space="1" w:color="000000"/>
              </w:pBdr>
              <w:bidi w:val="0"/>
              <w:spacing w:before="0" w:after="0"/>
              <w:jc w:val="left"/>
            </w:pPr>
            <w:r>
              <w:t> </w:t>
            </w:r>
          </w:p>
        </w:tc>
        <w:tc>
          <w:tcPr>
            <w:tcW w:w="10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6" w:type="dxa"/>
            <w:tcBorders/>
            <w:vAlign w:val="bottom"/>
          </w:tcPr>
          <w:p>
            <w:pPr>
              <w:pStyle w:val="TableContents"/>
              <w:pBdr>
                <w:top w:val="single" w:sz="2" w:space="1" w:color="000000"/>
              </w:pBdr>
              <w:bidi w:val="0"/>
              <w:spacing w:before="0" w:after="0"/>
              <w:jc w:val="left"/>
            </w:pPr>
            <w:r>
              <w:t> </w:t>
            </w:r>
          </w:p>
        </w:tc>
        <w:tc>
          <w:tcPr>
            <w:tcW w:w="121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56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5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2" w:type="dxa"/>
            <w:tcBorders/>
            <w:vAlign w:val="bottom"/>
          </w:tcPr>
          <w:p>
            <w:pPr>
              <w:pStyle w:val="TableContents"/>
              <w:pBdr>
                <w:top w:val="single" w:sz="2" w:space="1" w:color="000000"/>
              </w:pBdr>
              <w:bidi w:val="0"/>
              <w:spacing w:before="0" w:after="0"/>
              <w:jc w:val="left"/>
            </w:pPr>
            <w:r>
              <w:t> </w:t>
            </w:r>
          </w:p>
        </w:tc>
        <w:tc>
          <w:tcPr>
            <w:tcW w:w="1068"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bl>
    <w:p>
      <w:pPr>
        <w:pStyle w:val="HorizontalLine"/>
        <w:pBdr>
          <w:bottom w:val="double" w:sz="6" w:space="0" w:color="808080"/>
        </w:pBdr>
        <w:bidi w:val="0"/>
        <w:jc w:val="left"/>
      </w:pPr>
      <w:r>
        <w:br w:type="page"/>
      </w: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24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6546"/>
        <w:gridCol w:w="287"/>
        <w:gridCol w:w="184"/>
        <w:gridCol w:w="1296"/>
        <w:gridCol w:w="60"/>
        <w:gridCol w:w="287"/>
        <w:gridCol w:w="184"/>
        <w:gridCol w:w="1296"/>
        <w:gridCol w:w="65"/>
      </w:tblGrid>
      <w:tr>
        <w:tc>
          <w:tcPr>
            <w:tcW w:w="6546"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c>
          <w:tcPr>
            <w:tcW w:w="6546" w:type="dxa"/>
            <w:tcBorders/>
            <w:vAlign w:val="bottom"/>
          </w:tcPr>
          <w:p>
            <w:pPr>
              <w:pStyle w:val="TableContents"/>
              <w:bidi w:val="0"/>
              <w:spacing w:before="0" w:after="283"/>
              <w:jc w:val="left"/>
            </w:pPr>
            <w:r>
              <w:t> </w:t>
            </w:r>
          </w:p>
        </w:tc>
        <w:tc>
          <w:tcPr>
            <w:tcW w:w="287" w:type="dxa"/>
            <w:tcBorders/>
            <w:vAlign w:val="bottom"/>
          </w:tcPr>
          <w:p>
            <w:pPr>
              <w:pStyle w:val="TableContents"/>
              <w:bidi w:val="0"/>
              <w:spacing w:before="0" w:after="283"/>
              <w:jc w:val="left"/>
            </w:pPr>
            <w:r>
              <w:t>  </w:t>
            </w:r>
          </w:p>
        </w:tc>
        <w:tc>
          <w:tcPr>
            <w:tcW w:w="330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w:t>
            </w:r>
          </w:p>
        </w:tc>
        <w:tc>
          <w:tcPr>
            <w:tcW w:w="65" w:type="dxa"/>
            <w:tcBorders/>
            <w:vAlign w:val="bottom"/>
          </w:tcPr>
          <w:p>
            <w:pPr>
              <w:pStyle w:val="TableContents"/>
              <w:bidi w:val="0"/>
              <w:spacing w:before="0" w:after="283"/>
              <w:jc w:val="left"/>
            </w:pPr>
            <w:r>
              <w:t> </w:t>
            </w:r>
          </w:p>
        </w:tc>
      </w:tr>
      <w:tr>
        <w:tc>
          <w:tcPr>
            <w:tcW w:w="6546" w:type="dxa"/>
            <w:tcBorders/>
            <w:vAlign w:val="bottom"/>
          </w:tcPr>
          <w:p>
            <w:pPr>
              <w:pStyle w:val="TableContents"/>
              <w:bidi w:val="0"/>
              <w:spacing w:before="0" w:after="283"/>
              <w:jc w:val="left"/>
            </w:pPr>
            <w:r>
              <w:t> </w:t>
            </w:r>
          </w:p>
        </w:tc>
        <w:tc>
          <w:tcPr>
            <w:tcW w:w="287" w:type="dxa"/>
            <w:tcBorders/>
            <w:vAlign w:val="bottom"/>
          </w:tcPr>
          <w:p>
            <w:pPr>
              <w:pStyle w:val="TableContents"/>
              <w:bidi w:val="0"/>
              <w:spacing w:before="0" w:after="283"/>
              <w:jc w:val="left"/>
            </w:pPr>
            <w:r>
              <w:t>  </w:t>
            </w:r>
          </w:p>
        </w:tc>
        <w:tc>
          <w:tcPr>
            <w:tcW w:w="1480" w:type="dxa"/>
            <w:gridSpan w:val="2"/>
            <w:tcBorders>
              <w:bottom w:val="single" w:sz="8" w:space="0" w:color="000000"/>
            </w:tcBorders>
            <w:tcMar>
              <w:bottom w:w="28" w:type="dxa"/>
            </w:tcMar>
            <w:vAlign w:val="bottom"/>
          </w:tcPr>
          <w:p>
            <w:pPr>
              <w:pStyle w:val="TableContents"/>
              <w:bidi w:val="0"/>
              <w:spacing w:before="0" w:after="283"/>
              <w:jc w:val="center"/>
            </w:pPr>
            <w:r>
              <w:rPr>
                <w:b/>
              </w:rPr>
              <w:t>September 30,</w:t>
            </w:r>
            <w:r>
              <w:br/>
            </w:r>
            <w:r>
              <w:rPr>
                <w:b/>
              </w:rPr>
              <w:t>2026</w:t>
            </w:r>
          </w:p>
        </w:tc>
        <w:tc>
          <w:tcPr>
            <w:tcW w:w="60" w:type="dxa"/>
            <w:tcBorders/>
            <w:vAlign w:val="bottom"/>
          </w:tcPr>
          <w:p>
            <w:pPr>
              <w:pStyle w:val="TableContents"/>
              <w:bidi w:val="0"/>
              <w:spacing w:before="0" w:after="283"/>
              <w:jc w:val="left"/>
            </w:pPr>
            <w:r>
              <w:t> </w:t>
            </w:r>
          </w:p>
        </w:tc>
        <w:tc>
          <w:tcPr>
            <w:tcW w:w="287" w:type="dxa"/>
            <w:tcBorders/>
            <w:vAlign w:val="bottom"/>
          </w:tcPr>
          <w:p>
            <w:pPr>
              <w:pStyle w:val="TableContents"/>
              <w:bidi w:val="0"/>
              <w:spacing w:before="0" w:after="283"/>
              <w:jc w:val="left"/>
            </w:pPr>
            <w:r>
              <w:t>  </w:t>
            </w:r>
          </w:p>
        </w:tc>
        <w:tc>
          <w:tcPr>
            <w:tcW w:w="1480" w:type="dxa"/>
            <w:gridSpan w:val="2"/>
            <w:tcBorders>
              <w:bottom w:val="single" w:sz="8" w:space="0" w:color="000000"/>
            </w:tcBorders>
            <w:tcMar>
              <w:bottom w:w="28" w:type="dxa"/>
            </w:tcMar>
            <w:vAlign w:val="bottom"/>
          </w:tcPr>
          <w:p>
            <w:pPr>
              <w:pStyle w:val="TableContents"/>
              <w:bidi w:val="0"/>
              <w:spacing w:before="0" w:after="283"/>
              <w:jc w:val="center"/>
            </w:pPr>
            <w:r>
              <w:rPr>
                <w:b/>
              </w:rPr>
              <w:t>September 30,</w:t>
            </w:r>
            <w:r>
              <w:br/>
            </w:r>
            <w:r>
              <w:rPr>
                <w:b/>
              </w:rPr>
              <w:t>2025</w:t>
            </w:r>
          </w:p>
        </w:tc>
        <w:tc>
          <w:tcPr>
            <w:tcW w:w="65" w:type="dxa"/>
            <w:tcBorders/>
            <w:vAlign w:val="bottom"/>
          </w:tcPr>
          <w:p>
            <w:pPr>
              <w:pStyle w:val="TableContents"/>
              <w:bidi w:val="0"/>
              <w:spacing w:before="0" w:after="283"/>
              <w:jc w:val="left"/>
            </w:pPr>
            <w:r>
              <w:t> </w:t>
            </w:r>
          </w:p>
        </w:tc>
      </w:tr>
      <w:tr>
        <w:tc>
          <w:tcPr>
            <w:tcW w:w="65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8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2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296"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c>
          <w:tcPr>
            <w:tcW w:w="6546"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rPr>
                <w:sz w:val="4"/>
                <w:szCs w:val="4"/>
              </w:rPr>
            </w:pPr>
            <w:r>
              <w:rPr>
                <w:sz w:val="4"/>
                <w:szCs w:val="4"/>
              </w:rPr>
            </w:r>
          </w:p>
        </w:tc>
        <w:tc>
          <w:tcPr>
            <w:tcW w:w="12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rPr>
                <w:sz w:val="4"/>
                <w:szCs w:val="4"/>
              </w:rPr>
            </w:pPr>
            <w:r>
              <w:rPr>
                <w:sz w:val="4"/>
                <w:szCs w:val="4"/>
              </w:rPr>
            </w:r>
          </w:p>
        </w:tc>
        <w:tc>
          <w:tcPr>
            <w:tcW w:w="129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8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w:t>
            </w:r>
          </w:p>
        </w:tc>
        <w:tc>
          <w:tcPr>
            <w:tcW w:w="1296" w:type="dxa"/>
            <w:tcBorders/>
            <w:shd w:fill="CCEEFF" w:val="clear"/>
            <w:vAlign w:val="bottom"/>
          </w:tcPr>
          <w:p>
            <w:pPr>
              <w:pStyle w:val="TableContents"/>
              <w:bidi w:val="0"/>
              <w:spacing w:before="0" w:after="283"/>
              <w:jc w:val="right"/>
            </w:pPr>
            <w:r>
              <w:t>197,049</w:t>
            </w:r>
          </w:p>
        </w:tc>
        <w:tc>
          <w:tcPr>
            <w:tcW w:w="60" w:type="dxa"/>
            <w:tcBorders/>
            <w:shd w:fill="CCEEFF" w:val="clear"/>
            <w:vAlign w:val="bottom"/>
          </w:tcPr>
          <w:p>
            <w:pPr>
              <w:pStyle w:val="TableContents"/>
              <w:bidi w:val="0"/>
              <w:spacing w:before="0" w:after="283"/>
              <w:jc w:val="left"/>
            </w:pPr>
            <w:r>
              <w:t> </w:t>
            </w:r>
          </w:p>
        </w:tc>
        <w:tc>
          <w:tcPr>
            <w:tcW w:w="28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w:t>
            </w:r>
          </w:p>
        </w:tc>
        <w:tc>
          <w:tcPr>
            <w:tcW w:w="1296" w:type="dxa"/>
            <w:tcBorders/>
            <w:shd w:fill="CCEEFF" w:val="clear"/>
            <w:vAlign w:val="bottom"/>
          </w:tcPr>
          <w:p>
            <w:pPr>
              <w:pStyle w:val="TableContents"/>
              <w:bidi w:val="0"/>
              <w:spacing w:before="0" w:after="283"/>
              <w:jc w:val="right"/>
            </w:pPr>
            <w:r>
              <w:t>324,999</w:t>
            </w:r>
          </w:p>
        </w:tc>
        <w:tc>
          <w:tcPr>
            <w:tcW w:w="65" w:type="dxa"/>
            <w:tcBorders/>
            <w:shd w:fill="CCEEFF" w:val="clear"/>
            <w:vAlign w:val="bottom"/>
          </w:tcPr>
          <w:p>
            <w:pPr>
              <w:pStyle w:val="TableContents"/>
              <w:bidi w:val="0"/>
              <w:spacing w:before="0" w:after="283"/>
              <w:jc w:val="left"/>
            </w:pPr>
            <w:r>
              <w:t> </w:t>
            </w:r>
          </w:p>
        </w:tc>
      </w:tr>
      <w:t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 including unbilled</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1296" w:type="dxa"/>
            <w:tcBorders/>
            <w:vAlign w:val="bottom"/>
          </w:tcPr>
          <w:p>
            <w:pPr>
              <w:pStyle w:val="TableContents"/>
              <w:bidi w:val="0"/>
              <w:spacing w:before="0" w:after="283"/>
              <w:jc w:val="right"/>
            </w:pPr>
            <w:r>
              <w:t>1,091,475</w:t>
            </w:r>
          </w:p>
        </w:tc>
        <w:tc>
          <w:tcPr>
            <w:tcW w:w="60" w:type="dxa"/>
            <w:tcBorders/>
            <w:vAlign w:val="bottom"/>
          </w:tcPr>
          <w:p>
            <w:pPr>
              <w:pStyle w:val="TableContents"/>
              <w:bidi w:val="0"/>
              <w:spacing w:before="0" w:after="283"/>
              <w:jc w:val="left"/>
            </w:pPr>
            <w:r>
              <w:t> </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1296" w:type="dxa"/>
            <w:tcBorders/>
            <w:vAlign w:val="bottom"/>
          </w:tcPr>
          <w:p>
            <w:pPr>
              <w:pStyle w:val="TableContents"/>
              <w:bidi w:val="0"/>
              <w:spacing w:before="0" w:after="283"/>
              <w:jc w:val="right"/>
            </w:pPr>
            <w:r>
              <w:t>935,751</w:t>
            </w:r>
          </w:p>
        </w:tc>
        <w:tc>
          <w:tcPr>
            <w:tcW w:w="65" w:type="dxa"/>
            <w:tcBorders/>
            <w:vAlign w:val="bottom"/>
          </w:tcPr>
          <w:p>
            <w:pPr>
              <w:pStyle w:val="TableContents"/>
              <w:bidi w:val="0"/>
              <w:spacing w:before="0" w:after="283"/>
              <w:jc w:val="left"/>
            </w:pPr>
            <w:r>
              <w:t> </w:t>
            </w:r>
          </w:p>
        </w:tc>
      </w:tr>
      <w:t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8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1296" w:type="dxa"/>
            <w:tcBorders/>
            <w:shd w:fill="CCEEFF" w:val="clear"/>
            <w:vAlign w:val="bottom"/>
          </w:tcPr>
          <w:p>
            <w:pPr>
              <w:pStyle w:val="TableContents"/>
              <w:bidi w:val="0"/>
              <w:spacing w:before="0" w:after="283"/>
              <w:jc w:val="right"/>
            </w:pPr>
            <w:r>
              <w:t>328,226</w:t>
            </w:r>
          </w:p>
        </w:tc>
        <w:tc>
          <w:tcPr>
            <w:tcW w:w="60" w:type="dxa"/>
            <w:tcBorders/>
            <w:shd w:fill="CCEEFF" w:val="clear"/>
            <w:vAlign w:val="bottom"/>
          </w:tcPr>
          <w:p>
            <w:pPr>
              <w:pStyle w:val="TableContents"/>
              <w:bidi w:val="0"/>
              <w:spacing w:before="0" w:after="283"/>
              <w:jc w:val="left"/>
            </w:pPr>
            <w:r>
              <w:t> </w:t>
            </w:r>
          </w:p>
        </w:tc>
        <w:tc>
          <w:tcPr>
            <w:tcW w:w="28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1296" w:type="dxa"/>
            <w:tcBorders/>
            <w:shd w:fill="CCEEFF" w:val="clear"/>
            <w:vAlign w:val="bottom"/>
          </w:tcPr>
          <w:p>
            <w:pPr>
              <w:pStyle w:val="TableContents"/>
              <w:bidi w:val="0"/>
              <w:spacing w:before="0" w:after="283"/>
              <w:jc w:val="right"/>
            </w:pPr>
            <w:r>
              <w:t>331,387</w:t>
            </w:r>
          </w:p>
        </w:tc>
        <w:tc>
          <w:tcPr>
            <w:tcW w:w="65" w:type="dxa"/>
            <w:tcBorders/>
            <w:shd w:fill="CCEEFF" w:val="clear"/>
            <w:vAlign w:val="bottom"/>
          </w:tcPr>
          <w:p>
            <w:pPr>
              <w:pStyle w:val="TableContents"/>
              <w:bidi w:val="0"/>
              <w:spacing w:before="0" w:after="283"/>
              <w:jc w:val="left"/>
            </w:pPr>
            <w:r>
              <w:t> </w:t>
            </w:r>
          </w:p>
        </w:tc>
      </w:tr>
      <w:tr>
        <w:tc>
          <w:tcPr>
            <w:tcW w:w="6546"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pBdr>
                <w:top w:val="single" w:sz="2" w:space="1" w:color="000000"/>
              </w:pBdr>
              <w:bidi w:val="0"/>
              <w:spacing w:before="0" w:after="0"/>
              <w:jc w:val="left"/>
            </w:pPr>
            <w:r>
              <w:t> </w:t>
            </w:r>
          </w:p>
        </w:tc>
        <w:tc>
          <w:tcPr>
            <w:tcW w:w="1296"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pBdr>
                <w:top w:val="single" w:sz="2" w:space="1" w:color="000000"/>
              </w:pBdr>
              <w:bidi w:val="0"/>
              <w:spacing w:before="0" w:after="0"/>
              <w:jc w:val="left"/>
            </w:pPr>
            <w:r>
              <w:t> </w:t>
            </w:r>
          </w:p>
        </w:tc>
        <w:tc>
          <w:tcPr>
            <w:tcW w:w="1296" w:type="dxa"/>
            <w:tcBorders/>
            <w:vAlign w:val="bottom"/>
          </w:tcPr>
          <w:p>
            <w:pPr>
              <w:pStyle w:val="TableContents"/>
              <w:pBdr>
                <w:top w:val="single" w:sz="2" w:space="1" w:color="000000"/>
              </w:pBdr>
              <w:bidi w:val="0"/>
              <w:spacing w:before="0" w:after="0"/>
              <w:jc w:val="left"/>
            </w:pPr>
            <w:r>
              <w:t> </w:t>
            </w:r>
          </w:p>
        </w:tc>
        <w:tc>
          <w:tcPr>
            <w:tcW w:w="65" w:type="dxa"/>
            <w:tcBorders/>
            <w:vAlign w:val="center"/>
          </w:tcPr>
          <w:p>
            <w:pPr>
              <w:pStyle w:val="TableContents"/>
              <w:bidi w:val="0"/>
              <w:spacing w:before="0" w:after="283"/>
              <w:jc w:val="left"/>
            </w:pPr>
            <w:r>
              <w:t> </w:t>
            </w:r>
          </w:p>
        </w:tc>
      </w:tr>
      <w:tr>
        <w:tc>
          <w:tcPr>
            <w:tcW w:w="654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1296" w:type="dxa"/>
            <w:tcBorders/>
            <w:vAlign w:val="bottom"/>
          </w:tcPr>
          <w:p>
            <w:pPr>
              <w:pStyle w:val="TableContents"/>
              <w:bidi w:val="0"/>
              <w:spacing w:before="0" w:after="283"/>
              <w:jc w:val="right"/>
            </w:pPr>
            <w:r>
              <w:t>1,616,750</w:t>
            </w:r>
          </w:p>
        </w:tc>
        <w:tc>
          <w:tcPr>
            <w:tcW w:w="60" w:type="dxa"/>
            <w:tcBorders/>
            <w:vAlign w:val="bottom"/>
          </w:tcPr>
          <w:p>
            <w:pPr>
              <w:pStyle w:val="TableContents"/>
              <w:bidi w:val="0"/>
              <w:spacing w:before="0" w:after="283"/>
              <w:jc w:val="left"/>
            </w:pPr>
            <w:r>
              <w:t> </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1296" w:type="dxa"/>
            <w:tcBorders/>
            <w:vAlign w:val="bottom"/>
          </w:tcPr>
          <w:p>
            <w:pPr>
              <w:pStyle w:val="TableContents"/>
              <w:bidi w:val="0"/>
              <w:spacing w:before="0" w:after="283"/>
              <w:jc w:val="right"/>
            </w:pPr>
            <w:r>
              <w:t>1,592,137</w:t>
            </w:r>
          </w:p>
        </w:tc>
        <w:tc>
          <w:tcPr>
            <w:tcW w:w="65" w:type="dxa"/>
            <w:tcBorders/>
            <w:vAlign w:val="bottom"/>
          </w:tcPr>
          <w:p>
            <w:pPr>
              <w:pStyle w:val="TableContents"/>
              <w:bidi w:val="0"/>
              <w:spacing w:before="0" w:after="283"/>
              <w:jc w:val="left"/>
            </w:pPr>
            <w:r>
              <w:t> </w:t>
            </w:r>
          </w:p>
        </w:tc>
      </w:tr>
      <w:t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8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1296" w:type="dxa"/>
            <w:tcBorders/>
            <w:shd w:fill="CCEEFF" w:val="clear"/>
            <w:vAlign w:val="bottom"/>
          </w:tcPr>
          <w:p>
            <w:pPr>
              <w:pStyle w:val="TableContents"/>
              <w:bidi w:val="0"/>
              <w:spacing w:before="0" w:after="283"/>
              <w:jc w:val="right"/>
            </w:pPr>
            <w:r>
              <w:t>734,051</w:t>
            </w:r>
          </w:p>
        </w:tc>
        <w:tc>
          <w:tcPr>
            <w:tcW w:w="60" w:type="dxa"/>
            <w:tcBorders/>
            <w:shd w:fill="CCEEFF" w:val="clear"/>
            <w:vAlign w:val="bottom"/>
          </w:tcPr>
          <w:p>
            <w:pPr>
              <w:pStyle w:val="TableContents"/>
              <w:bidi w:val="0"/>
              <w:spacing w:before="0" w:after="283"/>
              <w:jc w:val="left"/>
            </w:pPr>
            <w:r>
              <w:t> </w:t>
            </w:r>
          </w:p>
        </w:tc>
        <w:tc>
          <w:tcPr>
            <w:tcW w:w="28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1296" w:type="dxa"/>
            <w:tcBorders/>
            <w:shd w:fill="CCEEFF" w:val="clear"/>
            <w:vAlign w:val="bottom"/>
          </w:tcPr>
          <w:p>
            <w:pPr>
              <w:pStyle w:val="TableContents"/>
              <w:bidi w:val="0"/>
              <w:spacing w:before="0" w:after="283"/>
              <w:jc w:val="right"/>
            </w:pPr>
            <w:r>
              <w:t>768,557</w:t>
            </w:r>
          </w:p>
        </w:tc>
        <w:tc>
          <w:tcPr>
            <w:tcW w:w="65" w:type="dxa"/>
            <w:tcBorders/>
            <w:shd w:fill="CCEEFF" w:val="clear"/>
            <w:vAlign w:val="bottom"/>
          </w:tcPr>
          <w:p>
            <w:pPr>
              <w:pStyle w:val="TableContents"/>
              <w:bidi w:val="0"/>
              <w:spacing w:before="0" w:after="283"/>
              <w:jc w:val="left"/>
            </w:pPr>
            <w:r>
              <w:t> </w:t>
            </w:r>
          </w:p>
        </w:tc>
      </w:tr>
      <w:t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Lease assets</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1296" w:type="dxa"/>
            <w:tcBorders/>
            <w:vAlign w:val="bottom"/>
          </w:tcPr>
          <w:p>
            <w:pPr>
              <w:pStyle w:val="TableContents"/>
              <w:bidi w:val="0"/>
              <w:spacing w:before="0" w:after="283"/>
              <w:jc w:val="right"/>
            </w:pPr>
            <w:r>
              <w:t>151,469</w:t>
            </w:r>
          </w:p>
        </w:tc>
        <w:tc>
          <w:tcPr>
            <w:tcW w:w="60" w:type="dxa"/>
            <w:tcBorders/>
            <w:vAlign w:val="bottom"/>
          </w:tcPr>
          <w:p>
            <w:pPr>
              <w:pStyle w:val="TableContents"/>
              <w:bidi w:val="0"/>
              <w:spacing w:before="0" w:after="283"/>
              <w:jc w:val="left"/>
            </w:pPr>
            <w:r>
              <w:t> </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1296" w:type="dxa"/>
            <w:tcBorders/>
            <w:vAlign w:val="bottom"/>
          </w:tcPr>
          <w:p>
            <w:pPr>
              <w:pStyle w:val="TableContents"/>
              <w:bidi w:val="0"/>
              <w:spacing w:before="0" w:after="283"/>
              <w:jc w:val="right"/>
            </w:pPr>
            <w:r>
              <w:t>182,088</w:t>
            </w:r>
          </w:p>
        </w:tc>
        <w:tc>
          <w:tcPr>
            <w:tcW w:w="65" w:type="dxa"/>
            <w:tcBorders/>
            <w:vAlign w:val="bottom"/>
          </w:tcPr>
          <w:p>
            <w:pPr>
              <w:pStyle w:val="TableContents"/>
              <w:bidi w:val="0"/>
              <w:spacing w:before="0" w:after="283"/>
              <w:jc w:val="left"/>
            </w:pPr>
            <w:r>
              <w:t> </w:t>
            </w:r>
          </w:p>
        </w:tc>
      </w:tr>
      <w:t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and other intangible assets, net</w:t>
            </w:r>
          </w:p>
        </w:tc>
        <w:tc>
          <w:tcPr>
            <w:tcW w:w="28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1296" w:type="dxa"/>
            <w:tcBorders/>
            <w:shd w:fill="CCEEFF" w:val="clear"/>
            <w:vAlign w:val="bottom"/>
          </w:tcPr>
          <w:p>
            <w:pPr>
              <w:pStyle w:val="TableContents"/>
              <w:bidi w:val="0"/>
              <w:spacing w:before="0" w:after="283"/>
              <w:jc w:val="right"/>
            </w:pPr>
            <w:r>
              <w:t>3,241,526</w:t>
            </w:r>
          </w:p>
        </w:tc>
        <w:tc>
          <w:tcPr>
            <w:tcW w:w="60" w:type="dxa"/>
            <w:tcBorders/>
            <w:shd w:fill="CCEEFF" w:val="clear"/>
            <w:vAlign w:val="bottom"/>
          </w:tcPr>
          <w:p>
            <w:pPr>
              <w:pStyle w:val="TableContents"/>
              <w:bidi w:val="0"/>
              <w:spacing w:before="0" w:after="283"/>
              <w:jc w:val="left"/>
            </w:pPr>
            <w:r>
              <w:t> </w:t>
            </w:r>
          </w:p>
        </w:tc>
        <w:tc>
          <w:tcPr>
            <w:tcW w:w="28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1296" w:type="dxa"/>
            <w:tcBorders/>
            <w:shd w:fill="CCEEFF" w:val="clear"/>
            <w:vAlign w:val="bottom"/>
          </w:tcPr>
          <w:p>
            <w:pPr>
              <w:pStyle w:val="TableContents"/>
              <w:bidi w:val="0"/>
              <w:spacing w:before="0" w:after="283"/>
              <w:jc w:val="right"/>
            </w:pPr>
            <w:r>
              <w:t>3,046,962</w:t>
            </w:r>
          </w:p>
        </w:tc>
        <w:tc>
          <w:tcPr>
            <w:tcW w:w="65" w:type="dxa"/>
            <w:tcBorders/>
            <w:shd w:fill="CCEEFF" w:val="clear"/>
            <w:vAlign w:val="bottom"/>
          </w:tcPr>
          <w:p>
            <w:pPr>
              <w:pStyle w:val="TableContents"/>
              <w:bidi w:val="0"/>
              <w:spacing w:before="0" w:after="283"/>
              <w:jc w:val="left"/>
            </w:pPr>
            <w:r>
              <w:t> </w:t>
            </w:r>
          </w:p>
        </w:tc>
      </w:tr>
      <w:t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1296" w:type="dxa"/>
            <w:tcBorders/>
            <w:vAlign w:val="bottom"/>
          </w:tcPr>
          <w:p>
            <w:pPr>
              <w:pStyle w:val="TableContents"/>
              <w:bidi w:val="0"/>
              <w:spacing w:before="0" w:after="283"/>
              <w:jc w:val="right"/>
            </w:pPr>
            <w:r>
              <w:t>654,841</w:t>
            </w:r>
          </w:p>
        </w:tc>
        <w:tc>
          <w:tcPr>
            <w:tcW w:w="60" w:type="dxa"/>
            <w:tcBorders/>
            <w:vAlign w:val="bottom"/>
          </w:tcPr>
          <w:p>
            <w:pPr>
              <w:pStyle w:val="TableContents"/>
              <w:bidi w:val="0"/>
              <w:spacing w:before="0" w:after="283"/>
              <w:jc w:val="left"/>
            </w:pPr>
            <w:r>
              <w:t> </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1296" w:type="dxa"/>
            <w:tcBorders/>
            <w:vAlign w:val="bottom"/>
          </w:tcPr>
          <w:p>
            <w:pPr>
              <w:pStyle w:val="TableContents"/>
              <w:bidi w:val="0"/>
              <w:spacing w:before="0" w:after="283"/>
              <w:jc w:val="right"/>
            </w:pPr>
            <w:r>
              <w:t>660,086</w:t>
            </w:r>
          </w:p>
        </w:tc>
        <w:tc>
          <w:tcPr>
            <w:tcW w:w="65" w:type="dxa"/>
            <w:tcBorders/>
            <w:vAlign w:val="bottom"/>
          </w:tcPr>
          <w:p>
            <w:pPr>
              <w:pStyle w:val="TableContents"/>
              <w:bidi w:val="0"/>
              <w:spacing w:before="0" w:after="283"/>
              <w:jc w:val="left"/>
            </w:pPr>
            <w:r>
              <w:t> </w:t>
            </w:r>
          </w:p>
        </w:tc>
      </w:tr>
      <w:tr>
        <w:tc>
          <w:tcPr>
            <w:tcW w:w="6546"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pBdr>
                <w:top w:val="single" w:sz="2" w:space="1" w:color="000000"/>
              </w:pBdr>
              <w:bidi w:val="0"/>
              <w:spacing w:before="0" w:after="0"/>
              <w:jc w:val="left"/>
            </w:pPr>
            <w:r>
              <w:t> </w:t>
            </w:r>
          </w:p>
        </w:tc>
        <w:tc>
          <w:tcPr>
            <w:tcW w:w="1296"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pBdr>
                <w:top w:val="single" w:sz="2" w:space="1" w:color="000000"/>
              </w:pBdr>
              <w:bidi w:val="0"/>
              <w:spacing w:before="0" w:after="0"/>
              <w:jc w:val="left"/>
            </w:pPr>
            <w:r>
              <w:t> </w:t>
            </w:r>
          </w:p>
        </w:tc>
        <w:tc>
          <w:tcPr>
            <w:tcW w:w="1296" w:type="dxa"/>
            <w:tcBorders/>
            <w:vAlign w:val="bottom"/>
          </w:tcPr>
          <w:p>
            <w:pPr>
              <w:pStyle w:val="TableContents"/>
              <w:pBdr>
                <w:top w:val="single" w:sz="2" w:space="1" w:color="000000"/>
              </w:pBdr>
              <w:bidi w:val="0"/>
              <w:spacing w:before="0" w:after="0"/>
              <w:jc w:val="left"/>
            </w:pPr>
            <w:r>
              <w:t> </w:t>
            </w:r>
          </w:p>
        </w:tc>
        <w:tc>
          <w:tcPr>
            <w:tcW w:w="65" w:type="dxa"/>
            <w:tcBorders/>
            <w:vAlign w:val="center"/>
          </w:tcPr>
          <w:p>
            <w:pPr>
              <w:pStyle w:val="TableContents"/>
              <w:bidi w:val="0"/>
              <w:spacing w:before="0" w:after="283"/>
              <w:jc w:val="left"/>
            </w:pPr>
            <w:r>
              <w:t> </w:t>
            </w:r>
          </w:p>
        </w:tc>
      </w:tr>
      <w:tr>
        <w:tc>
          <w:tcPr>
            <w:tcW w:w="65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8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w:t>
            </w:r>
          </w:p>
        </w:tc>
        <w:tc>
          <w:tcPr>
            <w:tcW w:w="1296" w:type="dxa"/>
            <w:tcBorders/>
            <w:shd w:fill="CCEEFF" w:val="clear"/>
            <w:vAlign w:val="bottom"/>
          </w:tcPr>
          <w:p>
            <w:pPr>
              <w:pStyle w:val="TableContents"/>
              <w:bidi w:val="0"/>
              <w:spacing w:before="0" w:after="283"/>
              <w:jc w:val="right"/>
            </w:pPr>
            <w:r>
              <w:t>6,398,637</w:t>
            </w:r>
          </w:p>
        </w:tc>
        <w:tc>
          <w:tcPr>
            <w:tcW w:w="60" w:type="dxa"/>
            <w:tcBorders/>
            <w:shd w:fill="CCEEFF" w:val="clear"/>
            <w:vAlign w:val="bottom"/>
          </w:tcPr>
          <w:p>
            <w:pPr>
              <w:pStyle w:val="TableContents"/>
              <w:bidi w:val="0"/>
              <w:spacing w:before="0" w:after="283"/>
              <w:jc w:val="left"/>
            </w:pPr>
            <w:r>
              <w:t> </w:t>
            </w:r>
          </w:p>
        </w:tc>
        <w:tc>
          <w:tcPr>
            <w:tcW w:w="28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w:t>
            </w:r>
          </w:p>
        </w:tc>
        <w:tc>
          <w:tcPr>
            <w:tcW w:w="1296" w:type="dxa"/>
            <w:tcBorders/>
            <w:shd w:fill="CCEEFF" w:val="clear"/>
            <w:vAlign w:val="bottom"/>
          </w:tcPr>
          <w:p>
            <w:pPr>
              <w:pStyle w:val="TableContents"/>
              <w:bidi w:val="0"/>
              <w:spacing w:before="0" w:after="283"/>
              <w:jc w:val="right"/>
            </w:pPr>
            <w:r>
              <w:t>6,249,830</w:t>
            </w:r>
          </w:p>
        </w:tc>
        <w:tc>
          <w:tcPr>
            <w:tcW w:w="65" w:type="dxa"/>
            <w:tcBorders/>
            <w:shd w:fill="CCEEFF" w:val="clear"/>
            <w:vAlign w:val="bottom"/>
          </w:tcPr>
          <w:p>
            <w:pPr>
              <w:pStyle w:val="TableContents"/>
              <w:bidi w:val="0"/>
              <w:spacing w:before="0" w:after="283"/>
              <w:jc w:val="left"/>
            </w:pPr>
            <w:r>
              <w:t> </w:t>
            </w:r>
          </w:p>
        </w:tc>
      </w:tr>
      <w:tr>
        <w:tc>
          <w:tcPr>
            <w:tcW w:w="6546"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pBdr>
                <w:top w:val="double" w:sz="6" w:space="1" w:color="000000"/>
              </w:pBdr>
              <w:bidi w:val="0"/>
              <w:spacing w:before="0" w:after="0"/>
              <w:jc w:val="left"/>
            </w:pPr>
            <w:r>
              <w:t> </w:t>
            </w:r>
          </w:p>
        </w:tc>
        <w:tc>
          <w:tcPr>
            <w:tcW w:w="1296"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pBdr>
                <w:top w:val="double" w:sz="6" w:space="1" w:color="000000"/>
              </w:pBdr>
              <w:bidi w:val="0"/>
              <w:spacing w:before="0" w:after="0"/>
              <w:jc w:val="left"/>
            </w:pPr>
            <w:r>
              <w:t> </w:t>
            </w:r>
          </w:p>
        </w:tc>
        <w:tc>
          <w:tcPr>
            <w:tcW w:w="1296" w:type="dxa"/>
            <w:tcBorders/>
            <w:vAlign w:val="bottom"/>
          </w:tcPr>
          <w:p>
            <w:pPr>
              <w:pStyle w:val="TableContents"/>
              <w:pBdr>
                <w:top w:val="double" w:sz="6" w:space="1" w:color="000000"/>
              </w:pBdr>
              <w:bidi w:val="0"/>
              <w:spacing w:before="0" w:after="0"/>
              <w:jc w:val="left"/>
            </w:pPr>
            <w:r>
              <w:t> </w:t>
            </w:r>
          </w:p>
        </w:tc>
        <w:tc>
          <w:tcPr>
            <w:tcW w:w="65" w:type="dxa"/>
            <w:tcBorders/>
            <w:vAlign w:val="center"/>
          </w:tcPr>
          <w:p>
            <w:pPr>
              <w:pStyle w:val="TableContents"/>
              <w:bidi w:val="0"/>
              <w:spacing w:before="0" w:after="283"/>
              <w:jc w:val="left"/>
            </w:pPr>
            <w:r>
              <w:t> </w:t>
            </w:r>
          </w:p>
        </w:tc>
      </w:tr>
      <w:tr>
        <w:tc>
          <w:tcPr>
            <w:tcW w:w="6546"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rPr>
                <w:sz w:val="4"/>
                <w:szCs w:val="4"/>
              </w:rPr>
            </w:pPr>
            <w:r>
              <w:rPr>
                <w:sz w:val="4"/>
                <w:szCs w:val="4"/>
              </w:rPr>
            </w:r>
          </w:p>
        </w:tc>
        <w:tc>
          <w:tcPr>
            <w:tcW w:w="12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rPr>
                <w:sz w:val="4"/>
                <w:szCs w:val="4"/>
              </w:rPr>
            </w:pPr>
            <w:r>
              <w:rPr>
                <w:sz w:val="4"/>
                <w:szCs w:val="4"/>
              </w:rPr>
            </w:r>
          </w:p>
        </w:tc>
        <w:tc>
          <w:tcPr>
            <w:tcW w:w="129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8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2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296"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accruals and other</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w:t>
            </w:r>
          </w:p>
        </w:tc>
        <w:tc>
          <w:tcPr>
            <w:tcW w:w="1296" w:type="dxa"/>
            <w:tcBorders/>
            <w:vAlign w:val="bottom"/>
          </w:tcPr>
          <w:p>
            <w:pPr>
              <w:pStyle w:val="TableContents"/>
              <w:bidi w:val="0"/>
              <w:spacing w:before="0" w:after="283"/>
              <w:jc w:val="right"/>
            </w:pPr>
            <w:r>
              <w:t>1,253,278</w:t>
            </w:r>
          </w:p>
        </w:tc>
        <w:tc>
          <w:tcPr>
            <w:tcW w:w="60" w:type="dxa"/>
            <w:tcBorders/>
            <w:vAlign w:val="bottom"/>
          </w:tcPr>
          <w:p>
            <w:pPr>
              <w:pStyle w:val="TableContents"/>
              <w:bidi w:val="0"/>
              <w:spacing w:before="0" w:after="283"/>
              <w:jc w:val="left"/>
            </w:pPr>
            <w:r>
              <w:t> </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w:t>
            </w:r>
          </w:p>
        </w:tc>
        <w:tc>
          <w:tcPr>
            <w:tcW w:w="1296" w:type="dxa"/>
            <w:tcBorders/>
            <w:vAlign w:val="bottom"/>
          </w:tcPr>
          <w:p>
            <w:pPr>
              <w:pStyle w:val="TableContents"/>
              <w:bidi w:val="0"/>
              <w:spacing w:before="0" w:after="283"/>
              <w:jc w:val="right"/>
            </w:pPr>
            <w:r>
              <w:t>1,201,206</w:t>
            </w:r>
          </w:p>
        </w:tc>
        <w:tc>
          <w:tcPr>
            <w:tcW w:w="65" w:type="dxa"/>
            <w:tcBorders/>
            <w:vAlign w:val="bottom"/>
          </w:tcPr>
          <w:p>
            <w:pPr>
              <w:pStyle w:val="TableContents"/>
              <w:bidi w:val="0"/>
              <w:spacing w:before="0" w:after="283"/>
              <w:jc w:val="left"/>
            </w:pPr>
            <w:r>
              <w:t> </w:t>
            </w:r>
          </w:p>
        </w:tc>
      </w:tr>
      <w:t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financing arrangements</w:t>
            </w:r>
          </w:p>
        </w:tc>
        <w:tc>
          <w:tcPr>
            <w:tcW w:w="28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1296" w:type="dxa"/>
            <w:tcBorders/>
            <w:shd w:fill="CCEEFF" w:val="clear"/>
            <w:vAlign w:val="bottom"/>
          </w:tcPr>
          <w:p>
            <w:pPr>
              <w:pStyle w:val="TableContents"/>
              <w:bidi w:val="0"/>
              <w:spacing w:before="0" w:after="283"/>
              <w:jc w:val="right"/>
            </w:pPr>
            <w:r>
              <w:t>299,461</w:t>
            </w:r>
          </w:p>
        </w:tc>
        <w:tc>
          <w:tcPr>
            <w:tcW w:w="60" w:type="dxa"/>
            <w:tcBorders/>
            <w:shd w:fill="CCEEFF" w:val="clear"/>
            <w:vAlign w:val="bottom"/>
          </w:tcPr>
          <w:p>
            <w:pPr>
              <w:pStyle w:val="TableContents"/>
              <w:bidi w:val="0"/>
              <w:spacing w:before="0" w:after="283"/>
              <w:jc w:val="left"/>
            </w:pPr>
            <w:r>
              <w:t> </w:t>
            </w:r>
          </w:p>
        </w:tc>
        <w:tc>
          <w:tcPr>
            <w:tcW w:w="28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1296" w:type="dxa"/>
            <w:tcBorders/>
            <w:shd w:fill="CCEEFF" w:val="clear"/>
            <w:vAlign w:val="bottom"/>
          </w:tcPr>
          <w:p>
            <w:pPr>
              <w:pStyle w:val="TableContents"/>
              <w:bidi w:val="0"/>
              <w:spacing w:before="0" w:after="283"/>
              <w:jc w:val="right"/>
            </w:pPr>
            <w:r>
              <w:t>— </w:t>
            </w:r>
          </w:p>
        </w:tc>
        <w:tc>
          <w:tcPr>
            <w:tcW w:w="65" w:type="dxa"/>
            <w:tcBorders/>
            <w:shd w:fill="CCEEFF" w:val="clear"/>
            <w:vAlign w:val="bottom"/>
          </w:tcPr>
          <w:p>
            <w:pPr>
              <w:pStyle w:val="TableContents"/>
              <w:bidi w:val="0"/>
              <w:spacing w:before="0" w:after="283"/>
              <w:jc w:val="left"/>
            </w:pPr>
            <w:r>
              <w:t> </w:t>
            </w:r>
          </w:p>
        </w:tc>
      </w:tr>
      <w:t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1296" w:type="dxa"/>
            <w:tcBorders/>
            <w:vAlign w:val="bottom"/>
          </w:tcPr>
          <w:p>
            <w:pPr>
              <w:pStyle w:val="TableContents"/>
              <w:bidi w:val="0"/>
              <w:spacing w:before="0" w:after="283"/>
              <w:jc w:val="right"/>
            </w:pPr>
            <w:r>
              <w:t>32,167</w:t>
            </w:r>
          </w:p>
        </w:tc>
        <w:tc>
          <w:tcPr>
            <w:tcW w:w="60" w:type="dxa"/>
            <w:tcBorders/>
            <w:vAlign w:val="bottom"/>
          </w:tcPr>
          <w:p>
            <w:pPr>
              <w:pStyle w:val="TableContents"/>
              <w:bidi w:val="0"/>
              <w:spacing w:before="0" w:after="283"/>
              <w:jc w:val="left"/>
            </w:pPr>
            <w:r>
              <w:t> </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1296" w:type="dxa"/>
            <w:tcBorders/>
            <w:vAlign w:val="bottom"/>
          </w:tcPr>
          <w:p>
            <w:pPr>
              <w:pStyle w:val="TableContents"/>
              <w:bidi w:val="0"/>
              <w:spacing w:before="0" w:after="283"/>
              <w:jc w:val="right"/>
            </w:pPr>
            <w:r>
              <w:t>38,725</w:t>
            </w:r>
          </w:p>
        </w:tc>
        <w:tc>
          <w:tcPr>
            <w:tcW w:w="65" w:type="dxa"/>
            <w:tcBorders/>
            <w:vAlign w:val="bottom"/>
          </w:tcPr>
          <w:p>
            <w:pPr>
              <w:pStyle w:val="TableContents"/>
              <w:bidi w:val="0"/>
              <w:spacing w:before="0" w:after="283"/>
              <w:jc w:val="left"/>
            </w:pPr>
            <w:r>
              <w:t> </w:t>
            </w:r>
          </w:p>
        </w:tc>
      </w:tr>
      <w:t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8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1296" w:type="dxa"/>
            <w:tcBorders/>
            <w:shd w:fill="CCEEFF" w:val="clear"/>
            <w:vAlign w:val="bottom"/>
          </w:tcPr>
          <w:p>
            <w:pPr>
              <w:pStyle w:val="TableContents"/>
              <w:bidi w:val="0"/>
              <w:spacing w:before="0" w:after="283"/>
              <w:jc w:val="right"/>
            </w:pPr>
            <w:r>
              <w:t>135,005</w:t>
            </w:r>
          </w:p>
        </w:tc>
        <w:tc>
          <w:tcPr>
            <w:tcW w:w="60" w:type="dxa"/>
            <w:tcBorders/>
            <w:shd w:fill="CCEEFF" w:val="clear"/>
            <w:vAlign w:val="bottom"/>
          </w:tcPr>
          <w:p>
            <w:pPr>
              <w:pStyle w:val="TableContents"/>
              <w:bidi w:val="0"/>
              <w:spacing w:before="0" w:after="283"/>
              <w:jc w:val="left"/>
            </w:pPr>
            <w:r>
              <w:t> </w:t>
            </w:r>
          </w:p>
        </w:tc>
        <w:tc>
          <w:tcPr>
            <w:tcW w:w="28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1296" w:type="dxa"/>
            <w:tcBorders/>
            <w:shd w:fill="CCEEFF" w:val="clear"/>
            <w:vAlign w:val="bottom"/>
          </w:tcPr>
          <w:p>
            <w:pPr>
              <w:pStyle w:val="TableContents"/>
              <w:bidi w:val="0"/>
              <w:spacing w:before="0" w:after="283"/>
              <w:jc w:val="right"/>
            </w:pPr>
            <w:r>
              <w:t>118,861</w:t>
            </w:r>
          </w:p>
        </w:tc>
        <w:tc>
          <w:tcPr>
            <w:tcW w:w="65" w:type="dxa"/>
            <w:tcBorders/>
            <w:shd w:fill="CCEEFF" w:val="clear"/>
            <w:vAlign w:val="bottom"/>
          </w:tcPr>
          <w:p>
            <w:pPr>
              <w:pStyle w:val="TableContents"/>
              <w:bidi w:val="0"/>
              <w:spacing w:before="0" w:after="283"/>
              <w:jc w:val="left"/>
            </w:pPr>
            <w:r>
              <w:t> </w:t>
            </w:r>
          </w:p>
        </w:tc>
      </w:tr>
      <w:tr>
        <w:tc>
          <w:tcPr>
            <w:tcW w:w="6546"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pBdr>
                <w:top w:val="single" w:sz="2" w:space="1" w:color="000000"/>
              </w:pBdr>
              <w:bidi w:val="0"/>
              <w:spacing w:before="0" w:after="0"/>
              <w:jc w:val="left"/>
            </w:pPr>
            <w:r>
              <w:t> </w:t>
            </w:r>
          </w:p>
        </w:tc>
        <w:tc>
          <w:tcPr>
            <w:tcW w:w="1296"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pBdr>
                <w:top w:val="single" w:sz="2" w:space="1" w:color="000000"/>
              </w:pBdr>
              <w:bidi w:val="0"/>
              <w:spacing w:before="0" w:after="0"/>
              <w:jc w:val="left"/>
            </w:pPr>
            <w:r>
              <w:t> </w:t>
            </w:r>
          </w:p>
        </w:tc>
        <w:tc>
          <w:tcPr>
            <w:tcW w:w="1296" w:type="dxa"/>
            <w:tcBorders/>
            <w:vAlign w:val="bottom"/>
          </w:tcPr>
          <w:p>
            <w:pPr>
              <w:pStyle w:val="TableContents"/>
              <w:pBdr>
                <w:top w:val="single" w:sz="2" w:space="1" w:color="000000"/>
              </w:pBdr>
              <w:bidi w:val="0"/>
              <w:spacing w:before="0" w:after="0"/>
              <w:jc w:val="left"/>
            </w:pPr>
            <w:r>
              <w:t> </w:t>
            </w:r>
          </w:p>
        </w:tc>
        <w:tc>
          <w:tcPr>
            <w:tcW w:w="65" w:type="dxa"/>
            <w:tcBorders/>
            <w:vAlign w:val="center"/>
          </w:tcPr>
          <w:p>
            <w:pPr>
              <w:pStyle w:val="TableContents"/>
              <w:bidi w:val="0"/>
              <w:spacing w:before="0" w:after="283"/>
              <w:jc w:val="left"/>
            </w:pPr>
            <w:r>
              <w:t> </w:t>
            </w:r>
          </w:p>
        </w:tc>
      </w:tr>
      <w:tr>
        <w:tc>
          <w:tcPr>
            <w:tcW w:w="654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1296" w:type="dxa"/>
            <w:tcBorders/>
            <w:vAlign w:val="bottom"/>
          </w:tcPr>
          <w:p>
            <w:pPr>
              <w:pStyle w:val="TableContents"/>
              <w:bidi w:val="0"/>
              <w:spacing w:before="0" w:after="283"/>
              <w:jc w:val="right"/>
            </w:pPr>
            <w:r>
              <w:t>1,719,911</w:t>
            </w:r>
          </w:p>
        </w:tc>
        <w:tc>
          <w:tcPr>
            <w:tcW w:w="60" w:type="dxa"/>
            <w:tcBorders/>
            <w:vAlign w:val="bottom"/>
          </w:tcPr>
          <w:p>
            <w:pPr>
              <w:pStyle w:val="TableContents"/>
              <w:bidi w:val="0"/>
              <w:spacing w:before="0" w:after="283"/>
              <w:jc w:val="left"/>
            </w:pPr>
            <w:r>
              <w:t> </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1296" w:type="dxa"/>
            <w:tcBorders/>
            <w:vAlign w:val="bottom"/>
          </w:tcPr>
          <w:p>
            <w:pPr>
              <w:pStyle w:val="TableContents"/>
              <w:bidi w:val="0"/>
              <w:spacing w:before="0" w:after="283"/>
              <w:jc w:val="right"/>
            </w:pPr>
            <w:r>
              <w:t>1,358,792</w:t>
            </w:r>
          </w:p>
        </w:tc>
        <w:tc>
          <w:tcPr>
            <w:tcW w:w="65" w:type="dxa"/>
            <w:tcBorders/>
            <w:vAlign w:val="bottom"/>
          </w:tcPr>
          <w:p>
            <w:pPr>
              <w:pStyle w:val="TableContents"/>
              <w:bidi w:val="0"/>
              <w:spacing w:before="0" w:after="283"/>
              <w:jc w:val="left"/>
            </w:pPr>
            <w:r>
              <w:t> </w:t>
            </w:r>
          </w:p>
        </w:tc>
      </w:tr>
      <w:t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28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1296" w:type="dxa"/>
            <w:tcBorders/>
            <w:shd w:fill="CCEEFF" w:val="clear"/>
            <w:vAlign w:val="bottom"/>
          </w:tcPr>
          <w:p>
            <w:pPr>
              <w:pStyle w:val="TableContents"/>
              <w:bidi w:val="0"/>
              <w:spacing w:before="0" w:after="283"/>
              <w:jc w:val="right"/>
            </w:pPr>
            <w:r>
              <w:t>114,255</w:t>
            </w:r>
          </w:p>
        </w:tc>
        <w:tc>
          <w:tcPr>
            <w:tcW w:w="60" w:type="dxa"/>
            <w:tcBorders/>
            <w:shd w:fill="CCEEFF" w:val="clear"/>
            <w:vAlign w:val="bottom"/>
          </w:tcPr>
          <w:p>
            <w:pPr>
              <w:pStyle w:val="TableContents"/>
              <w:bidi w:val="0"/>
              <w:spacing w:before="0" w:after="283"/>
              <w:jc w:val="left"/>
            </w:pPr>
            <w:r>
              <w:t> </w:t>
            </w:r>
          </w:p>
        </w:tc>
        <w:tc>
          <w:tcPr>
            <w:tcW w:w="28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1296" w:type="dxa"/>
            <w:tcBorders/>
            <w:shd w:fill="CCEEFF" w:val="clear"/>
            <w:vAlign w:val="bottom"/>
          </w:tcPr>
          <w:p>
            <w:pPr>
              <w:pStyle w:val="TableContents"/>
              <w:bidi w:val="0"/>
              <w:spacing w:before="0" w:after="283"/>
              <w:jc w:val="right"/>
            </w:pPr>
            <w:r>
              <w:t>140,776</w:t>
            </w:r>
          </w:p>
        </w:tc>
        <w:tc>
          <w:tcPr>
            <w:tcW w:w="65" w:type="dxa"/>
            <w:tcBorders/>
            <w:shd w:fill="CCEEFF" w:val="clear"/>
            <w:vAlign w:val="bottom"/>
          </w:tcPr>
          <w:p>
            <w:pPr>
              <w:pStyle w:val="TableContents"/>
              <w:bidi w:val="0"/>
              <w:spacing w:before="0" w:after="283"/>
              <w:jc w:val="left"/>
            </w:pPr>
            <w:r>
              <w:t> </w:t>
            </w:r>
          </w:p>
        </w:tc>
      </w:tr>
      <w:t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net of unamortized debt issuance costs</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1296" w:type="dxa"/>
            <w:tcBorders/>
            <w:vAlign w:val="bottom"/>
          </w:tcPr>
          <w:p>
            <w:pPr>
              <w:pStyle w:val="TableContents"/>
              <w:bidi w:val="0"/>
              <w:spacing w:before="0" w:after="283"/>
              <w:jc w:val="right"/>
            </w:pPr>
            <w:r>
              <w:t>647,527</w:t>
            </w:r>
          </w:p>
        </w:tc>
        <w:tc>
          <w:tcPr>
            <w:tcW w:w="60" w:type="dxa"/>
            <w:tcBorders/>
            <w:vAlign w:val="bottom"/>
          </w:tcPr>
          <w:p>
            <w:pPr>
              <w:pStyle w:val="TableContents"/>
              <w:bidi w:val="0"/>
              <w:spacing w:before="0" w:after="283"/>
              <w:jc w:val="left"/>
            </w:pPr>
            <w:r>
              <w:t> </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1296" w:type="dxa"/>
            <w:tcBorders/>
            <w:vAlign w:val="bottom"/>
          </w:tcPr>
          <w:p>
            <w:pPr>
              <w:pStyle w:val="TableContents"/>
              <w:bidi w:val="0"/>
              <w:spacing w:before="0" w:after="283"/>
              <w:jc w:val="right"/>
            </w:pPr>
            <w:r>
              <w:t>646,901</w:t>
            </w:r>
          </w:p>
        </w:tc>
        <w:tc>
          <w:tcPr>
            <w:tcW w:w="65" w:type="dxa"/>
            <w:tcBorders/>
            <w:vAlign w:val="bottom"/>
          </w:tcPr>
          <w:p>
            <w:pPr>
              <w:pStyle w:val="TableContents"/>
              <w:bidi w:val="0"/>
              <w:spacing w:before="0" w:after="283"/>
              <w:jc w:val="left"/>
            </w:pPr>
            <w:r>
              <w:t> </w:t>
            </w:r>
          </w:p>
        </w:tc>
      </w:tr>
      <w:t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8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1296" w:type="dxa"/>
            <w:tcBorders/>
            <w:shd w:fill="CCEEFF" w:val="clear"/>
            <w:vAlign w:val="bottom"/>
          </w:tcPr>
          <w:p>
            <w:pPr>
              <w:pStyle w:val="TableContents"/>
              <w:bidi w:val="0"/>
              <w:spacing w:before="0" w:after="283"/>
              <w:jc w:val="right"/>
            </w:pPr>
            <w:r>
              <w:t>582,988</w:t>
            </w:r>
          </w:p>
        </w:tc>
        <w:tc>
          <w:tcPr>
            <w:tcW w:w="60" w:type="dxa"/>
            <w:tcBorders/>
            <w:shd w:fill="CCEEFF" w:val="clear"/>
            <w:vAlign w:val="bottom"/>
          </w:tcPr>
          <w:p>
            <w:pPr>
              <w:pStyle w:val="TableContents"/>
              <w:bidi w:val="0"/>
              <w:spacing w:before="0" w:after="283"/>
              <w:jc w:val="left"/>
            </w:pPr>
            <w:r>
              <w:t> </w:t>
            </w:r>
          </w:p>
        </w:tc>
        <w:tc>
          <w:tcPr>
            <w:tcW w:w="28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1296" w:type="dxa"/>
            <w:tcBorders/>
            <w:shd w:fill="CCEEFF" w:val="clear"/>
            <w:vAlign w:val="bottom"/>
          </w:tcPr>
          <w:p>
            <w:pPr>
              <w:pStyle w:val="TableContents"/>
              <w:bidi w:val="0"/>
              <w:spacing w:before="0" w:after="283"/>
              <w:jc w:val="right"/>
            </w:pPr>
            <w:r>
              <w:t>632,681</w:t>
            </w:r>
          </w:p>
        </w:tc>
        <w:tc>
          <w:tcPr>
            <w:tcW w:w="65" w:type="dxa"/>
            <w:tcBorders/>
            <w:shd w:fill="CCEEFF" w:val="clear"/>
            <w:vAlign w:val="bottom"/>
          </w:tcPr>
          <w:p>
            <w:pPr>
              <w:pStyle w:val="TableContents"/>
              <w:bidi w:val="0"/>
              <w:spacing w:before="0" w:after="283"/>
              <w:jc w:val="left"/>
            </w:pPr>
            <w:r>
              <w:t> </w:t>
            </w:r>
          </w:p>
        </w:tc>
      </w:tr>
      <w:tr>
        <w:tc>
          <w:tcPr>
            <w:tcW w:w="654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Amdocs Limited Shareholders’ equity</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1296" w:type="dxa"/>
            <w:tcBorders/>
            <w:vAlign w:val="bottom"/>
          </w:tcPr>
          <w:p>
            <w:pPr>
              <w:pStyle w:val="TableContents"/>
              <w:bidi w:val="0"/>
              <w:spacing w:before="0" w:after="283"/>
              <w:jc w:val="right"/>
            </w:pPr>
            <w:r>
              <w:t>3,292,021</w:t>
            </w:r>
          </w:p>
        </w:tc>
        <w:tc>
          <w:tcPr>
            <w:tcW w:w="60" w:type="dxa"/>
            <w:tcBorders/>
            <w:vAlign w:val="bottom"/>
          </w:tcPr>
          <w:p>
            <w:pPr>
              <w:pStyle w:val="TableContents"/>
              <w:bidi w:val="0"/>
              <w:spacing w:before="0" w:after="283"/>
              <w:jc w:val="left"/>
            </w:pPr>
            <w:r>
              <w:t> </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1296" w:type="dxa"/>
            <w:tcBorders/>
            <w:vAlign w:val="bottom"/>
          </w:tcPr>
          <w:p>
            <w:pPr>
              <w:pStyle w:val="TableContents"/>
              <w:bidi w:val="0"/>
              <w:spacing w:before="0" w:after="283"/>
              <w:jc w:val="right"/>
            </w:pPr>
            <w:r>
              <w:t>3,429,453</w:t>
            </w:r>
          </w:p>
        </w:tc>
        <w:tc>
          <w:tcPr>
            <w:tcW w:w="65" w:type="dxa"/>
            <w:tcBorders/>
            <w:vAlign w:val="bottom"/>
          </w:tcPr>
          <w:p>
            <w:pPr>
              <w:pStyle w:val="TableContents"/>
              <w:bidi w:val="0"/>
              <w:spacing w:before="0" w:after="283"/>
              <w:jc w:val="left"/>
            </w:pPr>
            <w:r>
              <w:t> </w:t>
            </w:r>
          </w:p>
        </w:tc>
      </w:tr>
      <w:t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28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1296" w:type="dxa"/>
            <w:tcBorders/>
            <w:shd w:fill="CCEEFF" w:val="clear"/>
            <w:vAlign w:val="bottom"/>
          </w:tcPr>
          <w:p>
            <w:pPr>
              <w:pStyle w:val="TableContents"/>
              <w:bidi w:val="0"/>
              <w:spacing w:before="0" w:after="283"/>
              <w:jc w:val="right"/>
            </w:pPr>
            <w:r>
              <w:t>41,935</w:t>
            </w:r>
          </w:p>
        </w:tc>
        <w:tc>
          <w:tcPr>
            <w:tcW w:w="60" w:type="dxa"/>
            <w:tcBorders/>
            <w:shd w:fill="CCEEFF" w:val="clear"/>
            <w:vAlign w:val="bottom"/>
          </w:tcPr>
          <w:p>
            <w:pPr>
              <w:pStyle w:val="TableContents"/>
              <w:bidi w:val="0"/>
              <w:spacing w:before="0" w:after="283"/>
              <w:jc w:val="left"/>
            </w:pPr>
            <w:r>
              <w:t> </w:t>
            </w:r>
          </w:p>
        </w:tc>
        <w:tc>
          <w:tcPr>
            <w:tcW w:w="28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1296" w:type="dxa"/>
            <w:tcBorders/>
            <w:shd w:fill="CCEEFF" w:val="clear"/>
            <w:vAlign w:val="bottom"/>
          </w:tcPr>
          <w:p>
            <w:pPr>
              <w:pStyle w:val="TableContents"/>
              <w:bidi w:val="0"/>
              <w:spacing w:before="0" w:after="283"/>
              <w:jc w:val="right"/>
            </w:pPr>
            <w:r>
              <w:t>41,227</w:t>
            </w:r>
          </w:p>
        </w:tc>
        <w:tc>
          <w:tcPr>
            <w:tcW w:w="65" w:type="dxa"/>
            <w:tcBorders/>
            <w:shd w:fill="CCEEFF" w:val="clear"/>
            <w:vAlign w:val="bottom"/>
          </w:tcPr>
          <w:p>
            <w:pPr>
              <w:pStyle w:val="TableContents"/>
              <w:bidi w:val="0"/>
              <w:spacing w:before="0" w:after="283"/>
              <w:jc w:val="left"/>
            </w:pPr>
            <w:r>
              <w:t> </w:t>
            </w:r>
          </w:p>
        </w:tc>
      </w:tr>
      <w:tr>
        <w:tc>
          <w:tcPr>
            <w:tcW w:w="6546"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pBdr>
                <w:top w:val="single" w:sz="2" w:space="1" w:color="000000"/>
              </w:pBdr>
              <w:bidi w:val="0"/>
              <w:spacing w:before="0" w:after="0"/>
              <w:jc w:val="left"/>
            </w:pPr>
            <w:r>
              <w:t> </w:t>
            </w:r>
          </w:p>
        </w:tc>
        <w:tc>
          <w:tcPr>
            <w:tcW w:w="1296"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pBdr>
                <w:top w:val="single" w:sz="2" w:space="1" w:color="000000"/>
              </w:pBdr>
              <w:bidi w:val="0"/>
              <w:spacing w:before="0" w:after="0"/>
              <w:jc w:val="left"/>
            </w:pPr>
            <w:r>
              <w:t> </w:t>
            </w:r>
          </w:p>
        </w:tc>
        <w:tc>
          <w:tcPr>
            <w:tcW w:w="1296" w:type="dxa"/>
            <w:tcBorders/>
            <w:vAlign w:val="bottom"/>
          </w:tcPr>
          <w:p>
            <w:pPr>
              <w:pStyle w:val="TableContents"/>
              <w:pBdr>
                <w:top w:val="single" w:sz="2" w:space="1" w:color="000000"/>
              </w:pBdr>
              <w:bidi w:val="0"/>
              <w:spacing w:before="0" w:after="0"/>
              <w:jc w:val="left"/>
            </w:pPr>
            <w:r>
              <w:t> </w:t>
            </w:r>
          </w:p>
        </w:tc>
        <w:tc>
          <w:tcPr>
            <w:tcW w:w="65" w:type="dxa"/>
            <w:tcBorders/>
            <w:vAlign w:val="center"/>
          </w:tcPr>
          <w:p>
            <w:pPr>
              <w:pStyle w:val="TableContents"/>
              <w:bidi w:val="0"/>
              <w:spacing w:before="0" w:after="283"/>
              <w:jc w:val="left"/>
            </w:pPr>
            <w:r>
              <w:t> </w:t>
            </w:r>
          </w:p>
        </w:tc>
      </w:tr>
      <w:tr>
        <w:tc>
          <w:tcPr>
            <w:tcW w:w="654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1296" w:type="dxa"/>
            <w:tcBorders/>
            <w:vAlign w:val="bottom"/>
          </w:tcPr>
          <w:p>
            <w:pPr>
              <w:pStyle w:val="TableContents"/>
              <w:bidi w:val="0"/>
              <w:spacing w:before="0" w:after="283"/>
              <w:jc w:val="right"/>
            </w:pPr>
            <w:r>
              <w:t>3,333,956</w:t>
            </w:r>
          </w:p>
        </w:tc>
        <w:tc>
          <w:tcPr>
            <w:tcW w:w="60" w:type="dxa"/>
            <w:tcBorders/>
            <w:vAlign w:val="bottom"/>
          </w:tcPr>
          <w:p>
            <w:pPr>
              <w:pStyle w:val="TableContents"/>
              <w:bidi w:val="0"/>
              <w:spacing w:before="0" w:after="283"/>
              <w:jc w:val="left"/>
            </w:pPr>
            <w:r>
              <w:t> </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1296" w:type="dxa"/>
            <w:tcBorders/>
            <w:vAlign w:val="bottom"/>
          </w:tcPr>
          <w:p>
            <w:pPr>
              <w:pStyle w:val="TableContents"/>
              <w:bidi w:val="0"/>
              <w:spacing w:before="0" w:after="283"/>
              <w:jc w:val="right"/>
            </w:pPr>
            <w:r>
              <w:t>3,470,680</w:t>
            </w:r>
          </w:p>
        </w:tc>
        <w:tc>
          <w:tcPr>
            <w:tcW w:w="65" w:type="dxa"/>
            <w:tcBorders/>
            <w:vAlign w:val="bottom"/>
          </w:tcPr>
          <w:p>
            <w:pPr>
              <w:pStyle w:val="TableContents"/>
              <w:bidi w:val="0"/>
              <w:spacing w:before="0" w:after="283"/>
              <w:jc w:val="left"/>
            </w:pPr>
            <w:r>
              <w:t> </w:t>
            </w:r>
          </w:p>
        </w:tc>
      </w:tr>
      <w:tr>
        <w:tc>
          <w:tcPr>
            <w:tcW w:w="6546"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pBdr>
                <w:top w:val="single" w:sz="2" w:space="1" w:color="000000"/>
              </w:pBdr>
              <w:bidi w:val="0"/>
              <w:spacing w:before="0" w:after="0"/>
              <w:jc w:val="left"/>
            </w:pPr>
            <w:r>
              <w:t> </w:t>
            </w:r>
          </w:p>
        </w:tc>
        <w:tc>
          <w:tcPr>
            <w:tcW w:w="1296"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pBdr>
                <w:top w:val="single" w:sz="2" w:space="1" w:color="000000"/>
              </w:pBdr>
              <w:bidi w:val="0"/>
              <w:spacing w:before="0" w:after="0"/>
              <w:jc w:val="left"/>
            </w:pPr>
            <w:r>
              <w:t> </w:t>
            </w:r>
          </w:p>
        </w:tc>
        <w:tc>
          <w:tcPr>
            <w:tcW w:w="1296" w:type="dxa"/>
            <w:tcBorders/>
            <w:vAlign w:val="bottom"/>
          </w:tcPr>
          <w:p>
            <w:pPr>
              <w:pStyle w:val="TableContents"/>
              <w:pBdr>
                <w:top w:val="single" w:sz="2" w:space="1" w:color="000000"/>
              </w:pBdr>
              <w:bidi w:val="0"/>
              <w:spacing w:before="0" w:after="0"/>
              <w:jc w:val="left"/>
            </w:pPr>
            <w:r>
              <w:t> </w:t>
            </w:r>
          </w:p>
        </w:tc>
        <w:tc>
          <w:tcPr>
            <w:tcW w:w="65" w:type="dxa"/>
            <w:tcBorders/>
            <w:vAlign w:val="center"/>
          </w:tcPr>
          <w:p>
            <w:pPr>
              <w:pStyle w:val="TableContents"/>
              <w:bidi w:val="0"/>
              <w:spacing w:before="0" w:after="283"/>
              <w:jc w:val="left"/>
            </w:pPr>
            <w:r>
              <w:t> </w:t>
            </w:r>
          </w:p>
        </w:tc>
      </w:tr>
      <w:tr>
        <w:tc>
          <w:tcPr>
            <w:tcW w:w="65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w:t>
            </w:r>
          </w:p>
        </w:tc>
        <w:tc>
          <w:tcPr>
            <w:tcW w:w="28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w:t>
            </w:r>
          </w:p>
        </w:tc>
        <w:tc>
          <w:tcPr>
            <w:tcW w:w="1296" w:type="dxa"/>
            <w:tcBorders/>
            <w:shd w:fill="CCEEFF" w:val="clear"/>
            <w:vAlign w:val="bottom"/>
          </w:tcPr>
          <w:p>
            <w:pPr>
              <w:pStyle w:val="TableContents"/>
              <w:bidi w:val="0"/>
              <w:spacing w:before="0" w:after="283"/>
              <w:jc w:val="right"/>
            </w:pPr>
            <w:r>
              <w:t>6,398,637</w:t>
            </w:r>
          </w:p>
        </w:tc>
        <w:tc>
          <w:tcPr>
            <w:tcW w:w="60" w:type="dxa"/>
            <w:tcBorders/>
            <w:shd w:fill="CCEEFF" w:val="clear"/>
            <w:vAlign w:val="bottom"/>
          </w:tcPr>
          <w:p>
            <w:pPr>
              <w:pStyle w:val="TableContents"/>
              <w:bidi w:val="0"/>
              <w:spacing w:before="0" w:after="283"/>
              <w:jc w:val="left"/>
            </w:pPr>
            <w:r>
              <w:t> </w:t>
            </w:r>
          </w:p>
        </w:tc>
        <w:tc>
          <w:tcPr>
            <w:tcW w:w="28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w:t>
            </w:r>
          </w:p>
        </w:tc>
        <w:tc>
          <w:tcPr>
            <w:tcW w:w="1296" w:type="dxa"/>
            <w:tcBorders/>
            <w:shd w:fill="CCEEFF" w:val="clear"/>
            <w:vAlign w:val="bottom"/>
          </w:tcPr>
          <w:p>
            <w:pPr>
              <w:pStyle w:val="TableContents"/>
              <w:bidi w:val="0"/>
              <w:spacing w:before="0" w:after="283"/>
              <w:jc w:val="right"/>
            </w:pPr>
            <w:r>
              <w:t>6,249,830</w:t>
            </w:r>
          </w:p>
        </w:tc>
        <w:tc>
          <w:tcPr>
            <w:tcW w:w="65" w:type="dxa"/>
            <w:tcBorders/>
            <w:shd w:fill="CCEEFF" w:val="clear"/>
            <w:vAlign w:val="bottom"/>
          </w:tcPr>
          <w:p>
            <w:pPr>
              <w:pStyle w:val="TableContents"/>
              <w:bidi w:val="0"/>
              <w:spacing w:before="0" w:after="283"/>
              <w:jc w:val="left"/>
            </w:pPr>
            <w:r>
              <w:t> </w:t>
            </w:r>
          </w:p>
        </w:tc>
      </w:tr>
      <w:tr>
        <w:tc>
          <w:tcPr>
            <w:tcW w:w="6546"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pBdr>
                <w:top w:val="double" w:sz="6" w:space="1" w:color="000000"/>
              </w:pBdr>
              <w:bidi w:val="0"/>
              <w:spacing w:before="0" w:after="0"/>
              <w:jc w:val="left"/>
            </w:pPr>
            <w:r>
              <w:t> </w:t>
            </w:r>
          </w:p>
        </w:tc>
        <w:tc>
          <w:tcPr>
            <w:tcW w:w="1296"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287" w:type="dxa"/>
            <w:tcBorders/>
            <w:vAlign w:val="bottom"/>
          </w:tcPr>
          <w:p>
            <w:pPr>
              <w:pStyle w:val="TableContents"/>
              <w:bidi w:val="0"/>
              <w:spacing w:before="0" w:after="283"/>
              <w:jc w:val="left"/>
            </w:pPr>
            <w:r>
              <w:t>  </w:t>
            </w:r>
          </w:p>
        </w:tc>
        <w:tc>
          <w:tcPr>
            <w:tcW w:w="184" w:type="dxa"/>
            <w:tcBorders/>
            <w:vAlign w:val="bottom"/>
          </w:tcPr>
          <w:p>
            <w:pPr>
              <w:pStyle w:val="TableContents"/>
              <w:pBdr>
                <w:top w:val="double" w:sz="6" w:space="1" w:color="000000"/>
              </w:pBdr>
              <w:bidi w:val="0"/>
              <w:spacing w:before="0" w:after="0"/>
              <w:jc w:val="left"/>
            </w:pPr>
            <w:r>
              <w:t> </w:t>
            </w:r>
          </w:p>
        </w:tc>
        <w:tc>
          <w:tcPr>
            <w:tcW w:w="1296" w:type="dxa"/>
            <w:tcBorders/>
            <w:vAlign w:val="bottom"/>
          </w:tcPr>
          <w:p>
            <w:pPr>
              <w:pStyle w:val="TableContents"/>
              <w:pBdr>
                <w:top w:val="double" w:sz="6" w:space="1" w:color="000000"/>
              </w:pBdr>
              <w:bidi w:val="0"/>
              <w:spacing w:before="0" w:after="0"/>
              <w:jc w:val="left"/>
            </w:pPr>
            <w:r>
              <w:t> </w:t>
            </w:r>
          </w:p>
        </w:tc>
        <w:tc>
          <w:tcPr>
            <w:tcW w:w="65" w:type="dxa"/>
            <w:tcBorders/>
            <w:vAlign w:val="center"/>
          </w:tcPr>
          <w:p>
            <w:pPr>
              <w:pStyle w:val="TableContents"/>
              <w:bidi w:val="0"/>
              <w:spacing w:before="0" w:after="283"/>
              <w:jc w:val="left"/>
            </w:pPr>
            <w:r>
              <w:t> </w:t>
            </w:r>
          </w:p>
        </w:tc>
      </w:tr>
    </w:tbl>
    <w:p>
      <w:pPr>
        <w:pStyle w:val="HorizontalLine"/>
        <w:pBdr>
          <w:bottom w:val="double" w:sz="6" w:space="0" w:color="808080"/>
        </w:pBdr>
        <w:bidi w:val="0"/>
        <w:jc w:val="left"/>
      </w:pPr>
      <w:r>
        <w:br w:type="page"/>
      </w: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24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7418"/>
        <w:gridCol w:w="234"/>
        <w:gridCol w:w="140"/>
        <w:gridCol w:w="882"/>
        <w:gridCol w:w="155"/>
        <w:gridCol w:w="195"/>
        <w:gridCol w:w="140"/>
        <w:gridCol w:w="882"/>
        <w:gridCol w:w="159"/>
      </w:tblGrid>
      <w:tr>
        <w:tc>
          <w:tcPr>
            <w:tcW w:w="7418"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7418" w:type="dxa"/>
            <w:tcBorders/>
            <w:vAlign w:val="bottom"/>
          </w:tcPr>
          <w:p>
            <w:pPr>
              <w:pStyle w:val="TableContents"/>
              <w:bidi w:val="0"/>
              <w:spacing w:before="0" w:after="283"/>
              <w:jc w:val="left"/>
            </w:pPr>
            <w:r>
              <w:t> </w:t>
            </w:r>
          </w:p>
        </w:tc>
        <w:tc>
          <w:tcPr>
            <w:tcW w:w="234" w:type="dxa"/>
            <w:tcBorders/>
            <w:vAlign w:val="bottom"/>
          </w:tcPr>
          <w:p>
            <w:pPr>
              <w:pStyle w:val="TableContents"/>
              <w:bidi w:val="0"/>
              <w:spacing w:before="0" w:after="283"/>
              <w:jc w:val="left"/>
            </w:pPr>
            <w:r>
              <w:t>  </w:t>
            </w:r>
          </w:p>
        </w:tc>
        <w:tc>
          <w:tcPr>
            <w:tcW w:w="10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0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pPr>
            <w:r>
              <w:t> </w:t>
            </w:r>
          </w:p>
        </w:tc>
      </w:tr>
      <w:tr>
        <w:tc>
          <w:tcPr>
            <w:tcW w:w="741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 from Operating Activities:</w:t>
            </w:r>
          </w:p>
        </w:tc>
        <w:tc>
          <w:tcPr>
            <w:tcW w:w="23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c>
          <w:tcPr>
            <w:tcW w:w="74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3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82" w:type="dxa"/>
            <w:tcBorders/>
            <w:vAlign w:val="bottom"/>
          </w:tcPr>
          <w:p>
            <w:pPr>
              <w:pStyle w:val="TableContents"/>
              <w:bidi w:val="0"/>
              <w:spacing w:before="0" w:after="283"/>
              <w:jc w:val="right"/>
            </w:pPr>
            <w:r>
              <w:t>501,242</w:t>
            </w:r>
          </w:p>
        </w:tc>
        <w:tc>
          <w:tcPr>
            <w:tcW w:w="155"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82" w:type="dxa"/>
            <w:tcBorders/>
            <w:vAlign w:val="bottom"/>
          </w:tcPr>
          <w:p>
            <w:pPr>
              <w:pStyle w:val="TableContents"/>
              <w:bidi w:val="0"/>
              <w:spacing w:before="0" w:after="283"/>
              <w:jc w:val="right"/>
            </w:pPr>
            <w:r>
              <w:t>567,769</w:t>
            </w:r>
          </w:p>
        </w:tc>
        <w:tc>
          <w:tcPr>
            <w:tcW w:w="159" w:type="dxa"/>
            <w:tcBorders/>
            <w:vAlign w:val="bottom"/>
          </w:tcPr>
          <w:p>
            <w:pPr>
              <w:pStyle w:val="TableContents"/>
              <w:bidi w:val="0"/>
              <w:spacing w:before="0" w:after="283"/>
              <w:jc w:val="left"/>
            </w:pPr>
            <w:r>
              <w:t> </w:t>
            </w:r>
          </w:p>
        </w:tc>
      </w:tr>
      <w:t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Reconciliation of net income to net cash provided by operating activities:</w:t>
            </w:r>
          </w:p>
        </w:tc>
        <w:tc>
          <w:tcPr>
            <w:tcW w:w="23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c>
          <w:tcPr>
            <w:tcW w:w="74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Depreciation, amortization and impairment</w:t>
            </w:r>
          </w:p>
        </w:tc>
        <w:tc>
          <w:tcPr>
            <w:tcW w:w="23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210,357</w:t>
            </w:r>
          </w:p>
        </w:tc>
        <w:tc>
          <w:tcPr>
            <w:tcW w:w="155"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195,435</w:t>
            </w:r>
          </w:p>
        </w:tc>
        <w:tc>
          <w:tcPr>
            <w:tcW w:w="159" w:type="dxa"/>
            <w:tcBorders/>
            <w:vAlign w:val="bottom"/>
          </w:tcPr>
          <w:p>
            <w:pPr>
              <w:pStyle w:val="TableContents"/>
              <w:bidi w:val="0"/>
              <w:spacing w:before="0" w:after="283"/>
              <w:jc w:val="left"/>
            </w:pPr>
            <w:r>
              <w:t> </w:t>
            </w:r>
          </w:p>
        </w:tc>
      </w:tr>
      <w:tr>
        <w:tc>
          <w:tcPr>
            <w:tcW w:w="74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w:t>
            </w:r>
          </w:p>
        </w:tc>
        <w:tc>
          <w:tcPr>
            <w:tcW w:w="23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82" w:type="dxa"/>
            <w:tcBorders/>
            <w:shd w:fill="CCEEFF" w:val="clear"/>
            <w:vAlign w:val="bottom"/>
          </w:tcPr>
          <w:p>
            <w:pPr>
              <w:pStyle w:val="TableContents"/>
              <w:bidi w:val="0"/>
              <w:spacing w:before="0" w:after="283"/>
              <w:jc w:val="right"/>
            </w:pPr>
            <w:r>
              <w:t>626</w:t>
            </w:r>
          </w:p>
        </w:tc>
        <w:tc>
          <w:tcPr>
            <w:tcW w:w="155"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82" w:type="dxa"/>
            <w:tcBorders/>
            <w:shd w:fill="CCEEFF" w:val="clear"/>
            <w:vAlign w:val="bottom"/>
          </w:tcPr>
          <w:p>
            <w:pPr>
              <w:pStyle w:val="TableContents"/>
              <w:bidi w:val="0"/>
              <w:spacing w:before="0" w:after="283"/>
              <w:jc w:val="right"/>
            </w:pPr>
            <w:r>
              <w:t>608</w:t>
            </w:r>
          </w:p>
        </w:tc>
        <w:tc>
          <w:tcPr>
            <w:tcW w:w="159" w:type="dxa"/>
            <w:tcBorders/>
            <w:shd w:fill="CCEEFF" w:val="clear"/>
            <w:vAlign w:val="bottom"/>
          </w:tcPr>
          <w:p>
            <w:pPr>
              <w:pStyle w:val="TableContents"/>
              <w:bidi w:val="0"/>
              <w:spacing w:before="0" w:after="283"/>
              <w:jc w:val="left"/>
            </w:pPr>
            <w:r>
              <w:t> </w:t>
            </w:r>
          </w:p>
        </w:tc>
      </w:tr>
      <w:tr>
        <w:tc>
          <w:tcPr>
            <w:tcW w:w="74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w:t>
            </w:r>
          </w:p>
        </w:tc>
        <w:tc>
          <w:tcPr>
            <w:tcW w:w="23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105,063</w:t>
            </w:r>
          </w:p>
        </w:tc>
        <w:tc>
          <w:tcPr>
            <w:tcW w:w="155"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104,864</w:t>
            </w:r>
          </w:p>
        </w:tc>
        <w:tc>
          <w:tcPr>
            <w:tcW w:w="159" w:type="dxa"/>
            <w:tcBorders/>
            <w:vAlign w:val="bottom"/>
          </w:tcPr>
          <w:p>
            <w:pPr>
              <w:pStyle w:val="TableContents"/>
              <w:bidi w:val="0"/>
              <w:spacing w:before="0" w:after="283"/>
              <w:jc w:val="left"/>
            </w:pPr>
            <w:r>
              <w:t> </w:t>
            </w:r>
          </w:p>
        </w:tc>
      </w:tr>
      <w:tr>
        <w:tc>
          <w:tcPr>
            <w:tcW w:w="74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23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82" w:type="dxa"/>
            <w:tcBorders/>
            <w:shd w:fill="CCEEFF" w:val="clear"/>
            <w:vAlign w:val="bottom"/>
          </w:tcPr>
          <w:p>
            <w:pPr>
              <w:pStyle w:val="TableContents"/>
              <w:bidi w:val="0"/>
              <w:spacing w:before="0" w:after="283"/>
              <w:jc w:val="right"/>
            </w:pPr>
            <w:r>
              <w:t>35,497</w:t>
            </w:r>
          </w:p>
        </w:tc>
        <w:tc>
          <w:tcPr>
            <w:tcW w:w="155"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82" w:type="dxa"/>
            <w:tcBorders/>
            <w:shd w:fill="CCEEFF" w:val="clear"/>
            <w:vAlign w:val="bottom"/>
          </w:tcPr>
          <w:p>
            <w:pPr>
              <w:pStyle w:val="TableContents"/>
              <w:bidi w:val="0"/>
              <w:spacing w:before="0" w:after="283"/>
              <w:jc w:val="right"/>
            </w:pPr>
            <w:r>
              <w:t>20,291</w:t>
            </w:r>
          </w:p>
        </w:tc>
        <w:tc>
          <w:tcPr>
            <w:tcW w:w="159" w:type="dxa"/>
            <w:tcBorders/>
            <w:shd w:fill="CCEEFF" w:val="clear"/>
            <w:vAlign w:val="bottom"/>
          </w:tcPr>
          <w:p>
            <w:pPr>
              <w:pStyle w:val="TableContents"/>
              <w:bidi w:val="0"/>
              <w:spacing w:before="0" w:after="283"/>
              <w:jc w:val="left"/>
            </w:pPr>
            <w:r>
              <w:t> </w:t>
            </w:r>
          </w:p>
        </w:tc>
      </w:tr>
      <w:tr>
        <w:tc>
          <w:tcPr>
            <w:tcW w:w="74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Loss from short-term interest-bearing investments</w:t>
            </w:r>
          </w:p>
        </w:tc>
        <w:tc>
          <w:tcPr>
            <w:tcW w:w="23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3,487</w:t>
            </w:r>
          </w:p>
        </w:tc>
        <w:tc>
          <w:tcPr>
            <w:tcW w:w="159" w:type="dxa"/>
            <w:tcBorders/>
            <w:vAlign w:val="bottom"/>
          </w:tcPr>
          <w:p>
            <w:pPr>
              <w:pStyle w:val="TableContents"/>
              <w:bidi w:val="0"/>
              <w:spacing w:before="0" w:after="283"/>
              <w:jc w:val="left"/>
            </w:pPr>
            <w:r>
              <w:t> </w:t>
            </w:r>
          </w:p>
        </w:tc>
      </w:tr>
      <w:t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changes in operating assets and liabilities, net of amounts acquired:</w:t>
            </w:r>
          </w:p>
        </w:tc>
        <w:tc>
          <w:tcPr>
            <w:tcW w:w="23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c>
          <w:tcPr>
            <w:tcW w:w="74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3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(193,360</w:t>
            </w:r>
          </w:p>
        </w:tc>
        <w:tc>
          <w:tcPr>
            <w:tcW w:w="155"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79,606</w:t>
            </w:r>
          </w:p>
        </w:tc>
        <w:tc>
          <w:tcPr>
            <w:tcW w:w="159" w:type="dxa"/>
            <w:tcBorders/>
            <w:vAlign w:val="bottom"/>
          </w:tcPr>
          <w:p>
            <w:pPr>
              <w:pStyle w:val="TableContents"/>
              <w:bidi w:val="0"/>
              <w:spacing w:before="0" w:after="283"/>
              <w:jc w:val="left"/>
            </w:pPr>
            <w:r>
              <w:t> </w:t>
            </w:r>
          </w:p>
        </w:tc>
      </w:tr>
      <w:tr>
        <w:tc>
          <w:tcPr>
            <w:tcW w:w="74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3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82" w:type="dxa"/>
            <w:tcBorders/>
            <w:shd w:fill="CCEEFF" w:val="clear"/>
            <w:vAlign w:val="bottom"/>
          </w:tcPr>
          <w:p>
            <w:pPr>
              <w:pStyle w:val="TableContents"/>
              <w:bidi w:val="0"/>
              <w:spacing w:before="0" w:after="283"/>
              <w:jc w:val="right"/>
            </w:pPr>
            <w:r>
              <w:t>(9,656</w:t>
            </w:r>
          </w:p>
        </w:tc>
        <w:tc>
          <w:tcPr>
            <w:tcW w:w="155"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82" w:type="dxa"/>
            <w:tcBorders/>
            <w:shd w:fill="CCEEFF" w:val="clear"/>
            <w:vAlign w:val="bottom"/>
          </w:tcPr>
          <w:p>
            <w:pPr>
              <w:pStyle w:val="TableContents"/>
              <w:bidi w:val="0"/>
              <w:spacing w:before="0" w:after="283"/>
              <w:jc w:val="right"/>
            </w:pPr>
            <w:r>
              <w:t>(55,061</w:t>
            </w:r>
          </w:p>
        </w:tc>
        <w:tc>
          <w:tcPr>
            <w:tcW w:w="159" w:type="dxa"/>
            <w:tcBorders/>
            <w:shd w:fill="CCEEFF" w:val="clear"/>
            <w:vAlign w:val="bottom"/>
          </w:tcPr>
          <w:p>
            <w:pPr>
              <w:pStyle w:val="TableContents"/>
              <w:bidi w:val="0"/>
              <w:spacing w:before="0" w:after="283"/>
              <w:jc w:val="left"/>
            </w:pPr>
            <w:r>
              <w:t>) </w:t>
            </w:r>
          </w:p>
        </w:tc>
      </w:tr>
      <w:tr>
        <w:tc>
          <w:tcPr>
            <w:tcW w:w="74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3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33,247</w:t>
            </w:r>
          </w:p>
        </w:tc>
        <w:tc>
          <w:tcPr>
            <w:tcW w:w="155"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(15,445</w:t>
            </w:r>
          </w:p>
        </w:tc>
        <w:tc>
          <w:tcPr>
            <w:tcW w:w="159" w:type="dxa"/>
            <w:tcBorders/>
            <w:vAlign w:val="bottom"/>
          </w:tcPr>
          <w:p>
            <w:pPr>
              <w:pStyle w:val="TableContents"/>
              <w:bidi w:val="0"/>
              <w:spacing w:before="0" w:after="283"/>
              <w:jc w:val="left"/>
            </w:pPr>
            <w:r>
              <w:t>) </w:t>
            </w:r>
          </w:p>
        </w:tc>
      </w:tr>
      <w:tr>
        <w:tc>
          <w:tcPr>
            <w:tcW w:w="74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Lease assets and liabilities, net</w:t>
            </w:r>
          </w:p>
        </w:tc>
        <w:tc>
          <w:tcPr>
            <w:tcW w:w="23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82" w:type="dxa"/>
            <w:tcBorders/>
            <w:shd w:fill="CCEEFF" w:val="clear"/>
            <w:vAlign w:val="bottom"/>
          </w:tcPr>
          <w:p>
            <w:pPr>
              <w:pStyle w:val="TableContents"/>
              <w:bidi w:val="0"/>
              <w:spacing w:before="0" w:after="283"/>
              <w:jc w:val="right"/>
            </w:pPr>
            <w:r>
              <w:t>(2,459</w:t>
            </w:r>
          </w:p>
        </w:tc>
        <w:tc>
          <w:tcPr>
            <w:tcW w:w="155"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82" w:type="dxa"/>
            <w:tcBorders/>
            <w:shd w:fill="CCEEFF" w:val="clear"/>
            <w:vAlign w:val="bottom"/>
          </w:tcPr>
          <w:p>
            <w:pPr>
              <w:pStyle w:val="TableContents"/>
              <w:bidi w:val="0"/>
              <w:spacing w:before="0" w:after="283"/>
              <w:jc w:val="right"/>
            </w:pPr>
            <w:r>
              <w:t>3,221</w:t>
            </w:r>
          </w:p>
        </w:tc>
        <w:tc>
          <w:tcPr>
            <w:tcW w:w="159" w:type="dxa"/>
            <w:tcBorders/>
            <w:shd w:fill="CCEEFF" w:val="clear"/>
            <w:vAlign w:val="bottom"/>
          </w:tcPr>
          <w:p>
            <w:pPr>
              <w:pStyle w:val="TableContents"/>
              <w:bidi w:val="0"/>
              <w:spacing w:before="0" w:after="283"/>
              <w:jc w:val="left"/>
            </w:pPr>
            <w:r>
              <w:t> </w:t>
            </w:r>
          </w:p>
        </w:tc>
      </w:tr>
      <w:tr>
        <w:tc>
          <w:tcPr>
            <w:tcW w:w="74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Accounts payable, accrued expenses and accrued personnel</w:t>
            </w:r>
          </w:p>
        </w:tc>
        <w:tc>
          <w:tcPr>
            <w:tcW w:w="23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61,013</w:t>
            </w:r>
          </w:p>
        </w:tc>
        <w:tc>
          <w:tcPr>
            <w:tcW w:w="155"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(77,041</w:t>
            </w:r>
          </w:p>
        </w:tc>
        <w:tc>
          <w:tcPr>
            <w:tcW w:w="159" w:type="dxa"/>
            <w:tcBorders/>
            <w:vAlign w:val="bottom"/>
          </w:tcPr>
          <w:p>
            <w:pPr>
              <w:pStyle w:val="TableContents"/>
              <w:bidi w:val="0"/>
              <w:spacing w:before="0" w:after="283"/>
              <w:jc w:val="left"/>
            </w:pPr>
            <w:r>
              <w:t>) </w:t>
            </w:r>
          </w:p>
        </w:tc>
      </w:tr>
      <w:tr>
        <w:tc>
          <w:tcPr>
            <w:tcW w:w="74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3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82" w:type="dxa"/>
            <w:tcBorders/>
            <w:shd w:fill="CCEEFF" w:val="clear"/>
            <w:vAlign w:val="bottom"/>
          </w:tcPr>
          <w:p>
            <w:pPr>
              <w:pStyle w:val="TableContents"/>
              <w:bidi w:val="0"/>
              <w:spacing w:before="0" w:after="283"/>
              <w:jc w:val="right"/>
            </w:pPr>
            <w:r>
              <w:t>1,000</w:t>
            </w:r>
          </w:p>
        </w:tc>
        <w:tc>
          <w:tcPr>
            <w:tcW w:w="155"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82" w:type="dxa"/>
            <w:tcBorders/>
            <w:shd w:fill="CCEEFF" w:val="clear"/>
            <w:vAlign w:val="bottom"/>
          </w:tcPr>
          <w:p>
            <w:pPr>
              <w:pStyle w:val="TableContents"/>
              <w:bidi w:val="0"/>
              <w:spacing w:before="0" w:after="283"/>
              <w:jc w:val="right"/>
            </w:pPr>
            <w:r>
              <w:t>8,172</w:t>
            </w:r>
          </w:p>
        </w:tc>
        <w:tc>
          <w:tcPr>
            <w:tcW w:w="159" w:type="dxa"/>
            <w:tcBorders/>
            <w:shd w:fill="CCEEFF" w:val="clear"/>
            <w:vAlign w:val="bottom"/>
          </w:tcPr>
          <w:p>
            <w:pPr>
              <w:pStyle w:val="TableContents"/>
              <w:bidi w:val="0"/>
              <w:spacing w:before="0" w:after="283"/>
              <w:jc w:val="left"/>
            </w:pPr>
            <w:r>
              <w:t> </w:t>
            </w:r>
          </w:p>
        </w:tc>
      </w:tr>
      <w:tr>
        <w:tc>
          <w:tcPr>
            <w:tcW w:w="74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Income taxes payable, net</w:t>
            </w:r>
          </w:p>
        </w:tc>
        <w:tc>
          <w:tcPr>
            <w:tcW w:w="23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(2,335</w:t>
            </w:r>
          </w:p>
        </w:tc>
        <w:tc>
          <w:tcPr>
            <w:tcW w:w="155"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(15,109</w:t>
            </w:r>
          </w:p>
        </w:tc>
        <w:tc>
          <w:tcPr>
            <w:tcW w:w="159" w:type="dxa"/>
            <w:tcBorders/>
            <w:vAlign w:val="bottom"/>
          </w:tcPr>
          <w:p>
            <w:pPr>
              <w:pStyle w:val="TableContents"/>
              <w:bidi w:val="0"/>
              <w:spacing w:before="0" w:after="283"/>
              <w:jc w:val="left"/>
            </w:pPr>
            <w:r>
              <w:t>) </w:t>
            </w:r>
          </w:p>
        </w:tc>
      </w:tr>
      <w:tr>
        <w:tc>
          <w:tcPr>
            <w:tcW w:w="74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3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82" w:type="dxa"/>
            <w:tcBorders/>
            <w:shd w:fill="CCEEFF" w:val="clear"/>
            <w:vAlign w:val="bottom"/>
          </w:tcPr>
          <w:p>
            <w:pPr>
              <w:pStyle w:val="TableContents"/>
              <w:bidi w:val="0"/>
              <w:spacing w:before="0" w:after="283"/>
              <w:jc w:val="right"/>
            </w:pPr>
            <w:r>
              <w:t>(67,512</w:t>
            </w:r>
          </w:p>
        </w:tc>
        <w:tc>
          <w:tcPr>
            <w:tcW w:w="155"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82" w:type="dxa"/>
            <w:tcBorders/>
            <w:shd w:fill="CCEEFF" w:val="clear"/>
            <w:vAlign w:val="bottom"/>
          </w:tcPr>
          <w:p>
            <w:pPr>
              <w:pStyle w:val="TableContents"/>
              <w:bidi w:val="0"/>
              <w:spacing w:before="0" w:after="283"/>
              <w:jc w:val="right"/>
            </w:pPr>
            <w:r>
              <w:t>(71,701</w:t>
            </w:r>
          </w:p>
        </w:tc>
        <w:tc>
          <w:tcPr>
            <w:tcW w:w="159" w:type="dxa"/>
            <w:tcBorders/>
            <w:shd w:fill="CCEEFF" w:val="clear"/>
            <w:vAlign w:val="bottom"/>
          </w:tcPr>
          <w:p>
            <w:pPr>
              <w:pStyle w:val="TableContents"/>
              <w:bidi w:val="0"/>
              <w:spacing w:before="0" w:after="283"/>
              <w:jc w:val="left"/>
            </w:pPr>
            <w:r>
              <w:t>) </w:t>
            </w:r>
          </w:p>
        </w:tc>
      </w:tr>
      <w:tr>
        <w:tc>
          <w:tcPr>
            <w:tcW w:w="741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8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82"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74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3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672,723</w:t>
            </w:r>
          </w:p>
        </w:tc>
        <w:tc>
          <w:tcPr>
            <w:tcW w:w="155"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749,096</w:t>
            </w:r>
          </w:p>
        </w:tc>
        <w:tc>
          <w:tcPr>
            <w:tcW w:w="159" w:type="dxa"/>
            <w:tcBorders/>
            <w:vAlign w:val="bottom"/>
          </w:tcPr>
          <w:p>
            <w:pPr>
              <w:pStyle w:val="TableContents"/>
              <w:bidi w:val="0"/>
              <w:spacing w:before="0" w:after="283"/>
              <w:jc w:val="left"/>
            </w:pPr>
            <w:r>
              <w:t> </w:t>
            </w:r>
          </w:p>
        </w:tc>
      </w:tr>
      <w:tr>
        <w:tc>
          <w:tcPr>
            <w:tcW w:w="741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8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82"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741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 from Investing Activities:</w:t>
            </w:r>
          </w:p>
        </w:tc>
        <w:tc>
          <w:tcPr>
            <w:tcW w:w="23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c>
          <w:tcPr>
            <w:tcW w:w="74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Purchase of property and equipment, net (a)</w:t>
            </w:r>
          </w:p>
        </w:tc>
        <w:tc>
          <w:tcPr>
            <w:tcW w:w="23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(110,528</w:t>
            </w:r>
          </w:p>
        </w:tc>
        <w:tc>
          <w:tcPr>
            <w:tcW w:w="155"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(103,952</w:t>
            </w:r>
          </w:p>
        </w:tc>
        <w:tc>
          <w:tcPr>
            <w:tcW w:w="159" w:type="dxa"/>
            <w:tcBorders/>
            <w:vAlign w:val="bottom"/>
          </w:tcPr>
          <w:p>
            <w:pPr>
              <w:pStyle w:val="TableContents"/>
              <w:bidi w:val="0"/>
              <w:spacing w:before="0" w:after="283"/>
              <w:jc w:val="left"/>
            </w:pPr>
            <w:r>
              <w:t>) </w:t>
            </w:r>
          </w:p>
        </w:tc>
      </w:tr>
      <w:tr>
        <w:tc>
          <w:tcPr>
            <w:tcW w:w="74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Proceeds from sale of short-term interest-bearing investments</w:t>
            </w:r>
          </w:p>
        </w:tc>
        <w:tc>
          <w:tcPr>
            <w:tcW w:w="23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82"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82" w:type="dxa"/>
            <w:tcBorders/>
            <w:shd w:fill="CCEEFF" w:val="clear"/>
            <w:vAlign w:val="bottom"/>
          </w:tcPr>
          <w:p>
            <w:pPr>
              <w:pStyle w:val="TableContents"/>
              <w:bidi w:val="0"/>
              <w:spacing w:before="0" w:after="283"/>
              <w:jc w:val="right"/>
            </w:pPr>
            <w:r>
              <w:t>169,993</w:t>
            </w:r>
          </w:p>
        </w:tc>
        <w:tc>
          <w:tcPr>
            <w:tcW w:w="159" w:type="dxa"/>
            <w:tcBorders/>
            <w:shd w:fill="CCEEFF" w:val="clear"/>
            <w:vAlign w:val="bottom"/>
          </w:tcPr>
          <w:p>
            <w:pPr>
              <w:pStyle w:val="TableContents"/>
              <w:bidi w:val="0"/>
              <w:spacing w:before="0" w:after="283"/>
              <w:jc w:val="left"/>
            </w:pPr>
            <w:r>
              <w:t> </w:t>
            </w:r>
          </w:p>
        </w:tc>
      </w:tr>
      <w:tr>
        <w:tc>
          <w:tcPr>
            <w:tcW w:w="74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cash paid for business and intangible assets acquisitions</w:t>
            </w:r>
          </w:p>
        </w:tc>
        <w:tc>
          <w:tcPr>
            <w:tcW w:w="23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(218,644</w:t>
            </w:r>
          </w:p>
        </w:tc>
        <w:tc>
          <w:tcPr>
            <w:tcW w:w="155"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(86,317</w:t>
            </w:r>
          </w:p>
        </w:tc>
        <w:tc>
          <w:tcPr>
            <w:tcW w:w="159" w:type="dxa"/>
            <w:tcBorders/>
            <w:vAlign w:val="bottom"/>
          </w:tcPr>
          <w:p>
            <w:pPr>
              <w:pStyle w:val="TableContents"/>
              <w:bidi w:val="0"/>
              <w:spacing w:before="0" w:after="283"/>
              <w:jc w:val="left"/>
            </w:pPr>
            <w:r>
              <w:t>) </w:t>
            </w:r>
          </w:p>
        </w:tc>
      </w:tr>
      <w:tr>
        <w:tc>
          <w:tcPr>
            <w:tcW w:w="74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cash from equity investments and other</w:t>
            </w:r>
          </w:p>
        </w:tc>
        <w:tc>
          <w:tcPr>
            <w:tcW w:w="23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82" w:type="dxa"/>
            <w:tcBorders/>
            <w:shd w:fill="CCEEFF" w:val="clear"/>
            <w:vAlign w:val="bottom"/>
          </w:tcPr>
          <w:p>
            <w:pPr>
              <w:pStyle w:val="TableContents"/>
              <w:bidi w:val="0"/>
              <w:spacing w:before="0" w:after="283"/>
              <w:jc w:val="right"/>
            </w:pPr>
            <w:r>
              <w:t>14,101</w:t>
            </w:r>
          </w:p>
        </w:tc>
        <w:tc>
          <w:tcPr>
            <w:tcW w:w="155"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82" w:type="dxa"/>
            <w:tcBorders/>
            <w:shd w:fill="CCEEFF" w:val="clear"/>
            <w:vAlign w:val="bottom"/>
          </w:tcPr>
          <w:p>
            <w:pPr>
              <w:pStyle w:val="TableContents"/>
              <w:bidi w:val="0"/>
              <w:spacing w:before="0" w:after="283"/>
              <w:jc w:val="right"/>
            </w:pPr>
            <w:r>
              <w:t>18,215</w:t>
            </w:r>
          </w:p>
        </w:tc>
        <w:tc>
          <w:tcPr>
            <w:tcW w:w="159" w:type="dxa"/>
            <w:tcBorders/>
            <w:shd w:fill="CCEEFF" w:val="clear"/>
            <w:vAlign w:val="bottom"/>
          </w:tcPr>
          <w:p>
            <w:pPr>
              <w:pStyle w:val="TableContents"/>
              <w:bidi w:val="0"/>
              <w:spacing w:before="0" w:after="283"/>
              <w:jc w:val="left"/>
            </w:pPr>
            <w:r>
              <w:t> </w:t>
            </w:r>
          </w:p>
        </w:tc>
      </w:tr>
      <w:tr>
        <w:tc>
          <w:tcPr>
            <w:tcW w:w="741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8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82"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74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3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(315,071</w:t>
            </w:r>
          </w:p>
        </w:tc>
        <w:tc>
          <w:tcPr>
            <w:tcW w:w="155"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(2,061</w:t>
            </w:r>
          </w:p>
        </w:tc>
        <w:tc>
          <w:tcPr>
            <w:tcW w:w="159" w:type="dxa"/>
            <w:tcBorders/>
            <w:vAlign w:val="bottom"/>
          </w:tcPr>
          <w:p>
            <w:pPr>
              <w:pStyle w:val="TableContents"/>
              <w:bidi w:val="0"/>
              <w:spacing w:before="0" w:after="283"/>
              <w:jc w:val="left"/>
            </w:pPr>
            <w:r>
              <w:t>) </w:t>
            </w:r>
          </w:p>
        </w:tc>
      </w:tr>
      <w:tr>
        <w:tc>
          <w:tcPr>
            <w:tcW w:w="741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8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82"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741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 from Financing Activities:</w:t>
            </w:r>
          </w:p>
        </w:tc>
        <w:tc>
          <w:tcPr>
            <w:tcW w:w="23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c>
          <w:tcPr>
            <w:tcW w:w="74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23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(510,508</w:t>
            </w:r>
          </w:p>
        </w:tc>
        <w:tc>
          <w:tcPr>
            <w:tcW w:w="155"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(551,340</w:t>
            </w:r>
          </w:p>
        </w:tc>
        <w:tc>
          <w:tcPr>
            <w:tcW w:w="159" w:type="dxa"/>
            <w:tcBorders/>
            <w:vAlign w:val="bottom"/>
          </w:tcPr>
          <w:p>
            <w:pPr>
              <w:pStyle w:val="TableContents"/>
              <w:bidi w:val="0"/>
              <w:spacing w:before="0" w:after="283"/>
              <w:jc w:val="left"/>
            </w:pPr>
            <w:r>
              <w:t>) </w:t>
            </w:r>
          </w:p>
        </w:tc>
      </w:tr>
      <w:tr>
        <w:tc>
          <w:tcPr>
            <w:tcW w:w="74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Proceeds from employee stock option exercises</w:t>
            </w:r>
          </w:p>
        </w:tc>
        <w:tc>
          <w:tcPr>
            <w:tcW w:w="23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82" w:type="dxa"/>
            <w:tcBorders/>
            <w:shd w:fill="CCEEFF" w:val="clear"/>
            <w:vAlign w:val="bottom"/>
          </w:tcPr>
          <w:p>
            <w:pPr>
              <w:pStyle w:val="TableContents"/>
              <w:bidi w:val="0"/>
              <w:spacing w:before="0" w:after="283"/>
              <w:jc w:val="right"/>
            </w:pPr>
            <w:r>
              <w:t>6,980</w:t>
            </w:r>
          </w:p>
        </w:tc>
        <w:tc>
          <w:tcPr>
            <w:tcW w:w="155"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82" w:type="dxa"/>
            <w:tcBorders/>
            <w:shd w:fill="CCEEFF" w:val="clear"/>
            <w:vAlign w:val="bottom"/>
          </w:tcPr>
          <w:p>
            <w:pPr>
              <w:pStyle w:val="TableContents"/>
              <w:bidi w:val="0"/>
              <w:spacing w:before="0" w:after="283"/>
              <w:jc w:val="right"/>
            </w:pPr>
            <w:r>
              <w:t>21,294</w:t>
            </w:r>
          </w:p>
        </w:tc>
        <w:tc>
          <w:tcPr>
            <w:tcW w:w="159" w:type="dxa"/>
            <w:tcBorders/>
            <w:shd w:fill="CCEEFF" w:val="clear"/>
            <w:vAlign w:val="bottom"/>
          </w:tcPr>
          <w:p>
            <w:pPr>
              <w:pStyle w:val="TableContents"/>
              <w:bidi w:val="0"/>
              <w:spacing w:before="0" w:after="283"/>
              <w:jc w:val="left"/>
            </w:pPr>
            <w:r>
              <w:t> </w:t>
            </w:r>
          </w:p>
        </w:tc>
      </w:tr>
      <w:tr>
        <w:tc>
          <w:tcPr>
            <w:tcW w:w="74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Payments of dividends</w:t>
            </w:r>
          </w:p>
        </w:tc>
        <w:tc>
          <w:tcPr>
            <w:tcW w:w="23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(233,691</w:t>
            </w:r>
          </w:p>
        </w:tc>
        <w:tc>
          <w:tcPr>
            <w:tcW w:w="155"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(224,394</w:t>
            </w:r>
          </w:p>
        </w:tc>
        <w:tc>
          <w:tcPr>
            <w:tcW w:w="159" w:type="dxa"/>
            <w:tcBorders/>
            <w:vAlign w:val="bottom"/>
          </w:tcPr>
          <w:p>
            <w:pPr>
              <w:pStyle w:val="TableContents"/>
              <w:bidi w:val="0"/>
              <w:spacing w:before="0" w:after="283"/>
              <w:jc w:val="left"/>
            </w:pPr>
            <w:r>
              <w:t>) </w:t>
            </w:r>
          </w:p>
        </w:tc>
      </w:tr>
      <w:tr>
        <w:tc>
          <w:tcPr>
            <w:tcW w:w="74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Distribution to noncontrolling interests</w:t>
            </w:r>
          </w:p>
        </w:tc>
        <w:tc>
          <w:tcPr>
            <w:tcW w:w="23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82" w:type="dxa"/>
            <w:tcBorders/>
            <w:shd w:fill="CCEEFF" w:val="clear"/>
            <w:vAlign w:val="bottom"/>
          </w:tcPr>
          <w:p>
            <w:pPr>
              <w:pStyle w:val="TableContents"/>
              <w:bidi w:val="0"/>
              <w:spacing w:before="0" w:after="283"/>
              <w:jc w:val="right"/>
            </w:pPr>
            <w:r>
              <w:t>(3,113</w:t>
            </w:r>
          </w:p>
        </w:tc>
        <w:tc>
          <w:tcPr>
            <w:tcW w:w="155"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82" w:type="dxa"/>
            <w:tcBorders/>
            <w:shd w:fill="CCEEFF" w:val="clear"/>
            <w:vAlign w:val="bottom"/>
          </w:tcPr>
          <w:p>
            <w:pPr>
              <w:pStyle w:val="TableContents"/>
              <w:bidi w:val="0"/>
              <w:spacing w:before="0" w:after="283"/>
              <w:jc w:val="right"/>
            </w:pPr>
            <w:r>
              <w:t>(4,039</w:t>
            </w:r>
          </w:p>
        </w:tc>
        <w:tc>
          <w:tcPr>
            <w:tcW w:w="159" w:type="dxa"/>
            <w:tcBorders/>
            <w:shd w:fill="CCEEFF" w:val="clear"/>
            <w:vAlign w:val="bottom"/>
          </w:tcPr>
          <w:p>
            <w:pPr>
              <w:pStyle w:val="TableContents"/>
              <w:bidi w:val="0"/>
              <w:spacing w:before="0" w:after="283"/>
              <w:jc w:val="left"/>
            </w:pPr>
            <w:r>
              <w:t>) </w:t>
            </w:r>
          </w:p>
        </w:tc>
      </w:tr>
      <w:tr>
        <w:tc>
          <w:tcPr>
            <w:tcW w:w="74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Borrowings under financing arrangements</w:t>
            </w:r>
          </w:p>
        </w:tc>
        <w:tc>
          <w:tcPr>
            <w:tcW w:w="23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300,000</w:t>
            </w:r>
          </w:p>
        </w:tc>
        <w:tc>
          <w:tcPr>
            <w:tcW w:w="155"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— </w:t>
            </w:r>
          </w:p>
        </w:tc>
        <w:tc>
          <w:tcPr>
            <w:tcW w:w="159" w:type="dxa"/>
            <w:tcBorders/>
            <w:vAlign w:val="bottom"/>
          </w:tcPr>
          <w:p>
            <w:pPr>
              <w:pStyle w:val="TableContents"/>
              <w:bidi w:val="0"/>
              <w:spacing w:before="0" w:after="283"/>
              <w:jc w:val="left"/>
            </w:pPr>
            <w:r>
              <w:t> </w:t>
            </w:r>
          </w:p>
        </w:tc>
      </w:tr>
      <w:tr>
        <w:tc>
          <w:tcPr>
            <w:tcW w:w="74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Payment of contingent consideration and deferred payment of business acquisitions</w:t>
            </w:r>
          </w:p>
        </w:tc>
        <w:tc>
          <w:tcPr>
            <w:tcW w:w="23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82" w:type="dxa"/>
            <w:tcBorders/>
            <w:shd w:fill="CCEEFF" w:val="clear"/>
            <w:vAlign w:val="bottom"/>
          </w:tcPr>
          <w:p>
            <w:pPr>
              <w:pStyle w:val="TableContents"/>
              <w:bidi w:val="0"/>
              <w:spacing w:before="0" w:after="283"/>
              <w:jc w:val="right"/>
            </w:pPr>
            <w:r>
              <w:t>(45,270</w:t>
            </w:r>
          </w:p>
        </w:tc>
        <w:tc>
          <w:tcPr>
            <w:tcW w:w="155"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82" w:type="dxa"/>
            <w:tcBorders/>
            <w:shd w:fill="CCEEFF" w:val="clear"/>
            <w:vAlign w:val="bottom"/>
          </w:tcPr>
          <w:p>
            <w:pPr>
              <w:pStyle w:val="TableContents"/>
              <w:bidi w:val="0"/>
              <w:spacing w:before="0" w:after="283"/>
              <w:jc w:val="right"/>
            </w:pPr>
            <w:r>
              <w:t>(9,642</w:t>
            </w:r>
          </w:p>
        </w:tc>
        <w:tc>
          <w:tcPr>
            <w:tcW w:w="159" w:type="dxa"/>
            <w:tcBorders/>
            <w:shd w:fill="CCEEFF" w:val="clear"/>
            <w:vAlign w:val="bottom"/>
          </w:tcPr>
          <w:p>
            <w:pPr>
              <w:pStyle w:val="TableContents"/>
              <w:bidi w:val="0"/>
              <w:spacing w:before="0" w:after="283"/>
              <w:jc w:val="left"/>
            </w:pPr>
            <w:r>
              <w:t>) </w:t>
            </w:r>
          </w:p>
        </w:tc>
      </w:tr>
      <w:tr>
        <w:tc>
          <w:tcPr>
            <w:tcW w:w="741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8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82"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74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23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(485,602</w:t>
            </w:r>
          </w:p>
        </w:tc>
        <w:tc>
          <w:tcPr>
            <w:tcW w:w="155"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(768,121</w:t>
            </w:r>
          </w:p>
        </w:tc>
        <w:tc>
          <w:tcPr>
            <w:tcW w:w="159" w:type="dxa"/>
            <w:tcBorders/>
            <w:vAlign w:val="bottom"/>
          </w:tcPr>
          <w:p>
            <w:pPr>
              <w:pStyle w:val="TableContents"/>
              <w:bidi w:val="0"/>
              <w:spacing w:before="0" w:after="283"/>
              <w:jc w:val="left"/>
            </w:pPr>
            <w:r>
              <w:t>) </w:t>
            </w:r>
          </w:p>
        </w:tc>
      </w:tr>
      <w:tr>
        <w:tc>
          <w:tcPr>
            <w:tcW w:w="741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8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82"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74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w:t>
            </w:r>
          </w:p>
        </w:tc>
        <w:tc>
          <w:tcPr>
            <w:tcW w:w="23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82" w:type="dxa"/>
            <w:tcBorders/>
            <w:shd w:fill="CCEEFF" w:val="clear"/>
            <w:vAlign w:val="bottom"/>
          </w:tcPr>
          <w:p>
            <w:pPr>
              <w:pStyle w:val="TableContents"/>
              <w:bidi w:val="0"/>
              <w:spacing w:before="0" w:after="283"/>
              <w:jc w:val="right"/>
            </w:pPr>
            <w:r>
              <w:t>(127,950</w:t>
            </w:r>
          </w:p>
        </w:tc>
        <w:tc>
          <w:tcPr>
            <w:tcW w:w="155"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82" w:type="dxa"/>
            <w:tcBorders/>
            <w:shd w:fill="CCEEFF" w:val="clear"/>
            <w:vAlign w:val="bottom"/>
          </w:tcPr>
          <w:p>
            <w:pPr>
              <w:pStyle w:val="TableContents"/>
              <w:bidi w:val="0"/>
              <w:spacing w:before="0" w:after="283"/>
              <w:jc w:val="right"/>
            </w:pPr>
            <w:r>
              <w:t>(21,086</w:t>
            </w:r>
          </w:p>
        </w:tc>
        <w:tc>
          <w:tcPr>
            <w:tcW w:w="159" w:type="dxa"/>
            <w:tcBorders/>
            <w:shd w:fill="CCEEFF" w:val="clear"/>
            <w:vAlign w:val="bottom"/>
          </w:tcPr>
          <w:p>
            <w:pPr>
              <w:pStyle w:val="TableContents"/>
              <w:bidi w:val="0"/>
              <w:spacing w:before="0" w:after="283"/>
              <w:jc w:val="left"/>
            </w:pPr>
            <w:r>
              <w:t>) </w:t>
            </w:r>
          </w:p>
        </w:tc>
      </w:tr>
      <w:tr>
        <w:tc>
          <w:tcPr>
            <w:tcW w:w="74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year</w:t>
            </w:r>
          </w:p>
        </w:tc>
        <w:tc>
          <w:tcPr>
            <w:tcW w:w="23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324,999</w:t>
            </w:r>
          </w:p>
        </w:tc>
        <w:tc>
          <w:tcPr>
            <w:tcW w:w="155"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2" w:type="dxa"/>
            <w:tcBorders/>
            <w:vAlign w:val="bottom"/>
          </w:tcPr>
          <w:p>
            <w:pPr>
              <w:pStyle w:val="TableContents"/>
              <w:bidi w:val="0"/>
              <w:spacing w:before="0" w:after="283"/>
              <w:jc w:val="right"/>
            </w:pPr>
            <w:r>
              <w:t>346,085</w:t>
            </w:r>
          </w:p>
        </w:tc>
        <w:tc>
          <w:tcPr>
            <w:tcW w:w="159" w:type="dxa"/>
            <w:tcBorders/>
            <w:vAlign w:val="bottom"/>
          </w:tcPr>
          <w:p>
            <w:pPr>
              <w:pStyle w:val="TableContents"/>
              <w:bidi w:val="0"/>
              <w:spacing w:before="0" w:after="283"/>
              <w:jc w:val="left"/>
            </w:pPr>
            <w:r>
              <w:t> </w:t>
            </w:r>
          </w:p>
        </w:tc>
      </w:tr>
      <w:tr>
        <w:tc>
          <w:tcPr>
            <w:tcW w:w="741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8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82"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74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year</w:t>
            </w:r>
          </w:p>
        </w:tc>
        <w:tc>
          <w:tcPr>
            <w:tcW w:w="23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82" w:type="dxa"/>
            <w:tcBorders/>
            <w:shd w:fill="CCEEFF" w:val="clear"/>
            <w:vAlign w:val="bottom"/>
          </w:tcPr>
          <w:p>
            <w:pPr>
              <w:pStyle w:val="TableContents"/>
              <w:bidi w:val="0"/>
              <w:spacing w:before="0" w:after="283"/>
              <w:jc w:val="right"/>
            </w:pPr>
            <w:r>
              <w:t>197,049</w:t>
            </w:r>
          </w:p>
        </w:tc>
        <w:tc>
          <w:tcPr>
            <w:tcW w:w="155"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82" w:type="dxa"/>
            <w:tcBorders/>
            <w:shd w:fill="CCEEFF" w:val="clear"/>
            <w:vAlign w:val="bottom"/>
          </w:tcPr>
          <w:p>
            <w:pPr>
              <w:pStyle w:val="TableContents"/>
              <w:bidi w:val="0"/>
              <w:spacing w:before="0" w:after="283"/>
              <w:jc w:val="right"/>
            </w:pPr>
            <w:r>
              <w:t>324,999</w:t>
            </w:r>
          </w:p>
        </w:tc>
        <w:tc>
          <w:tcPr>
            <w:tcW w:w="159" w:type="dxa"/>
            <w:tcBorders/>
            <w:shd w:fill="CCEEFF" w:val="clear"/>
            <w:vAlign w:val="bottom"/>
          </w:tcPr>
          <w:p>
            <w:pPr>
              <w:pStyle w:val="TableContents"/>
              <w:bidi w:val="0"/>
              <w:spacing w:before="0" w:after="283"/>
              <w:jc w:val="left"/>
            </w:pPr>
            <w:r>
              <w:t> </w:t>
            </w:r>
          </w:p>
        </w:tc>
      </w:tr>
      <w:tr>
        <w:tc>
          <w:tcPr>
            <w:tcW w:w="741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8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82" w:type="dxa"/>
            <w:tcBorders/>
            <w:vAlign w:val="bottom"/>
          </w:tcPr>
          <w:p>
            <w:pPr>
              <w:pStyle w:val="TableContents"/>
              <w:pBdr>
                <w:top w:val="double" w:sz="6"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under “Purchase of property and equipment, net”, include immaterial proceeds from sale of property and equipment. </w:t>
            </w:r>
          </w:p>
        </w:tc>
      </w:tr>
    </w:tbl>
    <w:p>
      <w:pPr>
        <w:pStyle w:val="HorizontalLine"/>
        <w:pBdr>
          <w:bottom w:val="double" w:sz="6" w:space="0" w:color="808080"/>
        </w:pBdr>
        <w:bidi w:val="0"/>
        <w:jc w:val="left"/>
      </w:pPr>
      <w:r>
        <w:br w:type="page"/>
      </w: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240" w:after="0"/>
        <w:jc w:val="center"/>
        <w:rPr>
          <w:rFonts w:ascii="Times New Roman" w:hAnsi="Times New Roman"/>
          <w:b/>
          <w:sz w:val="20"/>
        </w:rPr>
      </w:pPr>
      <w:r>
        <w:rPr>
          <w:rFonts w:ascii="Times New Roman" w:hAnsi="Times New Roman"/>
          <w:b/>
          <w:sz w:val="20"/>
        </w:rPr>
        <w:t xml:space="preserve">Supplementary Information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2878"/>
        <w:gridCol w:w="175"/>
        <w:gridCol w:w="228"/>
        <w:gridCol w:w="1198"/>
        <w:gridCol w:w="60"/>
        <w:gridCol w:w="175"/>
        <w:gridCol w:w="140"/>
        <w:gridCol w:w="741"/>
        <w:gridCol w:w="60"/>
        <w:gridCol w:w="175"/>
        <w:gridCol w:w="160"/>
        <w:gridCol w:w="872"/>
        <w:gridCol w:w="59"/>
        <w:gridCol w:w="175"/>
        <w:gridCol w:w="220"/>
        <w:gridCol w:w="1156"/>
        <w:gridCol w:w="60"/>
        <w:gridCol w:w="175"/>
        <w:gridCol w:w="228"/>
        <w:gridCol w:w="1198"/>
        <w:gridCol w:w="72"/>
      </w:tblGrid>
      <w:tr>
        <w:tc>
          <w:tcPr>
            <w:tcW w:w="2878"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c>
          <w:tcPr>
            <w:tcW w:w="2878"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708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72" w:type="dxa"/>
            <w:tcBorders/>
            <w:vAlign w:val="bottom"/>
          </w:tcPr>
          <w:p>
            <w:pPr>
              <w:pStyle w:val="TableContents"/>
              <w:bidi w:val="0"/>
              <w:spacing w:before="0" w:after="283"/>
              <w:jc w:val="left"/>
            </w:pPr>
            <w:r>
              <w:t> </w:t>
            </w:r>
          </w:p>
        </w:tc>
      </w:tr>
      <w:tr>
        <w:tc>
          <w:tcPr>
            <w:tcW w:w="2878"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426" w:type="dxa"/>
            <w:gridSpan w:val="2"/>
            <w:tcBorders/>
            <w:vAlign w:val="bottom"/>
          </w:tcPr>
          <w:p>
            <w:pPr>
              <w:pStyle w:val="TableContents"/>
              <w:bidi w:val="0"/>
              <w:spacing w:before="0" w:after="283"/>
              <w:jc w:val="center"/>
              <w:rPr>
                <w:b/>
              </w:rPr>
            </w:pPr>
            <w:r>
              <w:rPr>
                <w:b/>
              </w:rPr>
              <w:t>September 30,</w:t>
            </w:r>
          </w:p>
        </w:tc>
        <w:tc>
          <w:tcPr>
            <w:tcW w:w="60"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881" w:type="dxa"/>
            <w:gridSpan w:val="2"/>
            <w:tcBorders/>
            <w:vAlign w:val="bottom"/>
          </w:tcPr>
          <w:p>
            <w:pPr>
              <w:pStyle w:val="TableContents"/>
              <w:bidi w:val="0"/>
              <w:spacing w:before="0" w:after="283"/>
              <w:jc w:val="center"/>
              <w:rPr>
                <w:b/>
              </w:rPr>
            </w:pPr>
            <w:r>
              <w:rPr>
                <w:b/>
              </w:rPr>
              <w:t>June 30,</w:t>
            </w:r>
          </w:p>
        </w:tc>
        <w:tc>
          <w:tcPr>
            <w:tcW w:w="60"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032" w:type="dxa"/>
            <w:gridSpan w:val="2"/>
            <w:tcBorders/>
            <w:vAlign w:val="bottom"/>
          </w:tcPr>
          <w:p>
            <w:pPr>
              <w:pStyle w:val="TableContents"/>
              <w:bidi w:val="0"/>
              <w:spacing w:before="0" w:after="283"/>
              <w:jc w:val="center"/>
              <w:rPr>
                <w:b/>
              </w:rPr>
            </w:pPr>
            <w:r>
              <w:rPr>
                <w:b/>
              </w:rPr>
              <w:t>March 31,</w:t>
            </w:r>
          </w:p>
        </w:tc>
        <w:tc>
          <w:tcPr>
            <w:tcW w:w="59"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376" w:type="dxa"/>
            <w:gridSpan w:val="2"/>
            <w:tcBorders/>
            <w:vAlign w:val="bottom"/>
          </w:tcPr>
          <w:p>
            <w:pPr>
              <w:pStyle w:val="TableContents"/>
              <w:bidi w:val="0"/>
              <w:spacing w:before="0" w:after="283"/>
              <w:jc w:val="center"/>
              <w:rPr>
                <w:b/>
              </w:rPr>
            </w:pPr>
            <w:r>
              <w:rPr>
                <w:b/>
              </w:rPr>
              <w:t>December 31,</w:t>
            </w:r>
          </w:p>
        </w:tc>
        <w:tc>
          <w:tcPr>
            <w:tcW w:w="60"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426" w:type="dxa"/>
            <w:gridSpan w:val="2"/>
            <w:tcBorders/>
            <w:vAlign w:val="bottom"/>
          </w:tcPr>
          <w:p>
            <w:pPr>
              <w:pStyle w:val="TableContents"/>
              <w:bidi w:val="0"/>
              <w:spacing w:before="0" w:after="283"/>
              <w:jc w:val="center"/>
              <w:rPr>
                <w:b/>
              </w:rPr>
            </w:pPr>
            <w:r>
              <w:rPr>
                <w:b/>
              </w:rPr>
              <w:t>September 30,</w:t>
            </w:r>
          </w:p>
        </w:tc>
        <w:tc>
          <w:tcPr>
            <w:tcW w:w="72" w:type="dxa"/>
            <w:tcBorders/>
            <w:vAlign w:val="bottom"/>
          </w:tcPr>
          <w:p>
            <w:pPr>
              <w:pStyle w:val="TableContents"/>
              <w:bidi w:val="0"/>
              <w:spacing w:before="0" w:after="283"/>
              <w:jc w:val="left"/>
            </w:pPr>
            <w:r>
              <w:t> </w:t>
            </w:r>
          </w:p>
        </w:tc>
      </w:tr>
      <w:tr>
        <w:tc>
          <w:tcPr>
            <w:tcW w:w="2878"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4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0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59"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3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4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2" w:type="dxa"/>
            <w:tcBorders/>
            <w:vAlign w:val="bottom"/>
          </w:tcPr>
          <w:p>
            <w:pPr>
              <w:pStyle w:val="TableContents"/>
              <w:bidi w:val="0"/>
              <w:spacing w:before="0" w:after="283"/>
              <w:jc w:val="left"/>
            </w:pPr>
            <w:r>
              <w:t> </w:t>
            </w:r>
          </w:p>
        </w:tc>
      </w:tr>
      <w:tr>
        <w:tc>
          <w:tcPr>
            <w:tcW w:w="28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North America</w:t>
            </w:r>
          </w:p>
        </w:tc>
        <w:tc>
          <w:tcPr>
            <w:tcW w:w="175" w:type="dxa"/>
            <w:tcBorders/>
            <w:shd w:fill="CCEEFF" w:val="clear"/>
            <w:vAlign w:val="bottom"/>
          </w:tcPr>
          <w:p>
            <w:pPr>
              <w:pStyle w:val="TableContents"/>
              <w:bidi w:val="0"/>
              <w:spacing w:before="0" w:after="283"/>
              <w:jc w:val="left"/>
            </w:pPr>
            <w:r>
              <w:t>  </w:t>
            </w:r>
          </w:p>
        </w:tc>
        <w:tc>
          <w:tcPr>
            <w:tcW w:w="228" w:type="dxa"/>
            <w:tcBorders/>
            <w:shd w:fill="CCEEFF" w:val="clear"/>
            <w:vAlign w:val="bottom"/>
          </w:tcPr>
          <w:p>
            <w:pPr>
              <w:pStyle w:val="TableContents"/>
              <w:bidi w:val="0"/>
              <w:spacing w:before="0" w:after="283"/>
              <w:jc w:val="left"/>
            </w:pPr>
            <w:r>
              <w:t>$</w:t>
            </w:r>
          </w:p>
        </w:tc>
        <w:tc>
          <w:tcPr>
            <w:tcW w:w="1198" w:type="dxa"/>
            <w:tcBorders/>
            <w:shd w:fill="CCEEFF" w:val="clear"/>
            <w:vAlign w:val="bottom"/>
          </w:tcPr>
          <w:p>
            <w:pPr>
              <w:pStyle w:val="TableContents"/>
              <w:bidi w:val="0"/>
              <w:spacing w:before="0" w:after="283"/>
              <w:jc w:val="right"/>
            </w:pPr>
            <w:r>
              <w:t>733.9</w:t>
            </w:r>
          </w:p>
        </w:tc>
        <w:tc>
          <w:tcPr>
            <w:tcW w:w="60" w:type="dxa"/>
            <w:tcBorders/>
            <w:shd w:fill="CCEEFF" w:val="clear"/>
            <w:vAlign w:val="bottom"/>
          </w:tcPr>
          <w:p>
            <w:pPr>
              <w:pStyle w:val="TableContents"/>
              <w:bidi w:val="0"/>
              <w:spacing w:before="0" w:after="283"/>
              <w:jc w:val="left"/>
            </w:pPr>
            <w:r>
              <w:t> </w:t>
            </w:r>
          </w:p>
        </w:tc>
        <w:tc>
          <w:tcPr>
            <w:tcW w:w="17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741" w:type="dxa"/>
            <w:tcBorders/>
            <w:shd w:fill="CCEEFF" w:val="clear"/>
            <w:vAlign w:val="bottom"/>
          </w:tcPr>
          <w:p>
            <w:pPr>
              <w:pStyle w:val="TableContents"/>
              <w:bidi w:val="0"/>
              <w:spacing w:before="0" w:after="283"/>
              <w:jc w:val="right"/>
            </w:pPr>
            <w:r>
              <w:t>748.1</w:t>
            </w:r>
          </w:p>
        </w:tc>
        <w:tc>
          <w:tcPr>
            <w:tcW w:w="60" w:type="dxa"/>
            <w:tcBorders/>
            <w:shd w:fill="CCEEFF" w:val="clear"/>
            <w:vAlign w:val="bottom"/>
          </w:tcPr>
          <w:p>
            <w:pPr>
              <w:pStyle w:val="TableContents"/>
              <w:bidi w:val="0"/>
              <w:spacing w:before="0" w:after="283"/>
              <w:jc w:val="left"/>
            </w:pPr>
            <w:r>
              <w:t> </w:t>
            </w:r>
          </w:p>
        </w:tc>
        <w:tc>
          <w:tcPr>
            <w:tcW w:w="175" w:type="dxa"/>
            <w:tcBorders/>
            <w:shd w:fill="CCEEFF" w:val="clear"/>
            <w:vAlign w:val="bottom"/>
          </w:tcPr>
          <w:p>
            <w:pPr>
              <w:pStyle w:val="TableContents"/>
              <w:bidi w:val="0"/>
              <w:spacing w:before="0" w:after="283"/>
              <w:jc w:val="left"/>
            </w:pPr>
            <w:r>
              <w:t>  </w:t>
            </w:r>
          </w:p>
        </w:tc>
        <w:tc>
          <w:tcPr>
            <w:tcW w:w="160" w:type="dxa"/>
            <w:tcBorders/>
            <w:shd w:fill="CCEEFF" w:val="clear"/>
            <w:vAlign w:val="bottom"/>
          </w:tcPr>
          <w:p>
            <w:pPr>
              <w:pStyle w:val="TableContents"/>
              <w:bidi w:val="0"/>
              <w:spacing w:before="0" w:after="283"/>
              <w:jc w:val="left"/>
            </w:pPr>
            <w:r>
              <w:t>$</w:t>
            </w:r>
          </w:p>
        </w:tc>
        <w:tc>
          <w:tcPr>
            <w:tcW w:w="872" w:type="dxa"/>
            <w:tcBorders/>
            <w:shd w:fill="CCEEFF" w:val="clear"/>
            <w:vAlign w:val="bottom"/>
          </w:tcPr>
          <w:p>
            <w:pPr>
              <w:pStyle w:val="TableContents"/>
              <w:bidi w:val="0"/>
              <w:spacing w:before="0" w:after="283"/>
              <w:jc w:val="right"/>
            </w:pPr>
            <w:r>
              <w:t>754.3</w:t>
            </w:r>
          </w:p>
        </w:tc>
        <w:tc>
          <w:tcPr>
            <w:tcW w:w="59" w:type="dxa"/>
            <w:tcBorders/>
            <w:shd w:fill="CCEEFF" w:val="clear"/>
            <w:vAlign w:val="bottom"/>
          </w:tcPr>
          <w:p>
            <w:pPr>
              <w:pStyle w:val="TableContents"/>
              <w:bidi w:val="0"/>
              <w:spacing w:before="0" w:after="283"/>
              <w:jc w:val="left"/>
            </w:pPr>
            <w:r>
              <w:t> </w:t>
            </w:r>
          </w:p>
        </w:tc>
        <w:tc>
          <w:tcPr>
            <w:tcW w:w="175" w:type="dxa"/>
            <w:tcBorders/>
            <w:shd w:fill="CCEEFF" w:val="clear"/>
            <w:vAlign w:val="bottom"/>
          </w:tcPr>
          <w:p>
            <w:pPr>
              <w:pStyle w:val="TableContents"/>
              <w:bidi w:val="0"/>
              <w:spacing w:before="0" w:after="283"/>
              <w:jc w:val="left"/>
            </w:pPr>
            <w:r>
              <w:t>  </w:t>
            </w:r>
          </w:p>
        </w:tc>
        <w:tc>
          <w:tcPr>
            <w:tcW w:w="220" w:type="dxa"/>
            <w:tcBorders/>
            <w:shd w:fill="CCEEFF" w:val="clear"/>
            <w:vAlign w:val="bottom"/>
          </w:tcPr>
          <w:p>
            <w:pPr>
              <w:pStyle w:val="TableContents"/>
              <w:bidi w:val="0"/>
              <w:spacing w:before="0" w:after="283"/>
              <w:jc w:val="left"/>
            </w:pPr>
            <w:r>
              <w:t>$</w:t>
            </w:r>
          </w:p>
        </w:tc>
        <w:tc>
          <w:tcPr>
            <w:tcW w:w="1156" w:type="dxa"/>
            <w:tcBorders/>
            <w:shd w:fill="CCEEFF" w:val="clear"/>
            <w:vAlign w:val="bottom"/>
          </w:tcPr>
          <w:p>
            <w:pPr>
              <w:pStyle w:val="TableContents"/>
              <w:bidi w:val="0"/>
              <w:spacing w:before="0" w:after="283"/>
              <w:jc w:val="right"/>
            </w:pPr>
            <w:r>
              <w:t>764.7</w:t>
            </w:r>
          </w:p>
        </w:tc>
        <w:tc>
          <w:tcPr>
            <w:tcW w:w="60" w:type="dxa"/>
            <w:tcBorders/>
            <w:shd w:fill="CCEEFF" w:val="clear"/>
            <w:vAlign w:val="bottom"/>
          </w:tcPr>
          <w:p>
            <w:pPr>
              <w:pStyle w:val="TableContents"/>
              <w:bidi w:val="0"/>
              <w:spacing w:before="0" w:after="283"/>
              <w:jc w:val="left"/>
            </w:pPr>
            <w:r>
              <w:t> </w:t>
            </w:r>
          </w:p>
        </w:tc>
        <w:tc>
          <w:tcPr>
            <w:tcW w:w="175" w:type="dxa"/>
            <w:tcBorders/>
            <w:shd w:fill="CCEEFF" w:val="clear"/>
            <w:vAlign w:val="bottom"/>
          </w:tcPr>
          <w:p>
            <w:pPr>
              <w:pStyle w:val="TableContents"/>
              <w:bidi w:val="0"/>
              <w:spacing w:before="0" w:after="283"/>
              <w:jc w:val="left"/>
            </w:pPr>
            <w:r>
              <w:t>  </w:t>
            </w:r>
          </w:p>
        </w:tc>
        <w:tc>
          <w:tcPr>
            <w:tcW w:w="228" w:type="dxa"/>
            <w:tcBorders/>
            <w:shd w:fill="CCEEFF" w:val="clear"/>
            <w:vAlign w:val="bottom"/>
          </w:tcPr>
          <w:p>
            <w:pPr>
              <w:pStyle w:val="TableContents"/>
              <w:bidi w:val="0"/>
              <w:spacing w:before="0" w:after="283"/>
              <w:jc w:val="left"/>
            </w:pPr>
            <w:r>
              <w:t>$</w:t>
            </w:r>
          </w:p>
        </w:tc>
        <w:tc>
          <w:tcPr>
            <w:tcW w:w="1198" w:type="dxa"/>
            <w:tcBorders/>
            <w:shd w:fill="CCEEFF" w:val="clear"/>
            <w:vAlign w:val="bottom"/>
          </w:tcPr>
          <w:p>
            <w:pPr>
              <w:pStyle w:val="TableContents"/>
              <w:bidi w:val="0"/>
              <w:spacing w:before="0" w:after="283"/>
              <w:jc w:val="right"/>
            </w:pPr>
            <w:r>
              <w:t>762.4</w:t>
            </w:r>
          </w:p>
        </w:tc>
        <w:tc>
          <w:tcPr>
            <w:tcW w:w="72" w:type="dxa"/>
            <w:tcBorders/>
            <w:shd w:fill="CCEEFF" w:val="clear"/>
            <w:vAlign w:val="bottom"/>
          </w:tcPr>
          <w:p>
            <w:pPr>
              <w:pStyle w:val="TableContents"/>
              <w:bidi w:val="0"/>
              <w:spacing w:before="0" w:after="283"/>
              <w:jc w:val="left"/>
            </w:pPr>
            <w:r>
              <w:t> </w:t>
            </w:r>
          </w:p>
        </w:tc>
      </w:tr>
      <w:tr>
        <w:tc>
          <w:tcPr>
            <w:tcW w:w="2878"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75" w:type="dxa"/>
            <w:tcBorders/>
            <w:vAlign w:val="bottom"/>
          </w:tcPr>
          <w:p>
            <w:pPr>
              <w:pStyle w:val="TableContents"/>
              <w:bidi w:val="0"/>
              <w:spacing w:before="0" w:after="283"/>
              <w:jc w:val="left"/>
            </w:pPr>
            <w:r>
              <w:t>  </w:t>
            </w:r>
          </w:p>
        </w:tc>
        <w:tc>
          <w:tcPr>
            <w:tcW w:w="228" w:type="dxa"/>
            <w:tcBorders/>
            <w:vAlign w:val="bottom"/>
          </w:tcPr>
          <w:p>
            <w:pPr>
              <w:pStyle w:val="TableContents"/>
              <w:bidi w:val="0"/>
              <w:spacing w:before="0" w:after="283"/>
              <w:jc w:val="left"/>
            </w:pPr>
            <w:r>
              <w:t>$</w:t>
            </w:r>
          </w:p>
        </w:tc>
        <w:tc>
          <w:tcPr>
            <w:tcW w:w="1198" w:type="dxa"/>
            <w:tcBorders/>
            <w:vAlign w:val="bottom"/>
          </w:tcPr>
          <w:p>
            <w:pPr>
              <w:pStyle w:val="TableContents"/>
              <w:bidi w:val="0"/>
              <w:spacing w:before="0" w:after="283"/>
              <w:jc w:val="right"/>
            </w:pPr>
            <w:r>
              <w:t>192.6</w:t>
            </w:r>
          </w:p>
        </w:tc>
        <w:tc>
          <w:tcPr>
            <w:tcW w:w="60"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41" w:type="dxa"/>
            <w:tcBorders/>
            <w:vAlign w:val="bottom"/>
          </w:tcPr>
          <w:p>
            <w:pPr>
              <w:pStyle w:val="TableContents"/>
              <w:bidi w:val="0"/>
              <w:spacing w:before="0" w:after="283"/>
              <w:jc w:val="right"/>
            </w:pPr>
            <w:r>
              <w:t>193.5</w:t>
            </w:r>
          </w:p>
        </w:tc>
        <w:tc>
          <w:tcPr>
            <w:tcW w:w="60"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60" w:type="dxa"/>
            <w:tcBorders/>
            <w:vAlign w:val="bottom"/>
          </w:tcPr>
          <w:p>
            <w:pPr>
              <w:pStyle w:val="TableContents"/>
              <w:bidi w:val="0"/>
              <w:spacing w:before="0" w:after="283"/>
              <w:jc w:val="left"/>
            </w:pPr>
            <w:r>
              <w:t> </w:t>
            </w:r>
          </w:p>
        </w:tc>
        <w:tc>
          <w:tcPr>
            <w:tcW w:w="872" w:type="dxa"/>
            <w:tcBorders/>
            <w:vAlign w:val="bottom"/>
          </w:tcPr>
          <w:p>
            <w:pPr>
              <w:pStyle w:val="TableContents"/>
              <w:bidi w:val="0"/>
              <w:spacing w:before="0" w:after="283"/>
              <w:jc w:val="right"/>
            </w:pPr>
            <w:r>
              <w:t>191.8</w:t>
            </w:r>
          </w:p>
        </w:tc>
        <w:tc>
          <w:tcPr>
            <w:tcW w:w="59"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220" w:type="dxa"/>
            <w:tcBorders/>
            <w:vAlign w:val="bottom"/>
          </w:tcPr>
          <w:p>
            <w:pPr>
              <w:pStyle w:val="TableContents"/>
              <w:bidi w:val="0"/>
              <w:spacing w:before="0" w:after="283"/>
              <w:jc w:val="left"/>
            </w:pPr>
            <w:r>
              <w:t> </w:t>
            </w:r>
          </w:p>
        </w:tc>
        <w:tc>
          <w:tcPr>
            <w:tcW w:w="1156" w:type="dxa"/>
            <w:tcBorders/>
            <w:vAlign w:val="bottom"/>
          </w:tcPr>
          <w:p>
            <w:pPr>
              <w:pStyle w:val="TableContents"/>
              <w:bidi w:val="0"/>
              <w:spacing w:before="0" w:after="283"/>
              <w:jc w:val="right"/>
            </w:pPr>
            <w:r>
              <w:t>181.7</w:t>
            </w:r>
          </w:p>
        </w:tc>
        <w:tc>
          <w:tcPr>
            <w:tcW w:w="60"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228" w:type="dxa"/>
            <w:tcBorders/>
            <w:vAlign w:val="bottom"/>
          </w:tcPr>
          <w:p>
            <w:pPr>
              <w:pStyle w:val="TableContents"/>
              <w:bidi w:val="0"/>
              <w:spacing w:before="0" w:after="283"/>
              <w:jc w:val="left"/>
            </w:pPr>
            <w:r>
              <w:t> </w:t>
            </w:r>
          </w:p>
        </w:tc>
        <w:tc>
          <w:tcPr>
            <w:tcW w:w="1198" w:type="dxa"/>
            <w:tcBorders/>
            <w:vAlign w:val="bottom"/>
          </w:tcPr>
          <w:p>
            <w:pPr>
              <w:pStyle w:val="TableContents"/>
              <w:bidi w:val="0"/>
              <w:spacing w:before="0" w:after="283"/>
              <w:jc w:val="right"/>
            </w:pPr>
            <w:r>
              <w:t>179.8</w:t>
            </w:r>
          </w:p>
        </w:tc>
        <w:tc>
          <w:tcPr>
            <w:tcW w:w="72" w:type="dxa"/>
            <w:tcBorders/>
            <w:vAlign w:val="bottom"/>
          </w:tcPr>
          <w:p>
            <w:pPr>
              <w:pStyle w:val="TableContents"/>
              <w:bidi w:val="0"/>
              <w:spacing w:before="0" w:after="283"/>
              <w:jc w:val="left"/>
            </w:pPr>
            <w:r>
              <w:t> </w:t>
            </w:r>
          </w:p>
        </w:tc>
      </w:tr>
      <w:tr>
        <w:tc>
          <w:tcPr>
            <w:tcW w:w="28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 of the World</w:t>
            </w:r>
          </w:p>
        </w:tc>
        <w:tc>
          <w:tcPr>
            <w:tcW w:w="175" w:type="dxa"/>
            <w:tcBorders/>
            <w:shd w:fill="CCEEFF" w:val="clear"/>
            <w:vAlign w:val="bottom"/>
          </w:tcPr>
          <w:p>
            <w:pPr>
              <w:pStyle w:val="TableContents"/>
              <w:bidi w:val="0"/>
              <w:spacing w:before="0" w:after="283"/>
              <w:jc w:val="left"/>
            </w:pPr>
            <w:r>
              <w:t>  </w:t>
            </w:r>
          </w:p>
        </w:tc>
        <w:tc>
          <w:tcPr>
            <w:tcW w:w="228" w:type="dxa"/>
            <w:tcBorders/>
            <w:shd w:fill="CCEEFF" w:val="clear"/>
            <w:vAlign w:val="bottom"/>
          </w:tcPr>
          <w:p>
            <w:pPr>
              <w:pStyle w:val="TableContents"/>
              <w:bidi w:val="0"/>
              <w:spacing w:before="0" w:after="283"/>
              <w:jc w:val="left"/>
            </w:pPr>
            <w:r>
              <w:t> </w:t>
            </w:r>
          </w:p>
        </w:tc>
        <w:tc>
          <w:tcPr>
            <w:tcW w:w="1198" w:type="dxa"/>
            <w:tcBorders/>
            <w:shd w:fill="CCEEFF" w:val="clear"/>
            <w:vAlign w:val="bottom"/>
          </w:tcPr>
          <w:p>
            <w:pPr>
              <w:pStyle w:val="TableContents"/>
              <w:bidi w:val="0"/>
              <w:spacing w:before="0" w:after="283"/>
              <w:jc w:val="right"/>
            </w:pPr>
            <w:r>
              <w:t>267.3</w:t>
            </w:r>
          </w:p>
        </w:tc>
        <w:tc>
          <w:tcPr>
            <w:tcW w:w="60" w:type="dxa"/>
            <w:tcBorders/>
            <w:shd w:fill="CCEEFF" w:val="clear"/>
            <w:vAlign w:val="bottom"/>
          </w:tcPr>
          <w:p>
            <w:pPr>
              <w:pStyle w:val="TableContents"/>
              <w:bidi w:val="0"/>
              <w:spacing w:before="0" w:after="283"/>
              <w:jc w:val="left"/>
            </w:pPr>
            <w:r>
              <w:t> </w:t>
            </w:r>
          </w:p>
        </w:tc>
        <w:tc>
          <w:tcPr>
            <w:tcW w:w="17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41" w:type="dxa"/>
            <w:tcBorders/>
            <w:shd w:fill="CCEEFF" w:val="clear"/>
            <w:vAlign w:val="bottom"/>
          </w:tcPr>
          <w:p>
            <w:pPr>
              <w:pStyle w:val="TableContents"/>
              <w:bidi w:val="0"/>
              <w:spacing w:before="0" w:after="283"/>
              <w:jc w:val="right"/>
            </w:pPr>
            <w:r>
              <w:t>233.3</w:t>
            </w:r>
          </w:p>
        </w:tc>
        <w:tc>
          <w:tcPr>
            <w:tcW w:w="60" w:type="dxa"/>
            <w:tcBorders/>
            <w:shd w:fill="CCEEFF" w:val="clear"/>
            <w:vAlign w:val="bottom"/>
          </w:tcPr>
          <w:p>
            <w:pPr>
              <w:pStyle w:val="TableContents"/>
              <w:bidi w:val="0"/>
              <w:spacing w:before="0" w:after="283"/>
              <w:jc w:val="left"/>
            </w:pPr>
            <w:r>
              <w:t> </w:t>
            </w:r>
          </w:p>
        </w:tc>
        <w:tc>
          <w:tcPr>
            <w:tcW w:w="175" w:type="dxa"/>
            <w:tcBorders/>
            <w:shd w:fill="CCEEFF" w:val="clear"/>
            <w:vAlign w:val="bottom"/>
          </w:tcPr>
          <w:p>
            <w:pPr>
              <w:pStyle w:val="TableContents"/>
              <w:bidi w:val="0"/>
              <w:spacing w:before="0" w:after="283"/>
              <w:jc w:val="left"/>
            </w:pPr>
            <w:r>
              <w:t>  </w:t>
            </w:r>
          </w:p>
        </w:tc>
        <w:tc>
          <w:tcPr>
            <w:tcW w:w="160" w:type="dxa"/>
            <w:tcBorders/>
            <w:shd w:fill="CCEEFF" w:val="clear"/>
            <w:vAlign w:val="bottom"/>
          </w:tcPr>
          <w:p>
            <w:pPr>
              <w:pStyle w:val="TableContents"/>
              <w:bidi w:val="0"/>
              <w:spacing w:before="0" w:after="283"/>
              <w:jc w:val="left"/>
            </w:pPr>
            <w:r>
              <w:t> </w:t>
            </w:r>
          </w:p>
        </w:tc>
        <w:tc>
          <w:tcPr>
            <w:tcW w:w="872" w:type="dxa"/>
            <w:tcBorders/>
            <w:shd w:fill="CCEEFF" w:val="clear"/>
            <w:vAlign w:val="bottom"/>
          </w:tcPr>
          <w:p>
            <w:pPr>
              <w:pStyle w:val="TableContents"/>
              <w:bidi w:val="0"/>
              <w:spacing w:before="0" w:after="283"/>
              <w:jc w:val="right"/>
            </w:pPr>
            <w:r>
              <w:t>225.8</w:t>
            </w:r>
          </w:p>
        </w:tc>
        <w:tc>
          <w:tcPr>
            <w:tcW w:w="59" w:type="dxa"/>
            <w:tcBorders/>
            <w:shd w:fill="CCEEFF" w:val="clear"/>
            <w:vAlign w:val="bottom"/>
          </w:tcPr>
          <w:p>
            <w:pPr>
              <w:pStyle w:val="TableContents"/>
              <w:bidi w:val="0"/>
              <w:spacing w:before="0" w:after="283"/>
              <w:jc w:val="left"/>
            </w:pPr>
            <w:r>
              <w:t> </w:t>
            </w:r>
          </w:p>
        </w:tc>
        <w:tc>
          <w:tcPr>
            <w:tcW w:w="175" w:type="dxa"/>
            <w:tcBorders/>
            <w:shd w:fill="CCEEFF" w:val="clear"/>
            <w:vAlign w:val="bottom"/>
          </w:tcPr>
          <w:p>
            <w:pPr>
              <w:pStyle w:val="TableContents"/>
              <w:bidi w:val="0"/>
              <w:spacing w:before="0" w:after="283"/>
              <w:jc w:val="left"/>
            </w:pPr>
            <w:r>
              <w:t>  </w:t>
            </w:r>
          </w:p>
        </w:tc>
        <w:tc>
          <w:tcPr>
            <w:tcW w:w="220" w:type="dxa"/>
            <w:tcBorders/>
            <w:shd w:fill="CCEEFF" w:val="clear"/>
            <w:vAlign w:val="bottom"/>
          </w:tcPr>
          <w:p>
            <w:pPr>
              <w:pStyle w:val="TableContents"/>
              <w:bidi w:val="0"/>
              <w:spacing w:before="0" w:after="283"/>
              <w:jc w:val="left"/>
            </w:pPr>
            <w:r>
              <w:t> </w:t>
            </w:r>
          </w:p>
        </w:tc>
        <w:tc>
          <w:tcPr>
            <w:tcW w:w="1156" w:type="dxa"/>
            <w:tcBorders/>
            <w:shd w:fill="CCEEFF" w:val="clear"/>
            <w:vAlign w:val="bottom"/>
          </w:tcPr>
          <w:p>
            <w:pPr>
              <w:pStyle w:val="TableContents"/>
              <w:bidi w:val="0"/>
              <w:spacing w:before="0" w:after="283"/>
              <w:jc w:val="right"/>
            </w:pPr>
            <w:r>
              <w:t>209.5</w:t>
            </w:r>
          </w:p>
        </w:tc>
        <w:tc>
          <w:tcPr>
            <w:tcW w:w="60" w:type="dxa"/>
            <w:tcBorders/>
            <w:shd w:fill="CCEEFF" w:val="clear"/>
            <w:vAlign w:val="bottom"/>
          </w:tcPr>
          <w:p>
            <w:pPr>
              <w:pStyle w:val="TableContents"/>
              <w:bidi w:val="0"/>
              <w:spacing w:before="0" w:after="283"/>
              <w:jc w:val="left"/>
            </w:pPr>
            <w:r>
              <w:t> </w:t>
            </w:r>
          </w:p>
        </w:tc>
        <w:tc>
          <w:tcPr>
            <w:tcW w:w="175" w:type="dxa"/>
            <w:tcBorders/>
            <w:shd w:fill="CCEEFF" w:val="clear"/>
            <w:vAlign w:val="bottom"/>
          </w:tcPr>
          <w:p>
            <w:pPr>
              <w:pStyle w:val="TableContents"/>
              <w:bidi w:val="0"/>
              <w:spacing w:before="0" w:after="283"/>
              <w:jc w:val="left"/>
            </w:pPr>
            <w:r>
              <w:t>  </w:t>
            </w:r>
          </w:p>
        </w:tc>
        <w:tc>
          <w:tcPr>
            <w:tcW w:w="228" w:type="dxa"/>
            <w:tcBorders/>
            <w:shd w:fill="CCEEFF" w:val="clear"/>
            <w:vAlign w:val="bottom"/>
          </w:tcPr>
          <w:p>
            <w:pPr>
              <w:pStyle w:val="TableContents"/>
              <w:bidi w:val="0"/>
              <w:spacing w:before="0" w:after="283"/>
              <w:jc w:val="left"/>
            </w:pPr>
            <w:r>
              <w:t> </w:t>
            </w:r>
          </w:p>
        </w:tc>
        <w:tc>
          <w:tcPr>
            <w:tcW w:w="1198" w:type="dxa"/>
            <w:tcBorders/>
            <w:shd w:fill="CCEEFF" w:val="clear"/>
            <w:vAlign w:val="bottom"/>
          </w:tcPr>
          <w:p>
            <w:pPr>
              <w:pStyle w:val="TableContents"/>
              <w:bidi w:val="0"/>
              <w:spacing w:before="0" w:after="283"/>
              <w:jc w:val="right"/>
            </w:pPr>
            <w:r>
              <w:t>208.0</w:t>
            </w:r>
          </w:p>
        </w:tc>
        <w:tc>
          <w:tcPr>
            <w:tcW w:w="72" w:type="dxa"/>
            <w:tcBorders/>
            <w:shd w:fill="CCEEFF" w:val="clear"/>
            <w:vAlign w:val="bottom"/>
          </w:tcPr>
          <w:p>
            <w:pPr>
              <w:pStyle w:val="TableContents"/>
              <w:bidi w:val="0"/>
              <w:spacing w:before="0" w:after="283"/>
              <w:jc w:val="left"/>
            </w:pPr>
            <w:r>
              <w:t> </w:t>
            </w:r>
          </w:p>
        </w:tc>
      </w:tr>
      <w:tr>
        <w:tc>
          <w:tcPr>
            <w:tcW w:w="2878"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pPr>
            <w:r>
              <w:t>  </w:t>
            </w:r>
          </w:p>
        </w:tc>
        <w:tc>
          <w:tcPr>
            <w:tcW w:w="228" w:type="dxa"/>
            <w:tcBorders/>
            <w:vAlign w:val="bottom"/>
          </w:tcPr>
          <w:p>
            <w:pPr>
              <w:pStyle w:val="TableContents"/>
              <w:pBdr>
                <w:top w:val="single" w:sz="2" w:space="1" w:color="000000"/>
              </w:pBdr>
              <w:bidi w:val="0"/>
              <w:spacing w:before="0" w:after="0"/>
              <w:jc w:val="left"/>
            </w:pPr>
            <w:r>
              <w:t> </w:t>
            </w:r>
          </w:p>
        </w:tc>
        <w:tc>
          <w:tcPr>
            <w:tcW w:w="1198"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41"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60" w:type="dxa"/>
            <w:tcBorders/>
            <w:vAlign w:val="bottom"/>
          </w:tcPr>
          <w:p>
            <w:pPr>
              <w:pStyle w:val="TableContents"/>
              <w:pBdr>
                <w:top w:val="single" w:sz="2" w:space="1" w:color="000000"/>
              </w:pBdr>
              <w:bidi w:val="0"/>
              <w:spacing w:before="0" w:after="0"/>
              <w:jc w:val="left"/>
            </w:pPr>
            <w:r>
              <w:t> </w:t>
            </w:r>
          </w:p>
        </w:tc>
        <w:tc>
          <w:tcPr>
            <w:tcW w:w="872" w:type="dxa"/>
            <w:tcBorders/>
            <w:vAlign w:val="bottom"/>
          </w:tcPr>
          <w:p>
            <w:pPr>
              <w:pStyle w:val="TableContents"/>
              <w:pBdr>
                <w:top w:val="single" w:sz="2" w:space="1" w:color="000000"/>
              </w:pBdr>
              <w:bidi w:val="0"/>
              <w:spacing w:before="0" w:after="0"/>
              <w:jc w:val="left"/>
            </w:pPr>
            <w:r>
              <w:t> </w:t>
            </w:r>
          </w:p>
        </w:tc>
        <w:tc>
          <w:tcPr>
            <w:tcW w:w="59" w:type="dxa"/>
            <w:tcBorders/>
            <w:vAlign w:val="center"/>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220" w:type="dxa"/>
            <w:tcBorders/>
            <w:vAlign w:val="bottom"/>
          </w:tcPr>
          <w:p>
            <w:pPr>
              <w:pStyle w:val="TableContents"/>
              <w:pBdr>
                <w:top w:val="single" w:sz="2" w:space="1" w:color="000000"/>
              </w:pBdr>
              <w:bidi w:val="0"/>
              <w:spacing w:before="0" w:after="0"/>
              <w:jc w:val="left"/>
            </w:pPr>
            <w:r>
              <w:t> </w:t>
            </w:r>
          </w:p>
        </w:tc>
        <w:tc>
          <w:tcPr>
            <w:tcW w:w="1156"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228" w:type="dxa"/>
            <w:tcBorders/>
            <w:vAlign w:val="bottom"/>
          </w:tcPr>
          <w:p>
            <w:pPr>
              <w:pStyle w:val="TableContents"/>
              <w:pBdr>
                <w:top w:val="single" w:sz="2" w:space="1" w:color="000000"/>
              </w:pBdr>
              <w:bidi w:val="0"/>
              <w:spacing w:before="0" w:after="0"/>
              <w:jc w:val="left"/>
            </w:pPr>
            <w:r>
              <w:t> </w:t>
            </w:r>
          </w:p>
        </w:tc>
        <w:tc>
          <w:tcPr>
            <w:tcW w:w="1198" w:type="dxa"/>
            <w:tcBorders/>
            <w:vAlign w:val="bottom"/>
          </w:tcPr>
          <w:p>
            <w:pPr>
              <w:pStyle w:val="TableContents"/>
              <w:pBdr>
                <w:top w:val="single" w:sz="2" w:space="1" w:color="000000"/>
              </w:pBdr>
              <w:bidi w:val="0"/>
              <w:spacing w:before="0" w:after="0"/>
              <w:jc w:val="left"/>
            </w:pPr>
            <w:r>
              <w:t> </w:t>
            </w:r>
          </w:p>
        </w:tc>
        <w:tc>
          <w:tcPr>
            <w:tcW w:w="72" w:type="dxa"/>
            <w:tcBorders/>
            <w:vAlign w:val="center"/>
          </w:tcPr>
          <w:p>
            <w:pPr>
              <w:pStyle w:val="TableContents"/>
              <w:bidi w:val="0"/>
              <w:spacing w:before="0" w:after="283"/>
              <w:jc w:val="left"/>
            </w:pPr>
            <w:r>
              <w:t> </w:t>
            </w:r>
          </w:p>
        </w:tc>
      </w:tr>
      <w:tr>
        <w:tc>
          <w:tcPr>
            <w:tcW w:w="2878"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75" w:type="dxa"/>
            <w:tcBorders/>
            <w:vAlign w:val="bottom"/>
          </w:tcPr>
          <w:p>
            <w:pPr>
              <w:pStyle w:val="TableContents"/>
              <w:bidi w:val="0"/>
              <w:spacing w:before="0" w:after="283"/>
              <w:jc w:val="left"/>
            </w:pPr>
            <w:r>
              <w:t>  </w:t>
            </w:r>
          </w:p>
        </w:tc>
        <w:tc>
          <w:tcPr>
            <w:tcW w:w="228" w:type="dxa"/>
            <w:tcBorders/>
            <w:vAlign w:val="bottom"/>
          </w:tcPr>
          <w:p>
            <w:pPr>
              <w:pStyle w:val="TableContents"/>
              <w:bidi w:val="0"/>
              <w:spacing w:before="0" w:after="283"/>
              <w:jc w:val="left"/>
            </w:pPr>
            <w:r>
              <w:t>$</w:t>
            </w:r>
          </w:p>
        </w:tc>
        <w:tc>
          <w:tcPr>
            <w:tcW w:w="1198" w:type="dxa"/>
            <w:tcBorders/>
            <w:vAlign w:val="bottom"/>
          </w:tcPr>
          <w:p>
            <w:pPr>
              <w:pStyle w:val="TableContents"/>
              <w:bidi w:val="0"/>
              <w:spacing w:before="0" w:after="283"/>
              <w:jc w:val="right"/>
            </w:pPr>
            <w:r>
              <w:t>1,193.8</w:t>
            </w:r>
          </w:p>
        </w:tc>
        <w:tc>
          <w:tcPr>
            <w:tcW w:w="60"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741" w:type="dxa"/>
            <w:tcBorders/>
            <w:vAlign w:val="bottom"/>
          </w:tcPr>
          <w:p>
            <w:pPr>
              <w:pStyle w:val="TableContents"/>
              <w:bidi w:val="0"/>
              <w:spacing w:before="0" w:after="283"/>
              <w:jc w:val="right"/>
            </w:pPr>
            <w:r>
              <w:t>1,174.9</w:t>
            </w:r>
          </w:p>
        </w:tc>
        <w:tc>
          <w:tcPr>
            <w:tcW w:w="60"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60" w:type="dxa"/>
            <w:tcBorders/>
            <w:vAlign w:val="bottom"/>
          </w:tcPr>
          <w:p>
            <w:pPr>
              <w:pStyle w:val="TableContents"/>
              <w:bidi w:val="0"/>
              <w:spacing w:before="0" w:after="283"/>
              <w:jc w:val="left"/>
            </w:pPr>
            <w:r>
              <w:t>$</w:t>
            </w:r>
          </w:p>
        </w:tc>
        <w:tc>
          <w:tcPr>
            <w:tcW w:w="872" w:type="dxa"/>
            <w:tcBorders/>
            <w:vAlign w:val="bottom"/>
          </w:tcPr>
          <w:p>
            <w:pPr>
              <w:pStyle w:val="TableContents"/>
              <w:bidi w:val="0"/>
              <w:spacing w:before="0" w:after="283"/>
              <w:jc w:val="right"/>
            </w:pPr>
            <w:r>
              <w:t>1,172.0</w:t>
            </w:r>
          </w:p>
        </w:tc>
        <w:tc>
          <w:tcPr>
            <w:tcW w:w="59"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220" w:type="dxa"/>
            <w:tcBorders/>
            <w:vAlign w:val="bottom"/>
          </w:tcPr>
          <w:p>
            <w:pPr>
              <w:pStyle w:val="TableContents"/>
              <w:bidi w:val="0"/>
              <w:spacing w:before="0" w:after="283"/>
              <w:jc w:val="left"/>
            </w:pPr>
            <w:r>
              <w:t>$</w:t>
            </w:r>
          </w:p>
        </w:tc>
        <w:tc>
          <w:tcPr>
            <w:tcW w:w="1156" w:type="dxa"/>
            <w:tcBorders/>
            <w:vAlign w:val="bottom"/>
          </w:tcPr>
          <w:p>
            <w:pPr>
              <w:pStyle w:val="TableContents"/>
              <w:bidi w:val="0"/>
              <w:spacing w:before="0" w:after="283"/>
              <w:jc w:val="right"/>
            </w:pPr>
            <w:r>
              <w:t>1,155.9</w:t>
            </w:r>
          </w:p>
        </w:tc>
        <w:tc>
          <w:tcPr>
            <w:tcW w:w="60"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228" w:type="dxa"/>
            <w:tcBorders/>
            <w:vAlign w:val="bottom"/>
          </w:tcPr>
          <w:p>
            <w:pPr>
              <w:pStyle w:val="TableContents"/>
              <w:bidi w:val="0"/>
              <w:spacing w:before="0" w:after="283"/>
              <w:jc w:val="left"/>
            </w:pPr>
            <w:r>
              <w:t>$</w:t>
            </w:r>
          </w:p>
        </w:tc>
        <w:tc>
          <w:tcPr>
            <w:tcW w:w="1198" w:type="dxa"/>
            <w:tcBorders/>
            <w:vAlign w:val="bottom"/>
          </w:tcPr>
          <w:p>
            <w:pPr>
              <w:pStyle w:val="TableContents"/>
              <w:bidi w:val="0"/>
              <w:spacing w:before="0" w:after="283"/>
              <w:jc w:val="right"/>
            </w:pPr>
            <w:r>
              <w:t>1,150.2</w:t>
            </w:r>
          </w:p>
        </w:tc>
        <w:tc>
          <w:tcPr>
            <w:tcW w:w="72" w:type="dxa"/>
            <w:tcBorders/>
            <w:vAlign w:val="bottom"/>
          </w:tcPr>
          <w:p>
            <w:pPr>
              <w:pStyle w:val="TableContents"/>
              <w:bidi w:val="0"/>
              <w:spacing w:before="0" w:after="283"/>
              <w:jc w:val="left"/>
            </w:pPr>
            <w:r>
              <w:t> </w:t>
            </w:r>
          </w:p>
        </w:tc>
      </w:tr>
      <w:tr>
        <w:tc>
          <w:tcPr>
            <w:tcW w:w="2878"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pPr>
            <w:r>
              <w:t>  </w:t>
            </w:r>
          </w:p>
        </w:tc>
        <w:tc>
          <w:tcPr>
            <w:tcW w:w="228" w:type="dxa"/>
            <w:tcBorders/>
            <w:vAlign w:val="bottom"/>
          </w:tcPr>
          <w:p>
            <w:pPr>
              <w:pStyle w:val="TableContents"/>
              <w:pBdr>
                <w:top w:val="double" w:sz="6" w:space="1" w:color="000000"/>
              </w:pBdr>
              <w:bidi w:val="0"/>
              <w:spacing w:before="0" w:after="0"/>
              <w:jc w:val="left"/>
            </w:pPr>
            <w:r>
              <w:t> </w:t>
            </w:r>
          </w:p>
        </w:tc>
        <w:tc>
          <w:tcPr>
            <w:tcW w:w="1198"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741"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60" w:type="dxa"/>
            <w:tcBorders/>
            <w:vAlign w:val="bottom"/>
          </w:tcPr>
          <w:p>
            <w:pPr>
              <w:pStyle w:val="TableContents"/>
              <w:pBdr>
                <w:top w:val="double" w:sz="6" w:space="1" w:color="000000"/>
              </w:pBdr>
              <w:bidi w:val="0"/>
              <w:spacing w:before="0" w:after="0"/>
              <w:jc w:val="left"/>
            </w:pPr>
            <w:r>
              <w:t> </w:t>
            </w:r>
          </w:p>
        </w:tc>
        <w:tc>
          <w:tcPr>
            <w:tcW w:w="872" w:type="dxa"/>
            <w:tcBorders/>
            <w:vAlign w:val="bottom"/>
          </w:tcPr>
          <w:p>
            <w:pPr>
              <w:pStyle w:val="TableContents"/>
              <w:pBdr>
                <w:top w:val="double" w:sz="6" w:space="1" w:color="000000"/>
              </w:pBdr>
              <w:bidi w:val="0"/>
              <w:spacing w:before="0" w:after="0"/>
              <w:jc w:val="left"/>
            </w:pPr>
            <w:r>
              <w:t> </w:t>
            </w:r>
          </w:p>
        </w:tc>
        <w:tc>
          <w:tcPr>
            <w:tcW w:w="59" w:type="dxa"/>
            <w:tcBorders/>
            <w:vAlign w:val="center"/>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220" w:type="dxa"/>
            <w:tcBorders/>
            <w:vAlign w:val="bottom"/>
          </w:tcPr>
          <w:p>
            <w:pPr>
              <w:pStyle w:val="TableContents"/>
              <w:pBdr>
                <w:top w:val="double" w:sz="6" w:space="1" w:color="000000"/>
              </w:pBdr>
              <w:bidi w:val="0"/>
              <w:spacing w:before="0" w:after="0"/>
              <w:jc w:val="left"/>
            </w:pPr>
            <w:r>
              <w:t> </w:t>
            </w:r>
          </w:p>
        </w:tc>
        <w:tc>
          <w:tcPr>
            <w:tcW w:w="1156"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228" w:type="dxa"/>
            <w:tcBorders/>
            <w:vAlign w:val="bottom"/>
          </w:tcPr>
          <w:p>
            <w:pPr>
              <w:pStyle w:val="TableContents"/>
              <w:pBdr>
                <w:top w:val="double" w:sz="6" w:space="1" w:color="000000"/>
              </w:pBdr>
              <w:bidi w:val="0"/>
              <w:spacing w:before="0" w:after="0"/>
              <w:jc w:val="left"/>
            </w:pPr>
            <w:r>
              <w:t> </w:t>
            </w:r>
          </w:p>
        </w:tc>
        <w:tc>
          <w:tcPr>
            <w:tcW w:w="1198" w:type="dxa"/>
            <w:tcBorders/>
            <w:vAlign w:val="bottom"/>
          </w:tcPr>
          <w:p>
            <w:pPr>
              <w:pStyle w:val="TableContents"/>
              <w:pBdr>
                <w:top w:val="double" w:sz="6" w:space="1" w:color="000000"/>
              </w:pBdr>
              <w:bidi w:val="0"/>
              <w:spacing w:before="0" w:after="0"/>
              <w:jc w:val="left"/>
            </w:pPr>
            <w:r>
              <w:t> </w:t>
            </w:r>
          </w:p>
        </w:tc>
        <w:tc>
          <w:tcPr>
            <w:tcW w:w="72" w:type="dxa"/>
            <w:tcBorders/>
            <w:vAlign w:val="center"/>
          </w:tcPr>
          <w:p>
            <w:pPr>
              <w:pStyle w:val="TableContents"/>
              <w:bidi w:val="0"/>
              <w:spacing w:before="0" w:after="283"/>
              <w:jc w:val="left"/>
            </w:pPr>
            <w:r>
              <w:t> </w:t>
            </w:r>
          </w:p>
        </w:tc>
      </w:tr>
      <w:tr>
        <w:trPr>
          <w:trHeight w:val="240" w:hRule="atLeast"/>
        </w:trPr>
        <w:tc>
          <w:tcPr>
            <w:tcW w:w="2878" w:type="dxa"/>
            <w:tcBorders/>
            <w:vAlign w:val="center"/>
          </w:tcPr>
          <w:p>
            <w:pPr>
              <w:pStyle w:val="TableContents"/>
              <w:bidi w:val="0"/>
              <w:spacing w:before="0" w:after="283"/>
              <w:jc w:val="left"/>
              <w:rPr>
                <w:sz w:val="4"/>
                <w:szCs w:val="4"/>
              </w:rPr>
            </w:pPr>
            <w:r>
              <w:rPr>
                <w:sz w:val="4"/>
                <w:szCs w:val="4"/>
              </w:rPr>
            </w:r>
          </w:p>
        </w:tc>
        <w:tc>
          <w:tcPr>
            <w:tcW w:w="7327" w:type="dxa"/>
            <w:gridSpan w:val="20"/>
            <w:tcBorders/>
            <w:vAlign w:val="center"/>
          </w:tcPr>
          <w:p>
            <w:pPr>
              <w:pStyle w:val="TableContents"/>
              <w:bidi w:val="0"/>
              <w:spacing w:before="0" w:after="283"/>
              <w:jc w:val="left"/>
              <w:rPr>
                <w:sz w:val="4"/>
                <w:szCs w:val="4"/>
              </w:rPr>
            </w:pPr>
            <w:r>
              <w:rPr>
                <w:sz w:val="4"/>
                <w:szCs w:val="4"/>
              </w:rPr>
            </w:r>
          </w:p>
        </w:tc>
      </w:tr>
      <w:tr>
        <w:tc>
          <w:tcPr>
            <w:tcW w:w="2878"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708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72" w:type="dxa"/>
            <w:tcBorders/>
            <w:vAlign w:val="bottom"/>
          </w:tcPr>
          <w:p>
            <w:pPr>
              <w:pStyle w:val="TableContents"/>
              <w:bidi w:val="0"/>
              <w:spacing w:before="0" w:after="283"/>
              <w:jc w:val="left"/>
            </w:pPr>
            <w:r>
              <w:t> </w:t>
            </w:r>
          </w:p>
        </w:tc>
      </w:tr>
      <w:tr>
        <w:tc>
          <w:tcPr>
            <w:tcW w:w="2878"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426" w:type="dxa"/>
            <w:gridSpan w:val="2"/>
            <w:tcBorders/>
            <w:vAlign w:val="bottom"/>
          </w:tcPr>
          <w:p>
            <w:pPr>
              <w:pStyle w:val="TableContents"/>
              <w:bidi w:val="0"/>
              <w:spacing w:before="0" w:after="283"/>
              <w:jc w:val="center"/>
              <w:rPr>
                <w:b/>
              </w:rPr>
            </w:pPr>
            <w:r>
              <w:rPr>
                <w:b/>
              </w:rPr>
              <w:t>September 30,</w:t>
            </w:r>
          </w:p>
        </w:tc>
        <w:tc>
          <w:tcPr>
            <w:tcW w:w="60"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881" w:type="dxa"/>
            <w:gridSpan w:val="2"/>
            <w:tcBorders/>
            <w:vAlign w:val="bottom"/>
          </w:tcPr>
          <w:p>
            <w:pPr>
              <w:pStyle w:val="TableContents"/>
              <w:bidi w:val="0"/>
              <w:spacing w:before="0" w:after="283"/>
              <w:jc w:val="center"/>
              <w:rPr>
                <w:b/>
              </w:rPr>
            </w:pPr>
            <w:r>
              <w:rPr>
                <w:b/>
              </w:rPr>
              <w:t>June 30,</w:t>
            </w:r>
          </w:p>
        </w:tc>
        <w:tc>
          <w:tcPr>
            <w:tcW w:w="60"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032" w:type="dxa"/>
            <w:gridSpan w:val="2"/>
            <w:tcBorders/>
            <w:vAlign w:val="bottom"/>
          </w:tcPr>
          <w:p>
            <w:pPr>
              <w:pStyle w:val="TableContents"/>
              <w:bidi w:val="0"/>
              <w:spacing w:before="0" w:after="283"/>
              <w:jc w:val="center"/>
              <w:rPr>
                <w:b/>
              </w:rPr>
            </w:pPr>
            <w:r>
              <w:rPr>
                <w:b/>
              </w:rPr>
              <w:t>March 31,</w:t>
            </w:r>
          </w:p>
        </w:tc>
        <w:tc>
          <w:tcPr>
            <w:tcW w:w="59"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376" w:type="dxa"/>
            <w:gridSpan w:val="2"/>
            <w:tcBorders/>
            <w:vAlign w:val="bottom"/>
          </w:tcPr>
          <w:p>
            <w:pPr>
              <w:pStyle w:val="TableContents"/>
              <w:bidi w:val="0"/>
              <w:spacing w:before="0" w:after="283"/>
              <w:jc w:val="center"/>
              <w:rPr>
                <w:b/>
              </w:rPr>
            </w:pPr>
            <w:r>
              <w:rPr>
                <w:b/>
              </w:rPr>
              <w:t>December 31,</w:t>
            </w:r>
          </w:p>
        </w:tc>
        <w:tc>
          <w:tcPr>
            <w:tcW w:w="60"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426" w:type="dxa"/>
            <w:gridSpan w:val="2"/>
            <w:tcBorders/>
            <w:vAlign w:val="bottom"/>
          </w:tcPr>
          <w:p>
            <w:pPr>
              <w:pStyle w:val="TableContents"/>
              <w:bidi w:val="0"/>
              <w:spacing w:before="0" w:after="283"/>
              <w:jc w:val="center"/>
              <w:rPr>
                <w:b/>
              </w:rPr>
            </w:pPr>
            <w:r>
              <w:rPr>
                <w:b/>
              </w:rPr>
              <w:t>September 30,</w:t>
            </w:r>
          </w:p>
        </w:tc>
        <w:tc>
          <w:tcPr>
            <w:tcW w:w="72" w:type="dxa"/>
            <w:tcBorders/>
            <w:vAlign w:val="bottom"/>
          </w:tcPr>
          <w:p>
            <w:pPr>
              <w:pStyle w:val="TableContents"/>
              <w:bidi w:val="0"/>
              <w:spacing w:before="0" w:after="283"/>
              <w:jc w:val="left"/>
            </w:pPr>
            <w:r>
              <w:t> </w:t>
            </w:r>
          </w:p>
        </w:tc>
      </w:tr>
      <w:tr>
        <w:tc>
          <w:tcPr>
            <w:tcW w:w="2878"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4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0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59"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3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4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2" w:type="dxa"/>
            <w:tcBorders/>
            <w:vAlign w:val="bottom"/>
          </w:tcPr>
          <w:p>
            <w:pPr>
              <w:pStyle w:val="TableContents"/>
              <w:bidi w:val="0"/>
              <w:spacing w:before="0" w:after="283"/>
              <w:jc w:val="left"/>
            </w:pPr>
            <w:r>
              <w:t> </w:t>
            </w:r>
          </w:p>
        </w:tc>
      </w:tr>
      <w:tr>
        <w:tc>
          <w:tcPr>
            <w:tcW w:w="28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Managed Services Revenue</w:t>
            </w:r>
          </w:p>
        </w:tc>
        <w:tc>
          <w:tcPr>
            <w:tcW w:w="175" w:type="dxa"/>
            <w:tcBorders/>
            <w:shd w:fill="CCEEFF" w:val="clear"/>
            <w:vAlign w:val="bottom"/>
          </w:tcPr>
          <w:p>
            <w:pPr>
              <w:pStyle w:val="TableContents"/>
              <w:bidi w:val="0"/>
              <w:spacing w:before="0" w:after="283"/>
              <w:jc w:val="left"/>
            </w:pPr>
            <w:r>
              <w:t>  </w:t>
            </w:r>
          </w:p>
        </w:tc>
        <w:tc>
          <w:tcPr>
            <w:tcW w:w="228" w:type="dxa"/>
            <w:tcBorders/>
            <w:shd w:fill="CCEEFF" w:val="clear"/>
            <w:vAlign w:val="bottom"/>
          </w:tcPr>
          <w:p>
            <w:pPr>
              <w:pStyle w:val="TableContents"/>
              <w:bidi w:val="0"/>
              <w:spacing w:before="0" w:after="283"/>
              <w:jc w:val="left"/>
            </w:pPr>
            <w:r>
              <w:t>$</w:t>
            </w:r>
          </w:p>
        </w:tc>
        <w:tc>
          <w:tcPr>
            <w:tcW w:w="1198" w:type="dxa"/>
            <w:tcBorders/>
            <w:shd w:fill="CCEEFF" w:val="clear"/>
            <w:vAlign w:val="bottom"/>
          </w:tcPr>
          <w:p>
            <w:pPr>
              <w:pStyle w:val="TableContents"/>
              <w:bidi w:val="0"/>
              <w:spacing w:before="0" w:after="283"/>
              <w:jc w:val="right"/>
            </w:pPr>
            <w:r>
              <w:t>728</w:t>
            </w:r>
          </w:p>
        </w:tc>
        <w:tc>
          <w:tcPr>
            <w:tcW w:w="60" w:type="dxa"/>
            <w:tcBorders/>
            <w:shd w:fill="CCEEFF" w:val="clear"/>
            <w:vAlign w:val="bottom"/>
          </w:tcPr>
          <w:p>
            <w:pPr>
              <w:pStyle w:val="TableContents"/>
              <w:bidi w:val="0"/>
              <w:spacing w:before="0" w:after="283"/>
              <w:jc w:val="left"/>
            </w:pPr>
            <w:r>
              <w:t> </w:t>
            </w:r>
          </w:p>
        </w:tc>
        <w:tc>
          <w:tcPr>
            <w:tcW w:w="17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741" w:type="dxa"/>
            <w:tcBorders/>
            <w:shd w:fill="CCEEFF" w:val="clear"/>
            <w:vAlign w:val="bottom"/>
          </w:tcPr>
          <w:p>
            <w:pPr>
              <w:pStyle w:val="TableContents"/>
              <w:bidi w:val="0"/>
              <w:spacing w:before="0" w:after="283"/>
              <w:jc w:val="right"/>
            </w:pPr>
            <w:r>
              <w:t>791</w:t>
            </w:r>
          </w:p>
        </w:tc>
        <w:tc>
          <w:tcPr>
            <w:tcW w:w="60" w:type="dxa"/>
            <w:tcBorders/>
            <w:shd w:fill="CCEEFF" w:val="clear"/>
            <w:vAlign w:val="bottom"/>
          </w:tcPr>
          <w:p>
            <w:pPr>
              <w:pStyle w:val="TableContents"/>
              <w:bidi w:val="0"/>
              <w:spacing w:before="0" w:after="283"/>
              <w:jc w:val="left"/>
            </w:pPr>
            <w:r>
              <w:t> </w:t>
            </w:r>
          </w:p>
        </w:tc>
        <w:tc>
          <w:tcPr>
            <w:tcW w:w="175" w:type="dxa"/>
            <w:tcBorders/>
            <w:shd w:fill="CCEEFF" w:val="clear"/>
            <w:vAlign w:val="bottom"/>
          </w:tcPr>
          <w:p>
            <w:pPr>
              <w:pStyle w:val="TableContents"/>
              <w:bidi w:val="0"/>
              <w:spacing w:before="0" w:after="283"/>
              <w:jc w:val="left"/>
            </w:pPr>
            <w:r>
              <w:t>  </w:t>
            </w:r>
          </w:p>
        </w:tc>
        <w:tc>
          <w:tcPr>
            <w:tcW w:w="160" w:type="dxa"/>
            <w:tcBorders/>
            <w:shd w:fill="CCEEFF" w:val="clear"/>
            <w:vAlign w:val="bottom"/>
          </w:tcPr>
          <w:p>
            <w:pPr>
              <w:pStyle w:val="TableContents"/>
              <w:bidi w:val="0"/>
              <w:spacing w:before="0" w:after="283"/>
              <w:jc w:val="left"/>
            </w:pPr>
            <w:r>
              <w:t>$</w:t>
            </w:r>
          </w:p>
        </w:tc>
        <w:tc>
          <w:tcPr>
            <w:tcW w:w="872" w:type="dxa"/>
            <w:tcBorders/>
            <w:shd w:fill="CCEEFF" w:val="clear"/>
            <w:vAlign w:val="bottom"/>
          </w:tcPr>
          <w:p>
            <w:pPr>
              <w:pStyle w:val="TableContents"/>
              <w:bidi w:val="0"/>
              <w:spacing w:before="0" w:after="283"/>
              <w:jc w:val="right"/>
            </w:pPr>
            <w:r>
              <w:t>759</w:t>
            </w:r>
          </w:p>
        </w:tc>
        <w:tc>
          <w:tcPr>
            <w:tcW w:w="59" w:type="dxa"/>
            <w:tcBorders/>
            <w:shd w:fill="CCEEFF" w:val="clear"/>
            <w:vAlign w:val="bottom"/>
          </w:tcPr>
          <w:p>
            <w:pPr>
              <w:pStyle w:val="TableContents"/>
              <w:bidi w:val="0"/>
              <w:spacing w:before="0" w:after="283"/>
              <w:jc w:val="left"/>
            </w:pPr>
            <w:r>
              <w:t> </w:t>
            </w:r>
          </w:p>
        </w:tc>
        <w:tc>
          <w:tcPr>
            <w:tcW w:w="175" w:type="dxa"/>
            <w:tcBorders/>
            <w:shd w:fill="CCEEFF" w:val="clear"/>
            <w:vAlign w:val="bottom"/>
          </w:tcPr>
          <w:p>
            <w:pPr>
              <w:pStyle w:val="TableContents"/>
              <w:bidi w:val="0"/>
              <w:spacing w:before="0" w:after="283"/>
              <w:jc w:val="left"/>
            </w:pPr>
            <w:r>
              <w:t>  </w:t>
            </w:r>
          </w:p>
        </w:tc>
        <w:tc>
          <w:tcPr>
            <w:tcW w:w="220" w:type="dxa"/>
            <w:tcBorders/>
            <w:shd w:fill="CCEEFF" w:val="clear"/>
            <w:vAlign w:val="bottom"/>
          </w:tcPr>
          <w:p>
            <w:pPr>
              <w:pStyle w:val="TableContents"/>
              <w:bidi w:val="0"/>
              <w:spacing w:before="0" w:after="283"/>
              <w:jc w:val="left"/>
            </w:pPr>
            <w:r>
              <w:t>$</w:t>
            </w:r>
          </w:p>
        </w:tc>
        <w:tc>
          <w:tcPr>
            <w:tcW w:w="1156" w:type="dxa"/>
            <w:tcBorders/>
            <w:shd w:fill="CCEEFF" w:val="clear"/>
            <w:vAlign w:val="bottom"/>
          </w:tcPr>
          <w:p>
            <w:pPr>
              <w:pStyle w:val="TableContents"/>
              <w:bidi w:val="0"/>
              <w:spacing w:before="0" w:after="283"/>
              <w:jc w:val="right"/>
            </w:pPr>
            <w:r>
              <w:t>746</w:t>
            </w:r>
          </w:p>
        </w:tc>
        <w:tc>
          <w:tcPr>
            <w:tcW w:w="60" w:type="dxa"/>
            <w:tcBorders/>
            <w:shd w:fill="CCEEFF" w:val="clear"/>
            <w:vAlign w:val="bottom"/>
          </w:tcPr>
          <w:p>
            <w:pPr>
              <w:pStyle w:val="TableContents"/>
              <w:bidi w:val="0"/>
              <w:spacing w:before="0" w:after="283"/>
              <w:jc w:val="left"/>
            </w:pPr>
            <w:r>
              <w:t> </w:t>
            </w:r>
          </w:p>
        </w:tc>
        <w:tc>
          <w:tcPr>
            <w:tcW w:w="175" w:type="dxa"/>
            <w:tcBorders/>
            <w:shd w:fill="CCEEFF" w:val="clear"/>
            <w:vAlign w:val="bottom"/>
          </w:tcPr>
          <w:p>
            <w:pPr>
              <w:pStyle w:val="TableContents"/>
              <w:bidi w:val="0"/>
              <w:spacing w:before="0" w:after="283"/>
              <w:jc w:val="left"/>
            </w:pPr>
            <w:r>
              <w:t>  </w:t>
            </w:r>
          </w:p>
        </w:tc>
        <w:tc>
          <w:tcPr>
            <w:tcW w:w="228" w:type="dxa"/>
            <w:tcBorders/>
            <w:shd w:fill="CCEEFF" w:val="clear"/>
            <w:vAlign w:val="bottom"/>
          </w:tcPr>
          <w:p>
            <w:pPr>
              <w:pStyle w:val="TableContents"/>
              <w:bidi w:val="0"/>
              <w:spacing w:before="0" w:after="283"/>
              <w:jc w:val="left"/>
            </w:pPr>
            <w:r>
              <w:t>$</w:t>
            </w:r>
          </w:p>
        </w:tc>
        <w:tc>
          <w:tcPr>
            <w:tcW w:w="1198" w:type="dxa"/>
            <w:tcBorders/>
            <w:shd w:fill="CCEEFF" w:val="clear"/>
            <w:vAlign w:val="bottom"/>
          </w:tcPr>
          <w:p>
            <w:pPr>
              <w:pStyle w:val="TableContents"/>
              <w:bidi w:val="0"/>
              <w:spacing w:before="0" w:after="283"/>
              <w:jc w:val="right"/>
            </w:pPr>
            <w:r>
              <w:t>748</w:t>
            </w:r>
          </w:p>
        </w:tc>
        <w:tc>
          <w:tcPr>
            <w:tcW w:w="72" w:type="dxa"/>
            <w:tcBorders/>
            <w:shd w:fill="CCEEFF" w:val="clear"/>
            <w:vAlign w:val="bottom"/>
          </w:tcPr>
          <w:p>
            <w:pPr>
              <w:pStyle w:val="TableContents"/>
              <w:bidi w:val="0"/>
              <w:spacing w:before="0" w:after="283"/>
              <w:jc w:val="left"/>
            </w:pPr>
            <w:r>
              <w:t> </w:t>
            </w:r>
          </w:p>
        </w:tc>
      </w:tr>
      <w:tr>
        <w:tc>
          <w:tcPr>
            <w:tcW w:w="2878"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pPr>
            <w:r>
              <w:t>  </w:t>
            </w:r>
          </w:p>
        </w:tc>
        <w:tc>
          <w:tcPr>
            <w:tcW w:w="228" w:type="dxa"/>
            <w:tcBorders/>
            <w:vAlign w:val="bottom"/>
          </w:tcPr>
          <w:p>
            <w:pPr>
              <w:pStyle w:val="TableContents"/>
              <w:pBdr>
                <w:top w:val="single" w:sz="2" w:space="1" w:color="000000"/>
              </w:pBdr>
              <w:bidi w:val="0"/>
              <w:spacing w:before="0" w:after="0"/>
              <w:jc w:val="left"/>
            </w:pPr>
            <w:r>
              <w:t> </w:t>
            </w:r>
          </w:p>
        </w:tc>
        <w:tc>
          <w:tcPr>
            <w:tcW w:w="1198"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41"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60" w:type="dxa"/>
            <w:tcBorders/>
            <w:vAlign w:val="bottom"/>
          </w:tcPr>
          <w:p>
            <w:pPr>
              <w:pStyle w:val="TableContents"/>
              <w:pBdr>
                <w:top w:val="single" w:sz="2" w:space="1" w:color="000000"/>
              </w:pBdr>
              <w:bidi w:val="0"/>
              <w:spacing w:before="0" w:after="0"/>
              <w:jc w:val="left"/>
            </w:pPr>
            <w:r>
              <w:t> </w:t>
            </w:r>
          </w:p>
        </w:tc>
        <w:tc>
          <w:tcPr>
            <w:tcW w:w="872" w:type="dxa"/>
            <w:tcBorders/>
            <w:vAlign w:val="bottom"/>
          </w:tcPr>
          <w:p>
            <w:pPr>
              <w:pStyle w:val="TableContents"/>
              <w:pBdr>
                <w:top w:val="single" w:sz="2" w:space="1" w:color="000000"/>
              </w:pBdr>
              <w:bidi w:val="0"/>
              <w:spacing w:before="0" w:after="0"/>
              <w:jc w:val="left"/>
            </w:pPr>
            <w:r>
              <w:t> </w:t>
            </w:r>
          </w:p>
        </w:tc>
        <w:tc>
          <w:tcPr>
            <w:tcW w:w="59" w:type="dxa"/>
            <w:tcBorders/>
            <w:vAlign w:val="center"/>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220" w:type="dxa"/>
            <w:tcBorders/>
            <w:vAlign w:val="bottom"/>
          </w:tcPr>
          <w:p>
            <w:pPr>
              <w:pStyle w:val="TableContents"/>
              <w:pBdr>
                <w:top w:val="single" w:sz="2" w:space="1" w:color="000000"/>
              </w:pBdr>
              <w:bidi w:val="0"/>
              <w:spacing w:before="0" w:after="0"/>
              <w:jc w:val="left"/>
            </w:pPr>
            <w:r>
              <w:t> </w:t>
            </w:r>
          </w:p>
        </w:tc>
        <w:tc>
          <w:tcPr>
            <w:tcW w:w="1156"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228" w:type="dxa"/>
            <w:tcBorders/>
            <w:vAlign w:val="bottom"/>
          </w:tcPr>
          <w:p>
            <w:pPr>
              <w:pStyle w:val="TableContents"/>
              <w:pBdr>
                <w:top w:val="single" w:sz="2" w:space="1" w:color="000000"/>
              </w:pBdr>
              <w:bidi w:val="0"/>
              <w:spacing w:before="0" w:after="0"/>
              <w:jc w:val="left"/>
            </w:pPr>
            <w:r>
              <w:t> </w:t>
            </w:r>
          </w:p>
        </w:tc>
        <w:tc>
          <w:tcPr>
            <w:tcW w:w="1198" w:type="dxa"/>
            <w:tcBorders/>
            <w:vAlign w:val="bottom"/>
          </w:tcPr>
          <w:p>
            <w:pPr>
              <w:pStyle w:val="TableContents"/>
              <w:pBdr>
                <w:top w:val="single" w:sz="2" w:space="1" w:color="000000"/>
              </w:pBdr>
              <w:bidi w:val="0"/>
              <w:spacing w:before="0" w:after="0"/>
              <w:jc w:val="left"/>
            </w:pPr>
            <w:r>
              <w:t> </w:t>
            </w:r>
          </w:p>
        </w:tc>
        <w:tc>
          <w:tcPr>
            <w:tcW w:w="72" w:type="dxa"/>
            <w:tcBorders/>
            <w:vAlign w:val="center"/>
          </w:tcPr>
          <w:p>
            <w:pPr>
              <w:pStyle w:val="TableContents"/>
              <w:bidi w:val="0"/>
              <w:spacing w:before="0" w:after="283"/>
              <w:jc w:val="left"/>
            </w:pPr>
            <w:r>
              <w:t> </w:t>
            </w:r>
          </w:p>
        </w:tc>
      </w:tr>
      <w:tr>
        <w:trPr>
          <w:trHeight w:val="240" w:hRule="atLeast"/>
        </w:trPr>
        <w:tc>
          <w:tcPr>
            <w:tcW w:w="2878" w:type="dxa"/>
            <w:tcBorders/>
            <w:vAlign w:val="center"/>
          </w:tcPr>
          <w:p>
            <w:pPr>
              <w:pStyle w:val="TableContents"/>
              <w:bidi w:val="0"/>
              <w:spacing w:before="0" w:after="283"/>
              <w:jc w:val="left"/>
              <w:rPr>
                <w:sz w:val="4"/>
                <w:szCs w:val="4"/>
              </w:rPr>
            </w:pPr>
            <w:r>
              <w:rPr>
                <w:sz w:val="4"/>
                <w:szCs w:val="4"/>
              </w:rPr>
            </w:r>
          </w:p>
        </w:tc>
        <w:tc>
          <w:tcPr>
            <w:tcW w:w="7327" w:type="dxa"/>
            <w:gridSpan w:val="20"/>
            <w:tcBorders/>
            <w:vAlign w:val="center"/>
          </w:tcPr>
          <w:p>
            <w:pPr>
              <w:pStyle w:val="TableContents"/>
              <w:bidi w:val="0"/>
              <w:spacing w:before="0" w:after="283"/>
              <w:jc w:val="left"/>
              <w:rPr>
                <w:sz w:val="4"/>
                <w:szCs w:val="4"/>
              </w:rPr>
            </w:pPr>
            <w:r>
              <w:rPr>
                <w:sz w:val="4"/>
                <w:szCs w:val="4"/>
              </w:rPr>
            </w:r>
          </w:p>
        </w:tc>
      </w:tr>
      <w:tr>
        <w:tc>
          <w:tcPr>
            <w:tcW w:w="2878"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708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As of</w:t>
            </w:r>
          </w:p>
        </w:tc>
        <w:tc>
          <w:tcPr>
            <w:tcW w:w="72" w:type="dxa"/>
            <w:tcBorders/>
            <w:vAlign w:val="bottom"/>
          </w:tcPr>
          <w:p>
            <w:pPr>
              <w:pStyle w:val="TableContents"/>
              <w:bidi w:val="0"/>
              <w:spacing w:before="0" w:after="283"/>
              <w:jc w:val="left"/>
            </w:pPr>
            <w:r>
              <w:t> </w:t>
            </w:r>
          </w:p>
        </w:tc>
      </w:tr>
      <w:tr>
        <w:tc>
          <w:tcPr>
            <w:tcW w:w="2878"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426" w:type="dxa"/>
            <w:gridSpan w:val="2"/>
            <w:tcBorders/>
            <w:vAlign w:val="bottom"/>
          </w:tcPr>
          <w:p>
            <w:pPr>
              <w:pStyle w:val="TableContents"/>
              <w:bidi w:val="0"/>
              <w:spacing w:before="0" w:after="283"/>
              <w:jc w:val="center"/>
              <w:rPr>
                <w:b/>
              </w:rPr>
            </w:pPr>
            <w:r>
              <w:rPr>
                <w:b/>
              </w:rPr>
              <w:t>September 30,</w:t>
            </w:r>
          </w:p>
        </w:tc>
        <w:tc>
          <w:tcPr>
            <w:tcW w:w="60"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881" w:type="dxa"/>
            <w:gridSpan w:val="2"/>
            <w:tcBorders/>
            <w:vAlign w:val="bottom"/>
          </w:tcPr>
          <w:p>
            <w:pPr>
              <w:pStyle w:val="TableContents"/>
              <w:bidi w:val="0"/>
              <w:spacing w:before="0" w:after="283"/>
              <w:jc w:val="center"/>
              <w:rPr>
                <w:b/>
              </w:rPr>
            </w:pPr>
            <w:r>
              <w:rPr>
                <w:b/>
              </w:rPr>
              <w:t>June 30,</w:t>
            </w:r>
          </w:p>
        </w:tc>
        <w:tc>
          <w:tcPr>
            <w:tcW w:w="60"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032" w:type="dxa"/>
            <w:gridSpan w:val="2"/>
            <w:tcBorders/>
            <w:vAlign w:val="bottom"/>
          </w:tcPr>
          <w:p>
            <w:pPr>
              <w:pStyle w:val="TableContents"/>
              <w:bidi w:val="0"/>
              <w:spacing w:before="0" w:after="283"/>
              <w:jc w:val="center"/>
              <w:rPr>
                <w:b/>
              </w:rPr>
            </w:pPr>
            <w:r>
              <w:rPr>
                <w:b/>
              </w:rPr>
              <w:t>March 31,</w:t>
            </w:r>
          </w:p>
        </w:tc>
        <w:tc>
          <w:tcPr>
            <w:tcW w:w="59"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376" w:type="dxa"/>
            <w:gridSpan w:val="2"/>
            <w:tcBorders/>
            <w:vAlign w:val="bottom"/>
          </w:tcPr>
          <w:p>
            <w:pPr>
              <w:pStyle w:val="TableContents"/>
              <w:bidi w:val="0"/>
              <w:spacing w:before="0" w:after="283"/>
              <w:jc w:val="center"/>
              <w:rPr>
                <w:b/>
              </w:rPr>
            </w:pPr>
            <w:r>
              <w:rPr>
                <w:b/>
              </w:rPr>
              <w:t>December 31,</w:t>
            </w:r>
          </w:p>
        </w:tc>
        <w:tc>
          <w:tcPr>
            <w:tcW w:w="60"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426" w:type="dxa"/>
            <w:gridSpan w:val="2"/>
            <w:tcBorders/>
            <w:vAlign w:val="bottom"/>
          </w:tcPr>
          <w:p>
            <w:pPr>
              <w:pStyle w:val="TableContents"/>
              <w:bidi w:val="0"/>
              <w:spacing w:before="0" w:after="283"/>
              <w:jc w:val="center"/>
              <w:rPr>
                <w:b/>
              </w:rPr>
            </w:pPr>
            <w:r>
              <w:rPr>
                <w:b/>
              </w:rPr>
              <w:t>September 30,</w:t>
            </w:r>
          </w:p>
        </w:tc>
        <w:tc>
          <w:tcPr>
            <w:tcW w:w="72" w:type="dxa"/>
            <w:tcBorders/>
            <w:vAlign w:val="bottom"/>
          </w:tcPr>
          <w:p>
            <w:pPr>
              <w:pStyle w:val="TableContents"/>
              <w:bidi w:val="0"/>
              <w:spacing w:before="0" w:after="283"/>
              <w:jc w:val="left"/>
            </w:pPr>
            <w:r>
              <w:t> </w:t>
            </w:r>
          </w:p>
        </w:tc>
      </w:tr>
      <w:tr>
        <w:tc>
          <w:tcPr>
            <w:tcW w:w="2878"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4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0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59"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3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4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2" w:type="dxa"/>
            <w:tcBorders/>
            <w:vAlign w:val="bottom"/>
          </w:tcPr>
          <w:p>
            <w:pPr>
              <w:pStyle w:val="TableContents"/>
              <w:bidi w:val="0"/>
              <w:spacing w:before="0" w:after="283"/>
              <w:jc w:val="left"/>
            </w:pPr>
            <w:r>
              <w:t> </w:t>
            </w:r>
          </w:p>
        </w:tc>
      </w:tr>
      <w:tr>
        <w:tc>
          <w:tcPr>
            <w:tcW w:w="28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12-Month Backlog</w:t>
            </w:r>
          </w:p>
        </w:tc>
        <w:tc>
          <w:tcPr>
            <w:tcW w:w="175" w:type="dxa"/>
            <w:tcBorders/>
            <w:shd w:fill="CCEEFF" w:val="clear"/>
            <w:vAlign w:val="bottom"/>
          </w:tcPr>
          <w:p>
            <w:pPr>
              <w:pStyle w:val="TableContents"/>
              <w:bidi w:val="0"/>
              <w:spacing w:before="0" w:after="283"/>
              <w:jc w:val="left"/>
            </w:pPr>
            <w:r>
              <w:t>  </w:t>
            </w:r>
          </w:p>
        </w:tc>
        <w:tc>
          <w:tcPr>
            <w:tcW w:w="228" w:type="dxa"/>
            <w:tcBorders/>
            <w:shd w:fill="CCEEFF" w:val="clear"/>
            <w:vAlign w:val="bottom"/>
          </w:tcPr>
          <w:p>
            <w:pPr>
              <w:pStyle w:val="TableContents"/>
              <w:bidi w:val="0"/>
              <w:spacing w:before="0" w:after="283"/>
              <w:jc w:val="left"/>
            </w:pPr>
            <w:r>
              <w:t>$</w:t>
            </w:r>
          </w:p>
        </w:tc>
        <w:tc>
          <w:tcPr>
            <w:tcW w:w="1198" w:type="dxa"/>
            <w:tcBorders/>
            <w:shd w:fill="CCEEFF" w:val="clear"/>
            <w:vAlign w:val="bottom"/>
          </w:tcPr>
          <w:p>
            <w:pPr>
              <w:pStyle w:val="TableContents"/>
              <w:bidi w:val="0"/>
              <w:spacing w:before="0" w:after="283"/>
              <w:jc w:val="right"/>
            </w:pPr>
            <w:r>
              <w:t>3,500</w:t>
            </w:r>
          </w:p>
        </w:tc>
        <w:tc>
          <w:tcPr>
            <w:tcW w:w="60" w:type="dxa"/>
            <w:tcBorders/>
            <w:shd w:fill="CCEEFF" w:val="clear"/>
            <w:vAlign w:val="bottom"/>
          </w:tcPr>
          <w:p>
            <w:pPr>
              <w:pStyle w:val="TableContents"/>
              <w:bidi w:val="0"/>
              <w:spacing w:before="0" w:after="283"/>
              <w:jc w:val="left"/>
            </w:pPr>
            <w:r>
              <w:t> </w:t>
            </w:r>
          </w:p>
        </w:tc>
        <w:tc>
          <w:tcPr>
            <w:tcW w:w="17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741" w:type="dxa"/>
            <w:tcBorders/>
            <w:shd w:fill="CCEEFF" w:val="clear"/>
            <w:vAlign w:val="bottom"/>
          </w:tcPr>
          <w:p>
            <w:pPr>
              <w:pStyle w:val="TableContents"/>
              <w:bidi w:val="0"/>
              <w:spacing w:before="0" w:after="283"/>
              <w:jc w:val="right"/>
            </w:pPr>
            <w:r>
              <w:t>4,260</w:t>
            </w:r>
          </w:p>
        </w:tc>
        <w:tc>
          <w:tcPr>
            <w:tcW w:w="60" w:type="dxa"/>
            <w:tcBorders/>
            <w:shd w:fill="CCEEFF" w:val="clear"/>
            <w:vAlign w:val="bottom"/>
          </w:tcPr>
          <w:p>
            <w:pPr>
              <w:pStyle w:val="TableContents"/>
              <w:bidi w:val="0"/>
              <w:spacing w:before="0" w:after="283"/>
              <w:jc w:val="left"/>
            </w:pPr>
            <w:r>
              <w:t> </w:t>
            </w:r>
          </w:p>
        </w:tc>
        <w:tc>
          <w:tcPr>
            <w:tcW w:w="175" w:type="dxa"/>
            <w:tcBorders/>
            <w:shd w:fill="CCEEFF" w:val="clear"/>
            <w:vAlign w:val="bottom"/>
          </w:tcPr>
          <w:p>
            <w:pPr>
              <w:pStyle w:val="TableContents"/>
              <w:bidi w:val="0"/>
              <w:spacing w:before="0" w:after="283"/>
              <w:jc w:val="left"/>
            </w:pPr>
            <w:r>
              <w:t>  </w:t>
            </w:r>
          </w:p>
        </w:tc>
        <w:tc>
          <w:tcPr>
            <w:tcW w:w="160" w:type="dxa"/>
            <w:tcBorders/>
            <w:shd w:fill="CCEEFF" w:val="clear"/>
            <w:vAlign w:val="bottom"/>
          </w:tcPr>
          <w:p>
            <w:pPr>
              <w:pStyle w:val="TableContents"/>
              <w:bidi w:val="0"/>
              <w:spacing w:before="0" w:after="283"/>
              <w:jc w:val="left"/>
            </w:pPr>
            <w:r>
              <w:t>$</w:t>
            </w:r>
          </w:p>
        </w:tc>
        <w:tc>
          <w:tcPr>
            <w:tcW w:w="872" w:type="dxa"/>
            <w:tcBorders/>
            <w:shd w:fill="CCEEFF" w:val="clear"/>
            <w:vAlign w:val="bottom"/>
          </w:tcPr>
          <w:p>
            <w:pPr>
              <w:pStyle w:val="TableContents"/>
              <w:bidi w:val="0"/>
              <w:spacing w:before="0" w:after="283"/>
              <w:jc w:val="right"/>
            </w:pPr>
            <w:r>
              <w:t>4,280</w:t>
            </w:r>
          </w:p>
        </w:tc>
        <w:tc>
          <w:tcPr>
            <w:tcW w:w="59" w:type="dxa"/>
            <w:tcBorders/>
            <w:shd w:fill="CCEEFF" w:val="clear"/>
            <w:vAlign w:val="bottom"/>
          </w:tcPr>
          <w:p>
            <w:pPr>
              <w:pStyle w:val="TableContents"/>
              <w:bidi w:val="0"/>
              <w:spacing w:before="0" w:after="283"/>
              <w:jc w:val="left"/>
            </w:pPr>
            <w:r>
              <w:t> </w:t>
            </w:r>
          </w:p>
        </w:tc>
        <w:tc>
          <w:tcPr>
            <w:tcW w:w="175" w:type="dxa"/>
            <w:tcBorders/>
            <w:shd w:fill="CCEEFF" w:val="clear"/>
            <w:vAlign w:val="bottom"/>
          </w:tcPr>
          <w:p>
            <w:pPr>
              <w:pStyle w:val="TableContents"/>
              <w:bidi w:val="0"/>
              <w:spacing w:before="0" w:after="283"/>
              <w:jc w:val="left"/>
            </w:pPr>
            <w:r>
              <w:t>  </w:t>
            </w:r>
          </w:p>
        </w:tc>
        <w:tc>
          <w:tcPr>
            <w:tcW w:w="220" w:type="dxa"/>
            <w:tcBorders/>
            <w:shd w:fill="CCEEFF" w:val="clear"/>
            <w:vAlign w:val="bottom"/>
          </w:tcPr>
          <w:p>
            <w:pPr>
              <w:pStyle w:val="TableContents"/>
              <w:bidi w:val="0"/>
              <w:spacing w:before="0" w:after="283"/>
              <w:jc w:val="left"/>
            </w:pPr>
            <w:r>
              <w:t>$</w:t>
            </w:r>
          </w:p>
        </w:tc>
        <w:tc>
          <w:tcPr>
            <w:tcW w:w="1156" w:type="dxa"/>
            <w:tcBorders/>
            <w:shd w:fill="CCEEFF" w:val="clear"/>
            <w:vAlign w:val="bottom"/>
          </w:tcPr>
          <w:p>
            <w:pPr>
              <w:pStyle w:val="TableContents"/>
              <w:bidi w:val="0"/>
              <w:spacing w:before="0" w:after="283"/>
              <w:jc w:val="right"/>
            </w:pPr>
            <w:r>
              <w:t>4,250</w:t>
            </w:r>
          </w:p>
        </w:tc>
        <w:tc>
          <w:tcPr>
            <w:tcW w:w="60" w:type="dxa"/>
            <w:tcBorders/>
            <w:shd w:fill="CCEEFF" w:val="clear"/>
            <w:vAlign w:val="bottom"/>
          </w:tcPr>
          <w:p>
            <w:pPr>
              <w:pStyle w:val="TableContents"/>
              <w:bidi w:val="0"/>
              <w:spacing w:before="0" w:after="283"/>
              <w:jc w:val="left"/>
            </w:pPr>
            <w:r>
              <w:t> </w:t>
            </w:r>
          </w:p>
        </w:tc>
        <w:tc>
          <w:tcPr>
            <w:tcW w:w="175" w:type="dxa"/>
            <w:tcBorders/>
            <w:shd w:fill="CCEEFF" w:val="clear"/>
            <w:vAlign w:val="bottom"/>
          </w:tcPr>
          <w:p>
            <w:pPr>
              <w:pStyle w:val="TableContents"/>
              <w:bidi w:val="0"/>
              <w:spacing w:before="0" w:after="283"/>
              <w:jc w:val="left"/>
            </w:pPr>
            <w:r>
              <w:t>  </w:t>
            </w:r>
          </w:p>
        </w:tc>
        <w:tc>
          <w:tcPr>
            <w:tcW w:w="228" w:type="dxa"/>
            <w:tcBorders/>
            <w:shd w:fill="CCEEFF" w:val="clear"/>
            <w:vAlign w:val="bottom"/>
          </w:tcPr>
          <w:p>
            <w:pPr>
              <w:pStyle w:val="TableContents"/>
              <w:bidi w:val="0"/>
              <w:spacing w:before="0" w:after="283"/>
              <w:jc w:val="left"/>
            </w:pPr>
            <w:r>
              <w:t>$</w:t>
            </w:r>
          </w:p>
        </w:tc>
        <w:tc>
          <w:tcPr>
            <w:tcW w:w="1198" w:type="dxa"/>
            <w:tcBorders/>
            <w:shd w:fill="CCEEFF" w:val="clear"/>
            <w:vAlign w:val="bottom"/>
          </w:tcPr>
          <w:p>
            <w:pPr>
              <w:pStyle w:val="TableContents"/>
              <w:bidi w:val="0"/>
              <w:spacing w:before="0" w:after="283"/>
              <w:jc w:val="right"/>
            </w:pPr>
            <w:r>
              <w:t>4,190</w:t>
            </w:r>
          </w:p>
        </w:tc>
        <w:tc>
          <w:tcPr>
            <w:tcW w:w="72" w:type="dxa"/>
            <w:tcBorders/>
            <w:shd w:fill="CCEEFF" w:val="clear"/>
            <w:vAlign w:val="bottom"/>
          </w:tcPr>
          <w:p>
            <w:pPr>
              <w:pStyle w:val="TableContents"/>
              <w:bidi w:val="0"/>
              <w:spacing w:before="0" w:after="283"/>
              <w:jc w:val="left"/>
            </w:pPr>
            <w:r>
              <w:t> </w:t>
            </w:r>
          </w:p>
        </w:tc>
      </w:tr>
      <w:tr>
        <w:tc>
          <w:tcPr>
            <w:tcW w:w="2878"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pPr>
            <w:r>
              <w:t>  </w:t>
            </w:r>
          </w:p>
        </w:tc>
        <w:tc>
          <w:tcPr>
            <w:tcW w:w="228" w:type="dxa"/>
            <w:tcBorders/>
            <w:vAlign w:val="bottom"/>
          </w:tcPr>
          <w:p>
            <w:pPr>
              <w:pStyle w:val="TableContents"/>
              <w:pBdr>
                <w:top w:val="single" w:sz="2" w:space="1" w:color="000000"/>
              </w:pBdr>
              <w:bidi w:val="0"/>
              <w:spacing w:before="0" w:after="0"/>
              <w:jc w:val="left"/>
            </w:pPr>
            <w:r>
              <w:t> </w:t>
            </w:r>
          </w:p>
        </w:tc>
        <w:tc>
          <w:tcPr>
            <w:tcW w:w="1198"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41"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160" w:type="dxa"/>
            <w:tcBorders/>
            <w:vAlign w:val="bottom"/>
          </w:tcPr>
          <w:p>
            <w:pPr>
              <w:pStyle w:val="TableContents"/>
              <w:pBdr>
                <w:top w:val="single" w:sz="2" w:space="1" w:color="000000"/>
              </w:pBdr>
              <w:bidi w:val="0"/>
              <w:spacing w:before="0" w:after="0"/>
              <w:jc w:val="left"/>
            </w:pPr>
            <w:r>
              <w:t> </w:t>
            </w:r>
          </w:p>
        </w:tc>
        <w:tc>
          <w:tcPr>
            <w:tcW w:w="872" w:type="dxa"/>
            <w:tcBorders/>
            <w:vAlign w:val="bottom"/>
          </w:tcPr>
          <w:p>
            <w:pPr>
              <w:pStyle w:val="TableContents"/>
              <w:pBdr>
                <w:top w:val="single" w:sz="2" w:space="1" w:color="000000"/>
              </w:pBdr>
              <w:bidi w:val="0"/>
              <w:spacing w:before="0" w:after="0"/>
              <w:jc w:val="left"/>
            </w:pPr>
            <w:r>
              <w:t> </w:t>
            </w:r>
          </w:p>
        </w:tc>
        <w:tc>
          <w:tcPr>
            <w:tcW w:w="59" w:type="dxa"/>
            <w:tcBorders/>
            <w:vAlign w:val="center"/>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220" w:type="dxa"/>
            <w:tcBorders/>
            <w:vAlign w:val="bottom"/>
          </w:tcPr>
          <w:p>
            <w:pPr>
              <w:pStyle w:val="TableContents"/>
              <w:pBdr>
                <w:top w:val="single" w:sz="2" w:space="1" w:color="000000"/>
              </w:pBdr>
              <w:bidi w:val="0"/>
              <w:spacing w:before="0" w:after="0"/>
              <w:jc w:val="left"/>
            </w:pPr>
            <w:r>
              <w:t> </w:t>
            </w:r>
          </w:p>
        </w:tc>
        <w:tc>
          <w:tcPr>
            <w:tcW w:w="1156"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228" w:type="dxa"/>
            <w:tcBorders/>
            <w:vAlign w:val="bottom"/>
          </w:tcPr>
          <w:p>
            <w:pPr>
              <w:pStyle w:val="TableContents"/>
              <w:pBdr>
                <w:top w:val="single" w:sz="2" w:space="1" w:color="000000"/>
              </w:pBdr>
              <w:bidi w:val="0"/>
              <w:spacing w:before="0" w:after="0"/>
              <w:jc w:val="left"/>
            </w:pPr>
            <w:r>
              <w:t> </w:t>
            </w:r>
          </w:p>
        </w:tc>
        <w:tc>
          <w:tcPr>
            <w:tcW w:w="1198" w:type="dxa"/>
            <w:tcBorders/>
            <w:vAlign w:val="bottom"/>
          </w:tcPr>
          <w:p>
            <w:pPr>
              <w:pStyle w:val="TableContents"/>
              <w:pBdr>
                <w:top w:val="single" w:sz="2" w:space="1" w:color="000000"/>
              </w:pBdr>
              <w:bidi w:val="0"/>
              <w:spacing w:before="0" w:after="0"/>
              <w:jc w:val="left"/>
            </w:pPr>
            <w:r>
              <w:t> </w:t>
            </w:r>
          </w:p>
        </w:tc>
        <w:tc>
          <w:tcPr>
            <w:tcW w:w="72"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b/>
          <w:i/>
          <w:sz w:val="20"/>
        </w:rPr>
      </w:pPr>
      <w:r>
        <w:rPr>
          <w:rFonts w:ascii="Times New Roman" w:hAnsi="Times New Roman"/>
          <w:b/>
          <w:i/>
          <w:sz w:val="20"/>
        </w:rPr>
        <w:t xml:space="preserve"># # # </w:t>
      </w:r>
    </w:p>
    <w:p>
      <w:pPr>
        <w:pStyle w:val="TextBody"/>
        <w:bidi w:val="0"/>
        <w:spacing w:before="240" w:after="0"/>
        <w:jc w:val="left"/>
        <w:rPr>
          <w:rFonts w:ascii="Times New Roman" w:hAnsi="Times New Roman"/>
          <w:sz w:val="20"/>
        </w:rPr>
      </w:pPr>
      <w:r>
        <w:rPr>
          <w:rFonts w:ascii="Times New Roman" w:hAnsi="Times New Roman"/>
          <w:b/>
          <w:sz w:val="20"/>
        </w:rPr>
        <w:t xml:space="preserve">SOURCE: </w:t>
      </w:r>
      <w:r>
        <w:rPr>
          <w:rFonts w:ascii="Times New Roman" w:hAnsi="Times New Roman"/>
          <w:sz w:val="20"/>
        </w:rPr>
        <w:t xml:space="preserve">Amdocs Management Limited </w:t>
      </w:r>
    </w:p>
    <w:p>
      <w:pPr>
        <w:pStyle w:val="TextBody"/>
        <w:bidi w:val="0"/>
        <w:spacing w:before="0" w:after="0"/>
        <w:jc w:val="center"/>
      </w:pPr>
      <w:bookmarkStart w:id="4" w:name="d28441dex992.htm"/>
      <w:bookmarkStart w:id="5" w:name="ksd28441dex992"/>
      <w:bookmarkEnd w:id="4"/>
      <w:bookmarkEnd w:id="5"/>
      <w: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Amdocs Limited NASDAQ: DOX Fiscal Q4 2026 Earnings Presentation November 3, 2026 Shimie Hortig President &amp; Chief Executive Officer​ Tal Rozenfeld Chief Financial Officer Exhibit 99.2</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Forward-Looking Statement The information contained herein in this presentation or delivered or to be delivered to you during this presentation does not constitute an offer, expressed or implied, or a recommendation to do any transaction in Amdocs Limited securities or in any securities of its affiliates or subsidiaries. This presentation and the comments made by members of Amdocs management in conjunction with it can be found on the Investor Relations section of our website, and, as always, a copy of today’s prepared remarks will also be posted immediately following the conclusion of this call. This presentation includes information that constitutes forward-looking statements made pursuant to the safe harbor provision of the Private Securities Litigation Reform Act of 1995, including statements about Amdocs’ strategy, including with respect to artificial intelligence and agentic opportunities, growth, financial outlook and business results in future quarters and years. Although we believe the expectations reflected in such forward-looking statements are based upon reasonable assumptions, we can give no assurance that our expectations will be obtained or that any deviations will not be material. Such statements involve risks, uncertainties and other important factors that may cause future results to differ materially from those anticipated. These risks include, but are not limited to, the effects of general macroeconomic conditions, prevailing level of macroeconomic, business and operational uncertainty, including as a result of geopolitical events or other regional events or pandemics, changes to trade policies including tariffs and trade restrictions, as well as the current inflationary environment, and the effects of these conditions on the Company’s customers’ businesses and levels of business activity, including the effect of the current economic uncertainty and industry pressure on the spending decisions of the Company’s customers, Amdocs’ ability to grow in the business markets that it serves, Amdocs’ ability to successfully integrate acquired businesses, adverse effects of market competition, rapid technological shifts that may render the Company’s products and services obsolete, security incidents, including breaches and cyberattacks to our systems and networks and those of our partners or customers, potential loss of a major customer, our ability to develop long-term relationships with our customers, our ability to successfully and effectively implement artificial intelligence and Generative AI in the Company’s offerings and operations,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2025 filed on December 15, 2025, and for the first quarter of fiscal 2026 on February 17, 2026, for the second quarter of fiscal 2026 on May 26. 2026, and for the third quarter of fiscal 2026 on August 18. 2026. This presentation includes non-GAAP financial measures, including non-GAAP operating margin, free cash flow, revenue on a constant currency basis, non-GAAP net income, non-GAAP net income attributable to Amdocs Limited, and non-GAAP earnings per share. Free cash flow equals cash generated by operating activities less net capital expenditures. While in prior years Amdocs used normalized free cash flow, Amdocs is no longer reporting normalized free cash flow. Normalized free cash flow is not comparable to free cash flow.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 Please refer to the appendix for a reconciliation of these metrics to the most comparable GAAP provision. Amdocs believes that these measures provide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 This presentation also includes pro forma metrics which exclude the financial impact of OpenMarket (divested on December 31, 2020) from fiscal year 2021. Please also review the information contained in Amdocs’ press release dated November 3, 2026, with respect to earnings for fiscal Q4 2026. The press release contains additional information regarding Amdocs’ outlook for fiscal year 2027 and certain non-GAAP metrics and their reconciliations.</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Today’s speakers Tal Rozenfeld Chief Financial Officer Shimie Hortig President &amp; Chief Executive Officer</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Agenda Strategy &amp; Business Performance Update Shimie Hortig President &amp; Chief Executive Officer Financial Review &amp; Outlook Tal Rozenfeld Chief Financial Officer Q&amp;A</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President &amp; Chief Executive Officer Shimie Hortig Strategy and Business Performance Update</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Moving Fast Executing Our New Strategy Uniquely positioned to lead our customers in the AI revolution Agentic Telco Operating System (aOS) Expansion into New Vertical Emerging Growth Horizons Core offering for the agentic era Mid-long term growth engine Ideation, incubation, and scaling New Growth Engines Internal Transformation aSDLC | Agentic Operations | New way of working | new role definitions | smaller Tech driven org 2 1 3 4 2 1 3 Agentic Telco Operating System (aOS) Expansion into New Vertical New Growth Horizons 4 Core offering for the agentic era Mid-long growth engine Ideation, incubation, and scaling New Growth Engines Internal Transformation aSDLC | Agentic Operations | New way of working | new role definitions | smaller Tech driven org</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Strategic aOS Agreement with AT&amp;T A major new phase in our longstanding relationship with AT&amp;T 10-year strategic engagement to transform and manage its end-to-end IT ecosystem, leveraging Amdocs agentic telco operating system Expands Amdocs’ footprint in the CALA region and moves beyond traditional IT operations into an AI-driven operating model Demonstrates of our ability to handle highly complex mission critical operations across multiple markets Caribbean Costa Rica Panama Puerto Rico Miami Denver Business value “AI delivers the greatest value when it is grounded in the business, technology and people it supports. By bringing together our shared expertise, we can simplify complex work, improve efficiency, and bring new products and experiences to customers faster.” Eight-year strategic agreement with AT&amp;T to accelerate the transformation of their business by adopting our agentic technology First-of-its-kind journey which we believe should be the leading approach for AI adoption in the telco market Jeremy Legg, AT&amp;T Chief Technology officer AI delivers the greatest value when it is grounded in the business, technology and people it supports. By bringing together our shared expertise, we can simplify complex work, improve efficiency, and bring new products and experiences to customers faster Jeremy Legg, AT&amp;T Chief Technology officer </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Three New Strategic aOS Agreements 10-year strategic engagement to transform and manage its end-to-end IT ecosystem, leveraging Amdocs agentic telco operating system Expands Amdocs’ footprint in the CALA region and moves beyond traditional IT operations into an AI-driven operating model Demonstrates of our ability to handle highly complex mission critical operations across multiple markets Caribbean Costa Rica Panama Puerto Rico Miami Denver Business value 10-year strategic agreement to agentify VEON’s operations, customer experiences and digital services Expands our presence across the Eurasia region 10-year strategic engagement to transform and manage its end-to-end IT ecosystem Meaningful expansion of Amdocs’ footprint in the CALA region Announced last quarter Multi-year agreement to modernize core business platforms and strengthen IT operations by leveraging Amdocs aOS Agentic business workflows Powered by aOS, Amdocs will consolidate and upgrade multiple legacy systems onto a single Amdocs enterprise technology stack Provide agentic capabilities across delivery and operations </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10-year strategic engagement to transform and manage its end-to-end IT ecosystem, leveraging Amdocs agentic telco operating system Expands Amdocs’ footprint in the CALA region and moves beyond traditional IT operations into an AI-driven operating model Demonstrates of our ability to handle highly complex mission critical operations across multiple markets Caribbean Costa Rica Panama Puerto Rico Miami Denver Strong Sales Momentum Key milestones Key wins Equipment Identity Integratel Peru Managed Services Magyar Telecom Modernization Xfinity Mobile &amp; Comcast Business Managed Services Airtel India Managed Services eSIM Billing Modernization Millicom Chile Modernization</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Entering FY28 with mid-single digit revenue growth and double-digit shareholder return Insurance industry shares the same characteristics that have defined Amdocs’ success in telecommunications Creating a differentiated offering for insurers Significantly expanding our addressable market Insurance providers need to transform and adopt AI capabilities across their core operations and business workflows. New Vertical Expansion Amdocs Entering the Insurance Industry Amdocs intends to become the partner of choice, leading insurers in their agentic journey Insurance is a large and growing market Insurance providers need to transform and adopt AI capabilities Create a differentiated offering Similar characteristics that have defined Amdocs’ success in Telco </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Dozens of customers globally, including: Entering FY28 with mid-single digit revenue growth and double-digit shareholder return Modern, agentic multi-line core platform Spanning policy, billing, claims and customer engagement Deep insurance expertise in both Life &amp; Annuities and Property &amp; Casualty Add small thing here ~700 employees Purchase Price: $xxxm HQ: San-Francisco ~700 employees Purchase Price: $340M HQ: San-Francisco A global insurance technology provider ACQUISITION OF EIS We are pleased to announce the Expansion into Insurance Amdocs’ first and important step into the insurance software industry Amdocs’ aOS technology, scale, engineering pedigree, transformation track-record and accountability mode EIS’ advanced technology, deep vertical expertise Amdocs’ first and important step into the insurance software industry A global insurance technology provider Amdocs’ aOS technology, scale, track-record and accountability EIS’ technology, vertical expertise, strong customer base ACQUISITION OF EIS</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4 Sharpening Amdocs’ Strategic Focus Focused strategy is also about deciding what not to pursue These initiatives are all designed to focus the company and build a healthier, stronger new base for our agentic strategy Optimized products and services End or minimize investments in legacy products Sale of Media business to Cease business that cannot be converted to agentic offerings Cease / minimize business &amp; operation in certain territories </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Successful adoption across ~10,000 engineers and ~800 hubs Secured context, harness and workflow for aSDLC Hands-on agentic experience including training, certification, knowledge sharing 10C Upgrade + Cognitive Core + MGS Extension – Rolled-over to Q4 Managed GenAI Transformation - delays in signing DA aOS / eSIM / Digital and extension AI Managed Services – Rolled-over to Q4 MGS Openet MGS + Mobile Billing Transformation MGS Renewal MGS Renewal UK Tracker - Internal Transformation Accelerating Internal Transformation Advanced aSDLC platform New Agentic Way of Working Agentic culture &amp; DNA Token Economics Laid down essential infrastructure for allocation policy, cost control and optimization Knowledge Work Extended program beyond engineering for early adopters Inception of aSDLC platform WoW rollout: successful adoption across 10,000 workers and 800 hubs Agentic culture &amp; DNA: hands on agentic experience including training, certification, conferences, meetups Tokenomics: laid down essential infrastructure for allocation policy, cost control and optimization Knowledge Work: extended program beyond engineering for early adopters (everyone is a builder) </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T-Mobile Update Entering FY28 with mid-single digit revenue growth and double-digit shareholder return Reduced discretionary spending Completion of the large-scale integration project of the UScellular customers into T-Mobile in FY’26 Dispute concerning the recently signed agreements with T-Mobile, escalating into a legal dispute during the last quarter These circumstances have been taken into consideration in forming our conservative guidance assumptions for fiscal 2027 This is a unique situation involving one customer and does not reflect the rest of the business, which continues showing growth Reduced discretionary spending Completion of the large-scale integration project of the USCellular customers into T-Mobile in FY’26 Dispute concerning the recently signed agreements with T-Mobile, escalating into a legal dispute during the last quarter These circumstances have been taken into consideration in forming our conservative guidance assumptions for fiscal 2027 This is an isolated situation involving one customer and does not reflect the rest of the business, which is expected to grow mid-single digits in FY2027 </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2 PART Fiscal 2027 Outlook Non-GAAP EPS Growth3 (30.0)% - (26.0)% Non-GAAP operating margin3 19.2% - 19.8% Revenue Growth1,2 (11.0)% - (7.0)% YoY1 For comparison purposes, pro forma adjusts fiscal year 2026 revenue by approximately $360 million to reflect the exit of non-strategic business activities relating to the resale of hardware activities, and the divestiture of the media business; these activities substantially already ceased in the first quarter fiscal 2027 Constant currency. Assumes exchange rates in the current period were unchanged from the prior period Non-GAAP. See reconciliation tables in appendix </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Fiscal 2028 Expectations Mid-single digit revenue growth Expected high single-digit Non-GAAP1 EPS growth Our growing strategic momentum will position us to return to growth and improved profitability aOS momentum and expanding pipeline of customer opportunities The expansion of our addressable market into insurance Our internal transformation We will be an even stronger, more focused company, positioned to lead in the agentic era aOS momentum and traction of our strategy The expansion of addressable market into insurance Our internal transformation Non-GAAP. See reconciliation tables in appendix Steadily rising dividend</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Chief Financial Officer Tal Rozenfeld Financial Review &amp; Outlook</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Constant currency. Assumes exchange rates in the current period were unchanged from the prior period Non-GAAP. See reconciliation tables in appendix Revenue $1,194m +3.8% YoY as reported +4.0% YoY constant currency(1) Non-GAAP(2) Operating Margin $1.98, above guidance midpoint of $1.94 – $2.00 GAAP Diluted EPS $1.35, incl. $0.22 restructuring charges. Ex- restructuring, GAAP diluted EPS was above guidance ($1.48 - $1.56) Non-GAAP(2) Diluted EPS 21.6% Unchanged QoQ Key Metrics: Q4 2026 Revenue vs. Guidance $ Millions Revenue was in line with the guidance midpoint in constant currency Free cash flow(2) of $202M before restructuring payments in Q4 Q4 FY2026 Financial Results </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FY2026 Financial Results Constant currency. Assumes exchange rates in the current period were unchanged from the prior period Non-GAAP. See reconciliation tables in appendix Revenue $4,697m +3.6% YoY as reported +3.0% YoY constant currency(1), inline with the guidance midpoint Non-GAAP(2) Operating Margin $7.41, +6% YOY In line with guidance midpoint (5.5% – 6.5%) GAAP Diluted EPS $4.68, -7.3% YoY including a $1.30 restructuring charge Non-GAAP(2) Diluted EPS 21.6% +20 bps YoY, in line with FY2026 guidance midpoint Key Metrics: Revenue by Geography $ Millions, as reported $729m before restructuring payments of $167m, and in line with guidance ($710 – $730m) Free Cash Flow (2) +0.6% YoY +8% YoY +11% YoY</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Managed Services Supporting visibility and business resilience ~64% of FY 2026 revenue, as compared to 66% and 58% in FY2025 and FY2024, respectively Managed Services Revenue 8-year strategic aOS agreement 10-year strategic agreement to agentify VEON’s operations Key Managed Services Wins: Q4 FY2026 FY2026: ~1% YoY 10-year strategic engagement to transform and manage end-to-end IT ecosystem through aOS Multi-year agreement to modernize core business platforms and strengthen IT, leveraging Amdocs aOS Renewed multi-year agreement across Xfinity Mobile and Comcast Business Expanded agreement to modernize B2B operations Multi-year agreement to accelerate modernization and business agility $ Millions</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Balance Sheet &amp; Cash Flow Cash, Credit Facility &amp; Debt Position $ Millions, as of September 30, 2026 Cash + Available Credit Facility $697 million Committed to maintaining our Investment grade credit rating Baa1 Moody’s BBB S&amp;P Available credit facility as of 9/30 Cash (3) DSO’s 83 days +9 days YoY and +5 days QoQ DSO’s may fluctuate from quarter to quarter Unbilled receivables net of deferred revenue increased by $95 million compared to a year ago and by $61 million sequentially in Q4, aggregating the short-term and long-term balances The net difference between unbilled receivables and deferred revenue fluctuates from quarter to quarter, in line with normal business activities as well as progress on multi-year transformation programs FY 2026 Free cash flow(1) bridge FCF before restructuring payments of $167M was $729M in FY 2026 (2) Non-GAAP. See reconciliation tables in appendix Short-term financing arrangements as of September 30, 2026: $800M revolving credit facility undrawn; $300M outstanding notes through U.S. Commercial Paper leaving available credit facility capacity of $500M $650M senior note, maturing June 2030 * * (2) In October 2026, Amdocs secured two term loans for an aggregate amount of $500M</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FY2027 Revenue Outlook For comparison purposes, pro forma adjusts fiscal year 2026 revenue by approximately $360 million to reflect the exit of non-strategic business activities relating to the resale of hardware activities, and the divestiture of the media business; these activities substantially already ceased in the first quarter fiscal 2027 Constant currency. Assumes exchange rates in the current period were unchanged from the prior period $4,697 Revenue Growth FY2027E As Reported (17.9)% - (14.3%) YoY Pro Forma(1) Constant Currency(2) (11.0)% - (7.0%) YoY Excluding T-Mobile Pro Forma(1) Constant Currency(2) Mid-single digit growth Revenue: $Millions</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Telco headwinds are materializing: Flat ARPU, minimal growth, intense competition Agentic Delivery Agentic Governance Agentic Operations Agentic Core BSS/OSS Agentic Orchestraion Our goal Become the primary partner of choice to our customers in their Agentic journey Create a tailored path for every customer from any starting point This quarter we announced the sale of Vubiquity to Premiere Digital, a leading media services and technology solutions company Why we made this decision 1. As the media industry continues to evolve, we believe Vubiquity will be best positioned to grow in an organization where media services and content operations are at the center of the business and its investment priorities 2. At the same time, we are increasingly focused on the priorities at the heart of Amdocs’ strategy Tracker - Internal Transformation 12-Month Backlog &amp; Forward Visibility 12-Month backlog: FY2024-FY2026 12-month backlog includes: Anticipated revenue related to contracts Estimated revenue from managed services contracts Letters of intent Maintenance Estimated ongoing support activities 12-month backlog declined 9.6% YoY and 9.6% QOQ on a pro forma(1) basis, mainly attributable to T-Mobile Excluding T-Mobile, 12-month backlog grew mid-single digits from a year ago on a pro forma basis 12-month backlog equates to roughly ~90% of expected FY2027 revenue For comparison purposes, pro forma adjusts fiscal year 2025 12-month backlog by approximately $320 million to reflect the exit of non-strategic business activities relating to the resale of hardware activities, and the divestiture of the media business; these activities substantially already ceased in the first quarter fiscal 2027 $ Millions (1)</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FY2027 Profitability Outlook Non-GAAP(1) operating margin will begin FY2027 well below the 19.5% midpoint of the annual guidance, but will consistently improve as the year progresses such that by Q4, profitability will be at the higher end of the annual guidance range Non-GAAP. See reconciliation tables in appendix Refer to https://investors.amdocs.com/ and earnings reports issued on 11/12/2024, 11/11/2025 and 11/3/2026 for reconciliation of non-GAAP operating margin in FY2024 FY2025 and FY2026 Non-GAAP(1) Operating Margin: FY2024-FY2027E 19.8% 19.2% Productivity gains from internal agentic transformation Exit of low-margin, non-core hardware related activities Profitability Headwinds T-Mobile situation Investment to accelerate aOS and agentic growth strategy Investing in our Insurance vertical Profitability Tailwinds</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Telco headwinds are materializing: Flat ARPU, minimal growth, intense competition Agentic Delivery Agentic Governance Agentic Operations Agentic Core BSS/OSS Agentic Orchestraion Our goal Become the primary partner of choice to our customers in their Agentic journey Create a tailored path for every customer from any starting point This quarter we announced the sale of Vubiquity to Premiere Digital, a leading media services and technology solutions company Why we made this decision 1. As the media industry continues to evolve, we believe Vubiquity will be best positioned to grow in an organization where media services and content operations are at the center of the business and its investment priorities 2. At the same time, we are increasingly focused on the priorities at the heart of Amdocs’ strategy Tracker - Internal Transformation FY2027 Free Cash Flow Outlook &amp; Capital Allocation % FCF(1)(2)(3)/ Non-GAAP Net Income(1) FCF ($M) (1)(2)(3) % of FCF(1) (2)(3) Returned to Shareholders FCF: Three-year historical trend and FY2027E outlook (Guidance) $142M Returned to shareholders in Q4 ~$0.5B aggregate remaining share repurchase authorization Board authorized new quarterly dividend payment: 58.6 cents, +3% New payment subject to shareholder approval at Amdocs’ annual meeting in January 2027, with first payment anticipated in April 2027 Share Repurchase Authorization FY 2027 free cash flow(1) target: $440-$500M (before restructuring payments) ~7% Free cash flow yield(3) Non-GAAP. See appendix tables for reconciliation of FCF FY2024, FY2025 and FY2026, exclude restructuring payments of ~$75M.~$90M, and $167M respectively Yield = expected free cash flow of $470M, the mid point of FY2027 FCF guidance before restructuring payments, as a percentage of Amdocs’ market capitalization as of 11/3/2026 FY2027E guidance: return majority Q4F26</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Telco headwinds are materializing: Flat ARPU, minimal growth, intense competition Agentic Delivery Agentic Governance Agentic Operations Agentic Core BSS/OSS Agentic Orchestraion Our goal Become the primary partner of choice to our customers in their Agentic journey Create a tailored path for every customer from any starting point This quarter we announced the sale of Vubiquity to Premiere Digital, a leading media services and technology solutions company Why we made this decision 1. As the media industry continues to evolve, we believe Vubiquity will be best positioned to grow in an organization where media services and content operations are at the center of the business and its investment priorities 2. At the same time, we are increasingly focused on the priorities at the heart of Amdocs’ strategy Tracker - Internal Transformation Financial Outlook: FY2027E Full Year Fiscal 2027 Outlook Revenue Growth, As Reported (17.9)% - (14.3)% YoY Revenue Growth, Pro Forma(1) Constant Currency(2) (11.0)% - (7.0%) YoY Non-GAAP(3) Operating Margin 19.2% - 19.8% Non-GAAP(3) EPS growth (30.0)% - (26.0)% Non-GAAP(3) Effective Tax Rate 16.0% - 19.0% Free Cash Flow(3) $440-$500 million For comparison purposes, pro forma adjusts fiscal year 2026 revenue by approximately $360 million to reflect the exit of non-strategic business activities relating to the resale of hardware activities, and the divestiture of the media business; these activities substantially already ceased in the first quarter fiscal 2027 Revenue on a constant currency basis assumes exchange rates in the current period were unchanged from the prior period Non-GAAP. See reconciliation tables in appendix</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Fiscal 2028 Expectations Our growing strategic momentum will position us to return to growth and improved profitability aOS momentum and expanding pipeline of customer opportunities The expansion of our addressable market into insurance Our internal transformation We will be a stronger, more focused company, positioned to lead in the agentic era aOS momentum and traction of our strategy The expansion of addressable market into insurance Our internal transformation Non-GAAP. See reconciliation tables in appendix Mid-single digit revenue growth Expected high single-digit Non-GAAP(1) EPS growth Steadily rising dividend </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Q&amp;A</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Telco headwinds are materializing: Flat ARPU, minimal growth, intense competition Agentic Delivery Agentic Governance Agentic Operations Agentic Core BSS/OSS Agentic Orchestraion Our goal Become the primary partner of choice to our customers in their Agentic journey Create a tailored path for every customer from any starting point This quarter we announced the sale of Vubiquity to Premiere Digital, a leading media services and technology solutions company Why we made this decision 1. As the media industry continues to evolve, we believe Vubiquity will be best positioned to grow in an organization where media services and content operations are at the center of the business and its investment priorities 2. At the same time, we are increasingly focused on the priorities at the heart of Amdocs’ strategy Tracker - Internal Transformation Non-GAAP. See reconciliation tables in appendix For comparison purposes, pro forma adjusts fiscal year 2026 revenue by approximately $360 million to reflect the exit of non-strategic business activities relating to the resale of hardware activities, and the divestiture of the media business; these activities substantially already ceased in the first quarter fiscal 2027 Revenue on a constant currency basis assumes exchange rates in the current period were unchanged from the prior period Q1 Fiscal 2027 Outlook Revenue $955 - $995 million GAAP EPS $0.81-$0.89 Non-GAAP(1) EPS $1.27 - $1.33 Share Count 103.6 million Tax Non-GAAP effective tax rate within the annual guidance range of 16.0%-19.0% Full Year Fiscal 2027 Outlook Revenue growth As reported (17.9)% - (14.3)% Revenue growth Pro Forma(2) Constant currency(3) (11.0)% - (7.0)% GAAP EPS Growth (25.0)%-(17.0)% Non-GAAP(1) EPS growth (30.0)% - (26.0)% Operating Margin Non-GAAP(1) 19.2% - 19.8% Effective Tax Rate Non-GAAP(1) 16.0% - 19.0% Free Cash Flow(1) $440-$500 million Q1 &amp; FY2027 Outlook</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 Outlook &amp; Reconciliation Tables</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Tables The amounts under "Purchase of property and equipment, net", include immaterial proceeds from sale of property and equipment.</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Tables</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Tables</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3657600" cy="20574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3657600" cy="2057400"/>
                    </a:xfrm>
                    <a:prstGeom prst="rect">
                      <a:avLst/>
                    </a:prstGeom>
                  </pic:spPr>
                </pic:pic>
              </a:graphicData>
            </a:graphic>
          </wp:inline>
        </w:drawing>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9756</Words>
  <Characters>56504</Characters>
  <CharactersWithSpaces>68932</CharactersWithSpaces>
  <Paragraphs>4455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