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For the month of April, 2010</w:t>
      </w:r>
    </w:p>
    <w:p>
      <w:pPr>
        <w:spacing w:after="0" w:line="225"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50"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w:t>
      </w:r>
    </w:p>
    <w:p>
      <w:pPr>
        <w:spacing w:after="0" w:line="21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211"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80"/>
        <w:spacing w:after="0" w:line="207" w:lineRule="exact"/>
        <w:tabs>
          <w:tab w:leader="none" w:pos="60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98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334010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522" w:right="1039" w:bottom="1440" w:gutter="0" w:footer="0" w:header="0"/>
        </w:sectPr>
      </w:pPr>
    </w:p>
    <w:bookmarkStart w:id="1" w:name="page2"/>
    <w:bookmarkEnd w:id="1"/>
    <w:p>
      <w:pPr>
        <w:jc w:val="both"/>
        <w:ind w:firstLine="225"/>
        <w:spacing w:after="0" w:line="277" w:lineRule="auto"/>
        <w:rPr>
          <w:sz w:val="20"/>
          <w:szCs w:val="20"/>
          <w:color w:val="auto"/>
        </w:rPr>
      </w:pPr>
      <w:r>
        <w:rPr>
          <w:rFonts w:ascii="Arial" w:cs="Arial" w:eastAsia="Arial" w:hAnsi="Arial"/>
          <w:sz w:val="18"/>
          <w:szCs w:val="18"/>
          <w:color w:val="auto"/>
        </w:rPr>
        <w:t>On April 22, 2010, Amdocs Limited (“Amdocs”) issued a press release announcing financial results for the quarter ended March 31, 2010. A copy of the press release is furnished as Exhibit 99.1 to this Report of Foreign Private Issuer on Form 6-K.</w:t>
      </w:r>
    </w:p>
    <w:p>
      <w:pPr>
        <w:spacing w:after="0" w:line="62"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Thomas G. O’Brien</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-130810</wp:posOffset>
            </wp:positionV>
            <wp:extent cx="25730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58" w:right="39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3810</wp:posOffset>
            </wp:positionV>
            <wp:extent cx="6491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April 22, 2010.</w:t>
      </w:r>
    </w:p>
    <w:p>
      <w:pPr>
        <w:sectPr>
          <w:pgSz w:w="11900" w:h="16838" w:orient="portrait"/>
          <w:cols w:equalWidth="0" w:num="1">
            <w:col w:w="10219"/>
          </w:cols>
          <w:pgMar w:left="240" w:top="96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223520</wp:posOffset>
            </wp:positionV>
            <wp:extent cx="5977255" cy="454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7725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Quarterly Revenue of $744 Million, up 4.6% YoY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$700 Million Share Repurchase Program Authorized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17" w:lineRule="exact"/>
        <w:rPr>
          <w:sz w:val="20"/>
          <w:szCs w:val="20"/>
          <w:color w:val="auto"/>
        </w:rPr>
      </w:pPr>
    </w:p>
    <w:p>
      <w:pPr>
        <w:ind w:left="660" w:right="680" w:hanging="436"/>
        <w:spacing w:after="0" w:line="342" w:lineRule="auto"/>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Second fiscal quarter revenue of $744 million, compared to the $730-$750 million guidance range. Foreign currency movements negatively impacted revenue by approximately $6 million relative to the Company’s expectations when it issued guidance on January 20, 2010</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Second quarter non-GAAP operating income of $135 million; non-GAAP operating margin of 18.2%; GAAP operating income of $103 million</w:t>
      </w:r>
    </w:p>
    <w:p>
      <w:pPr>
        <w:spacing w:after="0" w:line="142" w:lineRule="exact"/>
        <w:rPr>
          <w:rFonts w:ascii="Arial" w:cs="Arial" w:eastAsia="Arial" w:hAnsi="Arial"/>
          <w:sz w:val="17"/>
          <w:szCs w:val="17"/>
          <w:b w:val="1"/>
          <w:bCs w:val="1"/>
          <w:color w:val="auto"/>
        </w:rPr>
      </w:pPr>
    </w:p>
    <w:p>
      <w:pPr>
        <w:ind w:left="660" w:right="100" w:hanging="436"/>
        <w:spacing w:after="0" w:line="264"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Second quarter diluted non-GAAP EPS of $0.56, excluding amortization of purchased intangible assets and other acquisition related costs, impairment on investment in a subsidiary, and equity-based compensation expense, net of related tax effects, compared to the $0.52-$0.56 guidance range</w:t>
      </w:r>
    </w:p>
    <w:p>
      <w:pPr>
        <w:spacing w:after="0" w:line="86"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Diluted GAAP EPS of $0.33 for the second quarter, lower than the $0.40-$0.45 guidance range due to a $0.10 one-time charge resulting from the impairment of the Company’s investment in Longshine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Free cash flow of $148 million for the second quarter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Twelve-month backlog of $2.46 billion at the end of the second quarter, up $35 million from the end of the first quarter of 2010</w:t>
      </w:r>
    </w:p>
    <w:p>
      <w:pPr>
        <w:spacing w:after="0" w:line="130"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Third fiscal quarter of 2010 guidance: Expected revenue of approximately $750-$765 million and diluted non-GAAP EPS of $0.55-$0.58, excluding acquisition-related costs and approximately $0.04-$0.05 per share of equity-based compensation expense, net of related tax effects. Diluted GAAP EPS is expected to be approximately $0.41-$0.46</w:t>
      </w:r>
    </w:p>
    <w:p>
      <w:pPr>
        <w:spacing w:after="0" w:line="86"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board of directors has authorized a share repurchase plan allowing the repurchase of up to $700 million of ordinary shares over the next twelve months</w:t>
      </w:r>
    </w:p>
    <w:p>
      <w:pPr>
        <w:spacing w:after="0" w:line="5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St. Louis, MO — April 22, 2010 </w:t>
      </w:r>
      <w:r>
        <w:rPr>
          <w:rFonts w:ascii="Arial" w:cs="Arial" w:eastAsia="Arial" w:hAnsi="Arial"/>
          <w:sz w:val="18"/>
          <w:szCs w:val="18"/>
          <w:color w:val="auto"/>
        </w:rPr>
        <w:t>— Amdocs Limited (NYSE: DOX) today reported that for its second fiscal quarter of 2010 ended March 31, 2010,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was $744.0 million, up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sequentially from the first fiscal quarter of 2010 and up 4.6% as compared to last year’s second fiscal quarter. Net income on a non-GAAP basis was</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$116.9 million, or $0.56 per diluted share, compared to non-GAAP net income of $104.9 million, or $0.50 per diluted share, in the second quarter of fiscal 2009. Non-GAAP net income excludes amortization of purchased intangible assets and other acquisition related costs, impairment on investment in a subsidiary and equity-based compensation expense of $48.3 million, net of related tax effects, in the second quarter of fiscal 2010 and excludes such amortization, and equity-based compensation expense of $24.2 million, net of related tax effects, in the second quarter of fiscal 2009. The Company’s GAAP net income for the second quarter of fiscal 2010 was $68.6 million, or $0.33 per diluted share, compared to GAAP net income of $80.6 million, or $0.39 per diluted share, in the prior year’s second quarter.</w:t>
      </w:r>
    </w:p>
    <w:p>
      <w:pPr>
        <w:spacing w:after="0" w:line="8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very pleased with our performance in the second fiscal quarter, and we believe our results and outlook are evidence of our competitive advantages which are, in turn, driving improved new project activity globally and continued strength in managed services and cable/satellite. Our CES 8 product launch has begun to resonate in the market and is now providing Amdocs an incremental tailwind for demand for our products and services, compounding on the effects of improving economic conditions,” said Dov Baharav, chief executive officer of Amdocs Management Limited.</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Baharav continued, “Additionally, in our ongoing effort to align the business with the greatest opportunities in the market and augment our core strategies through focused corporate development actions, we made several important decisions recently. First, we acquired MX Telecom to continue building our presence in mobile payments and expand the OpenMarket footprint outside of the US. Second, we just signed an agreement this week to acquire Streamezzo, a mobile internet application development platform, to broaden our solutions in digital services delivery, and we expect to close the transaction during the third quarter, subject to customary closing conditions. Last, we believe we have better aligned our strategy to the specific needs of Chinese service providers by divesting a majority stake in Longshine.”</w:t>
      </w:r>
    </w:p>
    <w:p>
      <w:pPr>
        <w:spacing w:after="0" w:line="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Baharav concluded, “As a result of the trends we are observing in the business, we believe we can achieve at least the 1-2% sequential quarterly revenue growth (in constant currency) we had previously planned for throughout the remainder of fiscal 2010. Additionally,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6" w:name="page7"/>
    <w:bookmarkEnd w:id="6"/>
    <w:p>
      <w:pPr>
        <w:ind w:right="600"/>
        <w:spacing w:after="0" w:line="277" w:lineRule="auto"/>
        <w:rPr>
          <w:sz w:val="20"/>
          <w:szCs w:val="20"/>
          <w:color w:val="auto"/>
        </w:rPr>
      </w:pPr>
      <w:r>
        <w:rPr>
          <w:rFonts w:ascii="Arial" w:cs="Arial" w:eastAsia="Arial" w:hAnsi="Arial"/>
          <w:sz w:val="18"/>
          <w:szCs w:val="18"/>
          <w:color w:val="auto"/>
        </w:rPr>
        <w:t>Board has authorized a $700 million share repurchase program given the strength of our capital position and our confidence in the long-term growth opportunities for Amdocs.”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Second Fiscal Quarter Results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Free cash flow was $148 million for the quarter, comprised of cash flow from operations of $165 million less approximately $17 million in net capital expenditures and other.</w:t>
      </w:r>
    </w:p>
    <w:p>
      <w:pPr>
        <w:spacing w:after="0" w:line="62"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Twelve-month backlog, which includes anticipated revenue related to contracts, estimated revenue from managed services contracts, letters of intent, maintenance and estimated on-going support activities, was $2.46 billion at the end of the second quarter of fiscal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Amdocs expects that revenue for the third quarter of fiscal 2010 will be approximately $750-$765 million. Amdocs expects diluted earnings per share on a non-GAAP basis for the third quarter to be $0.55-$0.58, excluding acquisition-related costs and approximately $0.04-$0.05 per share of equity-based compensation expense, net of related tax effects. Amdocs estimates GAAP diluted earnings per share for the third quarter will be $0.41-$0.46.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Amdocs Limited’s board of directors has authorized a share repurchase plan allowing the repurchase of up to $700 million of its outstanding ordinary shares over the next twelve months. The authorization permits Amdocs to purchase its ordinary shares in open market or privately negotiated transactions at times and prices considered appropriate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Streamezzo</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Streamezzo is a provider of a development platform for the creation and the deployment of Rich Mobile Internet Applications across multiple mobile operating systems and devices. Streamezzo’s Rich Mobile Internet Applications, such as Mobile TV, Music store, and StoreFront, provide attractive revenue opportunities for mobile operators, content providers, and application developers.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Amdocs will host a conference call on April 22, 2010 at 5 p.m. Eastern Time to discuss the Company’s second quarter results. The call will be carried live on the Internet via the Amdocs website, www.amdocs.com.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income taxes and non-GAAP net income. These non-GAAP measures exclude the following items:</w:t>
      </w:r>
    </w:p>
    <w:p>
      <w:pPr>
        <w:spacing w:after="0" w:line="73"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amortization of purchased intangible assets and other acquisition related costs;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in-process research and development write-off;</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restructuring charges;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impairment on investment in a subsidiary;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tax effects related to the above.</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income taxes and non-GAAP net income, when shown in conjunction with the corresponding GAAP measures, provides useful information to investors and management regarding financial and business trends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8" w:name="page9"/>
    <w:bookmarkEnd w:id="8"/>
    <w:p>
      <w:pPr>
        <w:ind w:right="540"/>
        <w:spacing w:after="0" w:line="277" w:lineRule="auto"/>
        <w:rPr>
          <w:sz w:val="20"/>
          <w:szCs w:val="20"/>
          <w:color w:val="auto"/>
        </w:rPr>
      </w:pPr>
      <w:r>
        <w:rPr>
          <w:rFonts w:ascii="Arial" w:cs="Arial" w:eastAsia="Arial" w:hAnsi="Arial"/>
          <w:sz w:val="18"/>
          <w:szCs w:val="18"/>
          <w:color w:val="auto"/>
        </w:rPr>
        <w:t>its financial condition and results of operations, as well as the net amount of cash generated by its business operations after taking into account capital spending required to maintain or expand the business.</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its internal budgeting process and in monitoring the results of the business, Amdocs’ management uses financial statements that do not include amortization of purchased intangible assets, in-process research and development write-off, restructuring charges,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Amdocs is the market leader in customer experience systems innovation. The company combines business and operational support systems, service delivery platforms, proven services, and deep industry expertise to enable service providers and their customers to do more in the connected world. Amdocs’ offerings help service providers explore new business models, differentiate through personalized customer experiences, and streamline operations. A global company with revenue of $2.86 billion in fiscal 2009, Amdocs has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18,000 employees and serves customers in more than 60 countries worldwide. For more information, visit Amdocs at www.amdocs.com.</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2009 filed on December 7, 2009 and in our quarterly 6-K filed February 8, 2010.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right"/>
              <w:ind w:right="97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License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25,949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70"/>
              <w:spacing w:after="0"/>
              <w:rPr>
                <w:sz w:val="20"/>
                <w:szCs w:val="20"/>
                <w:color w:val="auto"/>
              </w:rPr>
            </w:pPr>
            <w:r>
              <w:rPr>
                <w:rFonts w:ascii="Arial" w:cs="Arial" w:eastAsia="Arial" w:hAnsi="Arial"/>
                <w:sz w:val="18"/>
                <w:szCs w:val="18"/>
                <w:color w:val="auto"/>
              </w:rPr>
              <w:t>37,203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50,099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718,020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w w:val="89"/>
              </w:rPr>
              <w:t>673,881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1,418,681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1,383,119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743,969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711,084</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1,468,780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1,464,923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745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7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475,440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w w:val="89"/>
              </w:rPr>
              <w:t>455,997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937,655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51,190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70"/>
              <w:spacing w:after="0"/>
              <w:rPr>
                <w:sz w:val="20"/>
                <w:szCs w:val="20"/>
                <w:color w:val="auto"/>
              </w:rPr>
            </w:pPr>
            <w:r>
              <w:rPr>
                <w:rFonts w:ascii="Arial" w:cs="Arial" w:eastAsia="Arial" w:hAnsi="Arial"/>
                <w:sz w:val="18"/>
                <w:szCs w:val="18"/>
                <w:color w:val="auto"/>
              </w:rPr>
              <w:t>52,750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101,296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84,308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183,608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21,439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70"/>
              <w:spacing w:after="0"/>
              <w:rPr>
                <w:sz w:val="20"/>
                <w:szCs w:val="20"/>
                <w:color w:val="auto"/>
              </w:rPr>
            </w:pPr>
            <w:r>
              <w:rPr>
                <w:rFonts w:ascii="Arial" w:cs="Arial" w:eastAsia="Arial" w:hAnsi="Arial"/>
                <w:sz w:val="18"/>
                <w:szCs w:val="18"/>
                <w:color w:val="auto"/>
              </w:rPr>
              <w:t>21,501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42,758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640,842</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615,125</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1,266,504</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1,287,695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103,127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95,959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202,276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177,228</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22,761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70"/>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23,476</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80,366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90,196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173,700</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11,816</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70"/>
              <w:spacing w:after="0"/>
              <w:rPr>
                <w:sz w:val="20"/>
                <w:szCs w:val="20"/>
                <w:color w:val="auto"/>
              </w:rPr>
            </w:pPr>
            <w:r>
              <w:rPr>
                <w:rFonts w:ascii="Arial" w:cs="Arial" w:eastAsia="Arial" w:hAnsi="Arial"/>
                <w:sz w:val="18"/>
                <w:szCs w:val="18"/>
                <w:color w:val="auto"/>
              </w:rPr>
              <w:t>9,566</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21,897</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18,823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80,630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154,877</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660" w:type="dxa"/>
            <w:vAlign w:val="bottom"/>
          </w:tcPr>
          <w:p>
            <w:pPr>
              <w:jc w:val="right"/>
              <w:ind w:right="490"/>
              <w:spacing w:after="0"/>
              <w:rPr>
                <w:sz w:val="20"/>
                <w:szCs w:val="20"/>
                <w:color w:val="auto"/>
              </w:rPr>
            </w:pPr>
            <w:r>
              <w:rPr>
                <w:rFonts w:ascii="Arial" w:cs="Arial" w:eastAsia="Arial" w:hAnsi="Arial"/>
                <w:sz w:val="18"/>
                <w:szCs w:val="18"/>
                <w:color w:val="auto"/>
                <w:w w:val="8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shares outstanding</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206,025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203,827*</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205,724</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203,701*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207,691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w w:val="91"/>
              </w:rPr>
              <w:t>210,645*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207,174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00" w:hanging="452"/>
        <w:spacing w:after="0" w:line="30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basic and diluted weighted average number of shares outstanding for the three and six months ended March 31, 2009 have been retroactively adjusted to reflect the adoption of new Earnings Per Share authoritative guidance requiring the inclusion of unvested share-based payment awards containing nonforfeiture rights to dividends or dividend equivalents in the calculation of basic weighted average number of shares outstanding. This adjustment had no impact on the basic and diluted earnings per share for the three and six months ended 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5"/>
          </w:tcPr>
          <w:p>
            <w:pPr>
              <w:jc w:val="right"/>
              <w:ind w:right="8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743,969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6"/>
              </w:rPr>
              <w:t>711,084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7"/>
              </w:rPr>
              <w:t>1,468,780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7"/>
              </w:rPr>
              <w:t>1,464,923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135,284</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w w:val="86"/>
              </w:rPr>
              <w:t>127,977</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266,605</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263,697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116,870</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6"/>
              </w:rPr>
              <w:t>104,875</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229,997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221,125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0.56</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0.50*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1.11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207,691</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1"/>
              </w:rPr>
              <w:t>210,645*</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207,174</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211,857*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300" w:hanging="452"/>
        <w:spacing w:after="0" w:line="30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basic and diluted weighted average number of shares outstanding for the three and six months ended March 31, 2009 have been retroactively adjusted to reflect the adoption of new Earnings Per Share authoritative guidance requiring the inclusion of unvested share-based payment awards containing nonforfeiture rights to dividends or dividend equivalents in the calculation of basic weighted average number of shares outstanding. This adjustment had no impact on the basic and diluted earnings per share for the three and six months ended 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20" w:type="dxa"/>
            <w:vAlign w:val="bottom"/>
            <w:gridSpan w:val="3"/>
          </w:tcPr>
          <w:p>
            <w:pPr>
              <w:jc w:val="right"/>
              <w:ind w:right="83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994"/>
              <w:spacing w:after="0"/>
              <w:rPr>
                <w:sz w:val="20"/>
                <w:szCs w:val="20"/>
                <w:color w:val="auto"/>
              </w:rPr>
            </w:pPr>
            <w:r>
              <w:rPr>
                <w:rFonts w:ascii="Arial" w:cs="Arial" w:eastAsia="Arial" w:hAnsi="Arial"/>
                <w:sz w:val="14"/>
                <w:szCs w:val="14"/>
                <w:b w:val="1"/>
                <w:bCs w:val="1"/>
                <w:color w:val="auto"/>
              </w:rPr>
              <w:t>March 31, 2010</w:t>
            </w: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3"/>
          </w:tcPr>
          <w:p>
            <w:pPr>
              <w:jc w:val="right"/>
              <w:ind w:right="894"/>
              <w:spacing w:after="0" w:line="142" w:lineRule="exact"/>
              <w:rPr>
                <w:sz w:val="20"/>
                <w:szCs w:val="20"/>
                <w:color w:val="auto"/>
              </w:rPr>
            </w:pPr>
            <w:r>
              <w:rPr>
                <w:rFonts w:ascii="Arial" w:cs="Arial" w:eastAsia="Arial" w:hAnsi="Arial"/>
                <w:sz w:val="14"/>
                <w:szCs w:val="14"/>
                <w:b w:val="1"/>
                <w:bCs w:val="1"/>
                <w:color w:val="auto"/>
              </w:rPr>
              <w:t>Reconciliation items</w:t>
            </w: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gridSpan w:val="2"/>
          </w:tcPr>
          <w:p>
            <w:pPr>
              <w:jc w:val="center"/>
              <w:ind w:right="254"/>
              <w:spacing w:after="0" w:line="119" w:lineRule="exact"/>
              <w:rPr>
                <w:sz w:val="20"/>
                <w:szCs w:val="20"/>
                <w:color w:val="auto"/>
              </w:rPr>
            </w:pPr>
            <w:r>
              <w:rPr>
                <w:rFonts w:ascii="Arial" w:cs="Arial" w:eastAsia="Arial" w:hAnsi="Arial"/>
                <w:sz w:val="13"/>
                <w:szCs w:val="13"/>
                <w:b w:val="1"/>
                <w:bCs w:val="1"/>
                <w:color w:val="auto"/>
              </w:rPr>
              <w:t>Amortization</w:t>
            </w:r>
          </w:p>
        </w:tc>
        <w:tc>
          <w:tcPr>
            <w:tcW w:w="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Impairment on</w:t>
            </w: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gridSpan w:val="2"/>
          </w:tcPr>
          <w:p>
            <w:pPr>
              <w:jc w:val="center"/>
              <w:ind w:right="254"/>
              <w:spacing w:after="0" w:line="149" w:lineRule="exact"/>
              <w:rPr>
                <w:sz w:val="20"/>
                <w:szCs w:val="20"/>
                <w:color w:val="auto"/>
              </w:rPr>
            </w:pPr>
            <w:r>
              <w:rPr>
                <w:rFonts w:ascii="Arial" w:cs="Arial" w:eastAsia="Arial" w:hAnsi="Arial"/>
                <w:sz w:val="14"/>
                <w:szCs w:val="14"/>
                <w:b w:val="1"/>
                <w:bCs w:val="1"/>
                <w:color w:val="auto"/>
                <w:w w:val="88"/>
              </w:rPr>
              <w:t>of purchased</w:t>
            </w:r>
          </w:p>
        </w:tc>
        <w:tc>
          <w:tcPr>
            <w:tcW w:w="14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Equity based</w:t>
            </w:r>
          </w:p>
        </w:tc>
        <w:tc>
          <w:tcPr>
            <w:tcW w:w="15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54"/>
              <w:spacing w:after="0" w:line="149" w:lineRule="exact"/>
              <w:rPr>
                <w:sz w:val="20"/>
                <w:szCs w:val="20"/>
                <w:color w:val="auto"/>
              </w:rPr>
            </w:pPr>
            <w:r>
              <w:rPr>
                <w:rFonts w:ascii="Arial" w:cs="Arial" w:eastAsia="Arial" w:hAnsi="Arial"/>
                <w:sz w:val="14"/>
                <w:szCs w:val="14"/>
                <w:b w:val="1"/>
                <w:bCs w:val="1"/>
                <w:color w:val="auto"/>
                <w:w w:val="93"/>
              </w:rPr>
              <w:t>intangible</w:t>
            </w:r>
          </w:p>
        </w:tc>
        <w:tc>
          <w:tcPr>
            <w:tcW w:w="14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jc w:val="center"/>
              <w:ind w:right="374"/>
              <w:spacing w:after="0" w:line="149" w:lineRule="exact"/>
              <w:rPr>
                <w:sz w:val="20"/>
                <w:szCs w:val="20"/>
                <w:color w:val="auto"/>
              </w:rPr>
            </w:pPr>
            <w:r>
              <w:rPr>
                <w:rFonts w:ascii="Arial" w:cs="Arial" w:eastAsia="Arial" w:hAnsi="Arial"/>
                <w:sz w:val="14"/>
                <w:szCs w:val="14"/>
                <w:b w:val="1"/>
                <w:bCs w:val="1"/>
                <w:color w:val="auto"/>
                <w:w w:val="89"/>
              </w:rPr>
              <w:t>investment</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2"/>
                <w:szCs w:val="12"/>
                <w:color w:val="auto"/>
              </w:rPr>
            </w:pPr>
          </w:p>
        </w:tc>
        <w:tc>
          <w:tcPr>
            <w:tcW w:w="1060" w:type="dxa"/>
            <w:vAlign w:val="bottom"/>
          </w:tcPr>
          <w:p>
            <w:pPr>
              <w:jc w:val="center"/>
              <w:ind w:right="354"/>
              <w:spacing w:after="0" w:line="149" w:lineRule="exact"/>
              <w:rPr>
                <w:sz w:val="20"/>
                <w:szCs w:val="20"/>
                <w:color w:val="auto"/>
              </w:rPr>
            </w:pPr>
            <w:r>
              <w:rPr>
                <w:rFonts w:ascii="Arial" w:cs="Arial" w:eastAsia="Arial" w:hAnsi="Arial"/>
                <w:sz w:val="14"/>
                <w:szCs w:val="14"/>
                <w:b w:val="1"/>
                <w:bCs w:val="1"/>
                <w:color w:val="auto"/>
                <w:w w:val="85"/>
              </w:rPr>
              <w:t>assets and</w:t>
            </w:r>
          </w:p>
        </w:tc>
        <w:tc>
          <w:tcPr>
            <w:tcW w:w="146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compensation</w:t>
            </w:r>
          </w:p>
        </w:tc>
        <w:tc>
          <w:tcPr>
            <w:tcW w:w="400" w:type="dxa"/>
            <w:vAlign w:val="bottom"/>
          </w:tcPr>
          <w:p>
            <w:pPr>
              <w:spacing w:after="0"/>
              <w:rPr>
                <w:sz w:val="12"/>
                <w:szCs w:val="12"/>
                <w:color w:val="auto"/>
              </w:rPr>
            </w:pPr>
          </w:p>
        </w:tc>
        <w:tc>
          <w:tcPr>
            <w:tcW w:w="1160" w:type="dxa"/>
            <w:vAlign w:val="bottom"/>
          </w:tcPr>
          <w:p>
            <w:pPr>
              <w:jc w:val="center"/>
              <w:ind w:right="374"/>
              <w:spacing w:after="0" w:line="149" w:lineRule="exact"/>
              <w:rPr>
                <w:sz w:val="20"/>
                <w:szCs w:val="20"/>
                <w:color w:val="auto"/>
              </w:rPr>
            </w:pPr>
            <w:r>
              <w:rPr>
                <w:rFonts w:ascii="Arial" w:cs="Arial" w:eastAsia="Arial" w:hAnsi="Arial"/>
                <w:sz w:val="14"/>
                <w:szCs w:val="14"/>
                <w:b w:val="1"/>
                <w:bCs w:val="1"/>
                <w:color w:val="auto"/>
                <w:w w:val="90"/>
              </w:rPr>
              <w:t>in a</w:t>
            </w:r>
          </w:p>
        </w:tc>
        <w:tc>
          <w:tcPr>
            <w:tcW w:w="13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Tax effect</w:t>
            </w:r>
          </w:p>
        </w:tc>
        <w:tc>
          <w:tcPr>
            <w:tcW w:w="4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97"/>
              </w:rPr>
              <w:t>other</w:t>
            </w: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92"/>
              </w:rPr>
              <w:t>expense</w:t>
            </w: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94"/>
              <w:spacing w:after="0"/>
              <w:rPr>
                <w:sz w:val="20"/>
                <w:szCs w:val="20"/>
                <w:color w:val="auto"/>
              </w:rPr>
            </w:pPr>
            <w:r>
              <w:rPr>
                <w:rFonts w:ascii="Arial" w:cs="Arial" w:eastAsia="Arial" w:hAnsi="Arial"/>
                <w:sz w:val="14"/>
                <w:szCs w:val="14"/>
                <w:b w:val="1"/>
                <w:bCs w:val="1"/>
                <w:color w:val="auto"/>
                <w:w w:val="91"/>
              </w:rPr>
              <w:t>subsidiary</w:t>
            </w:r>
          </w:p>
        </w:tc>
        <w:tc>
          <w:tcPr>
            <w:tcW w:w="1300" w:type="dxa"/>
            <w:vAlign w:val="bottom"/>
            <w:tcBorders>
              <w:bottom w:val="single" w:sz="8" w:color="auto"/>
            </w:tcBorders>
            <w:gridSpan w:val="3"/>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GAAP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Cost of license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2"/>
              <w:spacing w:after="0"/>
              <w:rPr>
                <w:sz w:val="20"/>
                <w:szCs w:val="20"/>
                <w:color w:val="auto"/>
              </w:rPr>
            </w:pPr>
            <w:r>
              <w:rPr>
                <w:rFonts w:ascii="Arial" w:cs="Arial" w:eastAsia="Arial" w:hAnsi="Arial"/>
                <w:sz w:val="18"/>
                <w:szCs w:val="18"/>
                <w:color w:val="auto"/>
              </w:rPr>
              <w:t>745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Cost of service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89"/>
              </w:rPr>
              <w:t>475,440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(4,967)</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470,473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8"/>
                <w:szCs w:val="18"/>
                <w:color w:val="auto"/>
              </w:rPr>
              <w:t>51,190</w:t>
            </w:r>
          </w:p>
        </w:tc>
        <w:tc>
          <w:tcPr>
            <w:tcW w:w="100" w:type="dxa"/>
            <w:vAlign w:val="bottom"/>
          </w:tcPr>
          <w:p>
            <w:pPr>
              <w:spacing w:after="0"/>
              <w:rPr>
                <w:sz w:val="18"/>
                <w:szCs w:val="18"/>
                <w:color w:val="auto"/>
              </w:rPr>
            </w:pP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Arial" w:cs="Arial" w:eastAsia="Arial" w:hAnsi="Arial"/>
                <w:sz w:val="18"/>
                <w:szCs w:val="18"/>
                <w:color w:val="auto"/>
              </w:rPr>
              <w:t>(1,004)</w:t>
            </w:r>
          </w:p>
        </w:tc>
        <w:tc>
          <w:tcPr>
            <w:tcW w:w="400" w:type="dxa"/>
            <w:vAlign w:val="bottom"/>
          </w:tcPr>
          <w:p>
            <w:pPr>
              <w:spacing w:after="0"/>
              <w:rPr>
                <w:sz w:val="18"/>
                <w:szCs w:val="18"/>
                <w:color w:val="auto"/>
              </w:rPr>
            </w:pPr>
          </w:p>
        </w:tc>
        <w:tc>
          <w:tcPr>
            <w:tcW w:w="116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92,028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(4,747)</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400"/>
              <w:spacing w:after="0" w:line="201" w:lineRule="exact"/>
              <w:rPr>
                <w:sz w:val="20"/>
                <w:szCs w:val="20"/>
                <w:color w:val="auto"/>
              </w:rPr>
            </w:pPr>
            <w:r>
              <w:rPr>
                <w:rFonts w:ascii="Arial" w:cs="Arial" w:eastAsia="Arial" w:hAnsi="Arial"/>
                <w:sz w:val="18"/>
                <w:szCs w:val="18"/>
                <w:color w:val="auto"/>
              </w:rPr>
              <w:t>Amortization of purchased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0" w:type="dxa"/>
            <w:vAlign w:val="bottom"/>
          </w:tcPr>
          <w:p>
            <w:pPr>
              <w:ind w:left="600"/>
              <w:spacing w:after="0"/>
              <w:rPr>
                <w:sz w:val="20"/>
                <w:szCs w:val="20"/>
                <w:color w:val="auto"/>
              </w:rPr>
            </w:pPr>
            <w:r>
              <w:rPr>
                <w:rFonts w:ascii="Arial" w:cs="Arial" w:eastAsia="Arial" w:hAnsi="Arial"/>
                <w:sz w:val="18"/>
                <w:szCs w:val="18"/>
                <w:color w:val="auto"/>
              </w:rPr>
              <w:t>intangible assets and other</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21,439</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(21,439)</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89"/>
              </w:rPr>
              <w:t>640,842</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(21,439)</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(10,718)</w:t>
            </w: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608,685</w:t>
            </w:r>
          </w:p>
        </w:tc>
        <w:tc>
          <w:tcPr>
            <w:tcW w:w="0" w:type="dxa"/>
            <w:vAlign w:val="bottom"/>
          </w:tcPr>
          <w:p>
            <w:pPr>
              <w:spacing w:after="0"/>
              <w:rPr>
                <w:sz w:val="1"/>
                <w:szCs w:val="1"/>
                <w:color w:val="auto"/>
              </w:rPr>
            </w:pPr>
          </w:p>
        </w:tc>
      </w:tr>
      <w:tr>
        <w:trPr>
          <w:trHeight w:val="439"/>
        </w:trPr>
        <w:tc>
          <w:tcPr>
            <w:tcW w:w="32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w w:val="89"/>
              </w:rPr>
              <w:t>103,127</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21,439</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10,718</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135,284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22,761</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(21,800)</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439"/>
        </w:trPr>
        <w:tc>
          <w:tcPr>
            <w:tcW w:w="32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11,816</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5,637</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17,453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68,550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21,439</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10,718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21,800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116,870</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122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1060" w:type="dxa"/>
            <w:vAlign w:val="bottom"/>
            <w:tcBorders>
              <w:top w:val="single" w:sz="8" w:color="auto"/>
              <w:bottom w:val="single" w:sz="8" w:color="808080"/>
            </w:tcBorders>
          </w:tcPr>
          <w:p>
            <w:pPr>
              <w:spacing w:after="0"/>
              <w:rPr>
                <w:sz w:val="24"/>
                <w:szCs w:val="24"/>
                <w:color w:val="auto"/>
              </w:rPr>
            </w:pPr>
          </w:p>
        </w:tc>
        <w:tc>
          <w:tcPr>
            <w:tcW w:w="400" w:type="dxa"/>
            <w:vAlign w:val="bottom"/>
            <w:tcBorders>
              <w:top w:val="single" w:sz="8" w:color="auto"/>
              <w:bottom w:val="single" w:sz="8" w:color="808080"/>
            </w:tcBorders>
          </w:tcPr>
          <w:p>
            <w:pPr>
              <w:spacing w:after="0"/>
              <w:rPr>
                <w:sz w:val="24"/>
                <w:szCs w:val="24"/>
                <w:color w:val="auto"/>
              </w:rPr>
            </w:pPr>
          </w:p>
        </w:tc>
        <w:tc>
          <w:tcPr>
            <w:tcW w:w="1060" w:type="dxa"/>
            <w:vAlign w:val="bottom"/>
            <w:tcBorders>
              <w:top w:val="single" w:sz="8" w:color="auto"/>
              <w:bottom w:val="single" w:sz="8" w:color="808080"/>
            </w:tcBorders>
          </w:tcPr>
          <w:p>
            <w:pPr>
              <w:spacing w:after="0"/>
              <w:rPr>
                <w:sz w:val="24"/>
                <w:szCs w:val="24"/>
                <w:color w:val="auto"/>
              </w:rPr>
            </w:pPr>
          </w:p>
        </w:tc>
        <w:tc>
          <w:tcPr>
            <w:tcW w:w="400" w:type="dxa"/>
            <w:vAlign w:val="bottom"/>
            <w:tcBorders>
              <w:top w:val="single" w:sz="8" w:color="auto"/>
              <w:bottom w:val="single" w:sz="8" w:color="808080"/>
            </w:tcBorders>
          </w:tcPr>
          <w:p>
            <w:pPr>
              <w:spacing w:after="0"/>
              <w:rPr>
                <w:sz w:val="24"/>
                <w:szCs w:val="24"/>
                <w:color w:val="auto"/>
              </w:rPr>
            </w:pPr>
          </w:p>
        </w:tc>
        <w:tc>
          <w:tcPr>
            <w:tcW w:w="1160" w:type="dxa"/>
            <w:vAlign w:val="bottom"/>
            <w:tcBorders>
              <w:top w:val="single" w:sz="8" w:color="auto"/>
              <w:bottom w:val="single" w:sz="8" w:color="808080"/>
            </w:tcBorders>
          </w:tcPr>
          <w:p>
            <w:pPr>
              <w:spacing w:after="0"/>
              <w:rPr>
                <w:sz w:val="24"/>
                <w:szCs w:val="24"/>
                <w:color w:val="auto"/>
              </w:rPr>
            </w:pPr>
          </w:p>
        </w:tc>
        <w:tc>
          <w:tcPr>
            <w:tcW w:w="420" w:type="dxa"/>
            <w:vAlign w:val="bottom"/>
            <w:tcBorders>
              <w:top w:val="single" w:sz="8" w:color="auto"/>
              <w:bottom w:val="single" w:sz="8" w:color="808080"/>
            </w:tcBorders>
          </w:tcPr>
          <w:p>
            <w:pPr>
              <w:spacing w:after="0"/>
              <w:rPr>
                <w:sz w:val="24"/>
                <w:szCs w:val="24"/>
                <w:color w:val="auto"/>
              </w:rPr>
            </w:pPr>
          </w:p>
        </w:tc>
        <w:tc>
          <w:tcPr>
            <w:tcW w:w="540" w:type="dxa"/>
            <w:vAlign w:val="bottom"/>
            <w:tcBorders>
              <w:top w:val="single" w:sz="8" w:color="auto"/>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400" w:type="dxa"/>
            <w:vAlign w:val="bottom"/>
            <w:tcBorders>
              <w:top w:val="single" w:sz="8" w:color="auto"/>
              <w:bottom w:val="single" w:sz="8" w:color="808080"/>
            </w:tcBorders>
          </w:tcPr>
          <w:p>
            <w:pPr>
              <w:spacing w:after="0"/>
              <w:rPr>
                <w:sz w:val="24"/>
                <w:szCs w:val="24"/>
                <w:color w:val="auto"/>
              </w:rPr>
            </w:pPr>
          </w:p>
        </w:tc>
        <w:tc>
          <w:tcPr>
            <w:tcW w:w="6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3880"/>
        <w:spacing w:after="0"/>
        <w:rPr>
          <w:sz w:val="20"/>
          <w:szCs w:val="20"/>
          <w:color w:val="auto"/>
        </w:rPr>
      </w:pPr>
      <w:r>
        <w:rPr>
          <w:rFonts w:ascii="Arial" w:cs="Arial" w:eastAsia="Arial" w:hAnsi="Arial"/>
          <w:sz w:val="14"/>
          <w:szCs w:val="14"/>
          <w:b w:val="1"/>
          <w:bCs w:val="1"/>
          <w:color w:val="auto"/>
        </w:rPr>
        <w:t>Three months ended</w:t>
      </w:r>
    </w:p>
    <w:p>
      <w:pPr>
        <w:jc w:val="center"/>
        <w:ind w:left="3880"/>
        <w:spacing w:after="0" w:line="236" w:lineRule="auto"/>
        <w:rPr>
          <w:sz w:val="20"/>
          <w:szCs w:val="20"/>
          <w:color w:val="auto"/>
        </w:rPr>
      </w:pPr>
      <w:r>
        <w:rPr>
          <w:rFonts w:ascii="Arial" w:cs="Arial" w:eastAsia="Arial" w:hAnsi="Arial"/>
          <w:sz w:val="14"/>
          <w:szCs w:val="14"/>
          <w:b w:val="1"/>
          <w:bCs w:val="1"/>
          <w:color w:val="auto"/>
        </w:rPr>
        <w:t>March 31, 2009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2"/>
          </w:tcPr>
          <w:p>
            <w:pPr>
              <w:jc w:val="right"/>
              <w:ind w:right="352"/>
              <w:spacing w:after="0" w:line="142" w:lineRule="exact"/>
              <w:rPr>
                <w:sz w:val="20"/>
                <w:szCs w:val="20"/>
                <w:color w:val="auto"/>
              </w:rPr>
            </w:pPr>
            <w:r>
              <w:rPr>
                <w:rFonts w:ascii="Arial" w:cs="Arial" w:eastAsia="Arial" w:hAnsi="Arial"/>
                <w:sz w:val="14"/>
                <w:szCs w:val="14"/>
                <w:b w:val="1"/>
                <w:bCs w:val="1"/>
                <w:color w:val="auto"/>
              </w:rPr>
              <w:t>Reconciliation items</w:t>
            </w:r>
          </w:p>
        </w:tc>
        <w:tc>
          <w:tcPr>
            <w:tcW w:w="4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Amortization of</w:t>
            </w:r>
          </w:p>
        </w:tc>
        <w:tc>
          <w:tcPr>
            <w:tcW w:w="1880" w:type="dxa"/>
            <w:vAlign w:val="bottom"/>
            <w:gridSpan w:val="2"/>
          </w:tcPr>
          <w:p>
            <w:pPr>
              <w:jc w:val="center"/>
              <w:ind w:left="142"/>
              <w:spacing w:after="0" w:line="119" w:lineRule="exact"/>
              <w:rPr>
                <w:sz w:val="20"/>
                <w:szCs w:val="20"/>
                <w:color w:val="auto"/>
              </w:rPr>
            </w:pPr>
            <w:r>
              <w:rPr>
                <w:rFonts w:ascii="Arial" w:cs="Arial" w:eastAsia="Arial" w:hAnsi="Arial"/>
                <w:sz w:val="13"/>
                <w:szCs w:val="13"/>
                <w:b w:val="1"/>
                <w:bCs w:val="1"/>
                <w:color w:val="auto"/>
              </w:rPr>
              <w:t>Equity based</w:t>
            </w: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restart"/>
          </w:tcPr>
          <w:p>
            <w:pPr>
              <w:jc w:val="right"/>
              <w:ind w:right="652"/>
              <w:spacing w:after="0"/>
              <w:rPr>
                <w:sz w:val="20"/>
                <w:szCs w:val="20"/>
                <w:color w:val="auto"/>
              </w:rPr>
            </w:pPr>
            <w:r>
              <w:rPr>
                <w:rFonts w:ascii="Arial" w:cs="Arial" w:eastAsia="Arial" w:hAnsi="Arial"/>
                <w:sz w:val="14"/>
                <w:szCs w:val="14"/>
                <w:b w:val="1"/>
                <w:bCs w:val="1"/>
                <w:color w:val="auto"/>
              </w:rPr>
              <w:t>GAAP</w:t>
            </w: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purchased</w:t>
            </w:r>
          </w:p>
        </w:tc>
        <w:tc>
          <w:tcPr>
            <w:tcW w:w="1880" w:type="dxa"/>
            <w:vAlign w:val="bottom"/>
            <w:gridSpan w:val="2"/>
          </w:tcPr>
          <w:p>
            <w:pPr>
              <w:jc w:val="center"/>
              <w:ind w:left="142"/>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0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Tax effect</w:t>
            </w:r>
          </w:p>
        </w:tc>
        <w:tc>
          <w:tcPr>
            <w:tcW w:w="152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intangible assets</w:t>
            </w:r>
          </w:p>
        </w:tc>
        <w:tc>
          <w:tcPr>
            <w:tcW w:w="7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92"/>
              <w:spacing w:after="0"/>
              <w:rPr>
                <w:sz w:val="20"/>
                <w:szCs w:val="20"/>
                <w:color w:val="auto"/>
              </w:rPr>
            </w:pPr>
            <w:r>
              <w:rPr>
                <w:rFonts w:ascii="Arial" w:cs="Arial" w:eastAsia="Arial" w:hAnsi="Arial"/>
                <w:sz w:val="14"/>
                <w:szCs w:val="14"/>
                <w:b w:val="1"/>
                <w:bCs w:val="1"/>
                <w:color w:val="auto"/>
                <w:w w:val="85"/>
              </w:rPr>
              <w:t>expense</w:t>
            </w:r>
          </w:p>
        </w:tc>
        <w:tc>
          <w:tcPr>
            <w:tcW w:w="1200" w:type="dxa"/>
            <w:vAlign w:val="bottom"/>
            <w:tcBorders>
              <w:bottom w:val="single" w:sz="8" w:color="auto"/>
            </w:tcBorders>
            <w:gridSpan w:val="2"/>
            <w:vMerge w:val="continue"/>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2"/>
              <w:spacing w:after="0"/>
              <w:rPr>
                <w:sz w:val="20"/>
                <w:szCs w:val="20"/>
                <w:color w:val="auto"/>
              </w:rPr>
            </w:pPr>
            <w:r>
              <w:rPr>
                <w:rFonts w:ascii="Arial" w:cs="Arial" w:eastAsia="Arial" w:hAnsi="Arial"/>
                <w:sz w:val="18"/>
                <w:szCs w:val="18"/>
                <w:color w:val="auto"/>
              </w:rPr>
              <w:t>569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89"/>
              </w:rPr>
              <w:t>455,997</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(4,950)</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6"/>
              </w:rPr>
              <w:t>451,047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240" w:type="dxa"/>
            <w:vAlign w:val="bottom"/>
          </w:tcPr>
          <w:p>
            <w:pPr>
              <w:jc w:val="right"/>
              <w:ind w:right="552"/>
              <w:spacing w:after="0"/>
              <w:rPr>
                <w:sz w:val="20"/>
                <w:szCs w:val="20"/>
                <w:color w:val="auto"/>
              </w:rPr>
            </w:pPr>
            <w:r>
              <w:rPr>
                <w:rFonts w:ascii="Arial" w:cs="Arial" w:eastAsia="Arial" w:hAnsi="Arial"/>
                <w:sz w:val="18"/>
                <w:szCs w:val="18"/>
                <w:color w:val="auto"/>
              </w:rPr>
              <w:t>52,750</w:t>
            </w:r>
          </w:p>
        </w:tc>
        <w:tc>
          <w:tcPr>
            <w:tcW w:w="44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(977)</w:t>
            </w:r>
          </w:p>
        </w:tc>
        <w:tc>
          <w:tcPr>
            <w:tcW w:w="48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51,773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84,308</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(4,590)</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79,718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 intangible assets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ind w:left="400"/>
              <w:spacing w:after="0"/>
              <w:rPr>
                <w:sz w:val="20"/>
                <w:szCs w:val="20"/>
                <w:color w:val="auto"/>
              </w:rPr>
            </w:pPr>
            <w:r>
              <w:rPr>
                <w:rFonts w:ascii="Arial" w:cs="Arial" w:eastAsia="Arial" w:hAnsi="Arial"/>
                <w:sz w:val="18"/>
                <w:szCs w:val="18"/>
                <w:color w:val="auto"/>
              </w:rPr>
              <w:t>and other</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21,501</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(21,501)</w:t>
            </w:r>
          </w:p>
        </w:tc>
        <w:tc>
          <w:tcPr>
            <w:tcW w:w="7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89"/>
              </w:rPr>
              <w:t>615,125</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89"/>
              </w:rPr>
              <w:t>(21,501)</w:t>
            </w:r>
          </w:p>
        </w:tc>
        <w:tc>
          <w:tcPr>
            <w:tcW w:w="7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89"/>
              </w:rPr>
              <w:t>(10,517)</w:t>
            </w: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86"/>
              </w:rPr>
              <w:t>583,107</w:t>
            </w:r>
          </w:p>
        </w:tc>
        <w:tc>
          <w:tcPr>
            <w:tcW w:w="0" w:type="dxa"/>
            <w:vAlign w:val="bottom"/>
          </w:tcPr>
          <w:p>
            <w:pPr>
              <w:spacing w:after="0"/>
              <w:rPr>
                <w:sz w:val="1"/>
                <w:szCs w:val="1"/>
                <w:color w:val="auto"/>
              </w:rPr>
            </w:pPr>
          </w:p>
        </w:tc>
      </w:tr>
      <w:tr>
        <w:trPr>
          <w:trHeight w:val="439"/>
        </w:trPr>
        <w:tc>
          <w:tcPr>
            <w:tcW w:w="38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95,959</w:t>
            </w: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8"/>
              </w:rPr>
              <w:t>21,501</w:t>
            </w:r>
          </w:p>
        </w:tc>
        <w:tc>
          <w:tcPr>
            <w:tcW w:w="7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98"/>
              </w:rPr>
              <w:t>10,517</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6"/>
              </w:rPr>
              <w:t>127,977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9,566</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7,773</w:t>
            </w:r>
          </w:p>
        </w:tc>
        <w:tc>
          <w:tcPr>
            <w:tcW w:w="6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17,339</w:t>
            </w:r>
          </w:p>
        </w:tc>
        <w:tc>
          <w:tcPr>
            <w:tcW w:w="0" w:type="dxa"/>
            <w:vAlign w:val="bottom"/>
          </w:tcPr>
          <w:p>
            <w:pPr>
              <w:spacing w:after="0"/>
              <w:rPr>
                <w:sz w:val="1"/>
                <w:szCs w:val="1"/>
                <w:color w:val="auto"/>
              </w:rPr>
            </w:pPr>
          </w:p>
        </w:tc>
      </w:tr>
      <w:tr>
        <w:trPr>
          <w:trHeight w:val="439"/>
        </w:trPr>
        <w:tc>
          <w:tcPr>
            <w:tcW w:w="3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80,630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8"/>
              </w:rPr>
              <w:t>21,501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98"/>
              </w:rPr>
              <w:t>10,517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1"/>
              </w:rPr>
              <w:t>(7,773)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6"/>
              </w:rPr>
              <w:t>104,875</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2560"/>
        <w:spacing w:after="0"/>
        <w:rPr>
          <w:sz w:val="20"/>
          <w:szCs w:val="20"/>
          <w:color w:val="auto"/>
        </w:rPr>
      </w:pPr>
      <w:r>
        <w:rPr>
          <w:rFonts w:ascii="Arial" w:cs="Arial" w:eastAsia="Arial" w:hAnsi="Arial"/>
          <w:sz w:val="14"/>
          <w:szCs w:val="14"/>
          <w:b w:val="1"/>
          <w:bCs w:val="1"/>
          <w:color w:val="auto"/>
        </w:rPr>
        <w:t>Six months ended</w:t>
      </w:r>
    </w:p>
    <w:p>
      <w:pPr>
        <w:jc w:val="center"/>
        <w:ind w:left="2560"/>
        <w:spacing w:after="0" w:line="236" w:lineRule="auto"/>
        <w:rPr>
          <w:sz w:val="20"/>
          <w:szCs w:val="20"/>
          <w:color w:val="auto"/>
        </w:rPr>
      </w:pPr>
      <w:r>
        <w:rPr>
          <w:rFonts w:ascii="Arial" w:cs="Arial" w:eastAsia="Arial" w:hAnsi="Arial"/>
          <w:sz w:val="14"/>
          <w:szCs w:val="14"/>
          <w:b w:val="1"/>
          <w:bCs w:val="1"/>
          <w:color w:val="auto"/>
        </w:rPr>
        <w:t>March 31, 2010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Reconciliation items</w:t>
            </w:r>
          </w:p>
        </w:tc>
        <w:tc>
          <w:tcPr>
            <w:tcW w:w="10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80" w:type="dxa"/>
            <w:vAlign w:val="bottom"/>
            <w:gridSpan w:val="2"/>
          </w:tcPr>
          <w:p>
            <w:pPr>
              <w:jc w:val="center"/>
              <w:ind w:right="70"/>
              <w:spacing w:after="0" w:line="119" w:lineRule="exact"/>
              <w:rPr>
                <w:sz w:val="20"/>
                <w:szCs w:val="20"/>
                <w:color w:val="auto"/>
              </w:rPr>
            </w:pPr>
            <w:r>
              <w:rPr>
                <w:rFonts w:ascii="Arial" w:cs="Arial" w:eastAsia="Arial" w:hAnsi="Arial"/>
                <w:sz w:val="13"/>
                <w:szCs w:val="13"/>
                <w:b w:val="1"/>
                <w:bCs w:val="1"/>
                <w:color w:val="auto"/>
              </w:rPr>
              <w:t>Amortization of</w:t>
            </w:r>
          </w:p>
        </w:tc>
        <w:tc>
          <w:tcPr>
            <w:tcW w:w="1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Equity based</w:t>
            </w:r>
          </w:p>
        </w:tc>
        <w:tc>
          <w:tcPr>
            <w:tcW w:w="1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Impairment on</w:t>
            </w: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8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0"/>
              </w:rPr>
              <w:t>purchased</w:t>
            </w:r>
          </w:p>
        </w:tc>
        <w:tc>
          <w:tcPr>
            <w:tcW w:w="1580" w:type="dxa"/>
            <w:vAlign w:val="bottom"/>
            <w:gridSpan w:val="2"/>
            <w:vMerge w:val="continue"/>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investment</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GAAP</w:t>
            </w:r>
          </w:p>
        </w:tc>
        <w:tc>
          <w:tcPr>
            <w:tcW w:w="158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87"/>
              </w:rPr>
              <w:t>intangible assets</w:t>
            </w: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560" w:type="dxa"/>
            <w:vAlign w:val="bottom"/>
          </w:tcPr>
          <w:p>
            <w:pPr>
              <w:spacing w:after="0"/>
              <w:rPr>
                <w:sz w:val="12"/>
                <w:szCs w:val="12"/>
                <w:color w:val="auto"/>
              </w:rPr>
            </w:pPr>
          </w:p>
        </w:tc>
        <w:tc>
          <w:tcPr>
            <w:tcW w:w="1060" w:type="dxa"/>
            <w:vAlign w:val="bottom"/>
          </w:tcPr>
          <w:p>
            <w:pPr>
              <w:jc w:val="center"/>
              <w:ind w:right="432"/>
              <w:spacing w:after="0" w:line="149" w:lineRule="exact"/>
              <w:rPr>
                <w:sz w:val="20"/>
                <w:szCs w:val="20"/>
                <w:color w:val="auto"/>
              </w:rPr>
            </w:pPr>
            <w:r>
              <w:rPr>
                <w:rFonts w:ascii="Arial" w:cs="Arial" w:eastAsia="Arial" w:hAnsi="Arial"/>
                <w:sz w:val="14"/>
                <w:szCs w:val="14"/>
                <w:b w:val="1"/>
                <w:bCs w:val="1"/>
                <w:color w:val="auto"/>
                <w:w w:val="90"/>
              </w:rPr>
              <w:t>in a</w:t>
            </w:r>
          </w:p>
        </w:tc>
        <w:tc>
          <w:tcPr>
            <w:tcW w:w="118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Tax effect</w:t>
            </w:r>
          </w:p>
        </w:tc>
        <w:tc>
          <w:tcPr>
            <w:tcW w:w="520" w:type="dxa"/>
            <w:vAlign w:val="bottom"/>
          </w:tcPr>
          <w:p>
            <w:pPr>
              <w:spacing w:after="0"/>
              <w:rPr>
                <w:sz w:val="12"/>
                <w:szCs w:val="12"/>
                <w:color w:val="auto"/>
              </w:rPr>
            </w:pP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58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90"/>
              </w:rPr>
              <w:t>and other</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453"/>
              <w:spacing w:after="0"/>
              <w:rPr>
                <w:sz w:val="20"/>
                <w:szCs w:val="20"/>
                <w:color w:val="auto"/>
              </w:rPr>
            </w:pPr>
            <w:r>
              <w:rPr>
                <w:rFonts w:ascii="Arial" w:cs="Arial" w:eastAsia="Arial" w:hAnsi="Arial"/>
                <w:sz w:val="14"/>
                <w:szCs w:val="14"/>
                <w:b w:val="1"/>
                <w:bCs w:val="1"/>
                <w:color w:val="auto"/>
                <w:w w:val="85"/>
              </w:rPr>
              <w:t>expense</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subsidiary</w:t>
            </w:r>
          </w:p>
        </w:tc>
        <w:tc>
          <w:tcPr>
            <w:tcW w:w="1180" w:type="dxa"/>
            <w:vAlign w:val="bottom"/>
            <w:tcBorders>
              <w:bottom w:val="single" w:sz="8" w:color="auto"/>
            </w:tcBorders>
            <w:gridSpan w:val="2"/>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1,187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937,655</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(9,752)</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927,903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101,296</w:t>
            </w:r>
          </w:p>
        </w:tc>
        <w:tc>
          <w:tcPr>
            <w:tcW w:w="44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60" w:type="dxa"/>
            <w:vAlign w:val="bottom"/>
          </w:tcPr>
          <w:p>
            <w:pPr>
              <w:jc w:val="right"/>
              <w:ind w:right="353"/>
              <w:spacing w:after="0"/>
              <w:rPr>
                <w:sz w:val="20"/>
                <w:szCs w:val="20"/>
                <w:color w:val="auto"/>
              </w:rPr>
            </w:pPr>
            <w:r>
              <w:rPr>
                <w:rFonts w:ascii="Arial" w:cs="Arial" w:eastAsia="Arial" w:hAnsi="Arial"/>
                <w:sz w:val="18"/>
                <w:szCs w:val="18"/>
                <w:color w:val="auto"/>
              </w:rPr>
              <w:t>(2,137)</w:t>
            </w:r>
          </w:p>
        </w:tc>
        <w:tc>
          <w:tcPr>
            <w:tcW w:w="56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99,159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183,608</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(9,682)</w:t>
            </w:r>
          </w:p>
        </w:tc>
        <w:tc>
          <w:tcPr>
            <w:tcW w:w="5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173,926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400"/>
              <w:spacing w:after="0"/>
              <w:rPr>
                <w:sz w:val="20"/>
                <w:szCs w:val="20"/>
                <w:color w:val="auto"/>
              </w:rPr>
            </w:pPr>
            <w:r>
              <w:rPr>
                <w:rFonts w:ascii="Arial" w:cs="Arial" w:eastAsia="Arial" w:hAnsi="Arial"/>
                <w:sz w:val="18"/>
                <w:szCs w:val="18"/>
                <w:color w:val="auto"/>
              </w:rPr>
              <w:t>intangible assets and</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tcPr>
          <w:p>
            <w:pPr>
              <w:ind w:left="4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42,758</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(42,758)</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87"/>
              </w:rPr>
              <w:t>1,266,504</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89"/>
              </w:rPr>
              <w:t>(42,758)</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89"/>
              </w:rPr>
              <w:t>(21,571)</w:t>
            </w:r>
          </w:p>
        </w:tc>
        <w:tc>
          <w:tcPr>
            <w:tcW w:w="5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9"/>
              </w:rPr>
              <w:t>1,202,175</w:t>
            </w:r>
          </w:p>
        </w:tc>
        <w:tc>
          <w:tcPr>
            <w:tcW w:w="0" w:type="dxa"/>
            <w:vAlign w:val="bottom"/>
          </w:tcPr>
          <w:p>
            <w:pPr>
              <w:spacing w:after="0"/>
              <w:rPr>
                <w:sz w:val="1"/>
                <w:szCs w:val="1"/>
                <w:color w:val="auto"/>
              </w:rPr>
            </w:pPr>
          </w:p>
        </w:tc>
      </w:tr>
      <w:tr>
        <w:trPr>
          <w:trHeight w:val="439"/>
        </w:trPr>
        <w:tc>
          <w:tcPr>
            <w:tcW w:w="25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202,276</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8"/>
              </w:rPr>
              <w:t>42,758</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w w:val="98"/>
              </w:rPr>
              <w:t>21,571</w:t>
            </w: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266,605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23,476</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89"/>
              </w:rPr>
              <w:t>(21,800)</w:t>
            </w: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439"/>
        </w:trPr>
        <w:tc>
          <w:tcPr>
            <w:tcW w:w="25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21,897</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13,035</w:t>
            </w: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34,932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156,903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8"/>
              </w:rPr>
              <w:t>42,758</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w w:val="98"/>
              </w:rPr>
              <w:t>21,571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8"/>
              </w:rPr>
              <w:t>21,800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(13,035)</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229,997</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2500"/>
        <w:spacing w:after="0"/>
        <w:rPr>
          <w:sz w:val="20"/>
          <w:szCs w:val="20"/>
          <w:color w:val="auto"/>
        </w:rPr>
      </w:pPr>
      <w:r>
        <w:rPr>
          <w:rFonts w:ascii="Arial" w:cs="Arial" w:eastAsia="Arial" w:hAnsi="Arial"/>
          <w:sz w:val="14"/>
          <w:szCs w:val="14"/>
          <w:b w:val="1"/>
          <w:bCs w:val="1"/>
          <w:color w:val="auto"/>
        </w:rPr>
        <w:t>Six months ended</w:t>
      </w:r>
    </w:p>
    <w:p>
      <w:pPr>
        <w:jc w:val="center"/>
        <w:ind w:left="2500"/>
        <w:spacing w:after="0" w:line="236" w:lineRule="auto"/>
        <w:rPr>
          <w:sz w:val="20"/>
          <w:szCs w:val="20"/>
          <w:color w:val="auto"/>
        </w:rPr>
      </w:pPr>
      <w:r>
        <w:rPr>
          <w:rFonts w:ascii="Arial" w:cs="Arial" w:eastAsia="Arial" w:hAnsi="Arial"/>
          <w:sz w:val="14"/>
          <w:szCs w:val="14"/>
          <w:b w:val="1"/>
          <w:bCs w:val="1"/>
          <w:color w:val="auto"/>
        </w:rPr>
        <w:t>March 31, 2009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Reconciliation items</w:t>
            </w: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580" w:type="dxa"/>
            <w:vAlign w:val="bottom"/>
            <w:gridSpan w:val="2"/>
            <w:vMerge w:val="restart"/>
          </w:tcPr>
          <w:p>
            <w:pPr>
              <w:jc w:val="center"/>
              <w:ind w:right="30"/>
              <w:spacing w:after="0"/>
              <w:rPr>
                <w:sz w:val="20"/>
                <w:szCs w:val="20"/>
                <w:color w:val="auto"/>
              </w:rPr>
            </w:pPr>
            <w:r>
              <w:rPr>
                <w:rFonts w:ascii="Arial" w:cs="Arial" w:eastAsia="Arial" w:hAnsi="Arial"/>
                <w:sz w:val="14"/>
                <w:szCs w:val="14"/>
                <w:b w:val="1"/>
                <w:bCs w:val="1"/>
                <w:color w:val="auto"/>
                <w:w w:val="95"/>
              </w:rPr>
              <w:t>Amortization of</w:t>
            </w:r>
          </w:p>
        </w:tc>
        <w:tc>
          <w:tcPr>
            <w:tcW w:w="2100" w:type="dxa"/>
            <w:vAlign w:val="bottom"/>
            <w:gridSpan w:val="2"/>
          </w:tcPr>
          <w:p>
            <w:pPr>
              <w:jc w:val="center"/>
              <w:ind w:right="232"/>
              <w:spacing w:after="0" w:line="119" w:lineRule="exact"/>
              <w:rPr>
                <w:sz w:val="20"/>
                <w:szCs w:val="20"/>
                <w:color w:val="auto"/>
              </w:rPr>
            </w:pPr>
            <w:r>
              <w:rPr>
                <w:rFonts w:ascii="Arial" w:cs="Arial" w:eastAsia="Arial" w:hAnsi="Arial"/>
                <w:sz w:val="13"/>
                <w:szCs w:val="13"/>
                <w:b w:val="1"/>
                <w:bCs w:val="1"/>
                <w:color w:val="auto"/>
              </w:rPr>
              <w:t>Restructuring</w:t>
            </w:r>
          </w:p>
        </w:tc>
        <w:tc>
          <w:tcPr>
            <w:tcW w:w="1200" w:type="dxa"/>
            <w:vAlign w:val="bottom"/>
            <w:gridSpan w:val="2"/>
            <w:vMerge w:val="restart"/>
          </w:tcPr>
          <w:p>
            <w:pPr>
              <w:jc w:val="center"/>
              <w:ind w:right="192"/>
              <w:spacing w:after="0"/>
              <w:rPr>
                <w:sz w:val="20"/>
                <w:szCs w:val="20"/>
                <w:color w:val="auto"/>
              </w:rPr>
            </w:pPr>
            <w:r>
              <w:rPr>
                <w:rFonts w:ascii="Arial" w:cs="Arial" w:eastAsia="Arial" w:hAnsi="Arial"/>
                <w:sz w:val="14"/>
                <w:szCs w:val="14"/>
                <w:b w:val="1"/>
                <w:bCs w:val="1"/>
                <w:color w:val="auto"/>
                <w:w w:val="91"/>
              </w:rPr>
              <w:t>Equity based</w:t>
            </w: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100" w:type="dxa"/>
            <w:vAlign w:val="bottom"/>
            <w:gridSpan w:val="2"/>
          </w:tcPr>
          <w:p>
            <w:pPr>
              <w:jc w:val="center"/>
              <w:ind w:right="232"/>
              <w:spacing w:after="0" w:line="149" w:lineRule="exact"/>
              <w:rPr>
                <w:sz w:val="20"/>
                <w:szCs w:val="20"/>
                <w:color w:val="auto"/>
              </w:rPr>
            </w:pPr>
            <w:r>
              <w:rPr>
                <w:rFonts w:ascii="Arial" w:cs="Arial" w:eastAsia="Arial" w:hAnsi="Arial"/>
                <w:sz w:val="14"/>
                <w:szCs w:val="14"/>
                <w:b w:val="1"/>
                <w:bCs w:val="1"/>
                <w:color w:val="auto"/>
                <w:w w:val="90"/>
              </w:rPr>
              <w:t>charges and in-</w:t>
            </w:r>
          </w:p>
        </w:tc>
        <w:tc>
          <w:tcPr>
            <w:tcW w:w="12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GAAP</w:t>
            </w:r>
          </w:p>
        </w:tc>
        <w:tc>
          <w:tcPr>
            <w:tcW w:w="1580" w:type="dxa"/>
            <w:vAlign w:val="bottom"/>
            <w:gridSpan w:val="2"/>
          </w:tcPr>
          <w:p>
            <w:pPr>
              <w:jc w:val="center"/>
              <w:ind w:right="50"/>
              <w:spacing w:after="0" w:line="149" w:lineRule="exact"/>
              <w:rPr>
                <w:sz w:val="20"/>
                <w:szCs w:val="20"/>
                <w:color w:val="auto"/>
              </w:rPr>
            </w:pPr>
            <w:r>
              <w:rPr>
                <w:rFonts w:ascii="Arial" w:cs="Arial" w:eastAsia="Arial" w:hAnsi="Arial"/>
                <w:sz w:val="14"/>
                <w:szCs w:val="14"/>
                <w:b w:val="1"/>
                <w:bCs w:val="1"/>
                <w:color w:val="auto"/>
                <w:w w:val="90"/>
              </w:rPr>
              <w:t>purchased</w:t>
            </w:r>
          </w:p>
        </w:tc>
        <w:tc>
          <w:tcPr>
            <w:tcW w:w="2100" w:type="dxa"/>
            <w:vAlign w:val="bottom"/>
            <w:gridSpan w:val="2"/>
          </w:tcPr>
          <w:p>
            <w:pPr>
              <w:jc w:val="center"/>
              <w:ind w:right="252"/>
              <w:spacing w:after="0" w:line="149" w:lineRule="exact"/>
              <w:rPr>
                <w:sz w:val="20"/>
                <w:szCs w:val="20"/>
                <w:color w:val="auto"/>
              </w:rPr>
            </w:pPr>
            <w:r>
              <w:rPr>
                <w:rFonts w:ascii="Arial" w:cs="Arial" w:eastAsia="Arial" w:hAnsi="Arial"/>
                <w:sz w:val="14"/>
                <w:szCs w:val="14"/>
                <w:b w:val="1"/>
                <w:bCs w:val="1"/>
                <w:color w:val="auto"/>
                <w:w w:val="86"/>
              </w:rPr>
              <w:t>process research</w:t>
            </w:r>
          </w:p>
        </w:tc>
        <w:tc>
          <w:tcPr>
            <w:tcW w:w="120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18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Tax effect</w:t>
            </w:r>
          </w:p>
        </w:tc>
        <w:tc>
          <w:tcPr>
            <w:tcW w:w="14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5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w w:val="87"/>
              </w:rPr>
              <w:t>intangible assets</w:t>
            </w:r>
          </w:p>
        </w:tc>
        <w:tc>
          <w:tcPr>
            <w:tcW w:w="2100" w:type="dxa"/>
            <w:vAlign w:val="bottom"/>
            <w:tcBorders>
              <w:bottom w:val="single" w:sz="8" w:color="auto"/>
            </w:tcBorders>
            <w:gridSpan w:val="2"/>
          </w:tcPr>
          <w:p>
            <w:pPr>
              <w:jc w:val="center"/>
              <w:ind w:right="252"/>
              <w:spacing w:after="0"/>
              <w:rPr>
                <w:sz w:val="20"/>
                <w:szCs w:val="20"/>
                <w:color w:val="auto"/>
              </w:rPr>
            </w:pPr>
            <w:r>
              <w:rPr>
                <w:rFonts w:ascii="Arial" w:cs="Arial" w:eastAsia="Arial" w:hAnsi="Arial"/>
                <w:sz w:val="14"/>
                <w:szCs w:val="14"/>
                <w:b w:val="1"/>
                <w:bCs w:val="1"/>
                <w:color w:val="auto"/>
                <w:w w:val="90"/>
              </w:rPr>
              <w:t>and development</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w w:val="85"/>
              </w:rPr>
              <w:t>expense</w:t>
            </w:r>
          </w:p>
        </w:tc>
        <w:tc>
          <w:tcPr>
            <w:tcW w:w="1180" w:type="dxa"/>
            <w:vAlign w:val="bottom"/>
            <w:tcBorders>
              <w:bottom w:val="single" w:sz="8" w:color="auto"/>
            </w:tcBorders>
            <w:gridSpan w:val="2"/>
            <w:vMerge w:val="continue"/>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1,560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85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940,048</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9"/>
              </w:rPr>
              <w:t>(10,661)</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929,387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108,979</w:t>
            </w:r>
          </w:p>
        </w:tc>
        <w:tc>
          <w:tcPr>
            <w:tcW w:w="44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500" w:type="dxa"/>
            <w:vAlign w:val="bottom"/>
          </w:tcPr>
          <w:p>
            <w:pPr>
              <w:jc w:val="right"/>
              <w:ind w:right="8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(2,039)</w:t>
            </w:r>
          </w:p>
        </w:tc>
        <w:tc>
          <w:tcPr>
            <w:tcW w:w="42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106,940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174,573</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9"/>
              </w:rPr>
              <w:t>(11,234)</w:t>
            </w: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163,339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400"/>
              <w:spacing w:after="0"/>
              <w:rPr>
                <w:sz w:val="20"/>
                <w:szCs w:val="20"/>
                <w:color w:val="auto"/>
              </w:rPr>
            </w:pPr>
            <w:r>
              <w:rPr>
                <w:rFonts w:ascii="Arial" w:cs="Arial" w:eastAsia="Arial" w:hAnsi="Arial"/>
                <w:sz w:val="18"/>
                <w:szCs w:val="18"/>
                <w:color w:val="auto"/>
              </w:rPr>
              <w:t>intangible assets and</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4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41,755</w:t>
            </w:r>
          </w:p>
        </w:tc>
        <w:tc>
          <w:tcPr>
            <w:tcW w:w="4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w w:val="89"/>
              </w:rPr>
              <w:t>(41,755)</w:t>
            </w:r>
          </w:p>
        </w:tc>
        <w:tc>
          <w:tcPr>
            <w:tcW w:w="600" w:type="dxa"/>
            <w:vAlign w:val="bottom"/>
          </w:tcPr>
          <w:p>
            <w:pPr>
              <w:spacing w:after="0"/>
              <w:rPr>
                <w:sz w:val="20"/>
                <w:szCs w:val="20"/>
                <w:color w:val="auto"/>
              </w:rPr>
            </w:pPr>
          </w:p>
        </w:tc>
        <w:tc>
          <w:tcPr>
            <w:tcW w:w="1500" w:type="dxa"/>
            <w:vAlign w:val="bottom"/>
          </w:tcPr>
          <w:p>
            <w:pPr>
              <w:jc w:val="right"/>
              <w:ind w:right="8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 and</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development</w:t>
            </w: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20,780</w:t>
            </w:r>
          </w:p>
        </w:tc>
        <w:tc>
          <w:tcPr>
            <w:tcW w:w="4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8"/>
                <w:szCs w:val="18"/>
                <w:color w:val="auto"/>
                <w:w w:val="89"/>
              </w:rPr>
              <w:t>(20,780)</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5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87"/>
              </w:rPr>
              <w:t>1,287,695</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(41,755)</w:t>
            </w:r>
          </w:p>
        </w:tc>
        <w:tc>
          <w:tcPr>
            <w:tcW w:w="6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89"/>
              </w:rPr>
              <w:t>(20,780)</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89"/>
              </w:rPr>
              <w:t>(23,934)</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1,201,226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177,228</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8"/>
              </w:rPr>
              <w:t>41,755</w:t>
            </w:r>
          </w:p>
        </w:tc>
        <w:tc>
          <w:tcPr>
            <w:tcW w:w="6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98"/>
              </w:rPr>
              <w:t>20,780</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8"/>
              </w:rPr>
              <w:t>23,934</w:t>
            </w: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263,697</w:t>
            </w:r>
          </w:p>
        </w:tc>
        <w:tc>
          <w:tcPr>
            <w:tcW w:w="0" w:type="dxa"/>
            <w:vAlign w:val="bottom"/>
          </w:tcPr>
          <w:p>
            <w:pPr>
              <w:spacing w:after="0"/>
              <w:rPr>
                <w:sz w:val="1"/>
                <w:szCs w:val="1"/>
                <w:color w:val="auto"/>
              </w:rPr>
            </w:pPr>
          </w:p>
        </w:tc>
      </w:tr>
      <w:tr>
        <w:trPr>
          <w:trHeight w:val="439"/>
        </w:trPr>
        <w:tc>
          <w:tcPr>
            <w:tcW w:w="25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18,823</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20,221</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39,044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154,877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8"/>
              </w:rPr>
              <w:t>41,755</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98"/>
              </w:rPr>
              <w:t>20,780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8"/>
              </w:rPr>
              <w:t>23,934</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(20,221)</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221,125</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56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1,361,499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1,173,041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Accounts receivable, net, including unbilled of $38,807and $21,749,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484,764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454,965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118,794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2,055,374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1,872,558</w:t>
            </w:r>
          </w:p>
        </w:tc>
        <w:tc>
          <w:tcPr>
            <w:tcW w:w="0" w:type="dxa"/>
            <w:vAlign w:val="bottom"/>
          </w:tcPr>
          <w:p>
            <w:pPr>
              <w:spacing w:after="0"/>
              <w:rPr>
                <w:sz w:val="1"/>
                <w:szCs w:val="1"/>
                <w:color w:val="auto"/>
              </w:rPr>
            </w:pP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254,180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279,659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1,883,765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1,766,761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4,626,933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4,328,417</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463,457</w:t>
            </w:r>
          </w:p>
        </w:tc>
        <w:tc>
          <w:tcPr>
            <w:tcW w:w="100" w:type="dxa"/>
            <w:vAlign w:val="bottom"/>
          </w:tcPr>
          <w:p>
            <w:pPr>
              <w:spacing w:after="0"/>
              <w:rPr>
                <w:sz w:val="18"/>
                <w:szCs w:val="18"/>
                <w:color w:val="auto"/>
              </w:rPr>
            </w:pP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189,489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666,453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Noncurrent liabilities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557,085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3,403,395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3,213,053</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4,626,933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4,328,417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$ 156,903</w:t>
            </w:r>
          </w:p>
        </w:tc>
        <w:tc>
          <w:tcPr>
            <w:tcW w:w="3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$ 154,877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rPr>
              <w:t>97,524</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98,491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on investment in a subsidiary</w:t>
            </w:r>
          </w:p>
        </w:tc>
        <w:tc>
          <w:tcPr>
            <w:tcW w:w="11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21,800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sale of equipment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Equity-based compensation expense</w:t>
            </w: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rPr>
              <w:t>21,571</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1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(4,312)</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Gain on repurchase of convertible notes</w:t>
            </w:r>
          </w:p>
        </w:tc>
        <w:tc>
          <w:tcPr>
            <w:tcW w:w="2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11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(98)</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(Gain) loss from short-term interest-bearing investments</w:t>
            </w:r>
          </w:p>
        </w:tc>
        <w:tc>
          <w:tcPr>
            <w:tcW w:w="1120" w:type="dxa"/>
            <w:vAlign w:val="bottom"/>
            <w:gridSpan w:val="4"/>
          </w:tcPr>
          <w:p>
            <w:pPr>
              <w:jc w:val="right"/>
              <w:ind w:right="300"/>
              <w:spacing w:after="0"/>
              <w:rPr>
                <w:sz w:val="20"/>
                <w:szCs w:val="20"/>
                <w:color w:val="auto"/>
              </w:rPr>
            </w:pPr>
            <w:r>
              <w:rPr>
                <w:rFonts w:ascii="Arial" w:cs="Arial" w:eastAsia="Arial" w:hAnsi="Arial"/>
                <w:sz w:val="18"/>
                <w:szCs w:val="18"/>
                <w:color w:val="auto"/>
              </w:rPr>
              <w:t>(427)</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120" w:type="dxa"/>
            <w:vAlign w:val="bottom"/>
            <w:gridSpan w:val="4"/>
          </w:tcPr>
          <w:p>
            <w:pPr>
              <w:jc w:val="right"/>
              <w:ind w:right="300"/>
              <w:spacing w:after="0"/>
              <w:rPr>
                <w:sz w:val="20"/>
                <w:szCs w:val="20"/>
                <w:color w:val="auto"/>
              </w:rPr>
            </w:pPr>
            <w:r>
              <w:rPr>
                <w:rFonts w:ascii="Arial" w:cs="Arial" w:eastAsia="Arial" w:hAnsi="Arial"/>
                <w:sz w:val="18"/>
                <w:szCs w:val="18"/>
                <w:color w:val="auto"/>
              </w:rPr>
              <w:t>(12,355)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67,244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28,485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1120" w:type="dxa"/>
            <w:vAlign w:val="bottom"/>
            <w:gridSpan w:val="4"/>
          </w:tcPr>
          <w:p>
            <w:pPr>
              <w:jc w:val="right"/>
              <w:ind w:right="300"/>
              <w:spacing w:after="0"/>
              <w:rPr>
                <w:sz w:val="20"/>
                <w:szCs w:val="20"/>
                <w:color w:val="auto"/>
              </w:rPr>
            </w:pPr>
            <w:r>
              <w:rPr>
                <w:rFonts w:ascii="Arial" w:cs="Arial" w:eastAsia="Arial" w:hAnsi="Arial"/>
                <w:sz w:val="18"/>
                <w:szCs w:val="18"/>
                <w:color w:val="auto"/>
              </w:rPr>
              <w:t>(26,540)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21,725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11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34,846</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rPr>
              <w:t>30,586</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(49,005)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2,571</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7,373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358,075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 net</w:t>
            </w:r>
          </w:p>
        </w:tc>
        <w:tc>
          <w:tcPr>
            <w:tcW w:w="11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(40,074)</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747,201</w:t>
            </w:r>
          </w:p>
        </w:tc>
        <w:tc>
          <w:tcPr>
            <w:tcW w:w="3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323,234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1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(871,945)</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2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(149,685)</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(61,855)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(314,503)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(162,678)</w:t>
            </w: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Borrowing under long-term financing arrangements</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Redemption and repurchase of convertible notes</w:t>
            </w:r>
          </w:p>
        </w:tc>
        <w:tc>
          <w:tcPr>
            <w:tcW w:w="2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(446,795)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rPr>
              <w:t>17,325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 and short-term financing arrangements</w:t>
            </w:r>
          </w:p>
        </w:tc>
        <w:tc>
          <w:tcPr>
            <w:tcW w:w="11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(223)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17,200</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(15,420)</w:t>
            </w:r>
          </w:p>
        </w:tc>
        <w:tc>
          <w:tcPr>
            <w:tcW w:w="0" w:type="dxa"/>
            <w:vAlign w:val="bottom"/>
          </w:tcPr>
          <w:p>
            <w:pPr>
              <w:spacing w:after="0"/>
              <w:rPr>
                <w:sz w:val="1"/>
                <w:szCs w:val="1"/>
                <w:color w:val="auto"/>
              </w:rPr>
            </w:pPr>
          </w:p>
        </w:tc>
      </w:tr>
      <w:tr>
        <w:trPr>
          <w:trHeight w:val="20"/>
        </w:trPr>
        <w:tc>
          <w:tcPr>
            <w:tcW w:w="9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Pr>
          <w:p>
            <w:pPr>
              <w:spacing w:after="0"/>
              <w:rPr>
                <w:sz w:val="24"/>
                <w:szCs w:val="24"/>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60,772</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43,501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728,762</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718,850</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$ 789,534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$ 762,351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9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Three months ended</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March 31,</w:t>
            </w:r>
          </w:p>
        </w:tc>
        <w:tc>
          <w:tcPr>
            <w:tcW w:w="1360" w:type="dxa"/>
            <w:vAlign w:val="bottom"/>
            <w:gridSpan w:val="4"/>
          </w:tcPr>
          <w:p>
            <w:pPr>
              <w:ind w:left="320"/>
              <w:spacing w:after="0" w:line="119" w:lineRule="exact"/>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0"/>
                <w:szCs w:val="10"/>
                <w:color w:val="auto"/>
              </w:rPr>
            </w:pPr>
          </w:p>
        </w:tc>
        <w:tc>
          <w:tcPr>
            <w:tcW w:w="12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0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June 30,</w:t>
            </w:r>
          </w:p>
        </w:tc>
        <w:tc>
          <w:tcPr>
            <w:tcW w:w="3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2010</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547.6</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528.0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527.7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89.5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93.0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84.4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707.4</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690.3</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Three months ended</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March 31,</w:t>
            </w:r>
          </w:p>
        </w:tc>
        <w:tc>
          <w:tcPr>
            <w:tcW w:w="1360" w:type="dxa"/>
            <w:vAlign w:val="bottom"/>
            <w:gridSpan w:val="4"/>
          </w:tcPr>
          <w:p>
            <w:pPr>
              <w:ind w:left="320"/>
              <w:spacing w:after="0" w:line="119" w:lineRule="exact"/>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0"/>
                <w:szCs w:val="10"/>
                <w:color w:val="auto"/>
              </w:rPr>
            </w:pPr>
          </w:p>
        </w:tc>
        <w:tc>
          <w:tcPr>
            <w:tcW w:w="12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0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June 30,</w:t>
            </w:r>
          </w:p>
        </w:tc>
        <w:tc>
          <w:tcPr>
            <w:tcW w:w="3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Experience Systems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678.4</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647.9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Directory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46.4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38.8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42.4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724.8</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707.4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690.3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700"/>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March 31,</w:t>
            </w:r>
          </w:p>
        </w:tc>
        <w:tc>
          <w:tcPr>
            <w:tcW w:w="1360" w:type="dxa"/>
            <w:vAlign w:val="bottom"/>
            <w:gridSpan w:val="4"/>
          </w:tcPr>
          <w:p>
            <w:pPr>
              <w:ind w:left="320"/>
              <w:spacing w:after="0" w:line="119" w:lineRule="exact"/>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0"/>
                <w:szCs w:val="10"/>
                <w:color w:val="auto"/>
              </w:rPr>
            </w:pPr>
          </w:p>
        </w:tc>
        <w:tc>
          <w:tcPr>
            <w:tcW w:w="12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0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June 30,</w:t>
            </w:r>
          </w:p>
        </w:tc>
        <w:tc>
          <w:tcPr>
            <w:tcW w:w="3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12-Month Backlog</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2010</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2019-12-10T17:01:55Z</dcterms:created>
  <dcterms:modified xsi:type="dcterms:W3CDTF">2019-12-10T17:01:55Z</dcterms:modified>
</cp:coreProperties>
</file>