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79"/>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4"/>
          <w:szCs w:val="24"/>
          <w:color w:val="auto"/>
        </w:rPr>
      </w:pPr>
    </w:p>
    <w:p>
      <w:pPr>
        <w:jc w:val="center"/>
        <w:ind w:right="2699"/>
        <w:spacing w:after="0"/>
        <w:rPr>
          <w:sz w:val="20"/>
          <w:szCs w:val="20"/>
          <w:color w:val="auto"/>
        </w:rPr>
      </w:pPr>
      <w:r>
        <w:rPr>
          <w:rFonts w:ascii="Courier New" w:cs="Courier New" w:eastAsia="Courier New" w:hAnsi="Courier New"/>
          <w:sz w:val="16"/>
          <w:szCs w:val="16"/>
          <w:color w:val="auto"/>
        </w:rPr>
        <w:t>UNITED STATES</w:t>
      </w:r>
    </w:p>
    <w:p>
      <w:pPr>
        <w:jc w:val="center"/>
        <w:ind w:right="2779"/>
        <w:spacing w:after="0" w:line="236" w:lineRule="auto"/>
        <w:rPr>
          <w:sz w:val="20"/>
          <w:szCs w:val="20"/>
          <w:color w:val="auto"/>
        </w:rPr>
      </w:pPr>
      <w:r>
        <w:rPr>
          <w:rFonts w:ascii="Courier New" w:cs="Courier New" w:eastAsia="Courier New" w:hAnsi="Courier New"/>
          <w:sz w:val="16"/>
          <w:szCs w:val="16"/>
          <w:color w:val="auto"/>
        </w:rPr>
        <w:t>SECURITIES AND EXCHANGE COMMISSION</w:t>
      </w:r>
    </w:p>
    <w:p>
      <w:pPr>
        <w:jc w:val="center"/>
        <w:ind w:right="2779"/>
        <w:spacing w:after="0" w:line="237" w:lineRule="auto"/>
        <w:rPr>
          <w:sz w:val="20"/>
          <w:szCs w:val="20"/>
          <w:color w:val="auto"/>
        </w:rPr>
      </w:pPr>
      <w:r>
        <w:rPr>
          <w:rFonts w:ascii="Courier New" w:cs="Courier New" w:eastAsia="Courier New" w:hAnsi="Courier New"/>
          <w:sz w:val="16"/>
          <w:szCs w:val="16"/>
          <w:color w:val="auto"/>
        </w:rPr>
        <w:t>WASHINGTON, D.C. 20549</w:t>
      </w:r>
    </w:p>
    <w:p>
      <w:pPr>
        <w:spacing w:after="0" w:line="177" w:lineRule="exact"/>
        <w:rPr>
          <w:sz w:val="24"/>
          <w:szCs w:val="24"/>
          <w:color w:val="auto"/>
        </w:rPr>
      </w:pPr>
    </w:p>
    <w:p>
      <w:pPr>
        <w:jc w:val="center"/>
        <w:ind w:right="2779"/>
        <w:spacing w:after="0"/>
        <w:rPr>
          <w:sz w:val="20"/>
          <w:szCs w:val="20"/>
          <w:color w:val="auto"/>
        </w:rPr>
      </w:pPr>
      <w:r>
        <w:rPr>
          <w:rFonts w:ascii="Courier New" w:cs="Courier New" w:eastAsia="Courier New" w:hAnsi="Courier New"/>
          <w:sz w:val="16"/>
          <w:szCs w:val="16"/>
          <w:color w:val="auto"/>
        </w:rPr>
        <w:t>FORM 6-K</w:t>
      </w:r>
    </w:p>
    <w:p>
      <w:pPr>
        <w:spacing w:after="0" w:line="177" w:lineRule="exact"/>
        <w:rPr>
          <w:sz w:val="24"/>
          <w:szCs w:val="24"/>
          <w:color w:val="auto"/>
        </w:rPr>
      </w:pPr>
    </w:p>
    <w:p>
      <w:pPr>
        <w:ind w:left="2220"/>
        <w:spacing w:after="0"/>
        <w:rPr>
          <w:sz w:val="20"/>
          <w:szCs w:val="20"/>
          <w:color w:val="auto"/>
        </w:rPr>
      </w:pPr>
      <w:r>
        <w:rPr>
          <w:rFonts w:ascii="Courier New" w:cs="Courier New" w:eastAsia="Courier New" w:hAnsi="Courier New"/>
          <w:sz w:val="16"/>
          <w:szCs w:val="16"/>
          <w:color w:val="auto"/>
        </w:rPr>
        <w:t>REPORT OF FOREIGN PRIVATE ISSUER</w:t>
      </w:r>
    </w:p>
    <w:p>
      <w:pPr>
        <w:ind w:left="1940"/>
        <w:spacing w:after="0" w:line="236" w:lineRule="auto"/>
        <w:rPr>
          <w:sz w:val="20"/>
          <w:szCs w:val="20"/>
          <w:color w:val="auto"/>
        </w:rPr>
      </w:pPr>
      <w:r>
        <w:rPr>
          <w:rFonts w:ascii="Courier New" w:cs="Courier New" w:eastAsia="Courier New" w:hAnsi="Courier New"/>
          <w:sz w:val="16"/>
          <w:szCs w:val="16"/>
          <w:color w:val="auto"/>
        </w:rPr>
        <w:t>PURSUANT TO RULE 13A-16 OR 15D-16 UNDER</w:t>
      </w:r>
    </w:p>
    <w:p>
      <w:pPr>
        <w:ind w:left="2140"/>
        <w:spacing w:after="0" w:line="237" w:lineRule="auto"/>
        <w:rPr>
          <w:sz w:val="20"/>
          <w:szCs w:val="20"/>
          <w:color w:val="auto"/>
        </w:rPr>
      </w:pPr>
      <w:r>
        <w:rPr>
          <w:rFonts w:ascii="Courier New" w:cs="Courier New" w:eastAsia="Courier New" w:hAnsi="Courier New"/>
          <w:sz w:val="16"/>
          <w:szCs w:val="16"/>
          <w:color w:val="auto"/>
        </w:rPr>
        <w:t>THE SECURITIES EXCHANGE ACT OF 1934</w:t>
      </w:r>
    </w:p>
    <w:p>
      <w:pPr>
        <w:spacing w:after="0" w:line="177" w:lineRule="exact"/>
        <w:rPr>
          <w:sz w:val="24"/>
          <w:szCs w:val="24"/>
          <w:color w:val="auto"/>
        </w:rPr>
      </w:pPr>
    </w:p>
    <w:p>
      <w:pPr>
        <w:ind w:left="2320"/>
        <w:spacing w:after="0"/>
        <w:rPr>
          <w:sz w:val="20"/>
          <w:szCs w:val="20"/>
          <w:color w:val="auto"/>
        </w:rPr>
      </w:pPr>
      <w:r>
        <w:rPr>
          <w:rFonts w:ascii="Courier New" w:cs="Courier New" w:eastAsia="Courier New" w:hAnsi="Courier New"/>
          <w:sz w:val="16"/>
          <w:szCs w:val="16"/>
          <w:color w:val="auto"/>
        </w:rPr>
        <w:t>For the month of November 2005</w:t>
      </w:r>
    </w:p>
    <w:p>
      <w:pPr>
        <w:spacing w:after="0" w:line="177" w:lineRule="exact"/>
        <w:rPr>
          <w:sz w:val="24"/>
          <w:szCs w:val="24"/>
          <w:color w:val="auto"/>
        </w:rPr>
      </w:pPr>
    </w:p>
    <w:p>
      <w:pPr>
        <w:jc w:val="center"/>
        <w:ind w:right="2779"/>
        <w:spacing w:after="0"/>
        <w:rPr>
          <w:sz w:val="20"/>
          <w:szCs w:val="20"/>
          <w:color w:val="auto"/>
        </w:rPr>
      </w:pPr>
      <w:r>
        <w:rPr>
          <w:rFonts w:ascii="Courier New" w:cs="Courier New" w:eastAsia="Courier New" w:hAnsi="Courier New"/>
          <w:sz w:val="16"/>
          <w:szCs w:val="16"/>
          <w:color w:val="auto"/>
        </w:rPr>
        <w:t>Commission File Number 1-14840</w:t>
      </w:r>
    </w:p>
    <w:p>
      <w:pPr>
        <w:spacing w:after="0" w:line="177" w:lineRule="exact"/>
        <w:rPr>
          <w:sz w:val="24"/>
          <w:szCs w:val="24"/>
          <w:color w:val="auto"/>
        </w:rPr>
      </w:pPr>
    </w:p>
    <w:p>
      <w:pPr>
        <w:jc w:val="center"/>
        <w:ind w:right="2779"/>
        <w:spacing w:after="0"/>
        <w:rPr>
          <w:sz w:val="20"/>
          <w:szCs w:val="20"/>
          <w:color w:val="auto"/>
        </w:rPr>
      </w:pPr>
      <w:r>
        <w:rPr>
          <w:rFonts w:ascii="Courier New" w:cs="Courier New" w:eastAsia="Courier New" w:hAnsi="Courier New"/>
          <w:sz w:val="16"/>
          <w:szCs w:val="16"/>
          <w:color w:val="auto"/>
        </w:rPr>
        <w:t>AMDOCS LIMITED</w:t>
      </w:r>
    </w:p>
    <w:p>
      <w:pPr>
        <w:spacing w:after="0" w:line="177" w:lineRule="exact"/>
        <w:rPr>
          <w:sz w:val="24"/>
          <w:szCs w:val="24"/>
          <w:color w:val="auto"/>
        </w:rPr>
      </w:pPr>
    </w:p>
    <w:p>
      <w:pPr>
        <w:jc w:val="center"/>
        <w:ind w:right="2779"/>
        <w:spacing w:after="0"/>
        <w:rPr>
          <w:sz w:val="20"/>
          <w:szCs w:val="20"/>
          <w:color w:val="auto"/>
        </w:rPr>
      </w:pPr>
      <w:r>
        <w:rPr>
          <w:rFonts w:ascii="Courier New" w:cs="Courier New" w:eastAsia="Courier New" w:hAnsi="Courier New"/>
          <w:sz w:val="16"/>
          <w:szCs w:val="16"/>
          <w:color w:val="auto"/>
        </w:rPr>
        <w:t>Suite 5, Tower Hill House Le Bordage</w:t>
      </w:r>
    </w:p>
    <w:p>
      <w:pPr>
        <w:jc w:val="center"/>
        <w:ind w:right="2699"/>
        <w:spacing w:after="0" w:line="236" w:lineRule="auto"/>
        <w:rPr>
          <w:sz w:val="20"/>
          <w:szCs w:val="20"/>
          <w:color w:val="auto"/>
        </w:rPr>
      </w:pPr>
      <w:r>
        <w:rPr>
          <w:rFonts w:ascii="Courier New" w:cs="Courier New" w:eastAsia="Courier New" w:hAnsi="Courier New"/>
          <w:sz w:val="16"/>
          <w:szCs w:val="16"/>
          <w:color w:val="auto"/>
        </w:rPr>
        <w:t>St. Peter Port, Island of Guernsey, GY1 3QT Channel Islands</w:t>
      </w:r>
    </w:p>
    <w:p>
      <w:pPr>
        <w:spacing w:after="0" w:line="177" w:lineRule="exact"/>
        <w:rPr>
          <w:sz w:val="24"/>
          <w:szCs w:val="24"/>
          <w:color w:val="auto"/>
        </w:rPr>
      </w:pPr>
    </w:p>
    <w:p>
      <w:pPr>
        <w:jc w:val="center"/>
        <w:ind w:right="2779"/>
        <w:spacing w:after="0"/>
        <w:rPr>
          <w:sz w:val="20"/>
          <w:szCs w:val="20"/>
          <w:color w:val="auto"/>
        </w:rPr>
      </w:pPr>
      <w:r>
        <w:rPr>
          <w:rFonts w:ascii="Courier New" w:cs="Courier New" w:eastAsia="Courier New" w:hAnsi="Courier New"/>
          <w:sz w:val="16"/>
          <w:szCs w:val="16"/>
          <w:color w:val="auto"/>
        </w:rPr>
        <w:t>Amdocs, Inc.</w:t>
      </w:r>
    </w:p>
    <w:p>
      <w:pPr>
        <w:jc w:val="center"/>
        <w:ind w:right="2699"/>
        <w:spacing w:after="0" w:line="236" w:lineRule="auto"/>
        <w:rPr>
          <w:sz w:val="20"/>
          <w:szCs w:val="20"/>
          <w:color w:val="auto"/>
        </w:rPr>
      </w:pPr>
      <w:r>
        <w:rPr>
          <w:rFonts w:ascii="Courier New" w:cs="Courier New" w:eastAsia="Courier New" w:hAnsi="Courier New"/>
          <w:sz w:val="16"/>
          <w:szCs w:val="16"/>
          <w:color w:val="auto"/>
        </w:rPr>
        <w:t>1390 Timberlake Manor Parkway, Chesterfield, Missouri 63017</w:t>
      </w:r>
    </w:p>
    <w:p>
      <w:pPr>
        <w:spacing w:after="0" w:line="177" w:lineRule="exact"/>
        <w:rPr>
          <w:sz w:val="24"/>
          <w:szCs w:val="24"/>
          <w:color w:val="auto"/>
        </w:rPr>
      </w:pPr>
    </w:p>
    <w:p>
      <w:pPr>
        <w:jc w:val="center"/>
        <w:ind w:right="2779"/>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183" w:lineRule="exact"/>
        <w:rPr>
          <w:sz w:val="24"/>
          <w:szCs w:val="24"/>
          <w:color w:val="auto"/>
        </w:rPr>
      </w:pPr>
    </w:p>
    <w:p>
      <w:pPr>
        <w:ind w:right="2879"/>
        <w:spacing w:after="0" w:line="234" w:lineRule="auto"/>
        <w:rPr>
          <w:sz w:val="20"/>
          <w:szCs w:val="20"/>
          <w:color w:val="auto"/>
        </w:rPr>
      </w:pPr>
      <w:r>
        <w:rPr>
          <w:rFonts w:ascii="Courier New" w:cs="Courier New" w:eastAsia="Courier New" w:hAnsi="Courier New"/>
          <w:sz w:val="16"/>
          <w:szCs w:val="16"/>
          <w:color w:val="auto"/>
        </w:rPr>
        <w:t>Indicate by check mark whether the registrant files or will file annual reports under cover of Form 20-F or Form 40-F.</w:t>
      </w:r>
    </w:p>
    <w:p>
      <w:pPr>
        <w:spacing w:after="0" w:line="177" w:lineRule="exact"/>
        <w:rPr>
          <w:sz w:val="24"/>
          <w:szCs w:val="24"/>
          <w:color w:val="auto"/>
        </w:rPr>
      </w:pPr>
    </w:p>
    <w:p>
      <w:pPr>
        <w:ind w:left="2500"/>
        <w:spacing w:after="0"/>
        <w:tabs>
          <w:tab w:leader="none" w:pos="4260" w:val="left"/>
        </w:tabs>
        <w:rPr>
          <w:sz w:val="20"/>
          <w:szCs w:val="20"/>
          <w:color w:val="auto"/>
        </w:rPr>
      </w:pPr>
      <w:r>
        <w:rPr>
          <w:rFonts w:ascii="Courier New" w:cs="Courier New" w:eastAsia="Courier New" w:hAnsi="Courier New"/>
          <w:sz w:val="16"/>
          <w:szCs w:val="16"/>
          <w:color w:val="auto"/>
        </w:rPr>
        <w:t>FORM 20-F X</w:t>
      </w:r>
      <w:r>
        <w:rPr>
          <w:sz w:val="20"/>
          <w:szCs w:val="20"/>
          <w:color w:val="auto"/>
        </w:rPr>
        <w:tab/>
      </w:r>
      <w:r>
        <w:rPr>
          <w:rFonts w:ascii="Courier New" w:cs="Courier New" w:eastAsia="Courier New" w:hAnsi="Courier New"/>
          <w:sz w:val="14"/>
          <w:szCs w:val="14"/>
          <w:color w:val="auto"/>
        </w:rPr>
        <w:t>FORM 40-F</w:t>
      </w:r>
    </w:p>
    <w:p>
      <w:pPr>
        <w:spacing w:after="0" w:line="183" w:lineRule="exact"/>
        <w:rPr>
          <w:sz w:val="24"/>
          <w:szCs w:val="24"/>
          <w:color w:val="auto"/>
        </w:rPr>
      </w:pPr>
    </w:p>
    <w:p>
      <w:pPr>
        <w:ind w:right="2779"/>
        <w:spacing w:after="0" w:line="283" w:lineRule="auto"/>
        <w:rPr>
          <w:sz w:val="20"/>
          <w:szCs w:val="20"/>
          <w:color w:val="auto"/>
        </w:rPr>
      </w:pPr>
      <w:r>
        <w:rPr>
          <w:rFonts w:ascii="Courier New" w:cs="Courier New" w:eastAsia="Courier New" w:hAnsi="Courier New"/>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8" w:lineRule="exact"/>
        <w:rPr>
          <w:sz w:val="24"/>
          <w:szCs w:val="24"/>
          <w:color w:val="auto"/>
        </w:rPr>
      </w:pPr>
    </w:p>
    <w:p>
      <w:pPr>
        <w:ind w:left="2600"/>
        <w:spacing w:after="0"/>
        <w:tabs>
          <w:tab w:leader="none" w:pos="4260" w:val="left"/>
        </w:tabs>
        <w:rPr>
          <w:sz w:val="20"/>
          <w:szCs w:val="20"/>
          <w:color w:val="auto"/>
        </w:rPr>
      </w:pPr>
      <w:r>
        <w:rPr>
          <w:rFonts w:ascii="Courier New" w:cs="Courier New" w:eastAsia="Courier New" w:hAnsi="Courier New"/>
          <w:sz w:val="16"/>
          <w:szCs w:val="16"/>
          <w:color w:val="auto"/>
        </w:rPr>
        <w:t>YES [ ]</w:t>
      </w:r>
      <w:r>
        <w:rPr>
          <w:sz w:val="20"/>
          <w:szCs w:val="20"/>
          <w:color w:val="auto"/>
        </w:rPr>
        <w:tab/>
      </w:r>
      <w:r>
        <w:rPr>
          <w:rFonts w:ascii="Courier New" w:cs="Courier New" w:eastAsia="Courier New" w:hAnsi="Courier New"/>
          <w:sz w:val="14"/>
          <w:szCs w:val="14"/>
          <w:color w:val="auto"/>
        </w:rPr>
        <w:t>NO [X]</w:t>
      </w:r>
    </w:p>
    <w:p>
      <w:pPr>
        <w:spacing w:after="0" w:line="36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416" w:right="1440" w:bottom="1440" w:gutter="0" w:footer="0" w:header="0"/>
        </w:sectPr>
      </w:pPr>
    </w:p>
    <w:bookmarkStart w:id="1" w:name="page2"/>
    <w:bookmarkEnd w:id="1"/>
    <w:p>
      <w:pPr>
        <w:ind w:right="2779" w:firstLine="558"/>
        <w:spacing w:after="0" w:line="235" w:lineRule="auto"/>
        <w:rPr>
          <w:sz w:val="20"/>
          <w:szCs w:val="20"/>
          <w:color w:val="auto"/>
        </w:rPr>
      </w:pPr>
      <w:r>
        <w:rPr>
          <w:rFonts w:ascii="Courier New" w:cs="Courier New" w:eastAsia="Courier New" w:hAnsi="Courier New"/>
          <w:sz w:val="16"/>
          <w:szCs w:val="16"/>
          <w:color w:val="auto"/>
        </w:rPr>
        <w:t>On November 9, 2005, Amdocs Limited ("Amdocs") issued a press release announcing financial results for the quarter ended September 30, 2005. A copy of the press release is furnished as Exhibit 99.1 to this Report of Foreign Private Issuer on Form 6-K.</w:t>
      </w:r>
    </w:p>
    <w:p>
      <w:pPr>
        <w:spacing w:after="0" w:line="185" w:lineRule="exact"/>
        <w:rPr>
          <w:sz w:val="20"/>
          <w:szCs w:val="20"/>
          <w:color w:val="auto"/>
        </w:rPr>
      </w:pPr>
    </w:p>
    <w:p>
      <w:pPr>
        <w:ind w:right="2779" w:firstLine="558"/>
        <w:spacing w:after="0" w:line="235" w:lineRule="auto"/>
        <w:rPr>
          <w:sz w:val="20"/>
          <w:szCs w:val="20"/>
          <w:color w:val="auto"/>
        </w:rPr>
      </w:pPr>
      <w:r>
        <w:rPr>
          <w:rFonts w:ascii="Courier New" w:cs="Courier New" w:eastAsia="Courier New" w:hAnsi="Courier New"/>
          <w:sz w:val="16"/>
          <w:szCs w:val="16"/>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10219"/>
          </w:cols>
          <w:pgMar w:left="240" w:top="475" w:right="1440" w:bottom="1440" w:gutter="0" w:footer="0" w:header="0"/>
        </w:sectPr>
      </w:pPr>
    </w:p>
    <w:bookmarkStart w:id="2" w:name="page3"/>
    <w:bookmarkEnd w:id="2"/>
    <w:p>
      <w:pPr>
        <w:ind w:left="3260"/>
        <w:spacing w:after="0"/>
        <w:rPr>
          <w:sz w:val="20"/>
          <w:szCs w:val="20"/>
          <w:color w:val="auto"/>
        </w:rPr>
      </w:pPr>
      <w:r>
        <w:rPr>
          <w:rFonts w:ascii="Courier New" w:cs="Courier New" w:eastAsia="Courier New" w:hAnsi="Courier New"/>
          <w:sz w:val="16"/>
          <w:szCs w:val="16"/>
          <w:color w:val="auto"/>
        </w:rPr>
        <w:t>SIGNATURES</w:t>
      </w:r>
    </w:p>
    <w:p>
      <w:pPr>
        <w:spacing w:after="0" w:line="183" w:lineRule="exact"/>
        <w:rPr>
          <w:sz w:val="20"/>
          <w:szCs w:val="20"/>
          <w:color w:val="auto"/>
        </w:rPr>
      </w:pPr>
    </w:p>
    <w:p>
      <w:pPr>
        <w:jc w:val="both"/>
        <w:ind w:right="3519"/>
        <w:spacing w:after="0" w:line="235"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17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AMDOCS LIMITED</w:t>
      </w:r>
    </w:p>
    <w:p>
      <w:pPr>
        <w:spacing w:after="0" w:line="17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/s/ Thomas G. O'Brien</w:t>
      </w:r>
    </w:p>
    <w:p>
      <w:pPr>
        <w:ind w:left="3900"/>
        <w:spacing w:after="0" w:line="236" w:lineRule="auto"/>
        <w:rPr>
          <w:sz w:val="20"/>
          <w:szCs w:val="20"/>
          <w:color w:val="auto"/>
        </w:rPr>
      </w:pPr>
      <w:r>
        <w:rPr>
          <w:rFonts w:ascii="Courier New" w:cs="Courier New" w:eastAsia="Courier New" w:hAnsi="Courier New"/>
          <w:sz w:val="16"/>
          <w:szCs w:val="16"/>
          <w:color w:val="auto"/>
        </w:rPr>
        <w:t>-------------------------</w:t>
      </w:r>
    </w:p>
    <w:p>
      <w:pPr>
        <w:ind w:left="3900"/>
        <w:spacing w:after="0" w:line="237" w:lineRule="auto"/>
        <w:rPr>
          <w:sz w:val="20"/>
          <w:szCs w:val="20"/>
          <w:color w:val="auto"/>
        </w:rPr>
      </w:pPr>
      <w:r>
        <w:rPr>
          <w:rFonts w:ascii="Courier New" w:cs="Courier New" w:eastAsia="Courier New" w:hAnsi="Courier New"/>
          <w:sz w:val="16"/>
          <w:szCs w:val="16"/>
          <w:color w:val="auto"/>
        </w:rPr>
        <w:t>Thomas G. O'Brien</w:t>
      </w:r>
    </w:p>
    <w:p>
      <w:pPr>
        <w:ind w:left="3900"/>
        <w:spacing w:after="0" w:line="237" w:lineRule="auto"/>
        <w:rPr>
          <w:sz w:val="20"/>
          <w:szCs w:val="20"/>
          <w:color w:val="auto"/>
        </w:rPr>
      </w:pPr>
      <w:r>
        <w:rPr>
          <w:rFonts w:ascii="Courier New" w:cs="Courier New" w:eastAsia="Courier New" w:hAnsi="Courier New"/>
          <w:sz w:val="16"/>
          <w:szCs w:val="16"/>
          <w:color w:val="auto"/>
        </w:rPr>
        <w:t>Treasurer and Secretary</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Authorized U.S. Representative</w:t>
      </w:r>
    </w:p>
    <w:p>
      <w:pPr>
        <w:spacing w:after="0" w:line="193"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Date:</w:t>
      </w:r>
      <w:r>
        <w:rPr>
          <w:sz w:val="20"/>
          <w:szCs w:val="20"/>
          <w:color w:val="auto"/>
        </w:rPr>
        <w:tab/>
      </w:r>
      <w:r>
        <w:rPr>
          <w:rFonts w:ascii="Courier New" w:cs="Courier New" w:eastAsia="Courier New" w:hAnsi="Courier New"/>
          <w:sz w:val="16"/>
          <w:szCs w:val="16"/>
          <w:color w:val="auto"/>
        </w:rPr>
        <w:t>November 10, 2005</w:t>
      </w:r>
    </w:p>
    <w:p>
      <w:pPr>
        <w:sectPr>
          <w:pgSz w:w="11900" w:h="16838" w:orient="portrait"/>
          <w:cols w:equalWidth="0" w:num="1">
            <w:col w:w="10219"/>
          </w:cols>
          <w:pgMar w:left="240" w:top="469" w:right="1440" w:bottom="1440" w:gutter="0" w:footer="0" w:header="0"/>
        </w:sectPr>
      </w:pPr>
    </w:p>
    <w:bookmarkStart w:id="3" w:name="page4"/>
    <w:bookmarkEnd w:id="3"/>
    <w:p>
      <w:pPr>
        <w:ind w:left="316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19"/>
          </w:cols>
          <w:pgMar w:left="240" w:top="475" w:right="1440" w:bottom="1440" w:gutter="0" w:footer="0" w:header="0"/>
        </w:sectPr>
      </w:pP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NO.</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199" w:lineRule="exact"/>
        <w:rPr>
          <w:sz w:val="20"/>
          <w:szCs w:val="20"/>
          <w:color w:val="auto"/>
        </w:rPr>
      </w:pPr>
    </w:p>
    <w:p>
      <w:pPr>
        <w:sectPr>
          <w:pgSz w:w="11900" w:h="16838" w:orient="portrait"/>
          <w:cols w:equalWidth="0" w:num="2">
            <w:col w:w="1780" w:space="720"/>
            <w:col w:w="7719"/>
          </w:cols>
          <w:pgMar w:left="240" w:top="47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Amdocs Limited Press Release dated November 9, 2005.</w:t>
      </w:r>
    </w:p>
    <w:p>
      <w:pPr>
        <w:sectPr>
          <w:pgSz w:w="11900" w:h="16838" w:orient="portrait"/>
          <w:cols w:equalWidth="0" w:num="2">
            <w:col w:w="1780" w:space="720"/>
            <w:col w:w="7719"/>
          </w:cols>
          <w:pgMar w:left="240" w:top="475" w:right="1440" w:bottom="1440" w:gutter="0" w:footer="0" w:header="0"/>
          <w:type w:val="continuous"/>
        </w:sectPr>
      </w:pPr>
    </w:p>
    <w:bookmarkStart w:id="4" w:name="page5"/>
    <w:bookmarkEnd w:id="4"/>
    <w:p>
      <w:pPr>
        <w:ind w:left="5"/>
        <w:spacing w:after="0"/>
        <w:tabs>
          <w:tab w:leader="none" w:pos="6864" w:val="left"/>
        </w:tabs>
        <w:rPr>
          <w:sz w:val="20"/>
          <w:szCs w:val="20"/>
          <w:color w:val="auto"/>
        </w:rPr>
      </w:pPr>
      <w:r>
        <w:rPr>
          <w:rFonts w:ascii="Courier New" w:cs="Courier New" w:eastAsia="Courier New" w:hAnsi="Courier New"/>
          <w:sz w:val="16"/>
          <w:szCs w:val="16"/>
          <w:color w:val="auto"/>
        </w:rPr>
        <w:t>PRESS RELEASE</w:t>
      </w:r>
      <w:r>
        <w:rPr>
          <w:sz w:val="20"/>
          <w:szCs w:val="20"/>
          <w:color w:val="auto"/>
        </w:rPr>
        <w:tab/>
      </w:r>
      <w:r>
        <w:rPr>
          <w:rFonts w:ascii="Courier New" w:cs="Courier New" w:eastAsia="Courier New" w:hAnsi="Courier New"/>
          <w:sz w:val="14"/>
          <w:szCs w:val="14"/>
          <w:color w:val="auto"/>
        </w:rPr>
        <w:t>AMDOCS</w:t>
      </w:r>
    </w:p>
    <w:p>
      <w:pPr>
        <w:spacing w:after="0" w:line="177"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AMDOCS LIMITED REPORTS RECORD REVENUE OF $573.3 MILLION FOR FOURTH</w:t>
      </w:r>
    </w:p>
    <w:p>
      <w:pPr>
        <w:jc w:val="center"/>
        <w:ind w:right="2775"/>
        <w:spacing w:after="0" w:line="236" w:lineRule="auto"/>
        <w:rPr>
          <w:sz w:val="20"/>
          <w:szCs w:val="20"/>
          <w:color w:val="auto"/>
        </w:rPr>
      </w:pPr>
      <w:r>
        <w:rPr>
          <w:rFonts w:ascii="Courier New" w:cs="Courier New" w:eastAsia="Courier New" w:hAnsi="Courier New"/>
          <w:sz w:val="16"/>
          <w:szCs w:val="16"/>
          <w:color w:val="auto"/>
        </w:rPr>
        <w:t>QUARTER OF FISCAL 2005</w:t>
      </w:r>
    </w:p>
    <w:p>
      <w:pPr>
        <w:spacing w:after="0" w:line="177" w:lineRule="exact"/>
        <w:rPr>
          <w:sz w:val="20"/>
          <w:szCs w:val="20"/>
          <w:color w:val="auto"/>
        </w:rPr>
      </w:pPr>
    </w:p>
    <w:p>
      <w:pPr>
        <w:ind w:left="185"/>
        <w:spacing w:after="0"/>
        <w:rPr>
          <w:sz w:val="20"/>
          <w:szCs w:val="20"/>
          <w:color w:val="auto"/>
        </w:rPr>
      </w:pPr>
      <w:r>
        <w:rPr>
          <w:rFonts w:ascii="Courier New" w:cs="Courier New" w:eastAsia="Courier New" w:hAnsi="Courier New"/>
          <w:sz w:val="16"/>
          <w:szCs w:val="16"/>
          <w:color w:val="auto"/>
        </w:rPr>
        <w:t>AMDOCS CROSSES A THRESHOLD, WITH REVENUE FOR FISCAL 2005 EXCEEDING $2 BILLION</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Key highlights:</w:t>
      </w:r>
    </w:p>
    <w:p>
      <w:pPr>
        <w:spacing w:after="0" w:line="177" w:lineRule="exact"/>
        <w:rPr>
          <w:sz w:val="20"/>
          <w:szCs w:val="20"/>
          <w:color w:val="auto"/>
        </w:rPr>
      </w:pPr>
    </w:p>
    <w:p>
      <w:pPr>
        <w:ind w:left="185" w:hanging="185"/>
        <w:spacing w:after="0"/>
        <w:tabs>
          <w:tab w:leader="none" w:pos="18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r>
        <w:rPr>
          <w:rFonts w:ascii="Courier New" w:cs="Courier New" w:eastAsia="Courier New" w:hAnsi="Courier New"/>
          <w:sz w:val="14"/>
          <w:szCs w:val="14"/>
          <w:color w:val="auto"/>
        </w:rPr>
        <w:t>Fourth quarter revenue grew 26.7% to $573.3 million</w:t>
      </w:r>
    </w:p>
    <w:p>
      <w:pPr>
        <w:spacing w:after="0" w:line="176" w:lineRule="exact"/>
        <w:rPr>
          <w:rFonts w:ascii="Courier New" w:cs="Courier New" w:eastAsia="Courier New" w:hAnsi="Courier New"/>
          <w:sz w:val="16"/>
          <w:szCs w:val="16"/>
          <w:color w:val="auto"/>
        </w:rPr>
      </w:pPr>
    </w:p>
    <w:p>
      <w:pPr>
        <w:ind w:left="185" w:hanging="185"/>
        <w:spacing w:after="0"/>
        <w:tabs>
          <w:tab w:leader="none" w:pos="18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r>
        <w:rPr>
          <w:rFonts w:ascii="Courier New" w:cs="Courier New" w:eastAsia="Courier New" w:hAnsi="Courier New"/>
          <w:sz w:val="14"/>
          <w:szCs w:val="14"/>
          <w:color w:val="auto"/>
        </w:rPr>
        <w:t>30.0% increase in fourth quarter diluted EPS, excluding</w:t>
      </w:r>
    </w:p>
    <w:p>
      <w:pPr>
        <w:spacing w:after="0" w:line="4" w:lineRule="exact"/>
        <w:rPr>
          <w:sz w:val="20"/>
          <w:szCs w:val="20"/>
          <w:color w:val="auto"/>
        </w:rPr>
      </w:pPr>
    </w:p>
    <w:p>
      <w:pPr>
        <w:ind w:left="565" w:right="3059"/>
        <w:spacing w:after="0" w:line="234" w:lineRule="auto"/>
        <w:rPr>
          <w:sz w:val="20"/>
          <w:szCs w:val="20"/>
          <w:color w:val="auto"/>
        </w:rPr>
      </w:pPr>
      <w:r>
        <w:rPr>
          <w:rFonts w:ascii="Courier New" w:cs="Courier New" w:eastAsia="Courier New" w:hAnsi="Courier New"/>
          <w:sz w:val="16"/>
          <w:szCs w:val="16"/>
          <w:color w:val="auto"/>
        </w:rPr>
        <w:t>acquisition-related costs and restructuring charges, net of related tax effects, to $0.39; Diluted GAAP EPS of $0.32</w:t>
      </w:r>
    </w:p>
    <w:p>
      <w:pPr>
        <w:spacing w:after="0" w:line="183" w:lineRule="exact"/>
        <w:rPr>
          <w:sz w:val="20"/>
          <w:szCs w:val="20"/>
          <w:color w:val="auto"/>
        </w:rPr>
      </w:pPr>
    </w:p>
    <w:p>
      <w:pPr>
        <w:ind w:left="565" w:right="2879" w:hanging="565"/>
        <w:spacing w:after="0" w:line="235" w:lineRule="auto"/>
        <w:tabs>
          <w:tab w:leader="none" w:pos="19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-Improved Amdocs strategic position in the cable broadband and satellite industry with the acquisition of DST Innovis and in China with the purchase of Longshine Information Technology Company</w:t>
      </w:r>
    </w:p>
    <w:p>
      <w:pPr>
        <w:spacing w:after="0" w:line="177" w:lineRule="exact"/>
        <w:rPr>
          <w:rFonts w:ascii="Courier New" w:cs="Courier New" w:eastAsia="Courier New" w:hAnsi="Courier New"/>
          <w:sz w:val="16"/>
          <w:szCs w:val="16"/>
          <w:color w:val="auto"/>
        </w:rPr>
      </w:pPr>
    </w:p>
    <w:p>
      <w:pPr>
        <w:ind w:left="185" w:hanging="185"/>
        <w:spacing w:after="0"/>
        <w:tabs>
          <w:tab w:leader="none" w:pos="185"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r>
        <w:rPr>
          <w:rFonts w:ascii="Courier New" w:cs="Courier New" w:eastAsia="Courier New" w:hAnsi="Courier New"/>
          <w:sz w:val="14"/>
          <w:szCs w:val="14"/>
          <w:color w:val="auto"/>
        </w:rPr>
        <w:t>Free cash flow of $104.7 million for the quarter</w:t>
      </w:r>
    </w:p>
    <w:p>
      <w:pPr>
        <w:spacing w:after="0" w:line="182" w:lineRule="exact"/>
        <w:rPr>
          <w:rFonts w:ascii="Courier New" w:cs="Courier New" w:eastAsia="Courier New" w:hAnsi="Courier New"/>
          <w:sz w:val="16"/>
          <w:szCs w:val="16"/>
          <w:color w:val="auto"/>
        </w:rPr>
      </w:pPr>
    </w:p>
    <w:p>
      <w:pPr>
        <w:ind w:left="565" w:right="2879" w:hanging="565"/>
        <w:spacing w:after="0" w:line="235" w:lineRule="auto"/>
        <w:tabs>
          <w:tab w:leader="none" w:pos="19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-Fiscal year 2005 revenue of $2.039 billion, an increase of 14.9% over 2004. Diluted EPS excluding acquisition-related costs and restructuring charges, net of related tax effects, increased by 27.2% to $1.45; Diluted GAAP EPS was $1.35</w:t>
      </w:r>
    </w:p>
    <w:p>
      <w:pPr>
        <w:spacing w:after="0" w:line="184" w:lineRule="exact"/>
        <w:rPr>
          <w:rFonts w:ascii="Courier New" w:cs="Courier New" w:eastAsia="Courier New" w:hAnsi="Courier New"/>
          <w:sz w:val="16"/>
          <w:szCs w:val="16"/>
          <w:color w:val="auto"/>
        </w:rPr>
      </w:pPr>
    </w:p>
    <w:p>
      <w:pPr>
        <w:ind w:left="565" w:right="2599" w:hanging="565"/>
        <w:spacing w:after="0" w:line="270" w:lineRule="auto"/>
        <w:tabs>
          <w:tab w:leader="none" w:pos="19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r>
        <w:rPr>
          <w:rFonts w:ascii="Courier New" w:cs="Courier New" w:eastAsia="Courier New" w:hAnsi="Courier New"/>
          <w:sz w:val="14"/>
          <w:szCs w:val="14"/>
          <w:color w:val="auto"/>
        </w:rPr>
        <w:t>First quarter fiscal 2006 guidance: Expected revenue of approximately $585 million and diluted EPS of $0.40, excluding acquisition-related costs, net of related tax effects, and approximately $0.04-$0.05 per share of employee equity-based compensation expense. Diluted GAAP EPS is expected</w:t>
      </w:r>
    </w:p>
    <w:p>
      <w:pPr>
        <w:ind w:left="56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to be approximately $0.33-$0.34</w:t>
      </w:r>
    </w:p>
    <w:p>
      <w:pPr>
        <w:spacing w:after="0" w:line="183" w:lineRule="exact"/>
        <w:rPr>
          <w:rFonts w:ascii="Courier New" w:cs="Courier New" w:eastAsia="Courier New" w:hAnsi="Courier New"/>
          <w:sz w:val="16"/>
          <w:szCs w:val="16"/>
          <w:color w:val="auto"/>
        </w:rPr>
      </w:pPr>
    </w:p>
    <w:p>
      <w:pPr>
        <w:ind w:left="565" w:right="2779" w:hanging="565"/>
        <w:spacing w:after="0" w:line="235" w:lineRule="auto"/>
        <w:tabs>
          <w:tab w:leader="none" w:pos="19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-Fiscal 2006 guidance: Expected revenue of approximately $2.40-$2.47 billion and diluted EPS of $1.65-$1.70, excluding acquisition-related costs, net of related tax effects, and approximately $0.16-$0.20 per share of employee equity-based compensation expense. Diluted GAAP EPS is expected to be approximately $1.37-$1.44</w:t>
      </w:r>
    </w:p>
    <w:p>
      <w:pPr>
        <w:spacing w:after="0" w:line="186" w:lineRule="exact"/>
        <w:rPr>
          <w:sz w:val="20"/>
          <w:szCs w:val="20"/>
          <w:color w:val="auto"/>
        </w:rPr>
      </w:pPr>
    </w:p>
    <w:p>
      <w:pPr>
        <w:ind w:left="5" w:right="2779"/>
        <w:spacing w:after="0" w:line="236" w:lineRule="auto"/>
        <w:rPr>
          <w:sz w:val="20"/>
          <w:szCs w:val="20"/>
          <w:color w:val="auto"/>
        </w:rPr>
      </w:pPr>
      <w:r>
        <w:rPr>
          <w:rFonts w:ascii="Courier New" w:cs="Courier New" w:eastAsia="Courier New" w:hAnsi="Courier New"/>
          <w:sz w:val="16"/>
          <w:szCs w:val="16"/>
          <w:color w:val="auto"/>
        </w:rPr>
        <w:t>ST. LOUIS, MO - NOVEMBER 9, 2005 - Amdocs Limited (NYSE: DOX) today reported that for the fourth quarter ended September 30, 2005, revenue was $573.3 million, representing sequential growth of 13.0% and an increase of 26.7% from last year's fourth quarter. Excluding acquisition-related costs, which includes amortization of purchased intangible assets, in-process research and development write-off and other acquisition related costs, and excluding restructuring charges, net of related tax effects, of $16.1 million, net income was $83.9 million, or $0.39 per diluted share, compared to net income, excluding $3.5 million of acquisition-related costs net of related tax effects, of $65.1 million, or $0.30 per diluted share, in the fourth quarter of fiscal 2004. The Company's net income was $67.8 million, or $0.32 per diluted share, compared to net income of $61.6 million, or $0.29 per diluted share, in the fourth quarter of fiscal 2004. Free cash flow, defined as cash flow from operations less net capital expenditures and principal payments on capital leases, was $104.7 million in the quarter.</w:t>
      </w:r>
    </w:p>
    <w:p>
      <w:pPr>
        <w:sectPr>
          <w:pgSz w:w="11900" w:h="16838" w:orient="portrait"/>
          <w:cols w:equalWidth="0" w:num="1">
            <w:col w:w="10224"/>
          </w:cols>
          <w:pgMar w:left="235" w:top="469" w:right="1440" w:bottom="1440" w:gutter="0" w:footer="0" w:header="0"/>
        </w:sectPr>
      </w:pPr>
    </w:p>
    <w:bookmarkStart w:id="5" w:name="page6"/>
    <w:bookmarkEnd w:id="5"/>
    <w:p>
      <w:pPr>
        <w:ind w:right="2779"/>
        <w:spacing w:after="0" w:line="273" w:lineRule="auto"/>
        <w:rPr>
          <w:sz w:val="20"/>
          <w:szCs w:val="20"/>
          <w:color w:val="auto"/>
        </w:rPr>
      </w:pPr>
      <w:r>
        <w:rPr>
          <w:rFonts w:ascii="Courier New" w:cs="Courier New" w:eastAsia="Courier New" w:hAnsi="Courier New"/>
          <w:sz w:val="14"/>
          <w:szCs w:val="14"/>
          <w:color w:val="auto"/>
        </w:rPr>
        <w:t>"This was a very good quarter for Amdocs, as we achieved excellent financial results and strengthened our strategic position," said Dov Baharav, Chief Executive Officer of Amdocs Management Limited. "This quarter was marked by industry developments that underscore the need for service providers to move toward integrated customer management (ICM) and a demand for solutions to help accomplish this. These developments are accelerating -- as we anticipated -- and include continued consolidation to fewer, larger players. We are also seeing service providers move aggressively to build an IP environment in order to launch new content and IP services, such as "quadruple play" bundles of wireline and wireless voice, video and data. In addition, the telecommunications, broadband cable and satellite industries are rapidly converging."</w:t>
      </w:r>
    </w:p>
    <w:p>
      <w:pPr>
        <w:spacing w:after="0" w:line="34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"We are the leading provider of systems to the telecom market, and through our acquisition of DST Innovis to broadband cable and satellite companies as well, just as these companies begin to transform themselves. Amdocs' strengths include our ability to handle complex projects and to support leading service providers with large customer bases and high-volume transactions, combined with products and services that are designed to enable ICM. This positions Amdocs to benefit from the market transformation and to enjoy growth in 2006 and beyond," Baharav continued.</w:t>
      </w:r>
    </w:p>
    <w:p>
      <w:pPr>
        <w:spacing w:after="0" w:line="184" w:lineRule="exact"/>
        <w:rPr>
          <w:sz w:val="20"/>
          <w:szCs w:val="20"/>
          <w:color w:val="auto"/>
        </w:rPr>
      </w:pPr>
    </w:p>
    <w:p>
      <w:pPr>
        <w:ind w:right="2779"/>
        <w:spacing w:after="0" w:line="274" w:lineRule="auto"/>
        <w:rPr>
          <w:sz w:val="20"/>
          <w:szCs w:val="20"/>
          <w:color w:val="auto"/>
        </w:rPr>
      </w:pPr>
      <w:r>
        <w:rPr>
          <w:rFonts w:ascii="Courier New" w:cs="Courier New" w:eastAsia="Courier New" w:hAnsi="Courier New"/>
          <w:sz w:val="14"/>
          <w:szCs w:val="14"/>
          <w:color w:val="auto"/>
        </w:rPr>
        <w:t>The sales activity during the fourth quarter included expanding the relationship with a major European wireline carrier to provide significant additional services over the next several years, as this carrier moves to ICM. The Company is in the initial stages of installing a converged pre-paid and post-paid billing system for an existing wireless customer in the Americas. Amdocs also won a major project to provide software and services to enable a leading wireless carrier to manage its customer base on a nationwide basis.</w:t>
      </w:r>
    </w:p>
    <w:p>
      <w:pPr>
        <w:sectPr>
          <w:pgSz w:w="11900" w:h="16838" w:orient="portrait"/>
          <w:cols w:equalWidth="0" w:num="1">
            <w:col w:w="10219"/>
          </w:cols>
          <w:pgMar w:left="240" w:top="475" w:right="1440" w:bottom="1440" w:gutter="0" w:footer="0" w:header="0"/>
        </w:sectPr>
      </w:pPr>
    </w:p>
    <w:bookmarkStart w:id="6" w:name="page7"/>
    <w:bookmarkEnd w:id="6"/>
    <w:p>
      <w:pPr>
        <w:ind w:right="2879"/>
        <w:spacing w:after="0" w:line="236" w:lineRule="auto"/>
        <w:rPr>
          <w:sz w:val="20"/>
          <w:szCs w:val="20"/>
          <w:color w:val="auto"/>
        </w:rPr>
      </w:pPr>
      <w:r>
        <w:rPr>
          <w:rFonts w:ascii="Courier New" w:cs="Courier New" w:eastAsia="Courier New" w:hAnsi="Courier New"/>
          <w:sz w:val="16"/>
          <w:szCs w:val="16"/>
          <w:color w:val="auto"/>
        </w:rPr>
        <w:t>In July, Amdocs completed the acquisition of all of the common stock of DST Innovis, Inc. and DST Interactive, Inc. (collectively, DST Innovis), wholly-owned subsidiaries of DST Systems, Inc., for approximately $238 million in cash. The acquisition propelled Amdocs into a leadership position in the broadband cable and satellite industry. As a result, some of the largest companies in this industry, including DIRECTV, Comcast and Cablevision, are now Amdocs customers, with about 37 million subscribers worldwide.</w:t>
      </w:r>
    </w:p>
    <w:p>
      <w:pPr>
        <w:spacing w:after="0" w:line="184"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Amdocs also solidified its entry into the fast-growing China market. The Company completed the acquisition of Longshine Information Technology Company Ltd., a privately-held, leading vendor of customer care and billing software in China, for approximately $30 million in cash with the possibility of additional cash consideration to be paid later based on the achievement of certain performance metrics. Longshine counts three of China's four largest communications service providers among its customers and is present in more than 15 provinces across China.</w:t>
      </w:r>
    </w:p>
    <w:p>
      <w:pPr>
        <w:spacing w:after="0" w:line="184"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During the fourth quarter, Amdocs recorded charges totaling $4.5 million for the write-off of in-process R&amp;D and other acquisition-related costs. In conjunction with these acquisitions, Amdocs implemented a series of measures designed to align its operational structure to its growth, which resulted in a restructuring charge of $8.1 million in the fourth quarter, primarily related to severance costs.</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The Company also noted that for the fiscal year ended September 30, 2005, revenue increased by 14.9% to $2.039 billion. Excluding acquisition-related costs and restructuring charges, net of tax effects, of $22.4 million in fiscal 2005 and acquisition-related costs, net of related tax effects, of $14.0 million in fiscal 2004, net income for fiscal 2005 increased by 25.0% to $311.0 million, while diluted earnings per share increased by 27.2% to $1.45. The Company's results for fiscal 2005 showed GAAP net income of $288.6 million, or $1.35 per diluted share, compared to GAAP net income of $234.9 million, or $1.08 per diluted share, in fiscal 2004.</w:t>
      </w:r>
    </w:p>
    <w:p>
      <w:pPr>
        <w:sectPr>
          <w:pgSz w:w="11900" w:h="16838" w:orient="portrait"/>
          <w:cols w:equalWidth="0" w:num="1">
            <w:col w:w="10219"/>
          </w:cols>
          <w:pgMar w:left="240" w:top="475"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FINANCIAL OUTLOOK</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Amdocs expects that revenue for the first quarter of fiscal 2006 ending December 31, 2005, will be approximately $585 million. Diluted earnings per share for the quarter are expected to be $0.40, excluding acquisition-related costs, net of related tax effects, and the impact of approximately $0.04-$0.05 per share of employee equity-based compensation expenses. Diluted GAAP EPS is expected to be approximately $0.33-$0.34.</w:t>
      </w:r>
    </w:p>
    <w:p>
      <w:pPr>
        <w:spacing w:after="0" w:line="183"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Fiscal 2006 guidance: Expected revenue of approximately $2.40-$2.47 billion and diluted EPS of $1.65-$1.70, excluding acquisition-related costs, net of related tax effects, and approximately $0.16-$0.20 per share of employee equity-based compensation expense. Diluted GAAP EPS is expected to be approximately $1.37-$1.44.</w:t>
      </w:r>
    </w:p>
    <w:p>
      <w:pPr>
        <w:spacing w:after="0" w:line="186" w:lineRule="exact"/>
        <w:rPr>
          <w:sz w:val="20"/>
          <w:szCs w:val="20"/>
          <w:color w:val="auto"/>
        </w:rPr>
      </w:pPr>
    </w:p>
    <w:p>
      <w:pPr>
        <w:ind w:right="2779"/>
        <w:spacing w:after="0" w:line="283" w:lineRule="auto"/>
        <w:rPr>
          <w:sz w:val="20"/>
          <w:szCs w:val="20"/>
          <w:color w:val="auto"/>
        </w:rPr>
      </w:pPr>
      <w:r>
        <w:rPr>
          <w:rFonts w:ascii="Courier New" w:cs="Courier New" w:eastAsia="Courier New" w:hAnsi="Courier New"/>
          <w:sz w:val="14"/>
          <w:szCs w:val="14"/>
          <w:color w:val="auto"/>
        </w:rPr>
        <w:t>Amdocs will host a conference call on November 9, 2005 at 5 p.m. Eastern Time to discuss the Company's fourth quarter results. The call will be carried live on the Internet via www.vcall.com and the Amdocs website, www.amdocs.com.</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ABOUT AMDOCS</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Amdocs combines innovative software and services with deep business knowledge to accelerate implementation of integrated customer management by the world's leading service providers. By delivering a comprehensive portfolio of software and services that spans the customer lifecycle, Amdocs enables service companies to deliver an intentional customer experienceTM, which results in stronger, more profitable customer relationships. Service providers also benefit from a rapid return on investment, lower total cost of ownership and improved operational efficiencies. A global company with the revenue of $2.039 billion in fiscal 2005, Amdocs employs about 12,000 IT professionals and serves customers in more than 50 countries around the world. For more information, visit Amdocs at www.amdocs.com.</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CAUTIONARY STATEMENTS</w:t>
      </w:r>
    </w:p>
    <w:p>
      <w:pPr>
        <w:spacing w:after="0" w:line="183" w:lineRule="exact"/>
        <w:rPr>
          <w:sz w:val="20"/>
          <w:szCs w:val="20"/>
          <w:color w:val="auto"/>
        </w:rPr>
      </w:pPr>
    </w:p>
    <w:p>
      <w:pPr>
        <w:ind w:right="2779"/>
        <w:spacing w:after="0" w:line="273" w:lineRule="auto"/>
        <w:rPr>
          <w:sz w:val="20"/>
          <w:szCs w:val="20"/>
          <w:color w:val="auto"/>
        </w:rPr>
      </w:pPr>
      <w:r>
        <w:rPr>
          <w:rFonts w:ascii="Courier New" w:cs="Courier New" w:eastAsia="Courier New" w:hAnsi="Courier New"/>
          <w:sz w:val="14"/>
          <w:szCs w:val="14"/>
          <w:color w:val="auto"/>
        </w:rPr>
        <w:t>Investors are cautioned that this press release contains certain information that is not prepared in accordance with GAAP. Investors should not construe these financial measures as being superior to GAAP. The Company's management uses this financial information in its internal analysis in order to exclude the effect of acquisitions and other significant events that may have a disproportionate effect in a particular period. Accordingly, management believes that isolating the effects of such events enables management and investors to consistently analyze the critical components and results of operations of the Company's business and to have a meaningful comparison to prior periods.</w:t>
      </w:r>
    </w:p>
    <w:p>
      <w:pPr>
        <w:sectPr>
          <w:pgSz w:w="11900" w:h="16838" w:orient="portrait"/>
          <w:cols w:equalWidth="0" w:num="1">
            <w:col w:w="10219"/>
          </w:cols>
          <w:pgMar w:left="240" w:top="469" w:right="1440" w:bottom="1440" w:gutter="0" w:footer="0" w:header="0"/>
        </w:sectPr>
      </w:pPr>
    </w:p>
    <w:bookmarkStart w:id="8" w:name="page9"/>
    <w:bookmarkEnd w:id="8"/>
    <w:p>
      <w:pPr>
        <w:ind w:right="2879"/>
        <w:spacing w:after="0" w:line="272" w:lineRule="auto"/>
        <w:rPr>
          <w:sz w:val="20"/>
          <w:szCs w:val="20"/>
          <w:color w:val="auto"/>
        </w:rPr>
      </w:pPr>
      <w:r>
        <w:rPr>
          <w:rFonts w:ascii="Courier New" w:cs="Courier New" w:eastAsia="Courier New" w:hAnsi="Courier New"/>
          <w:sz w:val="14"/>
          <w:szCs w:val="14"/>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mobile, wireline, broadband cable and satellite and IP business markets,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These and other risks are discussed at greater length in the Company's filings with the Securities and Exchange Commission, including in our Annual Report on Form 20-F, filed on December 30, 2004 and our Form 6-K furnished on February 14, 2005, May 16 and August 15, 2005.</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CONTACT:</w:t>
      </w:r>
    </w:p>
    <w:p>
      <w:pPr>
        <w:spacing w:after="0" w:line="236" w:lineRule="auto"/>
        <w:rPr>
          <w:sz w:val="20"/>
          <w:szCs w:val="20"/>
          <w:color w:val="auto"/>
        </w:rPr>
      </w:pPr>
      <w:r>
        <w:rPr>
          <w:rFonts w:ascii="Courier New" w:cs="Courier New" w:eastAsia="Courier New" w:hAnsi="Courier New"/>
          <w:sz w:val="16"/>
          <w:szCs w:val="16"/>
          <w:color w:val="auto"/>
        </w:rPr>
        <w:t>Thomas G. O'Brien</w:t>
      </w:r>
    </w:p>
    <w:p>
      <w:pPr>
        <w:spacing w:after="0" w:line="237" w:lineRule="auto"/>
        <w:rPr>
          <w:sz w:val="20"/>
          <w:szCs w:val="20"/>
          <w:color w:val="auto"/>
        </w:rPr>
      </w:pPr>
      <w:r>
        <w:rPr>
          <w:rFonts w:ascii="Courier New" w:cs="Courier New" w:eastAsia="Courier New" w:hAnsi="Courier New"/>
          <w:sz w:val="16"/>
          <w:szCs w:val="16"/>
          <w:color w:val="auto"/>
        </w:rPr>
        <w:t>Treasurer and Vice President of Investor Relations</w:t>
      </w:r>
    </w:p>
    <w:p>
      <w:pPr>
        <w:spacing w:after="0" w:line="237" w:lineRule="auto"/>
        <w:rPr>
          <w:sz w:val="20"/>
          <w:szCs w:val="20"/>
          <w:color w:val="auto"/>
        </w:rPr>
      </w:pPr>
      <w:r>
        <w:rPr>
          <w:rFonts w:ascii="Courier New" w:cs="Courier New" w:eastAsia="Courier New" w:hAnsi="Courier New"/>
          <w:sz w:val="16"/>
          <w:szCs w:val="16"/>
          <w:color w:val="auto"/>
        </w:rPr>
        <w:t>Amdocs Limited</w:t>
      </w:r>
    </w:p>
    <w:p>
      <w:pPr>
        <w:spacing w:after="0" w:line="237" w:lineRule="auto"/>
        <w:rPr>
          <w:sz w:val="20"/>
          <w:szCs w:val="20"/>
          <w:color w:val="auto"/>
        </w:rPr>
      </w:pPr>
      <w:r>
        <w:rPr>
          <w:rFonts w:ascii="Courier New" w:cs="Courier New" w:eastAsia="Courier New" w:hAnsi="Courier New"/>
          <w:sz w:val="16"/>
          <w:szCs w:val="16"/>
          <w:color w:val="auto"/>
        </w:rPr>
        <w:t>314-212-8328</w:t>
      </w:r>
    </w:p>
    <w:p>
      <w:pPr>
        <w:spacing w:after="0" w:line="237" w:lineRule="auto"/>
        <w:rPr>
          <w:sz w:val="20"/>
          <w:szCs w:val="20"/>
          <w:color w:val="auto"/>
        </w:rPr>
      </w:pPr>
      <w:r>
        <w:rPr>
          <w:rFonts w:ascii="Courier New" w:cs="Courier New" w:eastAsia="Courier New" w:hAnsi="Courier New"/>
          <w:sz w:val="16"/>
          <w:szCs w:val="16"/>
          <w:color w:val="auto"/>
        </w:rPr>
        <w:t>E-mail: dox_info@amdocs.com</w:t>
      </w:r>
    </w:p>
    <w:p>
      <w:pPr>
        <w:sectPr>
          <w:pgSz w:w="11900" w:h="16838" w:orient="portrait"/>
          <w:cols w:equalWidth="0" w:num="1">
            <w:col w:w="10219"/>
          </w:cols>
          <w:pgMar w:left="240" w:top="475" w:right="1440" w:bottom="1440" w:gutter="0" w:footer="0" w:header="0"/>
        </w:sectPr>
      </w:pPr>
    </w:p>
    <w:bookmarkStart w:id="9" w:name="page10"/>
    <w:bookmarkEnd w:id="9"/>
    <w:p>
      <w:pPr>
        <w:jc w:val="center"/>
        <w:ind w:right="4075"/>
        <w:spacing w:after="0"/>
        <w:rPr>
          <w:sz w:val="20"/>
          <w:szCs w:val="20"/>
          <w:color w:val="auto"/>
        </w:rPr>
      </w:pPr>
      <w:r>
        <w:rPr>
          <w:rFonts w:ascii="Courier New" w:cs="Courier New" w:eastAsia="Courier New" w:hAnsi="Courier New"/>
          <w:sz w:val="16"/>
          <w:szCs w:val="16"/>
          <w:color w:val="auto"/>
        </w:rPr>
        <w:t>AMDOCS LIMITED</w:t>
      </w:r>
    </w:p>
    <w:p>
      <w:pPr>
        <w:spacing w:after="0" w:line="177" w:lineRule="exact"/>
        <w:rPr>
          <w:sz w:val="20"/>
          <w:szCs w:val="20"/>
          <w:color w:val="auto"/>
        </w:rPr>
      </w:pPr>
    </w:p>
    <w:p>
      <w:pPr>
        <w:jc w:val="center"/>
        <w:ind w:right="3975"/>
        <w:spacing w:after="0"/>
        <w:rPr>
          <w:sz w:val="20"/>
          <w:szCs w:val="20"/>
          <w:color w:val="auto"/>
        </w:rPr>
      </w:pPr>
      <w:r>
        <w:rPr>
          <w:rFonts w:ascii="Courier New" w:cs="Courier New" w:eastAsia="Courier New" w:hAnsi="Courier New"/>
          <w:sz w:val="16"/>
          <w:szCs w:val="16"/>
          <w:color w:val="auto"/>
        </w:rPr>
        <w:t>CONSOLIDATED STATEMENTS OF INCOME</w:t>
      </w:r>
    </w:p>
    <w:p>
      <w:pPr>
        <w:spacing w:after="0" w:line="177" w:lineRule="exact"/>
        <w:rPr>
          <w:sz w:val="20"/>
          <w:szCs w:val="20"/>
          <w:color w:val="auto"/>
        </w:rPr>
      </w:pPr>
    </w:p>
    <w:p>
      <w:pPr>
        <w:ind w:left="2045"/>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200" w:lineRule="exact"/>
        <w:rPr>
          <w:sz w:val="20"/>
          <w:szCs w:val="20"/>
          <w:color w:val="auto"/>
        </w:rPr>
      </w:pPr>
    </w:p>
    <w:p>
      <w:pPr>
        <w:spacing w:after="0" w:line="334" w:lineRule="exact"/>
        <w:rPr>
          <w:sz w:val="20"/>
          <w:szCs w:val="20"/>
          <w:color w:val="auto"/>
        </w:rPr>
      </w:pPr>
    </w:p>
    <w:tbl>
      <w:tblPr>
        <w:tblLayout w:type="fixed"/>
        <w:tblInd w:w="1025" w:type="dxa"/>
        <w:tblCellMar>
          <w:top w:w="0" w:type="dxa"/>
          <w:left w:w="0" w:type="dxa"/>
          <w:bottom w:w="0" w:type="dxa"/>
          <w:right w:w="0" w:type="dxa"/>
        </w:tblCellMar>
      </w:tblPr>
      <w:tr>
        <w:trPr>
          <w:trHeight w:val="181"/>
        </w:trPr>
        <w:tc>
          <w:tcPr>
            <w:tcW w:w="3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980" w:type="dxa"/>
            <w:vAlign w:val="bottom"/>
            <w:gridSpan w:val="3"/>
          </w:tcPr>
          <w:p>
            <w:pPr>
              <w:jc w:val="right"/>
              <w:ind w:right="942"/>
              <w:spacing w:after="0"/>
              <w:rPr>
                <w:sz w:val="20"/>
                <w:szCs w:val="20"/>
                <w:color w:val="auto"/>
              </w:rPr>
            </w:pPr>
            <w:r>
              <w:rPr>
                <w:rFonts w:ascii="Courier New" w:cs="Courier New" w:eastAsia="Courier New" w:hAnsi="Courier New"/>
                <w:sz w:val="16"/>
                <w:szCs w:val="16"/>
                <w:color w:val="auto"/>
              </w:rPr>
              <w:t>THREE MONTHS ENDED</w:t>
            </w:r>
          </w:p>
        </w:tc>
        <w:tc>
          <w:tcPr>
            <w:tcW w:w="520" w:type="dxa"/>
            <w:vAlign w:val="bottom"/>
          </w:tcPr>
          <w:p>
            <w:pPr>
              <w:spacing w:after="0"/>
              <w:rPr>
                <w:sz w:val="15"/>
                <w:szCs w:val="15"/>
                <w:color w:val="auto"/>
              </w:rPr>
            </w:pPr>
          </w:p>
        </w:tc>
        <w:tc>
          <w:tcPr>
            <w:tcW w:w="2820" w:type="dxa"/>
            <w:vAlign w:val="bottom"/>
            <w:gridSpan w:val="3"/>
          </w:tcPr>
          <w:p>
            <w:pPr>
              <w:jc w:val="right"/>
              <w:ind w:right="562"/>
              <w:spacing w:after="0"/>
              <w:rPr>
                <w:sz w:val="20"/>
                <w:szCs w:val="20"/>
                <w:color w:val="auto"/>
              </w:rPr>
            </w:pPr>
            <w:r>
              <w:rPr>
                <w:rFonts w:ascii="Courier New" w:cs="Courier New" w:eastAsia="Courier New" w:hAnsi="Courier New"/>
                <w:sz w:val="16"/>
                <w:szCs w:val="16"/>
                <w:color w:val="auto"/>
              </w:rPr>
              <w:t>TWELVE MONTHS ENDED</w:t>
            </w:r>
          </w:p>
        </w:tc>
      </w:tr>
      <w:tr>
        <w:trPr>
          <w:trHeight w:val="179"/>
        </w:trPr>
        <w:tc>
          <w:tcPr>
            <w:tcW w:w="3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SEPTEMBER 30,</w:t>
            </w:r>
          </w:p>
        </w:tc>
        <w:tc>
          <w:tcPr>
            <w:tcW w:w="1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20" w:type="dxa"/>
            <w:vAlign w:val="bottom"/>
            <w:gridSpan w:val="3"/>
          </w:tcPr>
          <w:p>
            <w:pPr>
              <w:jc w:val="right"/>
              <w:ind w:right="842"/>
              <w:spacing w:after="0" w:line="179" w:lineRule="exact"/>
              <w:rPr>
                <w:sz w:val="20"/>
                <w:szCs w:val="20"/>
                <w:color w:val="auto"/>
              </w:rPr>
            </w:pPr>
            <w:r>
              <w:rPr>
                <w:rFonts w:ascii="Courier New" w:cs="Courier New" w:eastAsia="Courier New" w:hAnsi="Courier New"/>
                <w:sz w:val="16"/>
                <w:szCs w:val="16"/>
                <w:color w:val="auto"/>
              </w:rPr>
              <w:t>SEPTEMBER 30,</w:t>
            </w:r>
          </w:p>
        </w:tc>
      </w:tr>
      <w:tr>
        <w:trPr>
          <w:trHeight w:val="179"/>
        </w:trPr>
        <w:tc>
          <w:tcPr>
            <w:tcW w:w="3300" w:type="dxa"/>
            <w:vAlign w:val="bottom"/>
          </w:tcPr>
          <w:p>
            <w:pPr>
              <w:spacing w:after="0"/>
              <w:rPr>
                <w:sz w:val="15"/>
                <w:szCs w:val="15"/>
                <w:color w:val="auto"/>
              </w:rPr>
            </w:pPr>
          </w:p>
        </w:tc>
        <w:tc>
          <w:tcPr>
            <w:tcW w:w="2000" w:type="dxa"/>
            <w:vAlign w:val="bottom"/>
            <w:gridSpan w:val="2"/>
          </w:tcPr>
          <w:p>
            <w:pPr>
              <w:ind w:left="320"/>
              <w:spacing w:after="0"/>
              <w:rPr>
                <w:sz w:val="20"/>
                <w:szCs w:val="20"/>
                <w:color w:val="auto"/>
              </w:rPr>
            </w:pPr>
            <w:r>
              <w:rPr>
                <w:rFonts w:ascii="Courier New" w:cs="Courier New" w:eastAsia="Courier New" w:hAnsi="Courier New"/>
                <w:sz w:val="10"/>
                <w:szCs w:val="10"/>
                <w:color w:val="auto"/>
                <w:w w:val="76"/>
              </w:rPr>
              <w:t>------------------------------------</w:t>
            </w:r>
          </w:p>
        </w:tc>
        <w:tc>
          <w:tcPr>
            <w:tcW w:w="7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34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2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w w:val="93"/>
              </w:rPr>
              <w:t>2005</w:t>
            </w:r>
          </w:p>
        </w:tc>
        <w:tc>
          <w:tcPr>
            <w:tcW w:w="700" w:type="dxa"/>
            <w:vAlign w:val="bottom"/>
          </w:tcPr>
          <w:p>
            <w:pPr>
              <w:spacing w:after="0"/>
              <w:rPr>
                <w:sz w:val="15"/>
                <w:szCs w:val="15"/>
                <w:color w:val="auto"/>
              </w:rPr>
            </w:pPr>
          </w:p>
        </w:tc>
        <w:tc>
          <w:tcPr>
            <w:tcW w:w="1160" w:type="dxa"/>
            <w:vAlign w:val="bottom"/>
          </w:tcPr>
          <w:p>
            <w:pPr>
              <w:jc w:val="center"/>
              <w:ind w:right="622"/>
              <w:spacing w:after="0" w:line="179" w:lineRule="exact"/>
              <w:rPr>
                <w:sz w:val="20"/>
                <w:szCs w:val="20"/>
                <w:color w:val="auto"/>
              </w:rPr>
            </w:pPr>
            <w:r>
              <w:rPr>
                <w:rFonts w:ascii="Courier New" w:cs="Courier New" w:eastAsia="Courier New" w:hAnsi="Courier New"/>
                <w:sz w:val="16"/>
                <w:szCs w:val="16"/>
                <w:color w:val="auto"/>
                <w:w w:val="98"/>
              </w:rPr>
              <w:t>2004</w:t>
            </w:r>
          </w:p>
        </w:tc>
        <w:tc>
          <w:tcPr>
            <w:tcW w:w="520" w:type="dxa"/>
            <w:vAlign w:val="bottom"/>
          </w:tcPr>
          <w:p>
            <w:pPr>
              <w:spacing w:after="0"/>
              <w:rPr>
                <w:sz w:val="15"/>
                <w:szCs w:val="15"/>
                <w:color w:val="auto"/>
              </w:rPr>
            </w:pPr>
          </w:p>
        </w:tc>
        <w:tc>
          <w:tcPr>
            <w:tcW w:w="124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2005</w:t>
            </w:r>
          </w:p>
        </w:tc>
        <w:tc>
          <w:tcPr>
            <w:tcW w:w="520" w:type="dxa"/>
            <w:vAlign w:val="bottom"/>
          </w:tcPr>
          <w:p>
            <w:pPr>
              <w:spacing w:after="0"/>
              <w:rPr>
                <w:sz w:val="15"/>
                <w:szCs w:val="15"/>
                <w:color w:val="auto"/>
              </w:rPr>
            </w:pPr>
          </w:p>
        </w:tc>
        <w:tc>
          <w:tcPr>
            <w:tcW w:w="106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2004</w:t>
            </w:r>
          </w:p>
        </w:tc>
      </w:tr>
      <w:tr>
        <w:trPr>
          <w:trHeight w:val="179"/>
        </w:trPr>
        <w:tc>
          <w:tcPr>
            <w:tcW w:w="3300" w:type="dxa"/>
            <w:vAlign w:val="bottom"/>
          </w:tcPr>
          <w:p>
            <w:pPr>
              <w:spacing w:after="0"/>
              <w:rPr>
                <w:sz w:val="15"/>
                <w:szCs w:val="15"/>
                <w:color w:val="auto"/>
              </w:rPr>
            </w:pPr>
          </w:p>
        </w:tc>
        <w:tc>
          <w:tcPr>
            <w:tcW w:w="200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w:t>
            </w:r>
          </w:p>
        </w:tc>
        <w:tc>
          <w:tcPr>
            <w:tcW w:w="17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30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9"/>
        </w:trPr>
        <w:tc>
          <w:tcPr>
            <w:tcW w:w="33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License</w:t>
            </w:r>
          </w:p>
        </w:tc>
        <w:tc>
          <w:tcPr>
            <w:tcW w:w="880" w:type="dxa"/>
            <w:vAlign w:val="bottom"/>
          </w:tcPr>
          <w:p>
            <w:pPr>
              <w:ind w:left="52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25,135</w:t>
            </w: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24,560</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100,044</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76,586</w:t>
            </w:r>
          </w:p>
        </w:tc>
      </w:tr>
      <w:tr>
        <w:trPr>
          <w:trHeight w:val="179"/>
        </w:trPr>
        <w:tc>
          <w:tcPr>
            <w:tcW w:w="33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Service</w:t>
            </w:r>
          </w:p>
        </w:tc>
        <w:tc>
          <w:tcPr>
            <w:tcW w:w="880" w:type="dxa"/>
            <w:vAlign w:val="bottom"/>
          </w:tcPr>
          <w:p>
            <w:pPr>
              <w:spacing w:after="0"/>
              <w:rPr>
                <w:sz w:val="15"/>
                <w:szCs w:val="15"/>
                <w:color w:val="auto"/>
              </w:rPr>
            </w:pP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548,183</w:t>
            </w:r>
          </w:p>
        </w:tc>
        <w:tc>
          <w:tcPr>
            <w:tcW w:w="700" w:type="dxa"/>
            <w:vAlign w:val="bottom"/>
          </w:tcPr>
          <w:p>
            <w:pPr>
              <w:spacing w:after="0"/>
              <w:rPr>
                <w:sz w:val="15"/>
                <w:szCs w:val="15"/>
                <w:color w:val="auto"/>
              </w:rPr>
            </w:pP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427,895</w:t>
            </w:r>
          </w:p>
        </w:tc>
        <w:tc>
          <w:tcPr>
            <w:tcW w:w="520" w:type="dxa"/>
            <w:vAlign w:val="bottom"/>
          </w:tcPr>
          <w:p>
            <w:pPr>
              <w:spacing w:after="0"/>
              <w:rPr>
                <w:sz w:val="15"/>
                <w:szCs w:val="15"/>
                <w:color w:val="auto"/>
              </w:rPr>
            </w:pPr>
          </w:p>
        </w:tc>
        <w:tc>
          <w:tcPr>
            <w:tcW w:w="12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w w:val="99"/>
              </w:rPr>
              <w:t>1,938,577</w:t>
            </w:r>
          </w:p>
        </w:tc>
        <w:tc>
          <w:tcPr>
            <w:tcW w:w="520" w:type="dxa"/>
            <w:vAlign w:val="bottom"/>
          </w:tcPr>
          <w:p>
            <w:pPr>
              <w:spacing w:after="0"/>
              <w:rPr>
                <w:sz w:val="15"/>
                <w:szCs w:val="15"/>
                <w:color w:val="auto"/>
              </w:rPr>
            </w:pPr>
          </w:p>
        </w:tc>
        <w:tc>
          <w:tcPr>
            <w:tcW w:w="10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1,697,146</w:t>
            </w:r>
          </w:p>
        </w:tc>
      </w:tr>
      <w:tr>
        <w:trPr>
          <w:trHeight w:val="179"/>
        </w:trPr>
        <w:tc>
          <w:tcPr>
            <w:tcW w:w="3300" w:type="dxa"/>
            <w:vAlign w:val="bottom"/>
          </w:tcPr>
          <w:p>
            <w:pPr>
              <w:spacing w:after="0"/>
              <w:rPr>
                <w:sz w:val="15"/>
                <w:szCs w:val="15"/>
                <w:color w:val="auto"/>
              </w:rPr>
            </w:pPr>
          </w:p>
        </w:tc>
        <w:tc>
          <w:tcPr>
            <w:tcW w:w="200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w:t>
            </w:r>
          </w:p>
        </w:tc>
        <w:tc>
          <w:tcPr>
            <w:tcW w:w="17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573,318</w:t>
            </w:r>
          </w:p>
        </w:tc>
        <w:tc>
          <w:tcPr>
            <w:tcW w:w="700" w:type="dxa"/>
            <w:vAlign w:val="bottom"/>
          </w:tcPr>
          <w:p>
            <w:pPr>
              <w:spacing w:after="0"/>
              <w:rPr>
                <w:sz w:val="15"/>
                <w:szCs w:val="15"/>
                <w:color w:val="auto"/>
              </w:rPr>
            </w:pP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452,455</w:t>
            </w:r>
          </w:p>
        </w:tc>
        <w:tc>
          <w:tcPr>
            <w:tcW w:w="520" w:type="dxa"/>
            <w:vAlign w:val="bottom"/>
          </w:tcPr>
          <w:p>
            <w:pPr>
              <w:spacing w:after="0"/>
              <w:rPr>
                <w:sz w:val="15"/>
                <w:szCs w:val="15"/>
                <w:color w:val="auto"/>
              </w:rPr>
            </w:pPr>
          </w:p>
        </w:tc>
        <w:tc>
          <w:tcPr>
            <w:tcW w:w="12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w w:val="99"/>
              </w:rPr>
              <w:t>2,038,621</w:t>
            </w:r>
          </w:p>
        </w:tc>
        <w:tc>
          <w:tcPr>
            <w:tcW w:w="520" w:type="dxa"/>
            <w:vAlign w:val="bottom"/>
          </w:tcPr>
          <w:p>
            <w:pPr>
              <w:spacing w:after="0"/>
              <w:rPr>
                <w:sz w:val="15"/>
                <w:szCs w:val="15"/>
                <w:color w:val="auto"/>
              </w:rPr>
            </w:pPr>
          </w:p>
        </w:tc>
        <w:tc>
          <w:tcPr>
            <w:tcW w:w="10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1,773,732</w:t>
            </w:r>
          </w:p>
        </w:tc>
      </w:tr>
      <w:tr>
        <w:trPr>
          <w:trHeight w:val="179"/>
        </w:trPr>
        <w:tc>
          <w:tcPr>
            <w:tcW w:w="330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expenses:</w:t>
            </w:r>
          </w:p>
        </w:tc>
        <w:tc>
          <w:tcPr>
            <w:tcW w:w="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9"/>
        </w:trPr>
        <w:tc>
          <w:tcPr>
            <w:tcW w:w="33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Cost of license</w:t>
            </w:r>
          </w:p>
        </w:tc>
        <w:tc>
          <w:tcPr>
            <w:tcW w:w="880" w:type="dxa"/>
            <w:vAlign w:val="bottom"/>
          </w:tcPr>
          <w:p>
            <w:pPr>
              <w:spacing w:after="0"/>
              <w:rPr>
                <w:sz w:val="15"/>
                <w:szCs w:val="15"/>
                <w:color w:val="auto"/>
              </w:rPr>
            </w:pP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805</w:t>
            </w:r>
          </w:p>
        </w:tc>
        <w:tc>
          <w:tcPr>
            <w:tcW w:w="700" w:type="dxa"/>
            <w:vAlign w:val="bottom"/>
          </w:tcPr>
          <w:p>
            <w:pPr>
              <w:spacing w:after="0"/>
              <w:rPr>
                <w:sz w:val="15"/>
                <w:szCs w:val="15"/>
                <w:color w:val="auto"/>
              </w:rPr>
            </w:pP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1,215</w:t>
            </w:r>
          </w:p>
        </w:tc>
        <w:tc>
          <w:tcPr>
            <w:tcW w:w="520" w:type="dxa"/>
            <w:vAlign w:val="bottom"/>
          </w:tcPr>
          <w:p>
            <w:pPr>
              <w:spacing w:after="0"/>
              <w:rPr>
                <w:sz w:val="15"/>
                <w:szCs w:val="15"/>
                <w:color w:val="auto"/>
              </w:rPr>
            </w:pPr>
          </w:p>
        </w:tc>
        <w:tc>
          <w:tcPr>
            <w:tcW w:w="12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4,083</w:t>
            </w:r>
          </w:p>
        </w:tc>
        <w:tc>
          <w:tcPr>
            <w:tcW w:w="520" w:type="dxa"/>
            <w:vAlign w:val="bottom"/>
          </w:tcPr>
          <w:p>
            <w:pPr>
              <w:spacing w:after="0"/>
              <w:rPr>
                <w:sz w:val="15"/>
                <w:szCs w:val="15"/>
                <w:color w:val="auto"/>
              </w:rPr>
            </w:pPr>
          </w:p>
        </w:tc>
        <w:tc>
          <w:tcPr>
            <w:tcW w:w="10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5,022</w:t>
            </w:r>
          </w:p>
        </w:tc>
      </w:tr>
      <w:tr>
        <w:trPr>
          <w:trHeight w:val="179"/>
        </w:trPr>
        <w:tc>
          <w:tcPr>
            <w:tcW w:w="33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Cost of service</w:t>
            </w:r>
          </w:p>
        </w:tc>
        <w:tc>
          <w:tcPr>
            <w:tcW w:w="880" w:type="dxa"/>
            <w:vAlign w:val="bottom"/>
          </w:tcPr>
          <w:p>
            <w:pPr>
              <w:spacing w:after="0"/>
              <w:rPr>
                <w:sz w:val="15"/>
                <w:szCs w:val="15"/>
                <w:color w:val="auto"/>
              </w:rPr>
            </w:pP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362,085</w:t>
            </w:r>
          </w:p>
        </w:tc>
        <w:tc>
          <w:tcPr>
            <w:tcW w:w="700" w:type="dxa"/>
            <w:vAlign w:val="bottom"/>
          </w:tcPr>
          <w:p>
            <w:pPr>
              <w:spacing w:after="0"/>
              <w:rPr>
                <w:sz w:val="15"/>
                <w:szCs w:val="15"/>
                <w:color w:val="auto"/>
              </w:rPr>
            </w:pP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284,340</w:t>
            </w:r>
          </w:p>
        </w:tc>
        <w:tc>
          <w:tcPr>
            <w:tcW w:w="520" w:type="dxa"/>
            <w:vAlign w:val="bottom"/>
          </w:tcPr>
          <w:p>
            <w:pPr>
              <w:spacing w:after="0"/>
              <w:rPr>
                <w:sz w:val="15"/>
                <w:szCs w:val="15"/>
                <w:color w:val="auto"/>
              </w:rPr>
            </w:pPr>
          </w:p>
        </w:tc>
        <w:tc>
          <w:tcPr>
            <w:tcW w:w="12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w w:val="99"/>
              </w:rPr>
              <w:t>1,291,572</w:t>
            </w:r>
          </w:p>
        </w:tc>
        <w:tc>
          <w:tcPr>
            <w:tcW w:w="520" w:type="dxa"/>
            <w:vAlign w:val="bottom"/>
          </w:tcPr>
          <w:p>
            <w:pPr>
              <w:spacing w:after="0"/>
              <w:rPr>
                <w:sz w:val="15"/>
                <w:szCs w:val="15"/>
                <w:color w:val="auto"/>
              </w:rPr>
            </w:pPr>
          </w:p>
        </w:tc>
        <w:tc>
          <w:tcPr>
            <w:tcW w:w="10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1,117,810</w:t>
            </w:r>
          </w:p>
        </w:tc>
      </w:tr>
      <w:tr>
        <w:trPr>
          <w:trHeight w:val="179"/>
        </w:trPr>
        <w:tc>
          <w:tcPr>
            <w:tcW w:w="33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Research and development</w:t>
            </w:r>
          </w:p>
        </w:tc>
        <w:tc>
          <w:tcPr>
            <w:tcW w:w="880" w:type="dxa"/>
            <w:vAlign w:val="bottom"/>
          </w:tcPr>
          <w:p>
            <w:pPr>
              <w:spacing w:after="0"/>
              <w:rPr>
                <w:sz w:val="15"/>
                <w:szCs w:val="15"/>
                <w:color w:val="auto"/>
              </w:rPr>
            </w:pP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46,890</w:t>
            </w:r>
          </w:p>
        </w:tc>
        <w:tc>
          <w:tcPr>
            <w:tcW w:w="700" w:type="dxa"/>
            <w:vAlign w:val="bottom"/>
          </w:tcPr>
          <w:p>
            <w:pPr>
              <w:spacing w:after="0"/>
              <w:rPr>
                <w:sz w:val="15"/>
                <w:szCs w:val="15"/>
                <w:color w:val="auto"/>
              </w:rPr>
            </w:pP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34,160</w:t>
            </w:r>
          </w:p>
        </w:tc>
        <w:tc>
          <w:tcPr>
            <w:tcW w:w="520" w:type="dxa"/>
            <w:vAlign w:val="bottom"/>
          </w:tcPr>
          <w:p>
            <w:pPr>
              <w:spacing w:after="0"/>
              <w:rPr>
                <w:sz w:val="15"/>
                <w:szCs w:val="15"/>
                <w:color w:val="auto"/>
              </w:rPr>
            </w:pPr>
          </w:p>
        </w:tc>
        <w:tc>
          <w:tcPr>
            <w:tcW w:w="12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144,457</w:t>
            </w:r>
          </w:p>
        </w:tc>
        <w:tc>
          <w:tcPr>
            <w:tcW w:w="520" w:type="dxa"/>
            <w:vAlign w:val="bottom"/>
          </w:tcPr>
          <w:p>
            <w:pPr>
              <w:spacing w:after="0"/>
              <w:rPr>
                <w:sz w:val="15"/>
                <w:szCs w:val="15"/>
                <w:color w:val="auto"/>
              </w:rPr>
            </w:pPr>
          </w:p>
        </w:tc>
        <w:tc>
          <w:tcPr>
            <w:tcW w:w="10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126,407</w:t>
            </w:r>
          </w:p>
        </w:tc>
      </w:tr>
      <w:tr>
        <w:trPr>
          <w:trHeight w:val="179"/>
        </w:trPr>
        <w:tc>
          <w:tcPr>
            <w:tcW w:w="33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Selling, general and</w:t>
            </w:r>
          </w:p>
        </w:tc>
        <w:tc>
          <w:tcPr>
            <w:tcW w:w="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9"/>
        </w:trPr>
        <w:tc>
          <w:tcPr>
            <w:tcW w:w="33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administrative</w:t>
            </w:r>
          </w:p>
        </w:tc>
        <w:tc>
          <w:tcPr>
            <w:tcW w:w="880" w:type="dxa"/>
            <w:vAlign w:val="bottom"/>
          </w:tcPr>
          <w:p>
            <w:pPr>
              <w:spacing w:after="0"/>
              <w:rPr>
                <w:sz w:val="15"/>
                <w:szCs w:val="15"/>
                <w:color w:val="auto"/>
              </w:rPr>
            </w:pP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66,066</w:t>
            </w:r>
          </w:p>
        </w:tc>
        <w:tc>
          <w:tcPr>
            <w:tcW w:w="700" w:type="dxa"/>
            <w:vAlign w:val="bottom"/>
          </w:tcPr>
          <w:p>
            <w:pPr>
              <w:spacing w:after="0"/>
              <w:rPr>
                <w:sz w:val="15"/>
                <w:szCs w:val="15"/>
                <w:color w:val="auto"/>
              </w:rPr>
            </w:pP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51,306</w:t>
            </w:r>
          </w:p>
        </w:tc>
        <w:tc>
          <w:tcPr>
            <w:tcW w:w="520" w:type="dxa"/>
            <w:vAlign w:val="bottom"/>
          </w:tcPr>
          <w:p>
            <w:pPr>
              <w:spacing w:after="0"/>
              <w:rPr>
                <w:sz w:val="15"/>
                <w:szCs w:val="15"/>
                <w:color w:val="auto"/>
              </w:rPr>
            </w:pPr>
          </w:p>
        </w:tc>
        <w:tc>
          <w:tcPr>
            <w:tcW w:w="12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232,066</w:t>
            </w:r>
          </w:p>
        </w:tc>
        <w:tc>
          <w:tcPr>
            <w:tcW w:w="520" w:type="dxa"/>
            <w:vAlign w:val="bottom"/>
          </w:tcPr>
          <w:p>
            <w:pPr>
              <w:spacing w:after="0"/>
              <w:rPr>
                <w:sz w:val="15"/>
                <w:szCs w:val="15"/>
                <w:color w:val="auto"/>
              </w:rPr>
            </w:pPr>
          </w:p>
        </w:tc>
        <w:tc>
          <w:tcPr>
            <w:tcW w:w="10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210,384</w:t>
            </w:r>
          </w:p>
        </w:tc>
      </w:tr>
      <w:tr>
        <w:trPr>
          <w:trHeight w:val="179"/>
        </w:trPr>
        <w:tc>
          <w:tcPr>
            <w:tcW w:w="33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Amortization of purchased</w:t>
            </w:r>
          </w:p>
        </w:tc>
        <w:tc>
          <w:tcPr>
            <w:tcW w:w="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9"/>
        </w:trPr>
        <w:tc>
          <w:tcPr>
            <w:tcW w:w="33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intangible assets</w:t>
            </w:r>
          </w:p>
        </w:tc>
        <w:tc>
          <w:tcPr>
            <w:tcW w:w="880" w:type="dxa"/>
            <w:vAlign w:val="bottom"/>
          </w:tcPr>
          <w:p>
            <w:pPr>
              <w:spacing w:after="0"/>
              <w:rPr>
                <w:sz w:val="15"/>
                <w:szCs w:val="15"/>
                <w:color w:val="auto"/>
              </w:rPr>
            </w:pP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7,481</w:t>
            </w:r>
          </w:p>
        </w:tc>
        <w:tc>
          <w:tcPr>
            <w:tcW w:w="700" w:type="dxa"/>
            <w:vAlign w:val="bottom"/>
          </w:tcPr>
          <w:p>
            <w:pPr>
              <w:spacing w:after="0"/>
              <w:rPr>
                <w:sz w:val="15"/>
                <w:szCs w:val="15"/>
                <w:color w:val="auto"/>
              </w:rPr>
            </w:pP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4,486</w:t>
            </w:r>
          </w:p>
        </w:tc>
        <w:tc>
          <w:tcPr>
            <w:tcW w:w="520" w:type="dxa"/>
            <w:vAlign w:val="bottom"/>
          </w:tcPr>
          <w:p>
            <w:pPr>
              <w:spacing w:after="0"/>
              <w:rPr>
                <w:sz w:val="15"/>
                <w:szCs w:val="15"/>
                <w:color w:val="auto"/>
              </w:rPr>
            </w:pPr>
          </w:p>
        </w:tc>
        <w:tc>
          <w:tcPr>
            <w:tcW w:w="12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15,356</w:t>
            </w:r>
          </w:p>
        </w:tc>
        <w:tc>
          <w:tcPr>
            <w:tcW w:w="520" w:type="dxa"/>
            <w:vAlign w:val="bottom"/>
          </w:tcPr>
          <w:p>
            <w:pPr>
              <w:spacing w:after="0"/>
              <w:rPr>
                <w:sz w:val="15"/>
                <w:szCs w:val="15"/>
                <w:color w:val="auto"/>
              </w:rPr>
            </w:pPr>
          </w:p>
        </w:tc>
        <w:tc>
          <w:tcPr>
            <w:tcW w:w="1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17,909</w:t>
            </w:r>
          </w:p>
        </w:tc>
      </w:tr>
      <w:tr>
        <w:trPr>
          <w:trHeight w:val="179"/>
        </w:trPr>
        <w:tc>
          <w:tcPr>
            <w:tcW w:w="33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Restructuring charges,</w:t>
            </w:r>
          </w:p>
        </w:tc>
        <w:tc>
          <w:tcPr>
            <w:tcW w:w="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9"/>
        </w:trPr>
        <w:tc>
          <w:tcPr>
            <w:tcW w:w="33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in-process research and</w:t>
            </w:r>
          </w:p>
        </w:tc>
        <w:tc>
          <w:tcPr>
            <w:tcW w:w="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9"/>
        </w:trPr>
        <w:tc>
          <w:tcPr>
            <w:tcW w:w="33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development and other</w:t>
            </w:r>
          </w:p>
        </w:tc>
        <w:tc>
          <w:tcPr>
            <w:tcW w:w="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9"/>
        </w:trPr>
        <w:tc>
          <w:tcPr>
            <w:tcW w:w="33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acquisition related costs</w:t>
            </w:r>
          </w:p>
        </w:tc>
        <w:tc>
          <w:tcPr>
            <w:tcW w:w="880" w:type="dxa"/>
            <w:vAlign w:val="bottom"/>
          </w:tcPr>
          <w:p>
            <w:pPr>
              <w:spacing w:after="0"/>
              <w:rPr>
                <w:sz w:val="15"/>
                <w:szCs w:val="15"/>
                <w:color w:val="auto"/>
              </w:rPr>
            </w:pP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12,595</w:t>
            </w:r>
          </w:p>
        </w:tc>
        <w:tc>
          <w:tcPr>
            <w:tcW w:w="700" w:type="dxa"/>
            <w:vAlign w:val="bottom"/>
          </w:tcPr>
          <w:p>
            <w:pPr>
              <w:spacing w:after="0"/>
              <w:rPr>
                <w:sz w:val="15"/>
                <w:szCs w:val="15"/>
                <w:color w:val="auto"/>
              </w:rPr>
            </w:pP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12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12,595</w:t>
            </w:r>
          </w:p>
        </w:tc>
        <w:tc>
          <w:tcPr>
            <w:tcW w:w="520" w:type="dxa"/>
            <w:vAlign w:val="bottom"/>
          </w:tcPr>
          <w:p>
            <w:pPr>
              <w:spacing w:after="0"/>
              <w:rPr>
                <w:sz w:val="15"/>
                <w:szCs w:val="15"/>
                <w:color w:val="auto"/>
              </w:rPr>
            </w:pPr>
          </w:p>
        </w:tc>
        <w:tc>
          <w:tcPr>
            <w:tcW w:w="1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300" w:type="dxa"/>
            <w:vAlign w:val="bottom"/>
          </w:tcPr>
          <w:p>
            <w:pPr>
              <w:spacing w:after="0"/>
              <w:rPr>
                <w:sz w:val="15"/>
                <w:szCs w:val="15"/>
                <w:color w:val="auto"/>
              </w:rPr>
            </w:pPr>
          </w:p>
        </w:tc>
        <w:tc>
          <w:tcPr>
            <w:tcW w:w="200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w:t>
            </w:r>
          </w:p>
        </w:tc>
        <w:tc>
          <w:tcPr>
            <w:tcW w:w="17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495,922</w:t>
            </w:r>
          </w:p>
        </w:tc>
        <w:tc>
          <w:tcPr>
            <w:tcW w:w="700" w:type="dxa"/>
            <w:vAlign w:val="bottom"/>
          </w:tcPr>
          <w:p>
            <w:pPr>
              <w:spacing w:after="0"/>
              <w:rPr>
                <w:sz w:val="15"/>
                <w:szCs w:val="15"/>
                <w:color w:val="auto"/>
              </w:rPr>
            </w:pP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375,507</w:t>
            </w:r>
          </w:p>
        </w:tc>
        <w:tc>
          <w:tcPr>
            <w:tcW w:w="520" w:type="dxa"/>
            <w:vAlign w:val="bottom"/>
          </w:tcPr>
          <w:p>
            <w:pPr>
              <w:spacing w:after="0"/>
              <w:rPr>
                <w:sz w:val="15"/>
                <w:szCs w:val="15"/>
                <w:color w:val="auto"/>
              </w:rPr>
            </w:pPr>
          </w:p>
        </w:tc>
        <w:tc>
          <w:tcPr>
            <w:tcW w:w="12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1,700,129</w:t>
            </w:r>
          </w:p>
        </w:tc>
        <w:tc>
          <w:tcPr>
            <w:tcW w:w="520" w:type="dxa"/>
            <w:vAlign w:val="bottom"/>
          </w:tcPr>
          <w:p>
            <w:pPr>
              <w:spacing w:after="0"/>
              <w:rPr>
                <w:sz w:val="15"/>
                <w:szCs w:val="15"/>
                <w:color w:val="auto"/>
              </w:rPr>
            </w:pPr>
          </w:p>
        </w:tc>
        <w:tc>
          <w:tcPr>
            <w:tcW w:w="1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1,477,532</w:t>
            </w:r>
          </w:p>
        </w:tc>
      </w:tr>
      <w:tr>
        <w:trPr>
          <w:trHeight w:val="179"/>
        </w:trPr>
        <w:tc>
          <w:tcPr>
            <w:tcW w:w="3300" w:type="dxa"/>
            <w:vAlign w:val="bottom"/>
          </w:tcPr>
          <w:p>
            <w:pPr>
              <w:spacing w:after="0"/>
              <w:rPr>
                <w:sz w:val="15"/>
                <w:szCs w:val="15"/>
                <w:color w:val="auto"/>
              </w:rPr>
            </w:pPr>
          </w:p>
        </w:tc>
        <w:tc>
          <w:tcPr>
            <w:tcW w:w="200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w:t>
            </w:r>
          </w:p>
        </w:tc>
        <w:tc>
          <w:tcPr>
            <w:tcW w:w="17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30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income</w:t>
            </w:r>
          </w:p>
        </w:tc>
        <w:tc>
          <w:tcPr>
            <w:tcW w:w="880" w:type="dxa"/>
            <w:vAlign w:val="bottom"/>
          </w:tcPr>
          <w:p>
            <w:pPr>
              <w:spacing w:after="0"/>
              <w:rPr>
                <w:sz w:val="15"/>
                <w:szCs w:val="15"/>
                <w:color w:val="auto"/>
              </w:rPr>
            </w:pP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77,396</w:t>
            </w:r>
          </w:p>
        </w:tc>
        <w:tc>
          <w:tcPr>
            <w:tcW w:w="700" w:type="dxa"/>
            <w:vAlign w:val="bottom"/>
          </w:tcPr>
          <w:p>
            <w:pPr>
              <w:spacing w:after="0"/>
              <w:rPr>
                <w:sz w:val="15"/>
                <w:szCs w:val="15"/>
                <w:color w:val="auto"/>
              </w:rPr>
            </w:pP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76,948</w:t>
            </w:r>
          </w:p>
        </w:tc>
        <w:tc>
          <w:tcPr>
            <w:tcW w:w="520" w:type="dxa"/>
            <w:vAlign w:val="bottom"/>
          </w:tcPr>
          <w:p>
            <w:pPr>
              <w:spacing w:after="0"/>
              <w:rPr>
                <w:sz w:val="15"/>
                <w:szCs w:val="15"/>
                <w:color w:val="auto"/>
              </w:rPr>
            </w:pPr>
          </w:p>
        </w:tc>
        <w:tc>
          <w:tcPr>
            <w:tcW w:w="12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338,492</w:t>
            </w:r>
          </w:p>
        </w:tc>
        <w:tc>
          <w:tcPr>
            <w:tcW w:w="520" w:type="dxa"/>
            <w:vAlign w:val="bottom"/>
          </w:tcPr>
          <w:p>
            <w:pPr>
              <w:spacing w:after="0"/>
              <w:rPr>
                <w:sz w:val="15"/>
                <w:szCs w:val="15"/>
                <w:color w:val="auto"/>
              </w:rPr>
            </w:pPr>
          </w:p>
        </w:tc>
        <w:tc>
          <w:tcPr>
            <w:tcW w:w="1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296,200</w:t>
            </w:r>
          </w:p>
        </w:tc>
      </w:tr>
      <w:tr>
        <w:trPr>
          <w:trHeight w:val="358"/>
        </w:trPr>
        <w:tc>
          <w:tcPr>
            <w:tcW w:w="3300" w:type="dxa"/>
            <w:vAlign w:val="bottom"/>
          </w:tcPr>
          <w:p>
            <w:pPr>
              <w:spacing w:after="0"/>
              <w:rPr>
                <w:sz w:val="20"/>
                <w:szCs w:val="20"/>
                <w:color w:val="auto"/>
              </w:rPr>
            </w:pPr>
            <w:r>
              <w:rPr>
                <w:rFonts w:ascii="Courier New" w:cs="Courier New" w:eastAsia="Courier New" w:hAnsi="Courier New"/>
                <w:sz w:val="16"/>
                <w:szCs w:val="16"/>
                <w:color w:val="auto"/>
              </w:rPr>
              <w:t>Interest income and other, net</w:t>
            </w:r>
          </w:p>
        </w:tc>
        <w:tc>
          <w:tcPr>
            <w:tcW w:w="880" w:type="dxa"/>
            <w:vAlign w:val="bottom"/>
          </w:tcPr>
          <w:p>
            <w:pPr>
              <w:spacing w:after="0"/>
              <w:rPr>
                <w:sz w:val="24"/>
                <w:szCs w:val="24"/>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7,359</w:t>
            </w:r>
          </w:p>
        </w:tc>
        <w:tc>
          <w:tcPr>
            <w:tcW w:w="700" w:type="dxa"/>
            <w:vAlign w:val="bottom"/>
          </w:tcPr>
          <w:p>
            <w:pPr>
              <w:spacing w:after="0"/>
              <w:rPr>
                <w:sz w:val="24"/>
                <w:szCs w:val="24"/>
                <w:color w:val="auto"/>
              </w:rPr>
            </w:pP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2,004</w:t>
            </w:r>
          </w:p>
        </w:tc>
        <w:tc>
          <w:tcPr>
            <w:tcW w:w="520" w:type="dxa"/>
            <w:vAlign w:val="bottom"/>
          </w:tcPr>
          <w:p>
            <w:pPr>
              <w:spacing w:after="0"/>
              <w:rPr>
                <w:sz w:val="24"/>
                <w:szCs w:val="24"/>
                <w:color w:val="auto"/>
              </w:rPr>
            </w:pPr>
          </w:p>
        </w:tc>
        <w:tc>
          <w:tcPr>
            <w:tcW w:w="124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22,303</w:t>
            </w:r>
          </w:p>
        </w:tc>
        <w:tc>
          <w:tcPr>
            <w:tcW w:w="520" w:type="dxa"/>
            <w:vAlign w:val="bottom"/>
          </w:tcPr>
          <w:p>
            <w:pPr>
              <w:spacing w:after="0"/>
              <w:rPr>
                <w:sz w:val="24"/>
                <w:szCs w:val="24"/>
                <w:color w:val="auto"/>
              </w:rPr>
            </w:pPr>
          </w:p>
        </w:tc>
        <w:tc>
          <w:tcPr>
            <w:tcW w:w="1060" w:type="dxa"/>
            <w:vAlign w:val="bottom"/>
          </w:tcPr>
          <w:p>
            <w:pPr>
              <w:jc w:val="right"/>
              <w:ind w:right="2"/>
              <w:spacing w:after="0"/>
              <w:rPr>
                <w:sz w:val="20"/>
                <w:szCs w:val="20"/>
                <w:color w:val="auto"/>
              </w:rPr>
            </w:pPr>
            <w:r>
              <w:rPr>
                <w:rFonts w:ascii="Courier New" w:cs="Courier New" w:eastAsia="Courier New" w:hAnsi="Courier New"/>
                <w:sz w:val="16"/>
                <w:szCs w:val="16"/>
                <w:color w:val="auto"/>
              </w:rPr>
              <w:t>4,903</w:t>
            </w:r>
          </w:p>
        </w:tc>
      </w:tr>
      <w:tr>
        <w:trPr>
          <w:trHeight w:val="179"/>
        </w:trPr>
        <w:tc>
          <w:tcPr>
            <w:tcW w:w="3300" w:type="dxa"/>
            <w:vAlign w:val="bottom"/>
          </w:tcPr>
          <w:p>
            <w:pPr>
              <w:spacing w:after="0"/>
              <w:rPr>
                <w:sz w:val="15"/>
                <w:szCs w:val="15"/>
                <w:color w:val="auto"/>
              </w:rPr>
            </w:pPr>
          </w:p>
        </w:tc>
        <w:tc>
          <w:tcPr>
            <w:tcW w:w="200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w:t>
            </w:r>
          </w:p>
        </w:tc>
        <w:tc>
          <w:tcPr>
            <w:tcW w:w="17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30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before income taxes</w:t>
            </w:r>
          </w:p>
        </w:tc>
        <w:tc>
          <w:tcPr>
            <w:tcW w:w="880" w:type="dxa"/>
            <w:vAlign w:val="bottom"/>
          </w:tcPr>
          <w:p>
            <w:pPr>
              <w:spacing w:after="0"/>
              <w:rPr>
                <w:sz w:val="15"/>
                <w:szCs w:val="15"/>
                <w:color w:val="auto"/>
              </w:rPr>
            </w:pP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84,755</w:t>
            </w:r>
          </w:p>
        </w:tc>
        <w:tc>
          <w:tcPr>
            <w:tcW w:w="700" w:type="dxa"/>
            <w:vAlign w:val="bottom"/>
          </w:tcPr>
          <w:p>
            <w:pPr>
              <w:spacing w:after="0"/>
              <w:rPr>
                <w:sz w:val="15"/>
                <w:szCs w:val="15"/>
                <w:color w:val="auto"/>
              </w:rPr>
            </w:pP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78,952</w:t>
            </w:r>
          </w:p>
        </w:tc>
        <w:tc>
          <w:tcPr>
            <w:tcW w:w="520" w:type="dxa"/>
            <w:vAlign w:val="bottom"/>
          </w:tcPr>
          <w:p>
            <w:pPr>
              <w:spacing w:after="0"/>
              <w:rPr>
                <w:sz w:val="15"/>
                <w:szCs w:val="15"/>
                <w:color w:val="auto"/>
              </w:rPr>
            </w:pPr>
          </w:p>
        </w:tc>
        <w:tc>
          <w:tcPr>
            <w:tcW w:w="12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360,795</w:t>
            </w:r>
          </w:p>
        </w:tc>
        <w:tc>
          <w:tcPr>
            <w:tcW w:w="520" w:type="dxa"/>
            <w:vAlign w:val="bottom"/>
          </w:tcPr>
          <w:p>
            <w:pPr>
              <w:spacing w:after="0"/>
              <w:rPr>
                <w:sz w:val="15"/>
                <w:szCs w:val="15"/>
                <w:color w:val="auto"/>
              </w:rPr>
            </w:pPr>
          </w:p>
        </w:tc>
        <w:tc>
          <w:tcPr>
            <w:tcW w:w="1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301,103</w:t>
            </w:r>
          </w:p>
        </w:tc>
      </w:tr>
      <w:tr>
        <w:trPr>
          <w:trHeight w:val="358"/>
        </w:trPr>
        <w:tc>
          <w:tcPr>
            <w:tcW w:w="3300" w:type="dxa"/>
            <w:vAlign w:val="bottom"/>
          </w:tcPr>
          <w:p>
            <w:pPr>
              <w:spacing w:after="0"/>
              <w:rPr>
                <w:sz w:val="20"/>
                <w:szCs w:val="20"/>
                <w:color w:val="auto"/>
              </w:rPr>
            </w:pPr>
            <w:r>
              <w:rPr>
                <w:rFonts w:ascii="Courier New" w:cs="Courier New" w:eastAsia="Courier New" w:hAnsi="Courier New"/>
                <w:sz w:val="16"/>
                <w:szCs w:val="16"/>
                <w:color w:val="auto"/>
              </w:rPr>
              <w:t>Income taxes</w:t>
            </w:r>
          </w:p>
        </w:tc>
        <w:tc>
          <w:tcPr>
            <w:tcW w:w="880" w:type="dxa"/>
            <w:vAlign w:val="bottom"/>
          </w:tcPr>
          <w:p>
            <w:pPr>
              <w:spacing w:after="0"/>
              <w:rPr>
                <w:sz w:val="24"/>
                <w:szCs w:val="24"/>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16,956</w:t>
            </w:r>
          </w:p>
        </w:tc>
        <w:tc>
          <w:tcPr>
            <w:tcW w:w="700" w:type="dxa"/>
            <w:vAlign w:val="bottom"/>
          </w:tcPr>
          <w:p>
            <w:pPr>
              <w:spacing w:after="0"/>
              <w:rPr>
                <w:sz w:val="24"/>
                <w:szCs w:val="24"/>
                <w:color w:val="auto"/>
              </w:rPr>
            </w:pPr>
          </w:p>
        </w:tc>
        <w:tc>
          <w:tcPr>
            <w:tcW w:w="1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17,370</w:t>
            </w:r>
          </w:p>
        </w:tc>
        <w:tc>
          <w:tcPr>
            <w:tcW w:w="520" w:type="dxa"/>
            <w:vAlign w:val="bottom"/>
          </w:tcPr>
          <w:p>
            <w:pPr>
              <w:spacing w:after="0"/>
              <w:rPr>
                <w:sz w:val="24"/>
                <w:szCs w:val="24"/>
                <w:color w:val="auto"/>
              </w:rPr>
            </w:pPr>
          </w:p>
        </w:tc>
        <w:tc>
          <w:tcPr>
            <w:tcW w:w="124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72,159</w:t>
            </w:r>
          </w:p>
        </w:tc>
        <w:tc>
          <w:tcPr>
            <w:tcW w:w="520" w:type="dxa"/>
            <w:vAlign w:val="bottom"/>
          </w:tcPr>
          <w:p>
            <w:pPr>
              <w:spacing w:after="0"/>
              <w:rPr>
                <w:sz w:val="24"/>
                <w:szCs w:val="24"/>
                <w:color w:val="auto"/>
              </w:rPr>
            </w:pPr>
          </w:p>
        </w:tc>
        <w:tc>
          <w:tcPr>
            <w:tcW w:w="1060" w:type="dxa"/>
            <w:vAlign w:val="bottom"/>
          </w:tcPr>
          <w:p>
            <w:pPr>
              <w:jc w:val="right"/>
              <w:ind w:right="2"/>
              <w:spacing w:after="0"/>
              <w:rPr>
                <w:sz w:val="20"/>
                <w:szCs w:val="20"/>
                <w:color w:val="auto"/>
              </w:rPr>
            </w:pPr>
            <w:r>
              <w:rPr>
                <w:rFonts w:ascii="Courier New" w:cs="Courier New" w:eastAsia="Courier New" w:hAnsi="Courier New"/>
                <w:sz w:val="16"/>
                <w:szCs w:val="16"/>
                <w:color w:val="auto"/>
              </w:rPr>
              <w:t>66,243</w:t>
            </w:r>
          </w:p>
        </w:tc>
      </w:tr>
      <w:tr>
        <w:trPr>
          <w:trHeight w:val="179"/>
        </w:trPr>
        <w:tc>
          <w:tcPr>
            <w:tcW w:w="3300" w:type="dxa"/>
            <w:vAlign w:val="bottom"/>
          </w:tcPr>
          <w:p>
            <w:pPr>
              <w:spacing w:after="0"/>
              <w:rPr>
                <w:sz w:val="15"/>
                <w:szCs w:val="15"/>
                <w:color w:val="auto"/>
              </w:rPr>
            </w:pPr>
          </w:p>
        </w:tc>
        <w:tc>
          <w:tcPr>
            <w:tcW w:w="200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w:t>
            </w:r>
          </w:p>
        </w:tc>
        <w:tc>
          <w:tcPr>
            <w:tcW w:w="17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30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income</w:t>
            </w:r>
          </w:p>
        </w:tc>
        <w:tc>
          <w:tcPr>
            <w:tcW w:w="880" w:type="dxa"/>
            <w:vAlign w:val="bottom"/>
          </w:tcPr>
          <w:p>
            <w:pPr>
              <w:ind w:left="52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67,799</w:t>
            </w: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61,582</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288,636</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234,860</w:t>
            </w:r>
          </w:p>
        </w:tc>
      </w:tr>
      <w:tr>
        <w:trPr>
          <w:trHeight w:val="179"/>
        </w:trPr>
        <w:tc>
          <w:tcPr>
            <w:tcW w:w="3300" w:type="dxa"/>
            <w:vAlign w:val="bottom"/>
          </w:tcPr>
          <w:p>
            <w:pPr>
              <w:spacing w:after="0"/>
              <w:rPr>
                <w:sz w:val="15"/>
                <w:szCs w:val="15"/>
                <w:color w:val="auto"/>
              </w:rPr>
            </w:pPr>
          </w:p>
        </w:tc>
        <w:tc>
          <w:tcPr>
            <w:tcW w:w="200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w:t>
            </w:r>
          </w:p>
        </w:tc>
        <w:tc>
          <w:tcPr>
            <w:tcW w:w="17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300" w:type="dxa"/>
            <w:vAlign w:val="bottom"/>
          </w:tcPr>
          <w:p>
            <w:pPr>
              <w:spacing w:after="0" w:line="179" w:lineRule="exact"/>
              <w:rPr>
                <w:sz w:val="20"/>
                <w:szCs w:val="20"/>
                <w:color w:val="auto"/>
              </w:rPr>
            </w:pPr>
            <w:r>
              <w:rPr>
                <w:rFonts w:ascii="Courier New" w:cs="Courier New" w:eastAsia="Courier New" w:hAnsi="Courier New"/>
                <w:sz w:val="16"/>
                <w:szCs w:val="16"/>
                <w:color w:val="auto"/>
              </w:rPr>
              <w:t>Basic earnings per share</w:t>
            </w:r>
          </w:p>
        </w:tc>
        <w:tc>
          <w:tcPr>
            <w:tcW w:w="880" w:type="dxa"/>
            <w:vAlign w:val="bottom"/>
          </w:tcPr>
          <w:p>
            <w:pPr>
              <w:ind w:left="52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0.34</w:t>
            </w: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0.30</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1.44</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1.13</w:t>
            </w:r>
          </w:p>
        </w:tc>
      </w:tr>
      <w:tr>
        <w:trPr>
          <w:trHeight w:val="179"/>
        </w:trPr>
        <w:tc>
          <w:tcPr>
            <w:tcW w:w="3300" w:type="dxa"/>
            <w:vAlign w:val="bottom"/>
          </w:tcPr>
          <w:p>
            <w:pPr>
              <w:spacing w:after="0"/>
              <w:rPr>
                <w:sz w:val="15"/>
                <w:szCs w:val="15"/>
                <w:color w:val="auto"/>
              </w:rPr>
            </w:pPr>
          </w:p>
        </w:tc>
        <w:tc>
          <w:tcPr>
            <w:tcW w:w="200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w:t>
            </w:r>
          </w:p>
        </w:tc>
        <w:tc>
          <w:tcPr>
            <w:tcW w:w="17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300" w:type="dxa"/>
            <w:vAlign w:val="bottom"/>
          </w:tcPr>
          <w:p>
            <w:pPr>
              <w:spacing w:after="0" w:line="179" w:lineRule="exact"/>
              <w:rPr>
                <w:sz w:val="20"/>
                <w:szCs w:val="20"/>
                <w:color w:val="auto"/>
              </w:rPr>
            </w:pPr>
            <w:r>
              <w:rPr>
                <w:rFonts w:ascii="Courier New" w:cs="Courier New" w:eastAsia="Courier New" w:hAnsi="Courier New"/>
                <w:sz w:val="16"/>
                <w:szCs w:val="16"/>
                <w:color w:val="auto"/>
              </w:rPr>
              <w:t>Diluted earnings per share(2)</w:t>
            </w:r>
          </w:p>
        </w:tc>
        <w:tc>
          <w:tcPr>
            <w:tcW w:w="880" w:type="dxa"/>
            <w:vAlign w:val="bottom"/>
          </w:tcPr>
          <w:p>
            <w:pPr>
              <w:ind w:left="52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0.32</w:t>
            </w:r>
          </w:p>
        </w:tc>
        <w:tc>
          <w:tcPr>
            <w:tcW w:w="7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0.29</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1.35</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1.08</w:t>
            </w:r>
          </w:p>
        </w:tc>
      </w:tr>
      <w:tr>
        <w:trPr>
          <w:trHeight w:val="179"/>
        </w:trPr>
        <w:tc>
          <w:tcPr>
            <w:tcW w:w="3300" w:type="dxa"/>
            <w:vAlign w:val="bottom"/>
          </w:tcPr>
          <w:p>
            <w:pPr>
              <w:spacing w:after="0"/>
              <w:rPr>
                <w:sz w:val="15"/>
                <w:szCs w:val="15"/>
                <w:color w:val="auto"/>
              </w:rPr>
            </w:pPr>
          </w:p>
        </w:tc>
        <w:tc>
          <w:tcPr>
            <w:tcW w:w="200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w:t>
            </w:r>
          </w:p>
        </w:tc>
        <w:tc>
          <w:tcPr>
            <w:tcW w:w="17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300" w:type="dxa"/>
            <w:vAlign w:val="bottom"/>
          </w:tcPr>
          <w:p>
            <w:pPr>
              <w:spacing w:after="0" w:line="179" w:lineRule="exact"/>
              <w:rPr>
                <w:sz w:val="20"/>
                <w:szCs w:val="20"/>
                <w:color w:val="auto"/>
              </w:rPr>
            </w:pPr>
            <w:r>
              <w:rPr>
                <w:rFonts w:ascii="Courier New" w:cs="Courier New" w:eastAsia="Courier New" w:hAnsi="Courier New"/>
                <w:sz w:val="16"/>
                <w:szCs w:val="16"/>
                <w:color w:val="auto"/>
              </w:rPr>
              <w:t>Basic weighted average number of</w:t>
            </w:r>
          </w:p>
        </w:tc>
        <w:tc>
          <w:tcPr>
            <w:tcW w:w="880" w:type="dxa"/>
            <w:vAlign w:val="bottom"/>
          </w:tcPr>
          <w:p>
            <w:pPr>
              <w:spacing w:after="0"/>
              <w:rPr>
                <w:sz w:val="15"/>
                <w:szCs w:val="15"/>
                <w:color w:val="auto"/>
              </w:rPr>
            </w:pP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199,749</w:t>
            </w:r>
          </w:p>
        </w:tc>
        <w:tc>
          <w:tcPr>
            <w:tcW w:w="700" w:type="dxa"/>
            <w:vAlign w:val="bottom"/>
          </w:tcPr>
          <w:p>
            <w:pPr>
              <w:spacing w:after="0"/>
              <w:rPr>
                <w:sz w:val="15"/>
                <w:szCs w:val="15"/>
                <w:color w:val="auto"/>
              </w:rPr>
            </w:pP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203,713</w:t>
            </w:r>
          </w:p>
        </w:tc>
        <w:tc>
          <w:tcPr>
            <w:tcW w:w="520" w:type="dxa"/>
            <w:vAlign w:val="bottom"/>
          </w:tcPr>
          <w:p>
            <w:pPr>
              <w:spacing w:after="0"/>
              <w:rPr>
                <w:sz w:val="15"/>
                <w:szCs w:val="15"/>
                <w:color w:val="auto"/>
              </w:rPr>
            </w:pPr>
          </w:p>
        </w:tc>
        <w:tc>
          <w:tcPr>
            <w:tcW w:w="12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201,023</w:t>
            </w:r>
          </w:p>
        </w:tc>
        <w:tc>
          <w:tcPr>
            <w:tcW w:w="520" w:type="dxa"/>
            <w:vAlign w:val="bottom"/>
          </w:tcPr>
          <w:p>
            <w:pPr>
              <w:spacing w:after="0"/>
              <w:rPr>
                <w:sz w:val="15"/>
                <w:szCs w:val="15"/>
                <w:color w:val="auto"/>
              </w:rPr>
            </w:pPr>
          </w:p>
        </w:tc>
        <w:tc>
          <w:tcPr>
            <w:tcW w:w="1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208,726</w:t>
            </w:r>
          </w:p>
        </w:tc>
      </w:tr>
      <w:tr>
        <w:trPr>
          <w:trHeight w:val="179"/>
        </w:trPr>
        <w:tc>
          <w:tcPr>
            <w:tcW w:w="33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shares outstanding</w:t>
            </w:r>
          </w:p>
        </w:tc>
        <w:tc>
          <w:tcPr>
            <w:tcW w:w="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9"/>
        </w:trPr>
        <w:tc>
          <w:tcPr>
            <w:tcW w:w="3300" w:type="dxa"/>
            <w:vAlign w:val="bottom"/>
          </w:tcPr>
          <w:p>
            <w:pPr>
              <w:spacing w:after="0"/>
              <w:rPr>
                <w:sz w:val="15"/>
                <w:szCs w:val="15"/>
                <w:color w:val="auto"/>
              </w:rPr>
            </w:pPr>
          </w:p>
        </w:tc>
        <w:tc>
          <w:tcPr>
            <w:tcW w:w="200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w:t>
            </w:r>
          </w:p>
        </w:tc>
        <w:tc>
          <w:tcPr>
            <w:tcW w:w="17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300" w:type="dxa"/>
            <w:vAlign w:val="bottom"/>
          </w:tcPr>
          <w:p>
            <w:pPr>
              <w:spacing w:after="0" w:line="179" w:lineRule="exact"/>
              <w:rPr>
                <w:sz w:val="20"/>
                <w:szCs w:val="20"/>
                <w:color w:val="auto"/>
              </w:rPr>
            </w:pPr>
            <w:r>
              <w:rPr>
                <w:rFonts w:ascii="Courier New" w:cs="Courier New" w:eastAsia="Courier New" w:hAnsi="Courier New"/>
                <w:sz w:val="16"/>
                <w:szCs w:val="16"/>
                <w:color w:val="auto"/>
              </w:rPr>
              <w:t>Diluted weighted average number</w:t>
            </w:r>
          </w:p>
        </w:tc>
        <w:tc>
          <w:tcPr>
            <w:tcW w:w="880" w:type="dxa"/>
            <w:vAlign w:val="bottom"/>
          </w:tcPr>
          <w:p>
            <w:pPr>
              <w:spacing w:after="0"/>
              <w:rPr>
                <w:sz w:val="15"/>
                <w:szCs w:val="15"/>
                <w:color w:val="auto"/>
              </w:rPr>
            </w:pPr>
          </w:p>
        </w:tc>
        <w:tc>
          <w:tcPr>
            <w:tcW w:w="11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215,822</w:t>
            </w:r>
          </w:p>
        </w:tc>
        <w:tc>
          <w:tcPr>
            <w:tcW w:w="700" w:type="dxa"/>
            <w:vAlign w:val="bottom"/>
          </w:tcPr>
          <w:p>
            <w:pPr>
              <w:spacing w:after="0"/>
              <w:rPr>
                <w:sz w:val="15"/>
                <w:szCs w:val="15"/>
                <w:color w:val="auto"/>
              </w:rPr>
            </w:pPr>
          </w:p>
        </w:tc>
        <w:tc>
          <w:tcPr>
            <w:tcW w:w="11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218,664</w:t>
            </w:r>
          </w:p>
        </w:tc>
        <w:tc>
          <w:tcPr>
            <w:tcW w:w="520" w:type="dxa"/>
            <w:vAlign w:val="bottom"/>
          </w:tcPr>
          <w:p>
            <w:pPr>
              <w:spacing w:after="0"/>
              <w:rPr>
                <w:sz w:val="15"/>
                <w:szCs w:val="15"/>
                <w:color w:val="auto"/>
              </w:rPr>
            </w:pPr>
          </w:p>
        </w:tc>
        <w:tc>
          <w:tcPr>
            <w:tcW w:w="124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217,162</w:t>
            </w:r>
          </w:p>
        </w:tc>
        <w:tc>
          <w:tcPr>
            <w:tcW w:w="520" w:type="dxa"/>
            <w:vAlign w:val="bottom"/>
          </w:tcPr>
          <w:p>
            <w:pPr>
              <w:spacing w:after="0"/>
              <w:rPr>
                <w:sz w:val="15"/>
                <w:szCs w:val="15"/>
                <w:color w:val="auto"/>
              </w:rPr>
            </w:pPr>
          </w:p>
        </w:tc>
        <w:tc>
          <w:tcPr>
            <w:tcW w:w="10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220,285</w:t>
            </w:r>
          </w:p>
        </w:tc>
      </w:tr>
      <w:tr>
        <w:trPr>
          <w:trHeight w:val="179"/>
        </w:trPr>
        <w:tc>
          <w:tcPr>
            <w:tcW w:w="33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of shares outstanding (1)</w:t>
            </w:r>
          </w:p>
        </w:tc>
        <w:tc>
          <w:tcPr>
            <w:tcW w:w="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9"/>
        </w:trPr>
        <w:tc>
          <w:tcPr>
            <w:tcW w:w="3300" w:type="dxa"/>
            <w:vAlign w:val="bottom"/>
          </w:tcPr>
          <w:p>
            <w:pPr>
              <w:spacing w:after="0"/>
              <w:rPr>
                <w:sz w:val="15"/>
                <w:szCs w:val="15"/>
                <w:color w:val="auto"/>
              </w:rPr>
            </w:pPr>
          </w:p>
        </w:tc>
        <w:tc>
          <w:tcPr>
            <w:tcW w:w="200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w:t>
            </w:r>
          </w:p>
        </w:tc>
        <w:tc>
          <w:tcPr>
            <w:tcW w:w="176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65" w:right="4080" w:hanging="565"/>
        <w:spacing w:after="0" w:line="236" w:lineRule="auto"/>
        <w:tabs>
          <w:tab w:leader="none" w:pos="56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Diluted weighted average number of shares outstanding for the three months and twelve months ended September 30, 2004 were restated, due to the adoption of EITF 04-8, "The Effect of Contingently Convertible Instruments on Diluted Earnings per Share", which requires that prior period earnings per share computations be restated to conform to the new rule . The restatement reduced diluted earnings per share by $0.01 and $0.02 per share for the three and twelve months ended September 30, 2004, respectively.</w:t>
      </w:r>
    </w:p>
    <w:p>
      <w:pPr>
        <w:spacing w:after="0" w:line="184" w:lineRule="exact"/>
        <w:rPr>
          <w:rFonts w:ascii="Courier New" w:cs="Courier New" w:eastAsia="Courier New" w:hAnsi="Courier New"/>
          <w:sz w:val="16"/>
          <w:szCs w:val="16"/>
          <w:color w:val="auto"/>
        </w:rPr>
      </w:pPr>
    </w:p>
    <w:p>
      <w:pPr>
        <w:ind w:left="565" w:right="4080" w:hanging="565"/>
        <w:spacing w:after="0" w:line="275" w:lineRule="auto"/>
        <w:tabs>
          <w:tab w:leader="none" w:pos="565"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reflect the impact of assumed conversion of the convertible notes, $984 and $3,939, representing interest expense and amortization of issuance costs, were added back to net income for the three and twelve months ended September 30, 2005, respectively, and $995 and $2,296 were added back to net income for the three and twelve months ended September 30, 2004, respectively, for the purpose of computing diluted earnings per share.</w:t>
      </w:r>
    </w:p>
    <w:p>
      <w:pPr>
        <w:sectPr>
          <w:pgSz w:w="11900" w:h="16838" w:orient="portrait"/>
          <w:cols w:equalWidth="0" w:num="1">
            <w:col w:w="11525"/>
          </w:cols>
          <w:pgMar w:left="235" w:top="469" w:right="139" w:bottom="1440" w:gutter="0" w:footer="0" w:header="0"/>
        </w:sectPr>
      </w:pPr>
    </w:p>
    <w:bookmarkStart w:id="10" w:name="page11"/>
    <w:bookmarkEnd w:id="10"/>
    <w:p>
      <w:pPr>
        <w:jc w:val="center"/>
        <w:ind w:right="3715"/>
        <w:spacing w:after="0"/>
        <w:rPr>
          <w:sz w:val="20"/>
          <w:szCs w:val="20"/>
          <w:color w:val="auto"/>
        </w:rPr>
      </w:pPr>
      <w:r>
        <w:rPr>
          <w:rFonts w:ascii="Courier New" w:cs="Courier New" w:eastAsia="Courier New" w:hAnsi="Courier New"/>
          <w:sz w:val="16"/>
          <w:szCs w:val="16"/>
          <w:color w:val="auto"/>
        </w:rPr>
        <w:t>AMDOCS LIMITED</w:t>
      </w:r>
    </w:p>
    <w:p>
      <w:pPr>
        <w:spacing w:after="0" w:line="177" w:lineRule="exact"/>
        <w:rPr>
          <w:sz w:val="20"/>
          <w:szCs w:val="20"/>
          <w:color w:val="auto"/>
        </w:rPr>
      </w:pPr>
    </w:p>
    <w:p>
      <w:pPr>
        <w:jc w:val="center"/>
        <w:ind w:right="3615"/>
        <w:spacing w:after="0"/>
        <w:rPr>
          <w:sz w:val="20"/>
          <w:szCs w:val="20"/>
          <w:color w:val="auto"/>
        </w:rPr>
      </w:pPr>
      <w:r>
        <w:rPr>
          <w:rFonts w:ascii="Courier New" w:cs="Courier New" w:eastAsia="Courier New" w:hAnsi="Courier New"/>
          <w:sz w:val="16"/>
          <w:szCs w:val="16"/>
          <w:color w:val="auto"/>
        </w:rPr>
        <w:t>CONSOLIDATED STATEMENTS OF INCOME</w:t>
      </w:r>
    </w:p>
    <w:p>
      <w:pPr>
        <w:spacing w:after="0" w:line="183" w:lineRule="exact"/>
        <w:rPr>
          <w:sz w:val="20"/>
          <w:szCs w:val="20"/>
          <w:color w:val="auto"/>
        </w:rPr>
      </w:pPr>
    </w:p>
    <w:p>
      <w:pPr>
        <w:jc w:val="center"/>
        <w:ind w:right="3635"/>
        <w:spacing w:after="0" w:line="235" w:lineRule="auto"/>
        <w:rPr>
          <w:sz w:val="20"/>
          <w:szCs w:val="20"/>
          <w:color w:val="auto"/>
        </w:rPr>
      </w:pPr>
      <w:r>
        <w:rPr>
          <w:rFonts w:ascii="Courier New" w:cs="Courier New" w:eastAsia="Courier New" w:hAnsi="Courier New"/>
          <w:sz w:val="16"/>
          <w:szCs w:val="16"/>
          <w:color w:val="auto"/>
        </w:rPr>
        <w:t>EXCLUDING AMORTIZATION OF PURCHASED INTANGIBLE ASSETS, RESTRUCTURING CHARGES, IN-PROCESS RESEARCH AND DEVELOPMENT, OTHER ACQUISITION RELATED COSTS AND RELATED TAX EFFECTS</w:t>
      </w:r>
    </w:p>
    <w:p>
      <w:pPr>
        <w:spacing w:after="0" w:line="177" w:lineRule="exact"/>
        <w:rPr>
          <w:sz w:val="20"/>
          <w:szCs w:val="20"/>
          <w:color w:val="auto"/>
        </w:rPr>
      </w:pPr>
    </w:p>
    <w:p>
      <w:pPr>
        <w:ind w:left="2045"/>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645" w:type="dxa"/>
        <w:tblCellMar>
          <w:top w:w="0" w:type="dxa"/>
          <w:left w:w="0" w:type="dxa"/>
          <w:bottom w:w="0" w:type="dxa"/>
          <w:right w:w="0" w:type="dxa"/>
        </w:tblCellMar>
      </w:tblPr>
      <w:tr>
        <w:trPr>
          <w:trHeight w:val="181"/>
        </w:trPr>
        <w:tc>
          <w:tcPr>
            <w:tcW w:w="3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20" w:type="dxa"/>
            <w:vAlign w:val="bottom"/>
            <w:gridSpan w:val="3"/>
          </w:tcPr>
          <w:p>
            <w:pPr>
              <w:jc w:val="right"/>
              <w:ind w:right="902"/>
              <w:spacing w:after="0"/>
              <w:rPr>
                <w:sz w:val="20"/>
                <w:szCs w:val="20"/>
                <w:color w:val="auto"/>
              </w:rPr>
            </w:pPr>
            <w:r>
              <w:rPr>
                <w:rFonts w:ascii="Courier New" w:cs="Courier New" w:eastAsia="Courier New" w:hAnsi="Courier New"/>
                <w:sz w:val="16"/>
                <w:szCs w:val="16"/>
                <w:color w:val="auto"/>
              </w:rPr>
              <w:t>THREE MONTHS ENDED</w:t>
            </w:r>
          </w:p>
        </w:tc>
        <w:tc>
          <w:tcPr>
            <w:tcW w:w="520" w:type="dxa"/>
            <w:vAlign w:val="bottom"/>
          </w:tcPr>
          <w:p>
            <w:pPr>
              <w:spacing w:after="0"/>
              <w:rPr>
                <w:sz w:val="15"/>
                <w:szCs w:val="15"/>
                <w:color w:val="auto"/>
              </w:rPr>
            </w:pPr>
          </w:p>
        </w:tc>
        <w:tc>
          <w:tcPr>
            <w:tcW w:w="2880" w:type="dxa"/>
            <w:vAlign w:val="bottom"/>
            <w:gridSpan w:val="3"/>
          </w:tcPr>
          <w:p>
            <w:pPr>
              <w:jc w:val="right"/>
              <w:ind w:right="582"/>
              <w:spacing w:after="0"/>
              <w:rPr>
                <w:sz w:val="20"/>
                <w:szCs w:val="20"/>
                <w:color w:val="auto"/>
              </w:rPr>
            </w:pPr>
            <w:r>
              <w:rPr>
                <w:rFonts w:ascii="Courier New" w:cs="Courier New" w:eastAsia="Courier New" w:hAnsi="Courier New"/>
                <w:sz w:val="16"/>
                <w:szCs w:val="16"/>
                <w:color w:val="auto"/>
              </w:rPr>
              <w:t>TWELVE MONTHS ENDED,</w:t>
            </w:r>
          </w:p>
        </w:tc>
      </w:tr>
      <w:tr>
        <w:trPr>
          <w:trHeight w:val="179"/>
        </w:trPr>
        <w:tc>
          <w:tcPr>
            <w:tcW w:w="3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7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SEPTEMBER 30,</w:t>
            </w:r>
          </w:p>
        </w:tc>
        <w:tc>
          <w:tcPr>
            <w:tcW w:w="1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80" w:type="dxa"/>
            <w:vAlign w:val="bottom"/>
            <w:gridSpan w:val="3"/>
          </w:tcPr>
          <w:p>
            <w:pPr>
              <w:jc w:val="right"/>
              <w:ind w:right="862"/>
              <w:spacing w:after="0" w:line="179" w:lineRule="exact"/>
              <w:rPr>
                <w:sz w:val="20"/>
                <w:szCs w:val="20"/>
                <w:color w:val="auto"/>
              </w:rPr>
            </w:pPr>
            <w:r>
              <w:rPr>
                <w:rFonts w:ascii="Courier New" w:cs="Courier New" w:eastAsia="Courier New" w:hAnsi="Courier New"/>
                <w:sz w:val="16"/>
                <w:szCs w:val="16"/>
                <w:color w:val="auto"/>
              </w:rPr>
              <w:t>SEPTEMBER 30,</w:t>
            </w:r>
          </w:p>
        </w:tc>
      </w:tr>
      <w:tr>
        <w:trPr>
          <w:trHeight w:val="179"/>
        </w:trPr>
        <w:tc>
          <w:tcPr>
            <w:tcW w:w="3260" w:type="dxa"/>
            <w:vAlign w:val="bottom"/>
          </w:tcPr>
          <w:p>
            <w:pPr>
              <w:spacing w:after="0"/>
              <w:rPr>
                <w:sz w:val="15"/>
                <w:szCs w:val="15"/>
                <w:color w:val="auto"/>
              </w:rPr>
            </w:pPr>
          </w:p>
        </w:tc>
        <w:tc>
          <w:tcPr>
            <w:tcW w:w="2040" w:type="dxa"/>
            <w:vAlign w:val="bottom"/>
            <w:gridSpan w:val="2"/>
          </w:tcPr>
          <w:p>
            <w:pPr>
              <w:ind w:left="380"/>
              <w:spacing w:after="0"/>
              <w:rPr>
                <w:sz w:val="20"/>
                <w:szCs w:val="20"/>
                <w:color w:val="auto"/>
              </w:rPr>
            </w:pPr>
            <w:r>
              <w:rPr>
                <w:rFonts w:ascii="Courier New" w:cs="Courier New" w:eastAsia="Courier New" w:hAnsi="Courier New"/>
                <w:sz w:val="11"/>
                <w:szCs w:val="11"/>
                <w:color w:val="auto"/>
                <w:w w:val="70"/>
              </w:rPr>
              <w:t>-----------------------------------</w:t>
            </w:r>
          </w:p>
        </w:tc>
        <w:tc>
          <w:tcPr>
            <w:tcW w:w="5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w w:val="95"/>
              </w:rPr>
              <w:t>2005(1)</w:t>
            </w:r>
          </w:p>
        </w:tc>
        <w:tc>
          <w:tcPr>
            <w:tcW w:w="560" w:type="dxa"/>
            <w:vAlign w:val="bottom"/>
          </w:tcPr>
          <w:p>
            <w:pPr>
              <w:spacing w:after="0"/>
              <w:rPr>
                <w:sz w:val="15"/>
                <w:szCs w:val="15"/>
                <w:color w:val="auto"/>
              </w:rPr>
            </w:pPr>
          </w:p>
        </w:tc>
        <w:tc>
          <w:tcPr>
            <w:tcW w:w="1260" w:type="dxa"/>
            <w:vAlign w:val="bottom"/>
          </w:tcPr>
          <w:p>
            <w:pPr>
              <w:jc w:val="center"/>
              <w:ind w:right="522"/>
              <w:spacing w:after="0" w:line="179" w:lineRule="exact"/>
              <w:rPr>
                <w:sz w:val="20"/>
                <w:szCs w:val="20"/>
                <w:color w:val="auto"/>
              </w:rPr>
            </w:pPr>
            <w:r>
              <w:rPr>
                <w:rFonts w:ascii="Courier New" w:cs="Courier New" w:eastAsia="Courier New" w:hAnsi="Courier New"/>
                <w:sz w:val="16"/>
                <w:szCs w:val="16"/>
                <w:color w:val="auto"/>
                <w:w w:val="98"/>
              </w:rPr>
              <w:t>2004(1)</w:t>
            </w:r>
          </w:p>
        </w:tc>
        <w:tc>
          <w:tcPr>
            <w:tcW w:w="520" w:type="dxa"/>
            <w:vAlign w:val="bottom"/>
          </w:tcPr>
          <w:p>
            <w:pPr>
              <w:spacing w:after="0"/>
              <w:rPr>
                <w:sz w:val="15"/>
                <w:szCs w:val="15"/>
                <w:color w:val="auto"/>
              </w:rPr>
            </w:pPr>
          </w:p>
        </w:tc>
        <w:tc>
          <w:tcPr>
            <w:tcW w:w="126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w w:val="92"/>
              </w:rPr>
              <w:t>2005(2)</w:t>
            </w:r>
          </w:p>
        </w:tc>
        <w:tc>
          <w:tcPr>
            <w:tcW w:w="460" w:type="dxa"/>
            <w:vAlign w:val="bottom"/>
          </w:tcPr>
          <w:p>
            <w:pPr>
              <w:spacing w:after="0"/>
              <w:rPr>
                <w:sz w:val="15"/>
                <w:szCs w:val="15"/>
                <w:color w:val="auto"/>
              </w:rPr>
            </w:pPr>
          </w:p>
        </w:tc>
        <w:tc>
          <w:tcPr>
            <w:tcW w:w="11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2004(2)</w:t>
            </w:r>
          </w:p>
        </w:tc>
      </w:tr>
      <w:tr>
        <w:trPr>
          <w:trHeight w:val="179"/>
        </w:trPr>
        <w:tc>
          <w:tcPr>
            <w:tcW w:w="3260" w:type="dxa"/>
            <w:vAlign w:val="bottom"/>
          </w:tcPr>
          <w:p>
            <w:pPr>
              <w:spacing w:after="0"/>
              <w:rPr>
                <w:sz w:val="15"/>
                <w:szCs w:val="15"/>
                <w:color w:val="auto"/>
              </w:rPr>
            </w:pPr>
          </w:p>
        </w:tc>
        <w:tc>
          <w:tcPr>
            <w:tcW w:w="2040" w:type="dxa"/>
            <w:vAlign w:val="bottom"/>
            <w:gridSpan w:val="2"/>
          </w:tcPr>
          <w:p>
            <w:pPr>
              <w:ind w:left="380"/>
              <w:spacing w:after="0" w:line="179" w:lineRule="exact"/>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w:t>
            </w:r>
          </w:p>
        </w:tc>
        <w:tc>
          <w:tcPr>
            <w:tcW w:w="17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26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9"/>
        </w:trPr>
        <w:tc>
          <w:tcPr>
            <w:tcW w:w="326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License</w:t>
            </w:r>
          </w:p>
        </w:tc>
        <w:tc>
          <w:tcPr>
            <w:tcW w:w="8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25,135</w:t>
            </w:r>
          </w:p>
        </w:tc>
        <w:tc>
          <w:tcPr>
            <w:tcW w:w="5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24,560</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100,044</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76,586</w:t>
            </w:r>
          </w:p>
        </w:tc>
      </w:tr>
      <w:tr>
        <w:trPr>
          <w:trHeight w:val="179"/>
        </w:trPr>
        <w:tc>
          <w:tcPr>
            <w:tcW w:w="326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Service</w:t>
            </w:r>
          </w:p>
        </w:tc>
        <w:tc>
          <w:tcPr>
            <w:tcW w:w="840" w:type="dxa"/>
            <w:vAlign w:val="bottom"/>
          </w:tcPr>
          <w:p>
            <w:pPr>
              <w:spacing w:after="0"/>
              <w:rPr>
                <w:sz w:val="15"/>
                <w:szCs w:val="15"/>
                <w:color w:val="auto"/>
              </w:rPr>
            </w:pPr>
          </w:p>
        </w:tc>
        <w:tc>
          <w:tcPr>
            <w:tcW w:w="12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548,183</w:t>
            </w:r>
          </w:p>
        </w:tc>
        <w:tc>
          <w:tcPr>
            <w:tcW w:w="560" w:type="dxa"/>
            <w:vAlign w:val="bottom"/>
          </w:tcPr>
          <w:p>
            <w:pPr>
              <w:spacing w:after="0"/>
              <w:rPr>
                <w:sz w:val="15"/>
                <w:szCs w:val="15"/>
                <w:color w:val="auto"/>
              </w:rPr>
            </w:pPr>
          </w:p>
        </w:tc>
        <w:tc>
          <w:tcPr>
            <w:tcW w:w="12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427,895</w:t>
            </w:r>
          </w:p>
        </w:tc>
        <w:tc>
          <w:tcPr>
            <w:tcW w:w="520" w:type="dxa"/>
            <w:vAlign w:val="bottom"/>
          </w:tcPr>
          <w:p>
            <w:pPr>
              <w:spacing w:after="0"/>
              <w:rPr>
                <w:sz w:val="15"/>
                <w:szCs w:val="15"/>
                <w:color w:val="auto"/>
              </w:rPr>
            </w:pPr>
          </w:p>
        </w:tc>
        <w:tc>
          <w:tcPr>
            <w:tcW w:w="12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1,938,577</w:t>
            </w:r>
          </w:p>
        </w:tc>
        <w:tc>
          <w:tcPr>
            <w:tcW w:w="46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1,697,146</w:t>
            </w:r>
          </w:p>
        </w:tc>
      </w:tr>
      <w:tr>
        <w:trPr>
          <w:trHeight w:val="179"/>
        </w:trPr>
        <w:tc>
          <w:tcPr>
            <w:tcW w:w="3260" w:type="dxa"/>
            <w:vAlign w:val="bottom"/>
          </w:tcPr>
          <w:p>
            <w:pPr>
              <w:spacing w:after="0"/>
              <w:rPr>
                <w:sz w:val="15"/>
                <w:szCs w:val="15"/>
                <w:color w:val="auto"/>
              </w:rPr>
            </w:pPr>
          </w:p>
        </w:tc>
        <w:tc>
          <w:tcPr>
            <w:tcW w:w="2040" w:type="dxa"/>
            <w:vAlign w:val="bottom"/>
            <w:gridSpan w:val="2"/>
          </w:tcPr>
          <w:p>
            <w:pPr>
              <w:ind w:left="380"/>
              <w:spacing w:after="0" w:line="179" w:lineRule="exact"/>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w:t>
            </w:r>
          </w:p>
        </w:tc>
        <w:tc>
          <w:tcPr>
            <w:tcW w:w="17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573,318</w:t>
            </w:r>
          </w:p>
        </w:tc>
        <w:tc>
          <w:tcPr>
            <w:tcW w:w="560" w:type="dxa"/>
            <w:vAlign w:val="bottom"/>
          </w:tcPr>
          <w:p>
            <w:pPr>
              <w:spacing w:after="0"/>
              <w:rPr>
                <w:sz w:val="15"/>
                <w:szCs w:val="15"/>
                <w:color w:val="auto"/>
              </w:rPr>
            </w:pPr>
          </w:p>
        </w:tc>
        <w:tc>
          <w:tcPr>
            <w:tcW w:w="12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452,455</w:t>
            </w:r>
          </w:p>
        </w:tc>
        <w:tc>
          <w:tcPr>
            <w:tcW w:w="520" w:type="dxa"/>
            <w:vAlign w:val="bottom"/>
          </w:tcPr>
          <w:p>
            <w:pPr>
              <w:spacing w:after="0"/>
              <w:rPr>
                <w:sz w:val="15"/>
                <w:szCs w:val="15"/>
                <w:color w:val="auto"/>
              </w:rPr>
            </w:pPr>
          </w:p>
        </w:tc>
        <w:tc>
          <w:tcPr>
            <w:tcW w:w="12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2,038,621</w:t>
            </w:r>
          </w:p>
        </w:tc>
        <w:tc>
          <w:tcPr>
            <w:tcW w:w="46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1,773,732</w:t>
            </w:r>
          </w:p>
        </w:tc>
      </w:tr>
      <w:tr>
        <w:trPr>
          <w:trHeight w:val="179"/>
        </w:trPr>
        <w:tc>
          <w:tcPr>
            <w:tcW w:w="326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expenses:</w:t>
            </w:r>
          </w:p>
        </w:tc>
        <w:tc>
          <w:tcPr>
            <w:tcW w:w="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326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Cost of license</w:t>
            </w:r>
          </w:p>
        </w:tc>
        <w:tc>
          <w:tcPr>
            <w:tcW w:w="840" w:type="dxa"/>
            <w:vAlign w:val="bottom"/>
          </w:tcPr>
          <w:p>
            <w:pPr>
              <w:spacing w:after="0"/>
              <w:rPr>
                <w:sz w:val="15"/>
                <w:szCs w:val="15"/>
                <w:color w:val="auto"/>
              </w:rPr>
            </w:pPr>
          </w:p>
        </w:tc>
        <w:tc>
          <w:tcPr>
            <w:tcW w:w="12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805</w:t>
            </w:r>
          </w:p>
        </w:tc>
        <w:tc>
          <w:tcPr>
            <w:tcW w:w="560" w:type="dxa"/>
            <w:vAlign w:val="bottom"/>
          </w:tcPr>
          <w:p>
            <w:pPr>
              <w:spacing w:after="0"/>
              <w:rPr>
                <w:sz w:val="15"/>
                <w:szCs w:val="15"/>
                <w:color w:val="auto"/>
              </w:rPr>
            </w:pPr>
          </w:p>
        </w:tc>
        <w:tc>
          <w:tcPr>
            <w:tcW w:w="12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1,215</w:t>
            </w:r>
          </w:p>
        </w:tc>
        <w:tc>
          <w:tcPr>
            <w:tcW w:w="520" w:type="dxa"/>
            <w:vAlign w:val="bottom"/>
          </w:tcPr>
          <w:p>
            <w:pPr>
              <w:spacing w:after="0"/>
              <w:rPr>
                <w:sz w:val="15"/>
                <w:szCs w:val="15"/>
                <w:color w:val="auto"/>
              </w:rPr>
            </w:pPr>
          </w:p>
        </w:tc>
        <w:tc>
          <w:tcPr>
            <w:tcW w:w="12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4,083</w:t>
            </w:r>
          </w:p>
        </w:tc>
        <w:tc>
          <w:tcPr>
            <w:tcW w:w="46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5,022</w:t>
            </w:r>
          </w:p>
        </w:tc>
      </w:tr>
      <w:tr>
        <w:trPr>
          <w:trHeight w:val="179"/>
        </w:trPr>
        <w:tc>
          <w:tcPr>
            <w:tcW w:w="326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Cost of service</w:t>
            </w:r>
          </w:p>
        </w:tc>
        <w:tc>
          <w:tcPr>
            <w:tcW w:w="840" w:type="dxa"/>
            <w:vAlign w:val="bottom"/>
          </w:tcPr>
          <w:p>
            <w:pPr>
              <w:spacing w:after="0"/>
              <w:rPr>
                <w:sz w:val="15"/>
                <w:szCs w:val="15"/>
                <w:color w:val="auto"/>
              </w:rPr>
            </w:pPr>
          </w:p>
        </w:tc>
        <w:tc>
          <w:tcPr>
            <w:tcW w:w="12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362,085</w:t>
            </w:r>
          </w:p>
        </w:tc>
        <w:tc>
          <w:tcPr>
            <w:tcW w:w="560" w:type="dxa"/>
            <w:vAlign w:val="bottom"/>
          </w:tcPr>
          <w:p>
            <w:pPr>
              <w:spacing w:after="0"/>
              <w:rPr>
                <w:sz w:val="15"/>
                <w:szCs w:val="15"/>
                <w:color w:val="auto"/>
              </w:rPr>
            </w:pPr>
          </w:p>
        </w:tc>
        <w:tc>
          <w:tcPr>
            <w:tcW w:w="12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284,340</w:t>
            </w:r>
          </w:p>
        </w:tc>
        <w:tc>
          <w:tcPr>
            <w:tcW w:w="520" w:type="dxa"/>
            <w:vAlign w:val="bottom"/>
          </w:tcPr>
          <w:p>
            <w:pPr>
              <w:spacing w:after="0"/>
              <w:rPr>
                <w:sz w:val="15"/>
                <w:szCs w:val="15"/>
                <w:color w:val="auto"/>
              </w:rPr>
            </w:pPr>
          </w:p>
        </w:tc>
        <w:tc>
          <w:tcPr>
            <w:tcW w:w="12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1,291,572</w:t>
            </w:r>
          </w:p>
        </w:tc>
        <w:tc>
          <w:tcPr>
            <w:tcW w:w="46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1,117,810</w:t>
            </w:r>
          </w:p>
        </w:tc>
      </w:tr>
      <w:tr>
        <w:trPr>
          <w:trHeight w:val="179"/>
        </w:trPr>
        <w:tc>
          <w:tcPr>
            <w:tcW w:w="326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Research and development</w:t>
            </w:r>
          </w:p>
        </w:tc>
        <w:tc>
          <w:tcPr>
            <w:tcW w:w="840" w:type="dxa"/>
            <w:vAlign w:val="bottom"/>
          </w:tcPr>
          <w:p>
            <w:pPr>
              <w:spacing w:after="0"/>
              <w:rPr>
                <w:sz w:val="15"/>
                <w:szCs w:val="15"/>
                <w:color w:val="auto"/>
              </w:rPr>
            </w:pPr>
          </w:p>
        </w:tc>
        <w:tc>
          <w:tcPr>
            <w:tcW w:w="12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46,890</w:t>
            </w:r>
          </w:p>
        </w:tc>
        <w:tc>
          <w:tcPr>
            <w:tcW w:w="560" w:type="dxa"/>
            <w:vAlign w:val="bottom"/>
          </w:tcPr>
          <w:p>
            <w:pPr>
              <w:spacing w:after="0"/>
              <w:rPr>
                <w:sz w:val="15"/>
                <w:szCs w:val="15"/>
                <w:color w:val="auto"/>
              </w:rPr>
            </w:pPr>
          </w:p>
        </w:tc>
        <w:tc>
          <w:tcPr>
            <w:tcW w:w="12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34,160</w:t>
            </w:r>
          </w:p>
        </w:tc>
        <w:tc>
          <w:tcPr>
            <w:tcW w:w="520" w:type="dxa"/>
            <w:vAlign w:val="bottom"/>
          </w:tcPr>
          <w:p>
            <w:pPr>
              <w:spacing w:after="0"/>
              <w:rPr>
                <w:sz w:val="15"/>
                <w:szCs w:val="15"/>
                <w:color w:val="auto"/>
              </w:rPr>
            </w:pPr>
          </w:p>
        </w:tc>
        <w:tc>
          <w:tcPr>
            <w:tcW w:w="12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144,457</w:t>
            </w:r>
          </w:p>
        </w:tc>
        <w:tc>
          <w:tcPr>
            <w:tcW w:w="46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126,407</w:t>
            </w:r>
          </w:p>
        </w:tc>
      </w:tr>
      <w:tr>
        <w:trPr>
          <w:trHeight w:val="179"/>
        </w:trPr>
        <w:tc>
          <w:tcPr>
            <w:tcW w:w="326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Selling, general and</w:t>
            </w:r>
          </w:p>
        </w:tc>
        <w:tc>
          <w:tcPr>
            <w:tcW w:w="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3260" w:type="dxa"/>
            <w:vAlign w:val="bottom"/>
          </w:tcPr>
          <w:p>
            <w:pPr>
              <w:ind w:left="480"/>
              <w:spacing w:after="0" w:line="179" w:lineRule="exact"/>
              <w:rPr>
                <w:sz w:val="20"/>
                <w:szCs w:val="20"/>
                <w:color w:val="auto"/>
              </w:rPr>
            </w:pPr>
            <w:r>
              <w:rPr>
                <w:rFonts w:ascii="Courier New" w:cs="Courier New" w:eastAsia="Courier New" w:hAnsi="Courier New"/>
                <w:sz w:val="16"/>
                <w:szCs w:val="16"/>
                <w:color w:val="auto"/>
              </w:rPr>
              <w:t>administrative</w:t>
            </w:r>
          </w:p>
        </w:tc>
        <w:tc>
          <w:tcPr>
            <w:tcW w:w="840" w:type="dxa"/>
            <w:vAlign w:val="bottom"/>
          </w:tcPr>
          <w:p>
            <w:pPr>
              <w:spacing w:after="0"/>
              <w:rPr>
                <w:sz w:val="15"/>
                <w:szCs w:val="15"/>
                <w:color w:val="auto"/>
              </w:rPr>
            </w:pPr>
          </w:p>
        </w:tc>
        <w:tc>
          <w:tcPr>
            <w:tcW w:w="12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66,066</w:t>
            </w:r>
          </w:p>
        </w:tc>
        <w:tc>
          <w:tcPr>
            <w:tcW w:w="560" w:type="dxa"/>
            <w:vAlign w:val="bottom"/>
          </w:tcPr>
          <w:p>
            <w:pPr>
              <w:spacing w:after="0"/>
              <w:rPr>
                <w:sz w:val="15"/>
                <w:szCs w:val="15"/>
                <w:color w:val="auto"/>
              </w:rPr>
            </w:pPr>
          </w:p>
        </w:tc>
        <w:tc>
          <w:tcPr>
            <w:tcW w:w="12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51,306</w:t>
            </w:r>
          </w:p>
        </w:tc>
        <w:tc>
          <w:tcPr>
            <w:tcW w:w="520" w:type="dxa"/>
            <w:vAlign w:val="bottom"/>
          </w:tcPr>
          <w:p>
            <w:pPr>
              <w:spacing w:after="0"/>
              <w:rPr>
                <w:sz w:val="15"/>
                <w:szCs w:val="15"/>
                <w:color w:val="auto"/>
              </w:rPr>
            </w:pPr>
          </w:p>
        </w:tc>
        <w:tc>
          <w:tcPr>
            <w:tcW w:w="12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232,066</w:t>
            </w:r>
          </w:p>
        </w:tc>
        <w:tc>
          <w:tcPr>
            <w:tcW w:w="46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210,384</w:t>
            </w:r>
          </w:p>
        </w:tc>
      </w:tr>
      <w:tr>
        <w:trPr>
          <w:trHeight w:val="179"/>
        </w:trPr>
        <w:tc>
          <w:tcPr>
            <w:tcW w:w="3260" w:type="dxa"/>
            <w:vAlign w:val="bottom"/>
          </w:tcPr>
          <w:p>
            <w:pPr>
              <w:spacing w:after="0"/>
              <w:rPr>
                <w:sz w:val="15"/>
                <w:szCs w:val="15"/>
                <w:color w:val="auto"/>
              </w:rPr>
            </w:pPr>
          </w:p>
        </w:tc>
        <w:tc>
          <w:tcPr>
            <w:tcW w:w="2040" w:type="dxa"/>
            <w:vAlign w:val="bottom"/>
            <w:gridSpan w:val="2"/>
          </w:tcPr>
          <w:p>
            <w:pPr>
              <w:ind w:left="380"/>
              <w:spacing w:after="0" w:line="179" w:lineRule="exact"/>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w:t>
            </w:r>
          </w:p>
        </w:tc>
        <w:tc>
          <w:tcPr>
            <w:tcW w:w="17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475,846</w:t>
            </w:r>
          </w:p>
        </w:tc>
        <w:tc>
          <w:tcPr>
            <w:tcW w:w="560" w:type="dxa"/>
            <w:vAlign w:val="bottom"/>
          </w:tcPr>
          <w:p>
            <w:pPr>
              <w:spacing w:after="0"/>
              <w:rPr>
                <w:sz w:val="15"/>
                <w:szCs w:val="15"/>
                <w:color w:val="auto"/>
              </w:rPr>
            </w:pPr>
          </w:p>
        </w:tc>
        <w:tc>
          <w:tcPr>
            <w:tcW w:w="12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371,021</w:t>
            </w:r>
          </w:p>
        </w:tc>
        <w:tc>
          <w:tcPr>
            <w:tcW w:w="520" w:type="dxa"/>
            <w:vAlign w:val="bottom"/>
          </w:tcPr>
          <w:p>
            <w:pPr>
              <w:spacing w:after="0"/>
              <w:rPr>
                <w:sz w:val="15"/>
                <w:szCs w:val="15"/>
                <w:color w:val="auto"/>
              </w:rPr>
            </w:pPr>
          </w:p>
        </w:tc>
        <w:tc>
          <w:tcPr>
            <w:tcW w:w="12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1,672,178</w:t>
            </w:r>
          </w:p>
        </w:tc>
        <w:tc>
          <w:tcPr>
            <w:tcW w:w="46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1,459,623</w:t>
            </w:r>
          </w:p>
        </w:tc>
      </w:tr>
      <w:tr>
        <w:trPr>
          <w:trHeight w:val="179"/>
        </w:trPr>
        <w:tc>
          <w:tcPr>
            <w:tcW w:w="3260" w:type="dxa"/>
            <w:vAlign w:val="bottom"/>
          </w:tcPr>
          <w:p>
            <w:pPr>
              <w:spacing w:after="0"/>
              <w:rPr>
                <w:sz w:val="15"/>
                <w:szCs w:val="15"/>
                <w:color w:val="auto"/>
              </w:rPr>
            </w:pPr>
          </w:p>
        </w:tc>
        <w:tc>
          <w:tcPr>
            <w:tcW w:w="2040" w:type="dxa"/>
            <w:vAlign w:val="bottom"/>
            <w:gridSpan w:val="2"/>
          </w:tcPr>
          <w:p>
            <w:pPr>
              <w:ind w:left="380"/>
              <w:spacing w:after="0" w:line="179" w:lineRule="exact"/>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w:t>
            </w:r>
          </w:p>
        </w:tc>
        <w:tc>
          <w:tcPr>
            <w:tcW w:w="17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26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income</w:t>
            </w:r>
          </w:p>
        </w:tc>
        <w:tc>
          <w:tcPr>
            <w:tcW w:w="840" w:type="dxa"/>
            <w:vAlign w:val="bottom"/>
          </w:tcPr>
          <w:p>
            <w:pPr>
              <w:spacing w:after="0"/>
              <w:rPr>
                <w:sz w:val="15"/>
                <w:szCs w:val="15"/>
                <w:color w:val="auto"/>
              </w:rPr>
            </w:pPr>
          </w:p>
        </w:tc>
        <w:tc>
          <w:tcPr>
            <w:tcW w:w="12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97,472</w:t>
            </w:r>
          </w:p>
        </w:tc>
        <w:tc>
          <w:tcPr>
            <w:tcW w:w="560" w:type="dxa"/>
            <w:vAlign w:val="bottom"/>
          </w:tcPr>
          <w:p>
            <w:pPr>
              <w:spacing w:after="0"/>
              <w:rPr>
                <w:sz w:val="15"/>
                <w:szCs w:val="15"/>
                <w:color w:val="auto"/>
              </w:rPr>
            </w:pPr>
          </w:p>
        </w:tc>
        <w:tc>
          <w:tcPr>
            <w:tcW w:w="12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81,434</w:t>
            </w:r>
          </w:p>
        </w:tc>
        <w:tc>
          <w:tcPr>
            <w:tcW w:w="520" w:type="dxa"/>
            <w:vAlign w:val="bottom"/>
          </w:tcPr>
          <w:p>
            <w:pPr>
              <w:spacing w:after="0"/>
              <w:rPr>
                <w:sz w:val="15"/>
                <w:szCs w:val="15"/>
                <w:color w:val="auto"/>
              </w:rPr>
            </w:pPr>
          </w:p>
        </w:tc>
        <w:tc>
          <w:tcPr>
            <w:tcW w:w="12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366,443</w:t>
            </w:r>
          </w:p>
        </w:tc>
        <w:tc>
          <w:tcPr>
            <w:tcW w:w="46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314,109</w:t>
            </w:r>
          </w:p>
        </w:tc>
      </w:tr>
      <w:tr>
        <w:trPr>
          <w:trHeight w:val="358"/>
        </w:trPr>
        <w:tc>
          <w:tcPr>
            <w:tcW w:w="3260" w:type="dxa"/>
            <w:vAlign w:val="bottom"/>
          </w:tcPr>
          <w:p>
            <w:pPr>
              <w:spacing w:after="0"/>
              <w:rPr>
                <w:sz w:val="20"/>
                <w:szCs w:val="20"/>
                <w:color w:val="auto"/>
              </w:rPr>
            </w:pPr>
            <w:r>
              <w:rPr>
                <w:rFonts w:ascii="Courier New" w:cs="Courier New" w:eastAsia="Courier New" w:hAnsi="Courier New"/>
                <w:sz w:val="16"/>
                <w:szCs w:val="16"/>
                <w:color w:val="auto"/>
              </w:rPr>
              <w:t>Interest income and other, net</w:t>
            </w:r>
          </w:p>
        </w:tc>
        <w:tc>
          <w:tcPr>
            <w:tcW w:w="840" w:type="dxa"/>
            <w:vAlign w:val="bottom"/>
          </w:tcPr>
          <w:p>
            <w:pPr>
              <w:spacing w:after="0"/>
              <w:rPr>
                <w:sz w:val="24"/>
                <w:szCs w:val="24"/>
                <w:color w:val="auto"/>
              </w:rPr>
            </w:pPr>
          </w:p>
        </w:tc>
        <w:tc>
          <w:tcPr>
            <w:tcW w:w="1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7,359</w:t>
            </w:r>
          </w:p>
        </w:tc>
        <w:tc>
          <w:tcPr>
            <w:tcW w:w="560" w:type="dxa"/>
            <w:vAlign w:val="bottom"/>
          </w:tcPr>
          <w:p>
            <w:pPr>
              <w:spacing w:after="0"/>
              <w:rPr>
                <w:sz w:val="24"/>
                <w:szCs w:val="24"/>
                <w:color w:val="auto"/>
              </w:rPr>
            </w:pPr>
          </w:p>
        </w:tc>
        <w:tc>
          <w:tcPr>
            <w:tcW w:w="12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2,004</w:t>
            </w:r>
          </w:p>
        </w:tc>
        <w:tc>
          <w:tcPr>
            <w:tcW w:w="520" w:type="dxa"/>
            <w:vAlign w:val="bottom"/>
          </w:tcPr>
          <w:p>
            <w:pPr>
              <w:spacing w:after="0"/>
              <w:rPr>
                <w:sz w:val="24"/>
                <w:szCs w:val="24"/>
                <w:color w:val="auto"/>
              </w:rPr>
            </w:pPr>
          </w:p>
        </w:tc>
        <w:tc>
          <w:tcPr>
            <w:tcW w:w="12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22,303</w:t>
            </w:r>
          </w:p>
        </w:tc>
        <w:tc>
          <w:tcPr>
            <w:tcW w:w="460" w:type="dxa"/>
            <w:vAlign w:val="bottom"/>
          </w:tcPr>
          <w:p>
            <w:pPr>
              <w:spacing w:after="0"/>
              <w:rPr>
                <w:sz w:val="24"/>
                <w:szCs w:val="24"/>
                <w:color w:val="auto"/>
              </w:rPr>
            </w:pPr>
          </w:p>
        </w:tc>
        <w:tc>
          <w:tcPr>
            <w:tcW w:w="11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4,903</w:t>
            </w:r>
          </w:p>
        </w:tc>
      </w:tr>
      <w:tr>
        <w:trPr>
          <w:trHeight w:val="179"/>
        </w:trPr>
        <w:tc>
          <w:tcPr>
            <w:tcW w:w="3260" w:type="dxa"/>
            <w:vAlign w:val="bottom"/>
          </w:tcPr>
          <w:p>
            <w:pPr>
              <w:spacing w:after="0"/>
              <w:rPr>
                <w:sz w:val="15"/>
                <w:szCs w:val="15"/>
                <w:color w:val="auto"/>
              </w:rPr>
            </w:pPr>
          </w:p>
        </w:tc>
        <w:tc>
          <w:tcPr>
            <w:tcW w:w="2040" w:type="dxa"/>
            <w:vAlign w:val="bottom"/>
            <w:gridSpan w:val="2"/>
          </w:tcPr>
          <w:p>
            <w:pPr>
              <w:ind w:left="380"/>
              <w:spacing w:after="0" w:line="179" w:lineRule="exact"/>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w:t>
            </w:r>
          </w:p>
        </w:tc>
        <w:tc>
          <w:tcPr>
            <w:tcW w:w="17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26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before income taxes</w:t>
            </w:r>
          </w:p>
        </w:tc>
        <w:tc>
          <w:tcPr>
            <w:tcW w:w="840" w:type="dxa"/>
            <w:vAlign w:val="bottom"/>
          </w:tcPr>
          <w:p>
            <w:pPr>
              <w:spacing w:after="0"/>
              <w:rPr>
                <w:sz w:val="15"/>
                <w:szCs w:val="15"/>
                <w:color w:val="auto"/>
              </w:rPr>
            </w:pPr>
          </w:p>
        </w:tc>
        <w:tc>
          <w:tcPr>
            <w:tcW w:w="12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104,831</w:t>
            </w:r>
          </w:p>
        </w:tc>
        <w:tc>
          <w:tcPr>
            <w:tcW w:w="560" w:type="dxa"/>
            <w:vAlign w:val="bottom"/>
          </w:tcPr>
          <w:p>
            <w:pPr>
              <w:spacing w:after="0"/>
              <w:rPr>
                <w:sz w:val="15"/>
                <w:szCs w:val="15"/>
                <w:color w:val="auto"/>
              </w:rPr>
            </w:pPr>
          </w:p>
        </w:tc>
        <w:tc>
          <w:tcPr>
            <w:tcW w:w="12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83,438</w:t>
            </w:r>
          </w:p>
        </w:tc>
        <w:tc>
          <w:tcPr>
            <w:tcW w:w="520" w:type="dxa"/>
            <w:vAlign w:val="bottom"/>
          </w:tcPr>
          <w:p>
            <w:pPr>
              <w:spacing w:after="0"/>
              <w:rPr>
                <w:sz w:val="15"/>
                <w:szCs w:val="15"/>
                <w:color w:val="auto"/>
              </w:rPr>
            </w:pPr>
          </w:p>
        </w:tc>
        <w:tc>
          <w:tcPr>
            <w:tcW w:w="12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388,746</w:t>
            </w:r>
          </w:p>
        </w:tc>
        <w:tc>
          <w:tcPr>
            <w:tcW w:w="46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319,012</w:t>
            </w:r>
          </w:p>
        </w:tc>
      </w:tr>
      <w:tr>
        <w:trPr>
          <w:trHeight w:val="358"/>
        </w:trPr>
        <w:tc>
          <w:tcPr>
            <w:tcW w:w="3260" w:type="dxa"/>
            <w:vAlign w:val="bottom"/>
          </w:tcPr>
          <w:p>
            <w:pPr>
              <w:spacing w:after="0"/>
              <w:rPr>
                <w:sz w:val="20"/>
                <w:szCs w:val="20"/>
                <w:color w:val="auto"/>
              </w:rPr>
            </w:pPr>
            <w:r>
              <w:rPr>
                <w:rFonts w:ascii="Courier New" w:cs="Courier New" w:eastAsia="Courier New" w:hAnsi="Courier New"/>
                <w:sz w:val="16"/>
                <w:szCs w:val="16"/>
                <w:color w:val="auto"/>
              </w:rPr>
              <w:t>Income taxes</w:t>
            </w:r>
          </w:p>
        </w:tc>
        <w:tc>
          <w:tcPr>
            <w:tcW w:w="840" w:type="dxa"/>
            <w:vAlign w:val="bottom"/>
          </w:tcPr>
          <w:p>
            <w:pPr>
              <w:spacing w:after="0"/>
              <w:rPr>
                <w:sz w:val="24"/>
                <w:szCs w:val="24"/>
                <w:color w:val="auto"/>
              </w:rPr>
            </w:pPr>
          </w:p>
        </w:tc>
        <w:tc>
          <w:tcPr>
            <w:tcW w:w="12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20,966</w:t>
            </w:r>
          </w:p>
        </w:tc>
        <w:tc>
          <w:tcPr>
            <w:tcW w:w="560" w:type="dxa"/>
            <w:vAlign w:val="bottom"/>
          </w:tcPr>
          <w:p>
            <w:pPr>
              <w:spacing w:after="0"/>
              <w:rPr>
                <w:sz w:val="24"/>
                <w:szCs w:val="24"/>
                <w:color w:val="auto"/>
              </w:rPr>
            </w:pPr>
          </w:p>
        </w:tc>
        <w:tc>
          <w:tcPr>
            <w:tcW w:w="12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18,356</w:t>
            </w:r>
          </w:p>
        </w:tc>
        <w:tc>
          <w:tcPr>
            <w:tcW w:w="520" w:type="dxa"/>
            <w:vAlign w:val="bottom"/>
          </w:tcPr>
          <w:p>
            <w:pPr>
              <w:spacing w:after="0"/>
              <w:rPr>
                <w:sz w:val="24"/>
                <w:szCs w:val="24"/>
                <w:color w:val="auto"/>
              </w:rPr>
            </w:pPr>
          </w:p>
        </w:tc>
        <w:tc>
          <w:tcPr>
            <w:tcW w:w="12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77,749</w:t>
            </w:r>
          </w:p>
        </w:tc>
        <w:tc>
          <w:tcPr>
            <w:tcW w:w="460" w:type="dxa"/>
            <w:vAlign w:val="bottom"/>
          </w:tcPr>
          <w:p>
            <w:pPr>
              <w:spacing w:after="0"/>
              <w:rPr>
                <w:sz w:val="24"/>
                <w:szCs w:val="24"/>
                <w:color w:val="auto"/>
              </w:rPr>
            </w:pPr>
          </w:p>
        </w:tc>
        <w:tc>
          <w:tcPr>
            <w:tcW w:w="11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70,183</w:t>
            </w:r>
          </w:p>
        </w:tc>
      </w:tr>
      <w:tr>
        <w:trPr>
          <w:trHeight w:val="179"/>
        </w:trPr>
        <w:tc>
          <w:tcPr>
            <w:tcW w:w="3260" w:type="dxa"/>
            <w:vAlign w:val="bottom"/>
          </w:tcPr>
          <w:p>
            <w:pPr>
              <w:spacing w:after="0"/>
              <w:rPr>
                <w:sz w:val="15"/>
                <w:szCs w:val="15"/>
                <w:color w:val="auto"/>
              </w:rPr>
            </w:pPr>
          </w:p>
        </w:tc>
        <w:tc>
          <w:tcPr>
            <w:tcW w:w="2040" w:type="dxa"/>
            <w:vAlign w:val="bottom"/>
            <w:gridSpan w:val="2"/>
          </w:tcPr>
          <w:p>
            <w:pPr>
              <w:ind w:left="380"/>
              <w:spacing w:after="0" w:line="179" w:lineRule="exact"/>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w:t>
            </w:r>
          </w:p>
        </w:tc>
        <w:tc>
          <w:tcPr>
            <w:tcW w:w="17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26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income</w:t>
            </w:r>
          </w:p>
        </w:tc>
        <w:tc>
          <w:tcPr>
            <w:tcW w:w="8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83,865</w:t>
            </w:r>
          </w:p>
        </w:tc>
        <w:tc>
          <w:tcPr>
            <w:tcW w:w="5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65,082</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310,997</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248,829</w:t>
            </w:r>
          </w:p>
        </w:tc>
      </w:tr>
      <w:tr>
        <w:trPr>
          <w:trHeight w:val="179"/>
        </w:trPr>
        <w:tc>
          <w:tcPr>
            <w:tcW w:w="3260" w:type="dxa"/>
            <w:vAlign w:val="bottom"/>
          </w:tcPr>
          <w:p>
            <w:pPr>
              <w:spacing w:after="0"/>
              <w:rPr>
                <w:sz w:val="15"/>
                <w:szCs w:val="15"/>
                <w:color w:val="auto"/>
              </w:rPr>
            </w:pPr>
          </w:p>
        </w:tc>
        <w:tc>
          <w:tcPr>
            <w:tcW w:w="2040" w:type="dxa"/>
            <w:vAlign w:val="bottom"/>
            <w:gridSpan w:val="2"/>
          </w:tcPr>
          <w:p>
            <w:pPr>
              <w:ind w:left="380"/>
              <w:spacing w:after="0" w:line="179" w:lineRule="exact"/>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w:t>
            </w:r>
          </w:p>
        </w:tc>
        <w:tc>
          <w:tcPr>
            <w:tcW w:w="17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260" w:type="dxa"/>
            <w:vAlign w:val="bottom"/>
          </w:tcPr>
          <w:p>
            <w:pPr>
              <w:spacing w:after="0" w:line="179" w:lineRule="exact"/>
              <w:rPr>
                <w:sz w:val="20"/>
                <w:szCs w:val="20"/>
                <w:color w:val="auto"/>
              </w:rPr>
            </w:pPr>
            <w:r>
              <w:rPr>
                <w:rFonts w:ascii="Courier New" w:cs="Courier New" w:eastAsia="Courier New" w:hAnsi="Courier New"/>
                <w:sz w:val="16"/>
                <w:szCs w:val="16"/>
                <w:color w:val="auto"/>
              </w:rPr>
              <w:t>Diluted earnings per share (4)</w:t>
            </w:r>
          </w:p>
        </w:tc>
        <w:tc>
          <w:tcPr>
            <w:tcW w:w="84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0.39</w:t>
            </w:r>
          </w:p>
        </w:tc>
        <w:tc>
          <w:tcPr>
            <w:tcW w:w="5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0.30</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1.45</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1.14</w:t>
            </w:r>
          </w:p>
        </w:tc>
      </w:tr>
      <w:tr>
        <w:trPr>
          <w:trHeight w:val="179"/>
        </w:trPr>
        <w:tc>
          <w:tcPr>
            <w:tcW w:w="3260" w:type="dxa"/>
            <w:vAlign w:val="bottom"/>
          </w:tcPr>
          <w:p>
            <w:pPr>
              <w:spacing w:after="0"/>
              <w:rPr>
                <w:sz w:val="15"/>
                <w:szCs w:val="15"/>
                <w:color w:val="auto"/>
              </w:rPr>
            </w:pPr>
          </w:p>
        </w:tc>
        <w:tc>
          <w:tcPr>
            <w:tcW w:w="2040" w:type="dxa"/>
            <w:vAlign w:val="bottom"/>
            <w:gridSpan w:val="2"/>
          </w:tcPr>
          <w:p>
            <w:pPr>
              <w:ind w:left="380"/>
              <w:spacing w:after="0" w:line="179" w:lineRule="exact"/>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w:t>
            </w:r>
          </w:p>
        </w:tc>
        <w:tc>
          <w:tcPr>
            <w:tcW w:w="17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260" w:type="dxa"/>
            <w:vAlign w:val="bottom"/>
          </w:tcPr>
          <w:p>
            <w:pPr>
              <w:spacing w:after="0" w:line="179" w:lineRule="exact"/>
              <w:rPr>
                <w:sz w:val="20"/>
                <w:szCs w:val="20"/>
                <w:color w:val="auto"/>
              </w:rPr>
            </w:pPr>
            <w:r>
              <w:rPr>
                <w:rFonts w:ascii="Courier New" w:cs="Courier New" w:eastAsia="Courier New" w:hAnsi="Courier New"/>
                <w:sz w:val="16"/>
                <w:szCs w:val="16"/>
                <w:color w:val="auto"/>
              </w:rPr>
              <w:t>Diluted weighted average number</w:t>
            </w:r>
          </w:p>
        </w:tc>
        <w:tc>
          <w:tcPr>
            <w:tcW w:w="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9"/>
        </w:trPr>
        <w:tc>
          <w:tcPr>
            <w:tcW w:w="326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of shares outstanding (3)</w:t>
            </w:r>
          </w:p>
        </w:tc>
        <w:tc>
          <w:tcPr>
            <w:tcW w:w="840" w:type="dxa"/>
            <w:vAlign w:val="bottom"/>
          </w:tcPr>
          <w:p>
            <w:pPr>
              <w:spacing w:after="0"/>
              <w:rPr>
                <w:sz w:val="15"/>
                <w:szCs w:val="15"/>
                <w:color w:val="auto"/>
              </w:rPr>
            </w:pPr>
          </w:p>
        </w:tc>
        <w:tc>
          <w:tcPr>
            <w:tcW w:w="12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215,822</w:t>
            </w:r>
          </w:p>
        </w:tc>
        <w:tc>
          <w:tcPr>
            <w:tcW w:w="560" w:type="dxa"/>
            <w:vAlign w:val="bottom"/>
          </w:tcPr>
          <w:p>
            <w:pPr>
              <w:spacing w:after="0"/>
              <w:rPr>
                <w:sz w:val="15"/>
                <w:szCs w:val="15"/>
                <w:color w:val="auto"/>
              </w:rPr>
            </w:pPr>
          </w:p>
        </w:tc>
        <w:tc>
          <w:tcPr>
            <w:tcW w:w="12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218,664</w:t>
            </w:r>
          </w:p>
        </w:tc>
        <w:tc>
          <w:tcPr>
            <w:tcW w:w="520" w:type="dxa"/>
            <w:vAlign w:val="bottom"/>
          </w:tcPr>
          <w:p>
            <w:pPr>
              <w:spacing w:after="0"/>
              <w:rPr>
                <w:sz w:val="15"/>
                <w:szCs w:val="15"/>
                <w:color w:val="auto"/>
              </w:rPr>
            </w:pPr>
          </w:p>
        </w:tc>
        <w:tc>
          <w:tcPr>
            <w:tcW w:w="126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217,162</w:t>
            </w:r>
          </w:p>
        </w:tc>
        <w:tc>
          <w:tcPr>
            <w:tcW w:w="460" w:type="dxa"/>
            <w:vAlign w:val="bottom"/>
          </w:tcPr>
          <w:p>
            <w:pPr>
              <w:spacing w:after="0"/>
              <w:rPr>
                <w:sz w:val="15"/>
                <w:szCs w:val="15"/>
                <w:color w:val="auto"/>
              </w:rPr>
            </w:pPr>
          </w:p>
        </w:tc>
        <w:tc>
          <w:tcPr>
            <w:tcW w:w="11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220,285</w:t>
            </w:r>
          </w:p>
        </w:tc>
      </w:tr>
      <w:tr>
        <w:trPr>
          <w:trHeight w:val="179"/>
        </w:trPr>
        <w:tc>
          <w:tcPr>
            <w:tcW w:w="3260" w:type="dxa"/>
            <w:vAlign w:val="bottom"/>
          </w:tcPr>
          <w:p>
            <w:pPr>
              <w:spacing w:after="0"/>
              <w:rPr>
                <w:sz w:val="15"/>
                <w:szCs w:val="15"/>
                <w:color w:val="auto"/>
              </w:rPr>
            </w:pPr>
          </w:p>
        </w:tc>
        <w:tc>
          <w:tcPr>
            <w:tcW w:w="2040" w:type="dxa"/>
            <w:vAlign w:val="bottom"/>
            <w:gridSpan w:val="2"/>
          </w:tcPr>
          <w:p>
            <w:pPr>
              <w:ind w:left="380"/>
              <w:spacing w:after="0" w:line="179" w:lineRule="exact"/>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w:t>
            </w:r>
          </w:p>
        </w:tc>
        <w:tc>
          <w:tcPr>
            <w:tcW w:w="17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40" w:lineRule="exact"/>
        <w:rPr>
          <w:sz w:val="20"/>
          <w:szCs w:val="20"/>
          <w:color w:val="auto"/>
        </w:rPr>
      </w:pPr>
    </w:p>
    <w:p>
      <w:pPr>
        <w:ind w:left="565" w:right="3820" w:hanging="565"/>
        <w:spacing w:after="0" w:line="236" w:lineRule="auto"/>
        <w:tabs>
          <w:tab w:leader="none" w:pos="56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Excludes $7,481 and $4,486 for amortization of purchased intangible assets, $8,135 and $0 for restructuring charges, $2,760 and $0 for write-off of purchased in-process research and development, $1,700 and $0 for other acquisition-related costs and tax effects related to the above of $(4,010) and $(986) for the three months ended September 30, 2005 and 2004, respectively. Including the above items, income before income taxes was $84,755 and $78,952, and diluted earnings per share were $0.32 and $0.29 for the three months ended September 30, 2005 and 2004, respectively.</w:t>
      </w:r>
    </w:p>
    <w:p>
      <w:pPr>
        <w:spacing w:after="0" w:line="184" w:lineRule="exact"/>
        <w:rPr>
          <w:rFonts w:ascii="Courier New" w:cs="Courier New" w:eastAsia="Courier New" w:hAnsi="Courier New"/>
          <w:sz w:val="16"/>
          <w:szCs w:val="16"/>
          <w:color w:val="auto"/>
        </w:rPr>
      </w:pPr>
    </w:p>
    <w:p>
      <w:pPr>
        <w:ind w:left="565" w:right="3720" w:hanging="565"/>
        <w:spacing w:after="0" w:line="236" w:lineRule="auto"/>
        <w:tabs>
          <w:tab w:leader="none" w:pos="56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Excludes $15,356 and $17,909 for amortization of purchased intangible assets, $8,135 and $0 for restructuring charges, $2,760 and $0 for write-off of purchased in-process research and development, $1,700 and $0 for other acquisition-related costs and tax effects related to the above of $(5,590) and $(3,940) for the twelve months ended September 30, 2005 and 2004, respectively. Including the above items, income before income taxes was $360,795 and $301,103, and diluted earnings per share were $1.35 and $1.08 for the twelve months ended September 30, 2005 and 2004, respectively.</w:t>
      </w:r>
    </w:p>
    <w:p>
      <w:pPr>
        <w:spacing w:after="0" w:line="184" w:lineRule="exact"/>
        <w:rPr>
          <w:rFonts w:ascii="Courier New" w:cs="Courier New" w:eastAsia="Courier New" w:hAnsi="Courier New"/>
          <w:sz w:val="16"/>
          <w:szCs w:val="16"/>
          <w:color w:val="auto"/>
        </w:rPr>
      </w:pPr>
    </w:p>
    <w:p>
      <w:pPr>
        <w:ind w:left="565" w:right="3720" w:hanging="565"/>
        <w:spacing w:after="0" w:line="236" w:lineRule="auto"/>
        <w:tabs>
          <w:tab w:leader="none" w:pos="56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Diluted weighted average number of shares outstanding for the three months and twelve months ended September 30, 2004 were restated, due to the adoption of EITF 04-8, "The Effect of Contingently Convertible Instruments on Diluted Earnings per Share", which requires that prior period earnings per share computations be restated to conform to the new rule . The restatement reduced diluted earnings per share by $0.01 and $0.02 per share for the three months and twelve months ended September 30, 2004, respectively.</w:t>
      </w:r>
    </w:p>
    <w:p>
      <w:pPr>
        <w:sectPr>
          <w:pgSz w:w="11900" w:h="16838" w:orient="portrait"/>
          <w:cols w:equalWidth="0" w:num="1">
            <w:col w:w="11165"/>
          </w:cols>
          <w:pgMar w:left="235" w:top="469" w:right="499" w:bottom="1440" w:gutter="0" w:footer="0" w:header="0"/>
        </w:sectPr>
      </w:pPr>
    </w:p>
    <w:bookmarkStart w:id="11" w:name="page12"/>
    <w:bookmarkEnd w:id="11"/>
    <w:p>
      <w:pPr>
        <w:ind w:left="565" w:right="2779" w:hanging="565"/>
        <w:spacing w:after="0" w:line="275" w:lineRule="auto"/>
        <w:tabs>
          <w:tab w:leader="none" w:pos="565"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reflect the impact of assumed conversion of the convertible notes, $984 and $3,939, representing interest expense and amortization of issuance costs, were added back to net income for the three and twelve months ended September 30, 2005, respectively, and $995 and $2,296 were added back to net income for the three and twelve months ended September 30, 2004, respectively, for the purpose of computing diluted earnings per share.</w:t>
      </w:r>
    </w:p>
    <w:p>
      <w:pPr>
        <w:sectPr>
          <w:pgSz w:w="11900" w:h="16838" w:orient="portrait"/>
          <w:cols w:equalWidth="0" w:num="1">
            <w:col w:w="10224"/>
          </w:cols>
          <w:pgMar w:left="235" w:top="475" w:right="1440" w:bottom="1440" w:gutter="0" w:footer="0" w:header="0"/>
        </w:sectPr>
      </w:pPr>
    </w:p>
    <w:bookmarkStart w:id="12" w:name="page13"/>
    <w:bookmarkEnd w:id="12"/>
    <w:p>
      <w:pPr>
        <w:jc w:val="center"/>
        <w:ind w:right="3060"/>
        <w:spacing w:after="0"/>
        <w:rPr>
          <w:sz w:val="20"/>
          <w:szCs w:val="20"/>
          <w:color w:val="auto"/>
        </w:rPr>
      </w:pPr>
      <w:r>
        <w:rPr>
          <w:rFonts w:ascii="Courier New" w:cs="Courier New" w:eastAsia="Courier New" w:hAnsi="Courier New"/>
          <w:sz w:val="16"/>
          <w:szCs w:val="16"/>
          <w:color w:val="auto"/>
        </w:rPr>
        <w:t>AMDOCS LIMITED</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CONDENSED CONSOLIDATED BALANCE SHEETS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560" w:type="dxa"/>
            <w:vAlign w:val="bottom"/>
          </w:tcPr>
          <w:p>
            <w:pPr>
              <w:ind w:left="3060"/>
              <w:spacing w:after="0"/>
              <w:rPr>
                <w:sz w:val="20"/>
                <w:szCs w:val="20"/>
                <w:color w:val="auto"/>
              </w:rPr>
            </w:pPr>
            <w:r>
              <w:rPr>
                <w:rFonts w:ascii="Courier New" w:cs="Courier New" w:eastAsia="Courier New" w:hAnsi="Courier New"/>
                <w:sz w:val="16"/>
                <w:szCs w:val="16"/>
                <w:color w:val="auto"/>
              </w:rPr>
              <w:t>(IN THOUSANDS)</w:t>
            </w:r>
          </w:p>
        </w:tc>
        <w:tc>
          <w:tcPr>
            <w:tcW w:w="4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894"/>
        </w:trPr>
        <w:tc>
          <w:tcPr>
            <w:tcW w:w="6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AS OF</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9"/>
        </w:trPr>
        <w:tc>
          <w:tcPr>
            <w:tcW w:w="6560" w:type="dxa"/>
            <w:vAlign w:val="bottom"/>
          </w:tcPr>
          <w:p>
            <w:pPr>
              <w:spacing w:after="0"/>
              <w:rPr>
                <w:sz w:val="15"/>
                <w:szCs w:val="15"/>
                <w:color w:val="auto"/>
              </w:rPr>
            </w:pPr>
          </w:p>
        </w:tc>
        <w:tc>
          <w:tcPr>
            <w:tcW w:w="3940" w:type="dxa"/>
            <w:vAlign w:val="bottom"/>
            <w:gridSpan w:val="4"/>
          </w:tcPr>
          <w:p>
            <w:pPr>
              <w:ind w:left="320"/>
              <w:spacing w:after="0" w:line="179" w:lineRule="exact"/>
              <w:rPr>
                <w:sz w:val="20"/>
                <w:szCs w:val="20"/>
                <w:color w:val="auto"/>
              </w:rPr>
            </w:pPr>
            <w:r>
              <w:rPr>
                <w:rFonts w:ascii="Courier New" w:cs="Courier New" w:eastAsia="Courier New" w:hAnsi="Courier New"/>
                <w:sz w:val="16"/>
                <w:szCs w:val="16"/>
                <w:color w:val="auto"/>
                <w:w w:val="96"/>
              </w:rPr>
              <w:t>----------------- --- -----------------</w:t>
            </w:r>
          </w:p>
        </w:tc>
      </w:tr>
      <w:tr>
        <w:trPr>
          <w:trHeight w:val="179"/>
        </w:trPr>
        <w:tc>
          <w:tcPr>
            <w:tcW w:w="6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6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w w:val="99"/>
              </w:rPr>
              <w:t>SEPTEMBER 30,</w:t>
            </w:r>
          </w:p>
        </w:tc>
        <w:tc>
          <w:tcPr>
            <w:tcW w:w="280" w:type="dxa"/>
            <w:vAlign w:val="bottom"/>
          </w:tcPr>
          <w:p>
            <w:pPr>
              <w:spacing w:after="0"/>
              <w:rPr>
                <w:sz w:val="15"/>
                <w:szCs w:val="15"/>
                <w:color w:val="auto"/>
              </w:rPr>
            </w:pPr>
          </w:p>
        </w:tc>
        <w:tc>
          <w:tcPr>
            <w:tcW w:w="14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9"/>
              </w:rPr>
              <w:t>SEPTEMBER 30,</w:t>
            </w:r>
          </w:p>
        </w:tc>
      </w:tr>
      <w:tr>
        <w:trPr>
          <w:trHeight w:val="179"/>
        </w:trPr>
        <w:tc>
          <w:tcPr>
            <w:tcW w:w="6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6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2005</w:t>
            </w:r>
          </w:p>
        </w:tc>
        <w:tc>
          <w:tcPr>
            <w:tcW w:w="280" w:type="dxa"/>
            <w:vAlign w:val="bottom"/>
          </w:tcPr>
          <w:p>
            <w:pPr>
              <w:spacing w:after="0"/>
              <w:rPr>
                <w:sz w:val="15"/>
                <w:szCs w:val="15"/>
                <w:color w:val="auto"/>
              </w:rPr>
            </w:pPr>
          </w:p>
        </w:tc>
        <w:tc>
          <w:tcPr>
            <w:tcW w:w="144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2004</w:t>
            </w:r>
          </w:p>
        </w:tc>
      </w:tr>
      <w:tr>
        <w:trPr>
          <w:trHeight w:val="179"/>
        </w:trPr>
        <w:tc>
          <w:tcPr>
            <w:tcW w:w="6560" w:type="dxa"/>
            <w:vAlign w:val="bottom"/>
          </w:tcPr>
          <w:p>
            <w:pPr>
              <w:spacing w:after="0"/>
              <w:rPr>
                <w:sz w:val="15"/>
                <w:szCs w:val="15"/>
                <w:color w:val="auto"/>
              </w:rPr>
            </w:pPr>
          </w:p>
        </w:tc>
        <w:tc>
          <w:tcPr>
            <w:tcW w:w="222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358"/>
        </w:trPr>
        <w:tc>
          <w:tcPr>
            <w:tcW w:w="656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4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58"/>
        </w:trPr>
        <w:tc>
          <w:tcPr>
            <w:tcW w:w="656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4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58"/>
        </w:trPr>
        <w:tc>
          <w:tcPr>
            <w:tcW w:w="6560" w:type="dxa"/>
            <w:vAlign w:val="bottom"/>
          </w:tcPr>
          <w:p>
            <w:pPr>
              <w:spacing w:after="0"/>
              <w:rPr>
                <w:sz w:val="24"/>
                <w:szCs w:val="24"/>
                <w:color w:val="auto"/>
              </w:rPr>
            </w:pPr>
          </w:p>
        </w:tc>
        <w:tc>
          <w:tcPr>
            <w:tcW w:w="460" w:type="dxa"/>
            <w:vAlign w:val="bottom"/>
          </w:tcPr>
          <w:p>
            <w:pPr>
              <w:ind w:left="32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spacing w:after="0"/>
              <w:rPr>
                <w:sz w:val="24"/>
                <w:szCs w:val="24"/>
                <w:color w:val="auto"/>
              </w:rPr>
            </w:pPr>
          </w:p>
        </w:tc>
        <w:tc>
          <w:tcPr>
            <w:tcW w:w="2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spacing w:after="0"/>
              <w:rPr>
                <w:sz w:val="24"/>
                <w:szCs w:val="24"/>
                <w:color w:val="auto"/>
              </w:rPr>
            </w:pPr>
          </w:p>
        </w:tc>
      </w:tr>
      <w:tr>
        <w:trPr>
          <w:trHeight w:val="179"/>
        </w:trPr>
        <w:tc>
          <w:tcPr>
            <w:tcW w:w="656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cash equivalents and short-term interest-bearing investments</w:t>
            </w:r>
          </w:p>
        </w:tc>
        <w:tc>
          <w:tcPr>
            <w:tcW w:w="460" w:type="dxa"/>
            <w:vAlign w:val="bottom"/>
          </w:tcPr>
          <w:p>
            <w:pPr>
              <w:spacing w:after="0"/>
              <w:rPr>
                <w:sz w:val="15"/>
                <w:szCs w:val="15"/>
                <w:color w:val="auto"/>
              </w:rPr>
            </w:pPr>
          </w:p>
        </w:tc>
        <w:tc>
          <w:tcPr>
            <w:tcW w:w="17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1,145,563</w:t>
            </w:r>
          </w:p>
        </w:tc>
        <w:tc>
          <w:tcPr>
            <w:tcW w:w="280" w:type="dxa"/>
            <w:vAlign w:val="bottom"/>
          </w:tcPr>
          <w:p>
            <w:pPr>
              <w:spacing w:after="0"/>
              <w:rPr>
                <w:sz w:val="15"/>
                <w:szCs w:val="15"/>
                <w:color w:val="auto"/>
              </w:rPr>
            </w:pPr>
          </w:p>
        </w:tc>
        <w:tc>
          <w:tcPr>
            <w:tcW w:w="14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1,190,699</w:t>
            </w:r>
          </w:p>
        </w:tc>
      </w:tr>
      <w:tr>
        <w:trPr>
          <w:trHeight w:val="179"/>
        </w:trPr>
        <w:tc>
          <w:tcPr>
            <w:tcW w:w="6560" w:type="dxa"/>
            <w:vAlign w:val="bottom"/>
          </w:tcPr>
          <w:p>
            <w:pPr>
              <w:spacing w:after="0" w:line="179" w:lineRule="exact"/>
              <w:rPr>
                <w:sz w:val="20"/>
                <w:szCs w:val="20"/>
                <w:color w:val="auto"/>
              </w:rPr>
            </w:pPr>
            <w:r>
              <w:rPr>
                <w:rFonts w:ascii="Courier New" w:cs="Courier New" w:eastAsia="Courier New" w:hAnsi="Courier New"/>
                <w:sz w:val="16"/>
                <w:szCs w:val="16"/>
                <w:color w:val="auto"/>
              </w:rPr>
              <w:t>Accounts receivable, net, including unbilled of $28,994 and</w:t>
            </w:r>
          </w:p>
        </w:tc>
        <w:tc>
          <w:tcPr>
            <w:tcW w:w="4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9"/>
        </w:trPr>
        <w:tc>
          <w:tcPr>
            <w:tcW w:w="65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$24,696, respectively</w:t>
            </w:r>
          </w:p>
        </w:tc>
        <w:tc>
          <w:tcPr>
            <w:tcW w:w="460" w:type="dxa"/>
            <w:vAlign w:val="bottom"/>
          </w:tcPr>
          <w:p>
            <w:pPr>
              <w:spacing w:after="0"/>
              <w:rPr>
                <w:sz w:val="15"/>
                <w:szCs w:val="15"/>
                <w:color w:val="auto"/>
              </w:rPr>
            </w:pPr>
          </w:p>
        </w:tc>
        <w:tc>
          <w:tcPr>
            <w:tcW w:w="17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304,237</w:t>
            </w:r>
          </w:p>
        </w:tc>
        <w:tc>
          <w:tcPr>
            <w:tcW w:w="280" w:type="dxa"/>
            <w:vAlign w:val="bottom"/>
          </w:tcPr>
          <w:p>
            <w:pPr>
              <w:spacing w:after="0"/>
              <w:rPr>
                <w:sz w:val="15"/>
                <w:szCs w:val="15"/>
                <w:color w:val="auto"/>
              </w:rPr>
            </w:pPr>
          </w:p>
        </w:tc>
        <w:tc>
          <w:tcPr>
            <w:tcW w:w="14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254,779</w:t>
            </w:r>
          </w:p>
        </w:tc>
      </w:tr>
      <w:tr>
        <w:trPr>
          <w:trHeight w:val="179"/>
        </w:trPr>
        <w:tc>
          <w:tcPr>
            <w:tcW w:w="6560" w:type="dxa"/>
            <w:vAlign w:val="bottom"/>
          </w:tcPr>
          <w:p>
            <w:pPr>
              <w:spacing w:after="0" w:line="179" w:lineRule="exact"/>
              <w:rPr>
                <w:sz w:val="20"/>
                <w:szCs w:val="20"/>
                <w:color w:val="auto"/>
              </w:rPr>
            </w:pPr>
            <w:r>
              <w:rPr>
                <w:rFonts w:ascii="Courier New" w:cs="Courier New" w:eastAsia="Courier New" w:hAnsi="Courier New"/>
                <w:sz w:val="16"/>
                <w:szCs w:val="16"/>
                <w:color w:val="auto"/>
              </w:rPr>
              <w:t>Deferred income taxes and taxes receivable</w:t>
            </w:r>
          </w:p>
        </w:tc>
        <w:tc>
          <w:tcPr>
            <w:tcW w:w="460" w:type="dxa"/>
            <w:vAlign w:val="bottom"/>
          </w:tcPr>
          <w:p>
            <w:pPr>
              <w:spacing w:after="0"/>
              <w:rPr>
                <w:sz w:val="15"/>
                <w:szCs w:val="15"/>
                <w:color w:val="auto"/>
              </w:rPr>
            </w:pPr>
          </w:p>
        </w:tc>
        <w:tc>
          <w:tcPr>
            <w:tcW w:w="17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101,162</w:t>
            </w:r>
          </w:p>
        </w:tc>
        <w:tc>
          <w:tcPr>
            <w:tcW w:w="280" w:type="dxa"/>
            <w:vAlign w:val="bottom"/>
          </w:tcPr>
          <w:p>
            <w:pPr>
              <w:spacing w:after="0"/>
              <w:rPr>
                <w:sz w:val="15"/>
                <w:szCs w:val="15"/>
                <w:color w:val="auto"/>
              </w:rPr>
            </w:pPr>
          </w:p>
        </w:tc>
        <w:tc>
          <w:tcPr>
            <w:tcW w:w="14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62,284</w:t>
            </w:r>
          </w:p>
        </w:tc>
      </w:tr>
      <w:tr>
        <w:trPr>
          <w:trHeight w:val="179"/>
        </w:trPr>
        <w:tc>
          <w:tcPr>
            <w:tcW w:w="6560" w:type="dxa"/>
            <w:vAlign w:val="bottom"/>
          </w:tcPr>
          <w:p>
            <w:pPr>
              <w:spacing w:after="0" w:line="179" w:lineRule="exact"/>
              <w:rPr>
                <w:sz w:val="20"/>
                <w:szCs w:val="20"/>
                <w:color w:val="auto"/>
              </w:rPr>
            </w:pPr>
            <w:r>
              <w:rPr>
                <w:rFonts w:ascii="Courier New" w:cs="Courier New" w:eastAsia="Courier New" w:hAnsi="Courier New"/>
                <w:sz w:val="16"/>
                <w:szCs w:val="16"/>
                <w:color w:val="auto"/>
              </w:rPr>
              <w:t>Prepaid expenses and other current assets</w:t>
            </w:r>
          </w:p>
        </w:tc>
        <w:tc>
          <w:tcPr>
            <w:tcW w:w="460" w:type="dxa"/>
            <w:vAlign w:val="bottom"/>
          </w:tcPr>
          <w:p>
            <w:pPr>
              <w:spacing w:after="0"/>
              <w:rPr>
                <w:sz w:val="15"/>
                <w:szCs w:val="15"/>
                <w:color w:val="auto"/>
              </w:rPr>
            </w:pPr>
          </w:p>
        </w:tc>
        <w:tc>
          <w:tcPr>
            <w:tcW w:w="17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76,780</w:t>
            </w:r>
          </w:p>
        </w:tc>
        <w:tc>
          <w:tcPr>
            <w:tcW w:w="280" w:type="dxa"/>
            <w:vAlign w:val="bottom"/>
          </w:tcPr>
          <w:p>
            <w:pPr>
              <w:spacing w:after="0"/>
              <w:rPr>
                <w:sz w:val="15"/>
                <w:szCs w:val="15"/>
                <w:color w:val="auto"/>
              </w:rPr>
            </w:pPr>
          </w:p>
        </w:tc>
        <w:tc>
          <w:tcPr>
            <w:tcW w:w="14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80,229</w:t>
            </w:r>
          </w:p>
        </w:tc>
      </w:tr>
      <w:tr>
        <w:trPr>
          <w:trHeight w:val="179"/>
        </w:trPr>
        <w:tc>
          <w:tcPr>
            <w:tcW w:w="6560" w:type="dxa"/>
            <w:vAlign w:val="bottom"/>
          </w:tcPr>
          <w:p>
            <w:pPr>
              <w:spacing w:after="0"/>
              <w:rPr>
                <w:sz w:val="15"/>
                <w:szCs w:val="15"/>
                <w:color w:val="auto"/>
              </w:rPr>
            </w:pPr>
          </w:p>
        </w:tc>
        <w:tc>
          <w:tcPr>
            <w:tcW w:w="222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65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Total current assets</w:t>
            </w:r>
          </w:p>
        </w:tc>
        <w:tc>
          <w:tcPr>
            <w:tcW w:w="460" w:type="dxa"/>
            <w:vAlign w:val="bottom"/>
          </w:tcPr>
          <w:p>
            <w:pPr>
              <w:spacing w:after="0"/>
              <w:rPr>
                <w:sz w:val="15"/>
                <w:szCs w:val="15"/>
                <w:color w:val="auto"/>
              </w:rPr>
            </w:pPr>
          </w:p>
        </w:tc>
        <w:tc>
          <w:tcPr>
            <w:tcW w:w="17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1,627,742</w:t>
            </w:r>
          </w:p>
        </w:tc>
        <w:tc>
          <w:tcPr>
            <w:tcW w:w="280" w:type="dxa"/>
            <w:vAlign w:val="bottom"/>
          </w:tcPr>
          <w:p>
            <w:pPr>
              <w:spacing w:after="0"/>
              <w:rPr>
                <w:sz w:val="15"/>
                <w:szCs w:val="15"/>
                <w:color w:val="auto"/>
              </w:rPr>
            </w:pPr>
          </w:p>
        </w:tc>
        <w:tc>
          <w:tcPr>
            <w:tcW w:w="14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1,587,991</w:t>
            </w:r>
          </w:p>
        </w:tc>
      </w:tr>
      <w:tr>
        <w:trPr>
          <w:trHeight w:val="358"/>
        </w:trPr>
        <w:tc>
          <w:tcPr>
            <w:tcW w:w="6560" w:type="dxa"/>
            <w:vAlign w:val="bottom"/>
          </w:tcPr>
          <w:p>
            <w:pPr>
              <w:spacing w:after="0"/>
              <w:rPr>
                <w:sz w:val="20"/>
                <w:szCs w:val="20"/>
                <w:color w:val="auto"/>
              </w:rPr>
            </w:pPr>
            <w:r>
              <w:rPr>
                <w:rFonts w:ascii="Courier New" w:cs="Courier New" w:eastAsia="Courier New" w:hAnsi="Courier New"/>
                <w:sz w:val="16"/>
                <w:szCs w:val="16"/>
                <w:color w:val="auto"/>
              </w:rPr>
              <w:t>Equipment, vehicles and leasehold improvements, net</w:t>
            </w:r>
          </w:p>
        </w:tc>
        <w:tc>
          <w:tcPr>
            <w:tcW w:w="460" w:type="dxa"/>
            <w:vAlign w:val="bottom"/>
          </w:tcPr>
          <w:p>
            <w:pPr>
              <w:spacing w:after="0"/>
              <w:rPr>
                <w:sz w:val="24"/>
                <w:szCs w:val="24"/>
                <w:color w:val="auto"/>
              </w:rPr>
            </w:pPr>
          </w:p>
        </w:tc>
        <w:tc>
          <w:tcPr>
            <w:tcW w:w="17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181,812</w:t>
            </w:r>
          </w:p>
        </w:tc>
        <w:tc>
          <w:tcPr>
            <w:tcW w:w="280" w:type="dxa"/>
            <w:vAlign w:val="bottom"/>
          </w:tcPr>
          <w:p>
            <w:pPr>
              <w:spacing w:after="0"/>
              <w:rPr>
                <w:sz w:val="24"/>
                <w:szCs w:val="24"/>
                <w:color w:val="auto"/>
              </w:rPr>
            </w:pPr>
          </w:p>
        </w:tc>
        <w:tc>
          <w:tcPr>
            <w:tcW w:w="1440" w:type="dxa"/>
            <w:vAlign w:val="bottom"/>
          </w:tcPr>
          <w:p>
            <w:pPr>
              <w:jc w:val="right"/>
              <w:ind w:right="2"/>
              <w:spacing w:after="0"/>
              <w:rPr>
                <w:sz w:val="20"/>
                <w:szCs w:val="20"/>
                <w:color w:val="auto"/>
              </w:rPr>
            </w:pPr>
            <w:r>
              <w:rPr>
                <w:rFonts w:ascii="Courier New" w:cs="Courier New" w:eastAsia="Courier New" w:hAnsi="Courier New"/>
                <w:sz w:val="16"/>
                <w:szCs w:val="16"/>
                <w:color w:val="auto"/>
              </w:rPr>
              <w:t>181,121</w:t>
            </w:r>
          </w:p>
        </w:tc>
      </w:tr>
      <w:tr>
        <w:trPr>
          <w:trHeight w:val="179"/>
        </w:trPr>
        <w:tc>
          <w:tcPr>
            <w:tcW w:w="6560" w:type="dxa"/>
            <w:vAlign w:val="bottom"/>
          </w:tcPr>
          <w:p>
            <w:pPr>
              <w:spacing w:after="0" w:line="179" w:lineRule="exact"/>
              <w:rPr>
                <w:sz w:val="20"/>
                <w:szCs w:val="20"/>
                <w:color w:val="auto"/>
              </w:rPr>
            </w:pPr>
            <w:r>
              <w:rPr>
                <w:rFonts w:ascii="Courier New" w:cs="Courier New" w:eastAsia="Courier New" w:hAnsi="Courier New"/>
                <w:sz w:val="16"/>
                <w:szCs w:val="16"/>
                <w:color w:val="auto"/>
              </w:rPr>
              <w:t>Goodwill and other intangible assets, net</w:t>
            </w:r>
          </w:p>
        </w:tc>
        <w:tc>
          <w:tcPr>
            <w:tcW w:w="460" w:type="dxa"/>
            <w:vAlign w:val="bottom"/>
          </w:tcPr>
          <w:p>
            <w:pPr>
              <w:spacing w:after="0"/>
              <w:rPr>
                <w:sz w:val="15"/>
                <w:szCs w:val="15"/>
                <w:color w:val="auto"/>
              </w:rPr>
            </w:pPr>
          </w:p>
        </w:tc>
        <w:tc>
          <w:tcPr>
            <w:tcW w:w="17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1,129,258</w:t>
            </w:r>
          </w:p>
        </w:tc>
        <w:tc>
          <w:tcPr>
            <w:tcW w:w="280" w:type="dxa"/>
            <w:vAlign w:val="bottom"/>
          </w:tcPr>
          <w:p>
            <w:pPr>
              <w:spacing w:after="0"/>
              <w:rPr>
                <w:sz w:val="15"/>
                <w:szCs w:val="15"/>
                <w:color w:val="auto"/>
              </w:rPr>
            </w:pPr>
          </w:p>
        </w:tc>
        <w:tc>
          <w:tcPr>
            <w:tcW w:w="14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854,386</w:t>
            </w:r>
          </w:p>
        </w:tc>
      </w:tr>
      <w:tr>
        <w:trPr>
          <w:trHeight w:val="179"/>
        </w:trPr>
        <w:tc>
          <w:tcPr>
            <w:tcW w:w="656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noncurrent assets</w:t>
            </w:r>
          </w:p>
        </w:tc>
        <w:tc>
          <w:tcPr>
            <w:tcW w:w="460" w:type="dxa"/>
            <w:vAlign w:val="bottom"/>
          </w:tcPr>
          <w:p>
            <w:pPr>
              <w:spacing w:after="0"/>
              <w:rPr>
                <w:sz w:val="15"/>
                <w:szCs w:val="15"/>
                <w:color w:val="auto"/>
              </w:rPr>
            </w:pPr>
          </w:p>
        </w:tc>
        <w:tc>
          <w:tcPr>
            <w:tcW w:w="17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263,656</w:t>
            </w:r>
          </w:p>
        </w:tc>
        <w:tc>
          <w:tcPr>
            <w:tcW w:w="280" w:type="dxa"/>
            <w:vAlign w:val="bottom"/>
          </w:tcPr>
          <w:p>
            <w:pPr>
              <w:spacing w:after="0"/>
              <w:rPr>
                <w:sz w:val="15"/>
                <w:szCs w:val="15"/>
                <w:color w:val="auto"/>
              </w:rPr>
            </w:pPr>
          </w:p>
        </w:tc>
        <w:tc>
          <w:tcPr>
            <w:tcW w:w="14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240,386</w:t>
            </w:r>
          </w:p>
        </w:tc>
      </w:tr>
      <w:tr>
        <w:trPr>
          <w:trHeight w:val="179"/>
        </w:trPr>
        <w:tc>
          <w:tcPr>
            <w:tcW w:w="6560" w:type="dxa"/>
            <w:vAlign w:val="bottom"/>
          </w:tcPr>
          <w:p>
            <w:pPr>
              <w:spacing w:after="0"/>
              <w:rPr>
                <w:sz w:val="15"/>
                <w:szCs w:val="15"/>
                <w:color w:val="auto"/>
              </w:rPr>
            </w:pPr>
          </w:p>
        </w:tc>
        <w:tc>
          <w:tcPr>
            <w:tcW w:w="222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656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 assets</w:t>
            </w:r>
          </w:p>
        </w:tc>
        <w:tc>
          <w:tcPr>
            <w:tcW w:w="46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3,202,468</w:t>
            </w:r>
          </w:p>
        </w:tc>
        <w:tc>
          <w:tcPr>
            <w:tcW w:w="2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2,863,884</w:t>
            </w:r>
          </w:p>
        </w:tc>
      </w:tr>
      <w:tr>
        <w:trPr>
          <w:trHeight w:val="179"/>
        </w:trPr>
        <w:tc>
          <w:tcPr>
            <w:tcW w:w="6560" w:type="dxa"/>
            <w:vAlign w:val="bottom"/>
          </w:tcPr>
          <w:p>
            <w:pPr>
              <w:spacing w:after="0"/>
              <w:rPr>
                <w:sz w:val="15"/>
                <w:szCs w:val="15"/>
                <w:color w:val="auto"/>
              </w:rPr>
            </w:pPr>
          </w:p>
        </w:tc>
        <w:tc>
          <w:tcPr>
            <w:tcW w:w="222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358"/>
        </w:trPr>
        <w:tc>
          <w:tcPr>
            <w:tcW w:w="6560" w:type="dxa"/>
            <w:vAlign w:val="bottom"/>
          </w:tcPr>
          <w:p>
            <w:pPr>
              <w:spacing w:after="0"/>
              <w:rPr>
                <w:sz w:val="20"/>
                <w:szCs w:val="20"/>
                <w:color w:val="auto"/>
              </w:rPr>
            </w:pPr>
            <w:r>
              <w:rPr>
                <w:rFonts w:ascii="Courier New" w:cs="Courier New" w:eastAsia="Courier New" w:hAnsi="Courier New"/>
                <w:sz w:val="16"/>
                <w:szCs w:val="16"/>
                <w:color w:val="auto"/>
              </w:rPr>
              <w:t>LIABILITIES AND SHAREHOLDERS' EQUITY</w:t>
            </w:r>
          </w:p>
        </w:tc>
        <w:tc>
          <w:tcPr>
            <w:tcW w:w="4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58"/>
        </w:trPr>
        <w:tc>
          <w:tcPr>
            <w:tcW w:w="656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4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58"/>
        </w:trPr>
        <w:tc>
          <w:tcPr>
            <w:tcW w:w="6560" w:type="dxa"/>
            <w:vAlign w:val="bottom"/>
          </w:tcPr>
          <w:p>
            <w:pPr>
              <w:spacing w:after="0"/>
              <w:rPr>
                <w:sz w:val="24"/>
                <w:szCs w:val="24"/>
                <w:color w:val="auto"/>
              </w:rPr>
            </w:pPr>
          </w:p>
        </w:tc>
        <w:tc>
          <w:tcPr>
            <w:tcW w:w="460" w:type="dxa"/>
            <w:vAlign w:val="bottom"/>
          </w:tcPr>
          <w:p>
            <w:pPr>
              <w:ind w:left="32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spacing w:after="0"/>
              <w:rPr>
                <w:sz w:val="24"/>
                <w:szCs w:val="24"/>
                <w:color w:val="auto"/>
              </w:rPr>
            </w:pPr>
          </w:p>
        </w:tc>
        <w:tc>
          <w:tcPr>
            <w:tcW w:w="2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spacing w:after="0"/>
              <w:rPr>
                <w:sz w:val="24"/>
                <w:szCs w:val="24"/>
                <w:color w:val="auto"/>
              </w:rPr>
            </w:pPr>
          </w:p>
        </w:tc>
      </w:tr>
      <w:tr>
        <w:trPr>
          <w:trHeight w:val="179"/>
        </w:trPr>
        <w:tc>
          <w:tcPr>
            <w:tcW w:w="6560" w:type="dxa"/>
            <w:vAlign w:val="bottom"/>
          </w:tcPr>
          <w:p>
            <w:pPr>
              <w:spacing w:after="0" w:line="179" w:lineRule="exact"/>
              <w:rPr>
                <w:sz w:val="20"/>
                <w:szCs w:val="20"/>
                <w:color w:val="auto"/>
              </w:rPr>
            </w:pPr>
            <w:r>
              <w:rPr>
                <w:rFonts w:ascii="Courier New" w:cs="Courier New" w:eastAsia="Courier New" w:hAnsi="Courier New"/>
                <w:sz w:val="16"/>
                <w:szCs w:val="16"/>
                <w:color w:val="auto"/>
              </w:rPr>
              <w:t>Accounts payable and accruals</w:t>
            </w:r>
          </w:p>
        </w:tc>
        <w:tc>
          <w:tcPr>
            <w:tcW w:w="460" w:type="dxa"/>
            <w:vAlign w:val="bottom"/>
          </w:tcPr>
          <w:p>
            <w:pPr>
              <w:spacing w:after="0"/>
              <w:rPr>
                <w:sz w:val="15"/>
                <w:szCs w:val="15"/>
                <w:color w:val="auto"/>
              </w:rPr>
            </w:pPr>
          </w:p>
        </w:tc>
        <w:tc>
          <w:tcPr>
            <w:tcW w:w="17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462,276</w:t>
            </w:r>
          </w:p>
        </w:tc>
        <w:tc>
          <w:tcPr>
            <w:tcW w:w="280" w:type="dxa"/>
            <w:vAlign w:val="bottom"/>
          </w:tcPr>
          <w:p>
            <w:pPr>
              <w:spacing w:after="0"/>
              <w:rPr>
                <w:sz w:val="15"/>
                <w:szCs w:val="15"/>
                <w:color w:val="auto"/>
              </w:rPr>
            </w:pPr>
          </w:p>
        </w:tc>
        <w:tc>
          <w:tcPr>
            <w:tcW w:w="14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366,363</w:t>
            </w:r>
          </w:p>
        </w:tc>
      </w:tr>
      <w:tr>
        <w:trPr>
          <w:trHeight w:val="179"/>
        </w:trPr>
        <w:tc>
          <w:tcPr>
            <w:tcW w:w="6560" w:type="dxa"/>
            <w:vAlign w:val="bottom"/>
          </w:tcPr>
          <w:p>
            <w:pPr>
              <w:spacing w:after="0" w:line="179" w:lineRule="exact"/>
              <w:rPr>
                <w:sz w:val="20"/>
                <w:szCs w:val="20"/>
                <w:color w:val="auto"/>
              </w:rPr>
            </w:pPr>
            <w:r>
              <w:rPr>
                <w:rFonts w:ascii="Courier New" w:cs="Courier New" w:eastAsia="Courier New" w:hAnsi="Courier New"/>
                <w:sz w:val="16"/>
                <w:szCs w:val="16"/>
                <w:color w:val="auto"/>
              </w:rPr>
              <w:t>Short-term portion of capital lease obligations and other financing</w:t>
            </w:r>
          </w:p>
        </w:tc>
        <w:tc>
          <w:tcPr>
            <w:tcW w:w="4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9"/>
        </w:trPr>
        <w:tc>
          <w:tcPr>
            <w:tcW w:w="65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arrangements</w:t>
            </w:r>
          </w:p>
        </w:tc>
        <w:tc>
          <w:tcPr>
            <w:tcW w:w="460" w:type="dxa"/>
            <w:vAlign w:val="bottom"/>
          </w:tcPr>
          <w:p>
            <w:pPr>
              <w:spacing w:after="0"/>
              <w:rPr>
                <w:sz w:val="15"/>
                <w:szCs w:val="15"/>
                <w:color w:val="auto"/>
              </w:rPr>
            </w:pPr>
          </w:p>
        </w:tc>
        <w:tc>
          <w:tcPr>
            <w:tcW w:w="17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8,480</w:t>
            </w:r>
          </w:p>
        </w:tc>
        <w:tc>
          <w:tcPr>
            <w:tcW w:w="280" w:type="dxa"/>
            <w:vAlign w:val="bottom"/>
          </w:tcPr>
          <w:p>
            <w:pPr>
              <w:spacing w:after="0"/>
              <w:rPr>
                <w:sz w:val="15"/>
                <w:szCs w:val="15"/>
                <w:color w:val="auto"/>
              </w:rPr>
            </w:pPr>
          </w:p>
        </w:tc>
        <w:tc>
          <w:tcPr>
            <w:tcW w:w="14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21,310</w:t>
            </w:r>
          </w:p>
        </w:tc>
      </w:tr>
      <w:tr>
        <w:trPr>
          <w:trHeight w:val="179"/>
        </w:trPr>
        <w:tc>
          <w:tcPr>
            <w:tcW w:w="6560" w:type="dxa"/>
            <w:vAlign w:val="bottom"/>
          </w:tcPr>
          <w:p>
            <w:pPr>
              <w:spacing w:after="0" w:line="179" w:lineRule="exact"/>
              <w:rPr>
                <w:sz w:val="20"/>
                <w:szCs w:val="20"/>
                <w:color w:val="auto"/>
              </w:rPr>
            </w:pPr>
            <w:r>
              <w:rPr>
                <w:rFonts w:ascii="Courier New" w:cs="Courier New" w:eastAsia="Courier New" w:hAnsi="Courier New"/>
                <w:sz w:val="16"/>
                <w:szCs w:val="16"/>
                <w:color w:val="auto"/>
              </w:rPr>
              <w:t>Deferred revenue</w:t>
            </w:r>
          </w:p>
        </w:tc>
        <w:tc>
          <w:tcPr>
            <w:tcW w:w="460" w:type="dxa"/>
            <w:vAlign w:val="bottom"/>
          </w:tcPr>
          <w:p>
            <w:pPr>
              <w:spacing w:after="0"/>
              <w:rPr>
                <w:sz w:val="15"/>
                <w:szCs w:val="15"/>
                <w:color w:val="auto"/>
              </w:rPr>
            </w:pPr>
          </w:p>
        </w:tc>
        <w:tc>
          <w:tcPr>
            <w:tcW w:w="17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216,770</w:t>
            </w:r>
          </w:p>
        </w:tc>
        <w:tc>
          <w:tcPr>
            <w:tcW w:w="280" w:type="dxa"/>
            <w:vAlign w:val="bottom"/>
          </w:tcPr>
          <w:p>
            <w:pPr>
              <w:spacing w:after="0"/>
              <w:rPr>
                <w:sz w:val="15"/>
                <w:szCs w:val="15"/>
                <w:color w:val="auto"/>
              </w:rPr>
            </w:pPr>
          </w:p>
        </w:tc>
        <w:tc>
          <w:tcPr>
            <w:tcW w:w="14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223,122</w:t>
            </w:r>
          </w:p>
        </w:tc>
      </w:tr>
      <w:tr>
        <w:trPr>
          <w:trHeight w:val="179"/>
        </w:trPr>
        <w:tc>
          <w:tcPr>
            <w:tcW w:w="6560" w:type="dxa"/>
            <w:vAlign w:val="bottom"/>
          </w:tcPr>
          <w:p>
            <w:pPr>
              <w:spacing w:after="0" w:line="179" w:lineRule="exact"/>
              <w:rPr>
                <w:sz w:val="20"/>
                <w:szCs w:val="20"/>
                <w:color w:val="auto"/>
              </w:rPr>
            </w:pPr>
            <w:r>
              <w:rPr>
                <w:rFonts w:ascii="Courier New" w:cs="Courier New" w:eastAsia="Courier New" w:hAnsi="Courier New"/>
                <w:sz w:val="16"/>
                <w:szCs w:val="16"/>
                <w:color w:val="auto"/>
              </w:rPr>
              <w:t>Deferred income taxes and taxes payable</w:t>
            </w:r>
          </w:p>
        </w:tc>
        <w:tc>
          <w:tcPr>
            <w:tcW w:w="460" w:type="dxa"/>
            <w:vAlign w:val="bottom"/>
          </w:tcPr>
          <w:p>
            <w:pPr>
              <w:spacing w:after="0"/>
              <w:rPr>
                <w:sz w:val="15"/>
                <w:szCs w:val="15"/>
                <w:color w:val="auto"/>
              </w:rPr>
            </w:pPr>
          </w:p>
        </w:tc>
        <w:tc>
          <w:tcPr>
            <w:tcW w:w="17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171,377</w:t>
            </w:r>
          </w:p>
        </w:tc>
        <w:tc>
          <w:tcPr>
            <w:tcW w:w="280" w:type="dxa"/>
            <w:vAlign w:val="bottom"/>
          </w:tcPr>
          <w:p>
            <w:pPr>
              <w:spacing w:after="0"/>
              <w:rPr>
                <w:sz w:val="15"/>
                <w:szCs w:val="15"/>
                <w:color w:val="auto"/>
              </w:rPr>
            </w:pPr>
          </w:p>
        </w:tc>
        <w:tc>
          <w:tcPr>
            <w:tcW w:w="14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163,648</w:t>
            </w:r>
          </w:p>
        </w:tc>
      </w:tr>
      <w:tr>
        <w:trPr>
          <w:trHeight w:val="179"/>
        </w:trPr>
        <w:tc>
          <w:tcPr>
            <w:tcW w:w="6560" w:type="dxa"/>
            <w:vAlign w:val="bottom"/>
          </w:tcPr>
          <w:p>
            <w:pPr>
              <w:spacing w:after="0"/>
              <w:rPr>
                <w:sz w:val="15"/>
                <w:szCs w:val="15"/>
                <w:color w:val="auto"/>
              </w:rPr>
            </w:pPr>
          </w:p>
        </w:tc>
        <w:tc>
          <w:tcPr>
            <w:tcW w:w="222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65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rPr>
              <w:t>Total current liabilities</w:t>
            </w:r>
          </w:p>
        </w:tc>
        <w:tc>
          <w:tcPr>
            <w:tcW w:w="460" w:type="dxa"/>
            <w:vAlign w:val="bottom"/>
          </w:tcPr>
          <w:p>
            <w:pPr>
              <w:spacing w:after="0"/>
              <w:rPr>
                <w:sz w:val="15"/>
                <w:szCs w:val="15"/>
                <w:color w:val="auto"/>
              </w:rPr>
            </w:pPr>
          </w:p>
        </w:tc>
        <w:tc>
          <w:tcPr>
            <w:tcW w:w="17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858,903</w:t>
            </w:r>
          </w:p>
        </w:tc>
        <w:tc>
          <w:tcPr>
            <w:tcW w:w="280" w:type="dxa"/>
            <w:vAlign w:val="bottom"/>
          </w:tcPr>
          <w:p>
            <w:pPr>
              <w:spacing w:after="0"/>
              <w:rPr>
                <w:sz w:val="15"/>
                <w:szCs w:val="15"/>
                <w:color w:val="auto"/>
              </w:rPr>
            </w:pPr>
          </w:p>
        </w:tc>
        <w:tc>
          <w:tcPr>
            <w:tcW w:w="14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774,443</w:t>
            </w:r>
          </w:p>
        </w:tc>
      </w:tr>
      <w:tr>
        <w:trPr>
          <w:trHeight w:val="179"/>
        </w:trPr>
        <w:tc>
          <w:tcPr>
            <w:tcW w:w="6560" w:type="dxa"/>
            <w:vAlign w:val="bottom"/>
          </w:tcPr>
          <w:p>
            <w:pPr>
              <w:spacing w:after="0" w:line="179" w:lineRule="exact"/>
              <w:rPr>
                <w:sz w:val="20"/>
                <w:szCs w:val="20"/>
                <w:color w:val="auto"/>
              </w:rPr>
            </w:pPr>
            <w:r>
              <w:rPr>
                <w:rFonts w:ascii="Courier New" w:cs="Courier New" w:eastAsia="Courier New" w:hAnsi="Courier New"/>
                <w:sz w:val="16"/>
                <w:szCs w:val="16"/>
                <w:color w:val="auto"/>
              </w:rPr>
              <w:t>0.50% Convertible notes</w:t>
            </w:r>
          </w:p>
        </w:tc>
        <w:tc>
          <w:tcPr>
            <w:tcW w:w="460" w:type="dxa"/>
            <w:vAlign w:val="bottom"/>
          </w:tcPr>
          <w:p>
            <w:pPr>
              <w:spacing w:after="0"/>
              <w:rPr>
                <w:sz w:val="15"/>
                <w:szCs w:val="15"/>
                <w:color w:val="auto"/>
              </w:rPr>
            </w:pPr>
          </w:p>
        </w:tc>
        <w:tc>
          <w:tcPr>
            <w:tcW w:w="17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450,000</w:t>
            </w:r>
          </w:p>
        </w:tc>
        <w:tc>
          <w:tcPr>
            <w:tcW w:w="280" w:type="dxa"/>
            <w:vAlign w:val="bottom"/>
          </w:tcPr>
          <w:p>
            <w:pPr>
              <w:spacing w:after="0"/>
              <w:rPr>
                <w:sz w:val="15"/>
                <w:szCs w:val="15"/>
                <w:color w:val="auto"/>
              </w:rPr>
            </w:pPr>
          </w:p>
        </w:tc>
        <w:tc>
          <w:tcPr>
            <w:tcW w:w="14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450,000</w:t>
            </w:r>
          </w:p>
        </w:tc>
      </w:tr>
      <w:tr>
        <w:trPr>
          <w:trHeight w:val="179"/>
        </w:trPr>
        <w:tc>
          <w:tcPr>
            <w:tcW w:w="6560" w:type="dxa"/>
            <w:vAlign w:val="bottom"/>
          </w:tcPr>
          <w:p>
            <w:pPr>
              <w:spacing w:after="0" w:line="179" w:lineRule="exact"/>
              <w:rPr>
                <w:sz w:val="20"/>
                <w:szCs w:val="20"/>
                <w:color w:val="auto"/>
              </w:rPr>
            </w:pPr>
            <w:r>
              <w:rPr>
                <w:rFonts w:ascii="Courier New" w:cs="Courier New" w:eastAsia="Courier New" w:hAnsi="Courier New"/>
                <w:sz w:val="16"/>
                <w:szCs w:val="16"/>
                <w:color w:val="auto"/>
              </w:rPr>
              <w:t>Noncurrent liabilities and other</w:t>
            </w:r>
          </w:p>
        </w:tc>
        <w:tc>
          <w:tcPr>
            <w:tcW w:w="460" w:type="dxa"/>
            <w:vAlign w:val="bottom"/>
          </w:tcPr>
          <w:p>
            <w:pPr>
              <w:spacing w:after="0"/>
              <w:rPr>
                <w:sz w:val="15"/>
                <w:szCs w:val="15"/>
                <w:color w:val="auto"/>
              </w:rPr>
            </w:pPr>
          </w:p>
        </w:tc>
        <w:tc>
          <w:tcPr>
            <w:tcW w:w="17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237,113</w:t>
            </w:r>
          </w:p>
        </w:tc>
        <w:tc>
          <w:tcPr>
            <w:tcW w:w="280" w:type="dxa"/>
            <w:vAlign w:val="bottom"/>
          </w:tcPr>
          <w:p>
            <w:pPr>
              <w:spacing w:after="0"/>
              <w:rPr>
                <w:sz w:val="15"/>
                <w:szCs w:val="15"/>
                <w:color w:val="auto"/>
              </w:rPr>
            </w:pPr>
          </w:p>
        </w:tc>
        <w:tc>
          <w:tcPr>
            <w:tcW w:w="14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195,251</w:t>
            </w:r>
          </w:p>
        </w:tc>
      </w:tr>
      <w:tr>
        <w:trPr>
          <w:trHeight w:val="179"/>
        </w:trPr>
        <w:tc>
          <w:tcPr>
            <w:tcW w:w="6560" w:type="dxa"/>
            <w:vAlign w:val="bottom"/>
          </w:tcPr>
          <w:p>
            <w:pPr>
              <w:spacing w:after="0" w:line="179" w:lineRule="exact"/>
              <w:rPr>
                <w:sz w:val="20"/>
                <w:szCs w:val="20"/>
                <w:color w:val="auto"/>
              </w:rPr>
            </w:pPr>
            <w:r>
              <w:rPr>
                <w:rFonts w:ascii="Courier New" w:cs="Courier New" w:eastAsia="Courier New" w:hAnsi="Courier New"/>
                <w:sz w:val="16"/>
                <w:szCs w:val="16"/>
                <w:color w:val="auto"/>
              </w:rPr>
              <w:t>Shareholders' equity</w:t>
            </w:r>
          </w:p>
        </w:tc>
        <w:tc>
          <w:tcPr>
            <w:tcW w:w="460" w:type="dxa"/>
            <w:vAlign w:val="bottom"/>
          </w:tcPr>
          <w:p>
            <w:pPr>
              <w:spacing w:after="0"/>
              <w:rPr>
                <w:sz w:val="15"/>
                <w:szCs w:val="15"/>
                <w:color w:val="auto"/>
              </w:rPr>
            </w:pPr>
          </w:p>
        </w:tc>
        <w:tc>
          <w:tcPr>
            <w:tcW w:w="17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1,656,452</w:t>
            </w:r>
          </w:p>
        </w:tc>
        <w:tc>
          <w:tcPr>
            <w:tcW w:w="280" w:type="dxa"/>
            <w:vAlign w:val="bottom"/>
          </w:tcPr>
          <w:p>
            <w:pPr>
              <w:spacing w:after="0"/>
              <w:rPr>
                <w:sz w:val="15"/>
                <w:szCs w:val="15"/>
                <w:color w:val="auto"/>
              </w:rPr>
            </w:pPr>
          </w:p>
        </w:tc>
        <w:tc>
          <w:tcPr>
            <w:tcW w:w="14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1,444,190</w:t>
            </w:r>
          </w:p>
        </w:tc>
      </w:tr>
      <w:tr>
        <w:trPr>
          <w:trHeight w:val="179"/>
        </w:trPr>
        <w:tc>
          <w:tcPr>
            <w:tcW w:w="6560" w:type="dxa"/>
            <w:vAlign w:val="bottom"/>
          </w:tcPr>
          <w:p>
            <w:pPr>
              <w:spacing w:after="0"/>
              <w:rPr>
                <w:sz w:val="15"/>
                <w:szCs w:val="15"/>
                <w:color w:val="auto"/>
              </w:rPr>
            </w:pPr>
          </w:p>
        </w:tc>
        <w:tc>
          <w:tcPr>
            <w:tcW w:w="222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656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 liabilities and shareholders' equity</w:t>
            </w:r>
          </w:p>
        </w:tc>
        <w:tc>
          <w:tcPr>
            <w:tcW w:w="46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3,202,468</w:t>
            </w:r>
          </w:p>
        </w:tc>
        <w:tc>
          <w:tcPr>
            <w:tcW w:w="2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2,863,884</w:t>
            </w:r>
          </w:p>
        </w:tc>
      </w:tr>
      <w:tr>
        <w:trPr>
          <w:trHeight w:val="179"/>
        </w:trPr>
        <w:tc>
          <w:tcPr>
            <w:tcW w:w="6560" w:type="dxa"/>
            <w:vAlign w:val="bottom"/>
          </w:tcPr>
          <w:p>
            <w:pPr>
              <w:spacing w:after="0"/>
              <w:rPr>
                <w:sz w:val="15"/>
                <w:szCs w:val="15"/>
                <w:color w:val="auto"/>
              </w:rPr>
            </w:pPr>
          </w:p>
        </w:tc>
        <w:tc>
          <w:tcPr>
            <w:tcW w:w="222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rPr>
              <w:t>=================</w:t>
            </w:r>
          </w:p>
        </w:tc>
        <w:tc>
          <w:tcPr>
            <w:tcW w:w="172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5"/>
              </w:rPr>
              <w:t>=================</w:t>
            </w:r>
          </w:p>
        </w:tc>
      </w:tr>
    </w:tbl>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 # #</w:t>
      </w:r>
    </w:p>
    <w:sectPr>
      <w:pgSz w:w="11900" w:h="16838" w:orient="portrait"/>
      <w:cols w:equalWidth="0" w:num="1">
        <w:col w:w="10500"/>
      </w:cols>
      <w:pgMar w:left="240" w:top="469" w:right="1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2019-12-14T21:12:53Z</dcterms:created>
  <dcterms:modified xsi:type="dcterms:W3CDTF">2019-12-14T21:12:53Z</dcterms:modified>
</cp:coreProperties>
</file>