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-29210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260"/>
          </w:cols>
          <w:pgMar w:left="240" w:top="42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5040"/>
              <w:spacing w:after="0"/>
              <w:rPr>
                <w:sz w:val="20"/>
                <w:szCs w:val="20"/>
                <w:color w:val="auto"/>
              </w:rPr>
            </w:pPr>
            <w:r>
              <w:rPr>
                <w:rFonts w:ascii="Arial" w:cs="Arial" w:eastAsia="Arial" w:hAnsi="Arial"/>
                <w:sz w:val="18"/>
                <w:szCs w:val="18"/>
                <w:color w:val="auto"/>
              </w:rPr>
              <w:t>13G</w:t>
            </w:r>
          </w:p>
        </w:tc>
      </w:tr>
      <w:tr>
        <w:trPr>
          <w:trHeight w:val="297"/>
        </w:trPr>
        <w:tc>
          <w:tcPr>
            <w:tcW w:w="11440" w:type="dxa"/>
            <w:vAlign w:val="bottom"/>
            <w:gridSpan w:val="3"/>
          </w:tcPr>
          <w:p>
            <w:pPr>
              <w:spacing w:after="0"/>
              <w:rPr>
                <w:sz w:val="20"/>
                <w:szCs w:val="20"/>
                <w:color w:val="auto"/>
              </w:rPr>
            </w:pPr>
            <w:r>
              <w:rPr>
                <w:rFonts w:ascii="Arial" w:cs="Arial" w:eastAsia="Arial" w:hAnsi="Arial"/>
                <w:sz w:val="18"/>
                <w:szCs w:val="18"/>
                <w:color w:val="auto"/>
              </w:rPr>
              <w:t>CUSIP NO. G02602103</w:t>
            </w:r>
          </w:p>
        </w:tc>
      </w:tr>
      <w:tr>
        <w:trPr>
          <w:trHeight w:val="83"/>
        </w:trPr>
        <w:tc>
          <w:tcPr>
            <w:tcW w:w="520" w:type="dxa"/>
            <w:vAlign w:val="bottom"/>
            <w:gridSpan w:val="2"/>
          </w:tcPr>
          <w:p>
            <w:pPr>
              <w:spacing w:after="0"/>
              <w:rPr>
                <w:sz w:val="7"/>
                <w:szCs w:val="7"/>
                <w:color w:val="auto"/>
              </w:rPr>
            </w:pPr>
          </w:p>
        </w:tc>
        <w:tc>
          <w:tcPr>
            <w:tcW w:w="1092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109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20" w:type="dxa"/>
            <w:vAlign w:val="bottom"/>
          </w:tcPr>
          <w:p>
            <w:pPr>
              <w:ind w:left="220"/>
              <w:spacing w:after="0"/>
              <w:rPr>
                <w:sz w:val="20"/>
                <w:szCs w:val="20"/>
                <w:color w:val="auto"/>
              </w:rPr>
            </w:pPr>
            <w:r>
              <w:rPr>
                <w:rFonts w:ascii="Arial" w:cs="Arial" w:eastAsia="Arial" w:hAnsi="Arial"/>
                <w:sz w:val="18"/>
                <w:szCs w:val="18"/>
                <w:color w:val="auto"/>
              </w:rPr>
              <w:t>S.S. OR I.R.S. IDENTIFICATION NO. OF ABOVE PERSON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37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377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87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87833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Dodge &amp; Cox  94-1441976</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California—U.S.A.</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15,430,269</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3"/>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22"/>
                <w:szCs w:val="22"/>
                <w:color w:val="auto"/>
              </w:rPr>
              <w:t>15,997,769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15,997,769</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9.9%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Pr>
          <w:p>
            <w:pPr>
              <w:ind w:left="3340"/>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Name of Issuer:</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auto"/>
              </w:rPr>
              <w:t>Amdocs Limited</w:t>
            </w: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1(b)</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Address of Issuer’s Principal Executive Offices:</w:t>
            </w:r>
          </w:p>
        </w:tc>
      </w:tr>
      <w:tr>
        <w:trPr>
          <w:trHeight w:val="309"/>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1390 Timberlake Manor Parkway</w:t>
            </w:r>
          </w:p>
        </w:tc>
        <w:tc>
          <w:tcPr>
            <w:tcW w:w="42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auto"/>
              </w:rPr>
              <w:t>Chesterfield, MO 63017</w:t>
            </w: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2(a)</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Name of Person Filing:</w:t>
            </w:r>
          </w:p>
        </w:tc>
      </w:tr>
      <w:tr>
        <w:trPr>
          <w:trHeight w:val="31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Dodge &amp; Cox</w:t>
            </w:r>
          </w:p>
        </w:tc>
        <w:tc>
          <w:tcPr>
            <w:tcW w:w="2160" w:type="dxa"/>
            <w:vAlign w:val="bottom"/>
            <w:gridSpan w:val="3"/>
          </w:tcPr>
          <w:p>
            <w:pPr>
              <w:spacing w:after="0"/>
              <w:rPr>
                <w:sz w:val="24"/>
                <w:szCs w:val="24"/>
                <w:color w:val="auto"/>
              </w:rPr>
            </w:pP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2(b)</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09"/>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555 California Street, 40th Floor</w:t>
            </w:r>
          </w:p>
        </w:tc>
      </w:tr>
      <w:tr>
        <w:trPr>
          <w:trHeight w:val="222"/>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auto"/>
              </w:rPr>
              <w:t>San Francisco, CA 94104</w:t>
            </w: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2(c)</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Citizenship:</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31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auto"/>
              </w:rPr>
              <w:t>California—U.S.A.</w:t>
            </w: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2(d)</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Title of Class of Securities:</w:t>
            </w:r>
          </w:p>
        </w:tc>
      </w:tr>
      <w:tr>
        <w:trPr>
          <w:trHeight w:val="31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Ordinary Shares</w:t>
            </w:r>
          </w:p>
        </w:tc>
        <w:tc>
          <w:tcPr>
            <w:tcW w:w="1900" w:type="dxa"/>
            <w:vAlign w:val="bottom"/>
            <w:gridSpan w:val="2"/>
          </w:tcPr>
          <w:p>
            <w:pPr>
              <w:spacing w:after="0"/>
              <w:rPr>
                <w:sz w:val="24"/>
                <w:szCs w:val="24"/>
                <w:color w:val="auto"/>
              </w:rPr>
            </w:pPr>
          </w:p>
        </w:tc>
      </w:tr>
      <w:tr>
        <w:trPr>
          <w:trHeight w:val="461"/>
        </w:trPr>
        <w:tc>
          <w:tcPr>
            <w:tcW w:w="860" w:type="dxa"/>
            <w:vAlign w:val="bottom"/>
          </w:tcPr>
          <w:p>
            <w:pPr>
              <w:spacing w:after="0"/>
              <w:rPr>
                <w:sz w:val="20"/>
                <w:szCs w:val="20"/>
                <w:color w:val="auto"/>
              </w:rPr>
            </w:pPr>
            <w:r>
              <w:rPr>
                <w:rFonts w:ascii="Arial" w:cs="Arial" w:eastAsia="Arial" w:hAnsi="Arial"/>
                <w:sz w:val="18"/>
                <w:szCs w:val="18"/>
                <w:color w:val="auto"/>
              </w:rPr>
              <w:t>Item 2(e)</w:t>
            </w:r>
          </w:p>
        </w:tc>
        <w:tc>
          <w:tcPr>
            <w:tcW w:w="3980" w:type="dxa"/>
            <w:vAlign w:val="bottom"/>
            <w:gridSpan w:val="8"/>
          </w:tcPr>
          <w:p>
            <w:pPr>
              <w:ind w:left="180"/>
              <w:spacing w:after="0"/>
              <w:rPr>
                <w:sz w:val="20"/>
                <w:szCs w:val="20"/>
                <w:color w:val="auto"/>
              </w:rPr>
            </w:pPr>
            <w:r>
              <w:rPr>
                <w:rFonts w:ascii="Arial" w:cs="Arial" w:eastAsia="Arial" w:hAnsi="Arial"/>
                <w:sz w:val="18"/>
                <w:szCs w:val="18"/>
                <w:color w:val="auto"/>
              </w:rPr>
              <w:t>CUSIP Number:</w:t>
            </w:r>
          </w:p>
        </w:tc>
      </w:tr>
      <w:tr>
        <w:trPr>
          <w:trHeight w:val="31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G02602103</w:t>
            </w:r>
          </w:p>
        </w:tc>
        <w:tc>
          <w:tcPr>
            <w:tcW w:w="2640" w:type="dxa"/>
            <w:vAlign w:val="bottom"/>
            <w:gridSpan w:val="4"/>
          </w:tcPr>
          <w:p>
            <w:pPr>
              <w:spacing w:after="0"/>
              <w:rPr>
                <w:sz w:val="24"/>
                <w:szCs w:val="24"/>
                <w:color w:val="auto"/>
              </w:rPr>
            </w:pPr>
          </w:p>
        </w:tc>
      </w:tr>
    </w:tbl>
    <w:p>
      <w:pPr>
        <w:spacing w:after="0" w:line="2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the Statement is being filed pursuant to Rule 13d-1(b), or 13d-2(b), check whether the person filing is a:</w:t>
      </w:r>
    </w:p>
    <w:p>
      <w:pPr>
        <w:spacing w:after="0" w:line="58" w:lineRule="exact"/>
        <w:rPr>
          <w:sz w:val="20"/>
          <w:szCs w:val="20"/>
          <w:color w:val="auto"/>
        </w:rPr>
      </w:pPr>
    </w:p>
    <w:p>
      <w:pPr>
        <w:ind w:left="1480" w:hanging="479"/>
        <w:spacing w:after="0" w:line="184" w:lineRule="exact"/>
        <w:tabs>
          <w:tab w:leader="none" w:pos="148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Advisor registered under section 203 of the Investment Advisors Act of 1940</w:t>
      </w:r>
    </w:p>
    <w:p>
      <w:pPr>
        <w:spacing w:after="0" w:line="3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90" w:lineRule="exact"/>
        <w:rPr>
          <w:sz w:val="20"/>
          <w:szCs w:val="20"/>
          <w:color w:val="auto"/>
        </w:rPr>
      </w:pPr>
    </w:p>
    <w:p>
      <w:pPr>
        <w:ind w:left="1500" w:right="6659" w:hanging="499"/>
        <w:spacing w:after="0" w:line="344"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 xml:space="preserve">Amount Beneficially Owned: </w:t>
      </w:r>
      <w:r>
        <w:rPr>
          <w:rFonts w:ascii="Arial" w:cs="Arial" w:eastAsia="Arial" w:hAnsi="Arial"/>
          <w:sz w:val="18"/>
          <w:szCs w:val="18"/>
          <w:color w:val="auto"/>
        </w:rPr>
        <w:t>15,997,769</w:t>
      </w:r>
    </w:p>
    <w:p>
      <w:pPr>
        <w:ind w:left="1500" w:right="7539" w:hanging="499"/>
        <w:spacing w:after="0" w:line="362"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 xml:space="preserve">Percent of Class: </w:t>
      </w:r>
      <w:r>
        <w:rPr>
          <w:rFonts w:ascii="Arial" w:cs="Arial" w:eastAsia="Arial" w:hAnsi="Arial"/>
          <w:sz w:val="18"/>
          <w:szCs w:val="18"/>
          <w:color w:val="auto"/>
        </w:rPr>
        <w:t>9.9%</w:t>
      </w:r>
    </w:p>
    <w:p>
      <w:pPr>
        <w:spacing w:after="0" w:line="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57" w:right="1440" w:bottom="1440" w:gutter="0" w:footer="0" w:header="0"/>
        </w:sectPr>
      </w:pPr>
    </w:p>
    <w:bookmarkStart w:id="3" w:name="page4"/>
    <w:bookmarkEnd w:id="3"/>
    <w:p>
      <w:pPr>
        <w:ind w:left="1480" w:hanging="479"/>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p>
    <w:p>
      <w:pPr>
        <w:spacing w:after="0" w:line="90" w:lineRule="exact"/>
        <w:rPr>
          <w:sz w:val="20"/>
          <w:szCs w:val="20"/>
          <w:color w:val="auto"/>
        </w:rPr>
      </w:pPr>
    </w:p>
    <w:p>
      <w:pPr>
        <w:ind w:left="1480" w:hanging="479"/>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15,430,269</w:t>
      </w:r>
    </w:p>
    <w:p>
      <w:pPr>
        <w:spacing w:after="0" w:line="90" w:lineRule="exact"/>
        <w:rPr>
          <w:rFonts w:ascii="Arial" w:cs="Arial" w:eastAsia="Arial" w:hAnsi="Arial"/>
          <w:sz w:val="18"/>
          <w:szCs w:val="18"/>
          <w:color w:val="auto"/>
        </w:rPr>
      </w:pPr>
    </w:p>
    <w:p>
      <w:pPr>
        <w:ind w:left="1480" w:hanging="479"/>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90" w:lineRule="exact"/>
        <w:rPr>
          <w:rFonts w:ascii="Arial" w:cs="Arial" w:eastAsia="Arial" w:hAnsi="Arial"/>
          <w:sz w:val="18"/>
          <w:szCs w:val="18"/>
          <w:color w:val="auto"/>
        </w:rPr>
      </w:pPr>
    </w:p>
    <w:p>
      <w:pPr>
        <w:ind w:left="1480" w:hanging="479"/>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15,997,769</w:t>
      </w:r>
    </w:p>
    <w:p>
      <w:pPr>
        <w:spacing w:after="0" w:line="90" w:lineRule="exact"/>
        <w:rPr>
          <w:rFonts w:ascii="Arial" w:cs="Arial" w:eastAsia="Arial" w:hAnsi="Arial"/>
          <w:sz w:val="18"/>
          <w:szCs w:val="18"/>
          <w:color w:val="auto"/>
        </w:rPr>
      </w:pPr>
    </w:p>
    <w:p>
      <w:pPr>
        <w:ind w:left="1480" w:hanging="479"/>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rPr>
              <w:t>Ownership of Five Percent or Less of a Class:</w:t>
            </w:r>
          </w:p>
        </w:tc>
      </w:tr>
      <w:tr>
        <w:trPr>
          <w:trHeight w:val="31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7080" w:type="dxa"/>
            <w:vAlign w:val="bottom"/>
            <w:gridSpan w:val="4"/>
          </w:tcPr>
          <w:p>
            <w:pPr>
              <w:spacing w:after="0"/>
              <w:rPr>
                <w:sz w:val="24"/>
                <w:szCs w:val="24"/>
                <w:color w:val="auto"/>
              </w:rPr>
            </w:pP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9"/>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auto"/>
                <w:w w:val="88"/>
              </w:rPr>
              <w:t>The clients of Dodge &amp; Cox, including investment companies registered under the Investment Company Act of 1940 and other managed accounts,</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auto"/>
              </w:rPr>
              <w:t>have the right to receive or power to direct the receipt of dividends from, and the proceeds from the sale of, Amdocs Limited.</w:t>
            </w: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Item 7</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w w:val="98"/>
              </w:rPr>
              <w:t>Identification and Classification of the Subsidiary Which Acquired the Security Being Reported on By the Parent Holding Company:</w:t>
            </w:r>
          </w:p>
        </w:tc>
      </w:tr>
      <w:tr>
        <w:trPr>
          <w:trHeight w:val="31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24"/>
                <w:szCs w:val="24"/>
                <w:color w:val="auto"/>
              </w:rPr>
            </w:pP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Item 8</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31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6160" w:type="dxa"/>
            <w:vAlign w:val="bottom"/>
            <w:gridSpan w:val="3"/>
          </w:tcPr>
          <w:p>
            <w:pPr>
              <w:spacing w:after="0"/>
              <w:rPr>
                <w:sz w:val="24"/>
                <w:szCs w:val="24"/>
                <w:color w:val="auto"/>
              </w:rPr>
            </w:pP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Item 9</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rPr>
              <w:t>Notice of Dissolution of a Group:</w:t>
            </w:r>
          </w:p>
        </w:tc>
      </w:tr>
      <w:tr>
        <w:trPr>
          <w:trHeight w:val="31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7940" w:type="dxa"/>
            <w:vAlign w:val="bottom"/>
            <w:gridSpan w:val="5"/>
          </w:tcPr>
          <w:p>
            <w:pPr>
              <w:spacing w:after="0"/>
              <w:rPr>
                <w:sz w:val="24"/>
                <w:szCs w:val="24"/>
                <w:color w:val="auto"/>
              </w:rPr>
            </w:pP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Item 10</w:t>
            </w:r>
          </w:p>
        </w:tc>
        <w:tc>
          <w:tcPr>
            <w:tcW w:w="10540" w:type="dxa"/>
            <w:vAlign w:val="bottom"/>
            <w:gridSpan w:val="8"/>
          </w:tcPr>
          <w:p>
            <w:pPr>
              <w:ind w:left="240"/>
              <w:spacing w:after="0"/>
              <w:rPr>
                <w:sz w:val="20"/>
                <w:szCs w:val="20"/>
                <w:color w:val="auto"/>
              </w:rPr>
            </w:pPr>
            <w:r>
              <w:rPr>
                <w:rFonts w:ascii="Arial" w:cs="Arial" w:eastAsia="Arial" w:hAnsi="Arial"/>
                <w:sz w:val="18"/>
                <w:szCs w:val="18"/>
                <w:color w:val="auto"/>
              </w:rPr>
              <w:t>Certification:</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360" w:type="dxa"/>
            <w:vAlign w:val="bottom"/>
            <w:gridSpan w:val="6"/>
          </w:tcPr>
          <w:p>
            <w:pPr>
              <w:spacing w:after="0" w:line="20" w:lineRule="exact"/>
              <w:rPr>
                <w:sz w:val="1"/>
                <w:szCs w:val="1"/>
                <w:color w:val="auto"/>
              </w:rPr>
            </w:pPr>
          </w:p>
        </w:tc>
      </w:tr>
      <w:tr>
        <w:trPr>
          <w:trHeight w:val="309"/>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in the ordinary course of</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auto"/>
                <w:w w:val="88"/>
              </w:rPr>
              <w:t>business and were not acquired for the purpose of and do not have the effect of changing or influencing the control of the issuer of such securities</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auto"/>
              </w:rPr>
              <w:t>and were not acquired in connection with or as a participant in any transaction having such purpose or effect.</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February 13, 2013</w:t>
      </w:r>
      <w:r>
        <w:rPr>
          <w:sz w:val="20"/>
          <w:szCs w:val="20"/>
          <w:color w:val="auto"/>
        </w:rPr>
        <w:tab/>
      </w:r>
      <w:r>
        <w:rPr>
          <w:rFonts w:ascii="Arial" w:cs="Arial" w:eastAsia="Arial" w:hAnsi="Arial"/>
          <w:sz w:val="16"/>
          <w:szCs w:val="16"/>
          <w:color w:val="auto"/>
        </w:rPr>
        <w:t>DODGE &amp; COX</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M. MISTELE</w:t>
            </w:r>
          </w:p>
        </w:tc>
      </w:tr>
      <w:tr>
        <w:trPr>
          <w:trHeight w:val="203"/>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Thomas M. Mistele</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COO &amp; Senior Counsel</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2019-12-06T20:37:38Z</dcterms:created>
  <dcterms:modified xsi:type="dcterms:W3CDTF">2019-12-06T20:37:38Z</dcterms:modified>
</cp:coreProperties>
</file>