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PURSUANT TO RULE 13A-16 OR 15D-16 OF</w:t>
      </w:r>
    </w:p>
    <w:p>
      <w:pPr>
        <w:jc w:val="center"/>
        <w:ind w:right="1659"/>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September, 1999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Tower Hill House Le Bordage GY1 3QT</w:t>
      </w:r>
    </w:p>
    <w:p>
      <w:pPr>
        <w:spacing w:after="0" w:line="3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St. Peter Port, Island of Guernsey, Channel Islands</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Amdocs, Inc.</w:t>
      </w:r>
    </w:p>
    <w:p>
      <w:pPr>
        <w:spacing w:after="0" w:line="201"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1390 Timberlake Manor Parkway, Chesterfield, Missouri 63017</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1" w:lineRule="exact"/>
        <w:rPr>
          <w:sz w:val="24"/>
          <w:szCs w:val="24"/>
          <w:color w:val="auto"/>
        </w:rPr>
      </w:pPr>
    </w:p>
    <w:p>
      <w:pPr>
        <w:jc w:val="center"/>
        <w:ind w:right="1779"/>
        <w:spacing w:after="0" w:line="347"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of Form 20-F or Form 40-F.)</w:t>
      </w:r>
    </w:p>
    <w:p>
      <w:pPr>
        <w:spacing w:after="0" w:line="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FORM 20-F X FORM 40-F</w:t>
      </w:r>
    </w:p>
    <w:p>
      <w:pPr>
        <w:spacing w:after="0" w:line="201" w:lineRule="exact"/>
        <w:rPr>
          <w:sz w:val="24"/>
          <w:szCs w:val="24"/>
          <w:color w:val="auto"/>
        </w:rPr>
      </w:pPr>
    </w:p>
    <w:p>
      <w:pPr>
        <w:ind w:right="2199"/>
        <w:spacing w:after="0" w:line="274" w:lineRule="auto"/>
        <w:rPr>
          <w:sz w:val="20"/>
          <w:szCs w:val="20"/>
          <w:color w:val="auto"/>
        </w:rPr>
      </w:pPr>
      <w:r>
        <w:rPr>
          <w:rFonts w:ascii="Courier New" w:cs="Courier New" w:eastAsia="Courier New" w:hAnsi="Courier New"/>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8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YES NO X</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AMDOCS LIMITED</w:t>
      </w:r>
    </w:p>
    <w:p>
      <w:pPr>
        <w:spacing w:after="0" w:line="169"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REPORT OF FOREIGN PRIVATE ISSUER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FOR THE MONTH OF SEPTEMBER, 1999</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AGREEMENT TO ACQUIRE INTERNATIONAL TELECOMMUNICATION DATA SYSTEMS, INC.</w:t>
      </w:r>
    </w:p>
    <w:p>
      <w:pPr>
        <w:spacing w:after="0" w:line="201" w:lineRule="exact"/>
        <w:rPr>
          <w:sz w:val="20"/>
          <w:szCs w:val="20"/>
          <w:color w:val="auto"/>
        </w:rPr>
      </w:pPr>
    </w:p>
    <w:p>
      <w:pPr>
        <w:ind w:right="1879" w:firstLine="632"/>
        <w:spacing w:after="0" w:line="250" w:lineRule="auto"/>
        <w:rPr>
          <w:sz w:val="20"/>
          <w:szCs w:val="20"/>
          <w:color w:val="auto"/>
        </w:rPr>
      </w:pPr>
      <w:r>
        <w:rPr>
          <w:rFonts w:ascii="Courier New" w:cs="Courier New" w:eastAsia="Courier New" w:hAnsi="Courier New"/>
          <w:sz w:val="18"/>
          <w:szCs w:val="18"/>
          <w:color w:val="auto"/>
        </w:rPr>
        <w:t>On September 3, 1999, the registrant, Amdocs Limited ("Amdocs") entered into an Agreement and Plan of Merger (the "Merger Agreement") with Ivan Acquisition Corp. and International Telecommunication Data Systems, Inc. ("ITDS"). The Merger Agreement provides for a stock-for-stock merger in which each ITDS common share will be exchanged for a number of Amdocs Ordinary Shares equal to $10.50 divided by the ten-day average closing price of the Amdocs shares immediately prior to the completion of the merger, subject to a maximum exchange ratio of .4603 and a minimum exchange ratio of .3717. In addition, Amdocs will convert ITDS options to Amdocs options according to the same exchange ratio.</w:t>
      </w:r>
    </w:p>
    <w:p>
      <w:pPr>
        <w:spacing w:after="0" w:line="104" w:lineRule="exact"/>
        <w:rPr>
          <w:sz w:val="20"/>
          <w:szCs w:val="20"/>
          <w:color w:val="auto"/>
        </w:rPr>
      </w:pPr>
    </w:p>
    <w:p>
      <w:pPr>
        <w:ind w:right="1879" w:firstLine="632"/>
        <w:spacing w:after="0" w:line="281" w:lineRule="auto"/>
        <w:rPr>
          <w:sz w:val="20"/>
          <w:szCs w:val="20"/>
          <w:color w:val="auto"/>
        </w:rPr>
      </w:pPr>
      <w:r>
        <w:rPr>
          <w:rFonts w:ascii="Courier New" w:cs="Courier New" w:eastAsia="Courier New" w:hAnsi="Courier New"/>
          <w:sz w:val="16"/>
          <w:szCs w:val="16"/>
          <w:color w:val="auto"/>
        </w:rPr>
        <w:t>Closing under the Merger Agreement is conditioned on, among other things, approval by ITDS' shareholders and the expiration or termination of the waiting period under the Hart-Scott-Rodino Antitrust Improvements Act of 1976, as amended. The Merger Agreement contains prohibitions on the solicitation of, negotiations with respect to, or other activity to facilitate, competing acquisition proposals involving ITDS, with exceptions for certain actions determined to be required by the fiduciary duties of ITDS' board of directors. The Merger Agreement further provides that if any of certain competing transactions involving ITDS are consummated, ITDS is obligated to pay Amdocs a break-up fee of $6.42 million. In addition, Amdocs is entitled to exercise options on ITDS common shares representing in the aggregate 19.9 percent of ITDS's outstanding common shares, as well as certain ITDS common shares beneficially owned by a member of ITDS' management.</w:t>
      </w:r>
    </w:p>
    <w:p>
      <w:pPr>
        <w:spacing w:after="0" w:line="290" w:lineRule="exact"/>
        <w:rPr>
          <w:sz w:val="20"/>
          <w:szCs w:val="20"/>
          <w:color w:val="auto"/>
        </w:rPr>
      </w:pPr>
    </w:p>
    <w:p>
      <w:pPr>
        <w:ind w:right="1999" w:firstLine="632"/>
        <w:spacing w:after="0" w:line="274" w:lineRule="auto"/>
        <w:rPr>
          <w:sz w:val="20"/>
          <w:szCs w:val="20"/>
          <w:color w:val="auto"/>
        </w:rPr>
      </w:pPr>
      <w:r>
        <w:rPr>
          <w:rFonts w:ascii="Courier New" w:cs="Courier New" w:eastAsia="Courier New" w:hAnsi="Courier New"/>
          <w:sz w:val="18"/>
          <w:szCs w:val="18"/>
          <w:color w:val="auto"/>
        </w:rPr>
        <w:t>The transaction contemplated by the Merger Agreement is intended to qualify as a tax free reorganization for U.S. federal income tax purposes and will be accounted for using the purchase accounting method under United States generally accepted accounting principles.</w:t>
      </w:r>
    </w:p>
    <w:p>
      <w:pPr>
        <w:spacing w:after="0" w:line="82" w:lineRule="exact"/>
        <w:rPr>
          <w:sz w:val="20"/>
          <w:szCs w:val="20"/>
          <w:color w:val="auto"/>
        </w:rPr>
      </w:pPr>
    </w:p>
    <w:p>
      <w:pPr>
        <w:ind w:right="2099" w:firstLine="632"/>
        <w:spacing w:after="0" w:line="292" w:lineRule="auto"/>
        <w:rPr>
          <w:sz w:val="20"/>
          <w:szCs w:val="20"/>
          <w:color w:val="auto"/>
        </w:rPr>
      </w:pPr>
      <w:r>
        <w:rPr>
          <w:rFonts w:ascii="Courier New" w:cs="Courier New" w:eastAsia="Courier New" w:hAnsi="Courier New"/>
          <w:sz w:val="18"/>
          <w:szCs w:val="18"/>
          <w:color w:val="auto"/>
        </w:rPr>
        <w:t>Attached and incorporated herein by reference in their entirety as Exhibits are copies of the Merger Agreement, a related Stock Option Agreement and Voting Agreement, and a press release announcing the merger.</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6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73"/>
        </w:trPr>
        <w:tc>
          <w:tcPr>
            <w:tcW w:w="15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000" w:type="dxa"/>
            <w:vAlign w:val="bottom"/>
          </w:tcPr>
          <w:p>
            <w:pPr>
              <w:ind w:left="360"/>
              <w:spacing w:after="0"/>
              <w:rPr>
                <w:sz w:val="20"/>
                <w:szCs w:val="20"/>
                <w:color w:val="auto"/>
              </w:rPr>
            </w:pPr>
            <w:r>
              <w:rPr>
                <w:rFonts w:ascii="Courier New" w:cs="Courier New" w:eastAsia="Courier New" w:hAnsi="Courier New"/>
                <w:sz w:val="18"/>
                <w:szCs w:val="18"/>
                <w:color w:val="auto"/>
              </w:rPr>
              <w:t>DESCRIPTION</w:t>
            </w:r>
          </w:p>
        </w:tc>
        <w:tc>
          <w:tcPr>
            <w:tcW w:w="900" w:type="dxa"/>
            <w:vAlign w:val="bottom"/>
          </w:tcPr>
          <w:p>
            <w:pPr>
              <w:spacing w:after="0"/>
              <w:rPr>
                <w:sz w:val="24"/>
                <w:szCs w:val="24"/>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6900" w:type="dxa"/>
            <w:vAlign w:val="bottom"/>
            <w:gridSpan w:val="2"/>
          </w:tcPr>
          <w:p>
            <w:pPr>
              <w:ind w:left="360"/>
              <w:spacing w:after="0"/>
              <w:rPr>
                <w:sz w:val="20"/>
                <w:szCs w:val="20"/>
                <w:color w:val="auto"/>
              </w:rPr>
            </w:pPr>
            <w:r>
              <w:rPr>
                <w:rFonts w:ascii="Courier New" w:cs="Courier New" w:eastAsia="Courier New" w:hAnsi="Courier New"/>
                <w:sz w:val="18"/>
                <w:szCs w:val="18"/>
                <w:color w:val="auto"/>
                <w:w w:val="98"/>
              </w:rPr>
              <w:t>Merger Agreement, dated as of September 3, 1999, among Amdocs</w:t>
            </w:r>
          </w:p>
        </w:tc>
      </w:tr>
      <w:tr>
        <w:trPr>
          <w:trHeight w:val="203"/>
        </w:trPr>
        <w:tc>
          <w:tcPr>
            <w:tcW w:w="1540" w:type="dxa"/>
            <w:vAlign w:val="bottom"/>
          </w:tcPr>
          <w:p>
            <w:pPr>
              <w:spacing w:after="0"/>
              <w:rPr>
                <w:sz w:val="17"/>
                <w:szCs w:val="17"/>
                <w:color w:val="auto"/>
              </w:rPr>
            </w:pPr>
          </w:p>
        </w:tc>
        <w:tc>
          <w:tcPr>
            <w:tcW w:w="6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Limited, Ivan Acquisition Corp. and International</w:t>
            </w:r>
          </w:p>
        </w:tc>
        <w:tc>
          <w:tcPr>
            <w:tcW w:w="900" w:type="dxa"/>
            <w:vAlign w:val="bottom"/>
          </w:tcPr>
          <w:p>
            <w:pPr>
              <w:spacing w:after="0"/>
              <w:rPr>
                <w:sz w:val="17"/>
                <w:szCs w:val="17"/>
                <w:color w:val="auto"/>
              </w:rPr>
            </w:pPr>
          </w:p>
        </w:tc>
      </w:tr>
      <w:tr>
        <w:trPr>
          <w:trHeight w:val="296"/>
        </w:trPr>
        <w:tc>
          <w:tcPr>
            <w:tcW w:w="1540" w:type="dxa"/>
            <w:vAlign w:val="bottom"/>
          </w:tcPr>
          <w:p>
            <w:pPr>
              <w:spacing w:after="0"/>
              <w:rPr>
                <w:sz w:val="24"/>
                <w:szCs w:val="2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8"/>
                <w:szCs w:val="18"/>
                <w:color w:val="auto"/>
              </w:rPr>
              <w:t>Telecommunication Data Systems, Inc.</w:t>
            </w:r>
          </w:p>
        </w:tc>
        <w:tc>
          <w:tcPr>
            <w:tcW w:w="900" w:type="dxa"/>
            <w:vAlign w:val="bottom"/>
          </w:tcPr>
          <w:p>
            <w:pPr>
              <w:spacing w:after="0"/>
              <w:rPr>
                <w:sz w:val="24"/>
                <w:szCs w:val="24"/>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2.2</w:t>
            </w:r>
          </w:p>
        </w:tc>
        <w:tc>
          <w:tcPr>
            <w:tcW w:w="6000" w:type="dxa"/>
            <w:vAlign w:val="bottom"/>
          </w:tcPr>
          <w:p>
            <w:pPr>
              <w:ind w:left="360"/>
              <w:spacing w:after="0"/>
              <w:rPr>
                <w:sz w:val="20"/>
                <w:szCs w:val="20"/>
                <w:color w:val="auto"/>
              </w:rPr>
            </w:pPr>
            <w:r>
              <w:rPr>
                <w:rFonts w:ascii="Courier New" w:cs="Courier New" w:eastAsia="Courier New" w:hAnsi="Courier New"/>
                <w:sz w:val="18"/>
                <w:szCs w:val="18"/>
                <w:color w:val="auto"/>
                <w:w w:val="98"/>
              </w:rPr>
              <w:t>Stock Option Agreement dated as of September 3, 1999,</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by and</w:t>
            </w:r>
          </w:p>
        </w:tc>
      </w:tr>
      <w:tr>
        <w:trPr>
          <w:trHeight w:val="203"/>
        </w:trPr>
        <w:tc>
          <w:tcPr>
            <w:tcW w:w="1540" w:type="dxa"/>
            <w:vAlign w:val="bottom"/>
          </w:tcPr>
          <w:p>
            <w:pPr>
              <w:spacing w:after="0"/>
              <w:rPr>
                <w:sz w:val="17"/>
                <w:szCs w:val="17"/>
                <w:color w:val="auto"/>
              </w:rPr>
            </w:pPr>
          </w:p>
        </w:tc>
        <w:tc>
          <w:tcPr>
            <w:tcW w:w="600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8"/>
              </w:rPr>
              <w:t>between International Telecommunication Data Systems,</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Inc. and</w:t>
            </w:r>
          </w:p>
        </w:tc>
      </w:tr>
      <w:tr>
        <w:trPr>
          <w:trHeight w:val="296"/>
        </w:trPr>
        <w:tc>
          <w:tcPr>
            <w:tcW w:w="1540" w:type="dxa"/>
            <w:vAlign w:val="bottom"/>
          </w:tcPr>
          <w:p>
            <w:pPr>
              <w:spacing w:after="0"/>
              <w:rPr>
                <w:sz w:val="24"/>
                <w:szCs w:val="2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8"/>
                <w:szCs w:val="18"/>
                <w:color w:val="auto"/>
              </w:rPr>
              <w:t>Amdocs Limited</w:t>
            </w:r>
          </w:p>
        </w:tc>
        <w:tc>
          <w:tcPr>
            <w:tcW w:w="900" w:type="dxa"/>
            <w:vAlign w:val="bottom"/>
          </w:tcPr>
          <w:p>
            <w:pPr>
              <w:spacing w:after="0"/>
              <w:rPr>
                <w:sz w:val="24"/>
                <w:szCs w:val="24"/>
                <w:color w:val="auto"/>
              </w:rPr>
            </w:pPr>
          </w:p>
        </w:tc>
      </w:tr>
      <w:tr>
        <w:trPr>
          <w:trHeight w:val="311"/>
        </w:trPr>
        <w:tc>
          <w:tcPr>
            <w:tcW w:w="1540" w:type="dxa"/>
            <w:vAlign w:val="bottom"/>
          </w:tcPr>
          <w:p>
            <w:pPr>
              <w:spacing w:after="0"/>
              <w:rPr>
                <w:sz w:val="20"/>
                <w:szCs w:val="20"/>
                <w:color w:val="auto"/>
              </w:rPr>
            </w:pPr>
            <w:r>
              <w:rPr>
                <w:rFonts w:ascii="Courier New" w:cs="Courier New" w:eastAsia="Courier New" w:hAnsi="Courier New"/>
                <w:sz w:val="18"/>
                <w:szCs w:val="18"/>
                <w:color w:val="auto"/>
              </w:rPr>
              <w:t>2.3</w:t>
            </w:r>
          </w:p>
        </w:tc>
        <w:tc>
          <w:tcPr>
            <w:tcW w:w="6000" w:type="dxa"/>
            <w:vAlign w:val="bottom"/>
          </w:tcPr>
          <w:p>
            <w:pPr>
              <w:ind w:left="360"/>
              <w:spacing w:after="0"/>
              <w:rPr>
                <w:sz w:val="20"/>
                <w:szCs w:val="20"/>
                <w:color w:val="auto"/>
              </w:rPr>
            </w:pPr>
            <w:r>
              <w:rPr>
                <w:rFonts w:ascii="Courier New" w:cs="Courier New" w:eastAsia="Courier New" w:hAnsi="Courier New"/>
                <w:sz w:val="18"/>
                <w:szCs w:val="18"/>
                <w:color w:val="auto"/>
                <w:w w:val="98"/>
              </w:rPr>
              <w:t>Voting Agreement dated as of September 3, 1999, among</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Amdocs</w:t>
            </w:r>
          </w:p>
        </w:tc>
      </w:tr>
      <w:tr>
        <w:trPr>
          <w:trHeight w:val="296"/>
        </w:trPr>
        <w:tc>
          <w:tcPr>
            <w:tcW w:w="1540" w:type="dxa"/>
            <w:vAlign w:val="bottom"/>
          </w:tcPr>
          <w:p>
            <w:pPr>
              <w:spacing w:after="0"/>
              <w:rPr>
                <w:sz w:val="24"/>
                <w:szCs w:val="24"/>
                <w:color w:val="auto"/>
              </w:rPr>
            </w:pPr>
          </w:p>
        </w:tc>
        <w:tc>
          <w:tcPr>
            <w:tcW w:w="6000" w:type="dxa"/>
            <w:vAlign w:val="bottom"/>
          </w:tcPr>
          <w:p>
            <w:pPr>
              <w:ind w:left="360"/>
              <w:spacing w:after="0"/>
              <w:rPr>
                <w:sz w:val="20"/>
                <w:szCs w:val="20"/>
                <w:color w:val="auto"/>
              </w:rPr>
            </w:pPr>
            <w:r>
              <w:rPr>
                <w:rFonts w:ascii="Courier New" w:cs="Courier New" w:eastAsia="Courier New" w:hAnsi="Courier New"/>
                <w:sz w:val="18"/>
                <w:szCs w:val="18"/>
                <w:color w:val="auto"/>
              </w:rPr>
              <w:t>Limited and Sandra Bakes</w:t>
            </w:r>
          </w:p>
        </w:tc>
        <w:tc>
          <w:tcPr>
            <w:tcW w:w="900" w:type="dxa"/>
            <w:vAlign w:val="bottom"/>
          </w:tcPr>
          <w:p>
            <w:pPr>
              <w:spacing w:after="0"/>
              <w:rPr>
                <w:sz w:val="24"/>
                <w:szCs w:val="24"/>
                <w:color w:val="auto"/>
              </w:rPr>
            </w:pPr>
          </w:p>
        </w:tc>
      </w:tr>
      <w:tr>
        <w:trPr>
          <w:trHeight w:val="405"/>
        </w:trPr>
        <w:tc>
          <w:tcPr>
            <w:tcW w:w="15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000" w:type="dxa"/>
            <w:vAlign w:val="bottom"/>
          </w:tcPr>
          <w:p>
            <w:pPr>
              <w:ind w:left="360"/>
              <w:spacing w:after="0"/>
              <w:rPr>
                <w:sz w:val="20"/>
                <w:szCs w:val="20"/>
                <w:color w:val="auto"/>
              </w:rPr>
            </w:pPr>
            <w:r>
              <w:rPr>
                <w:rFonts w:ascii="Courier New" w:cs="Courier New" w:eastAsia="Courier New" w:hAnsi="Courier New"/>
                <w:sz w:val="18"/>
                <w:szCs w:val="18"/>
                <w:color w:val="auto"/>
                <w:w w:val="98"/>
              </w:rPr>
              <w:t>Amdocs Limited Press Release dated as of September 6,</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rPr>
              <w:t>1999</w:t>
            </w:r>
          </w:p>
        </w:tc>
      </w:tr>
    </w:tbl>
    <w:p>
      <w:pPr>
        <w:sectPr>
          <w:pgSz w:w="11900" w:h="16838" w:orient="portrait"/>
          <w:cols w:equalWidth="0" w:num="1">
            <w:col w:w="10219"/>
          </w:cols>
          <w:pgMar w:left="240" w:top="28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169" w:lineRule="exact"/>
        <w:rPr>
          <w:sz w:val="20"/>
          <w:szCs w:val="20"/>
          <w:color w:val="auto"/>
        </w:rPr>
      </w:pPr>
    </w:p>
    <w:p>
      <w:pPr>
        <w:ind w:right="1999" w:firstLine="632"/>
        <w:spacing w:after="0" w:line="292"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jc w:val="center"/>
        <w:ind w:right="299"/>
        <w:spacing w:after="0"/>
        <w:tabs>
          <w:tab w:leader="none" w:pos="180" w:val="left"/>
        </w:tabs>
        <w:rPr>
          <w:sz w:val="20"/>
          <w:szCs w:val="20"/>
          <w:color w:val="auto"/>
        </w:rPr>
      </w:pPr>
      <w:r>
        <w:rPr>
          <w:rFonts w:ascii="Courier New" w:cs="Courier New" w:eastAsia="Courier New" w:hAnsi="Courier New"/>
          <w:sz w:val="18"/>
          <w:szCs w:val="18"/>
          <w:color w:val="auto"/>
        </w:rPr>
        <w:t>/s/</w:t>
      </w:r>
      <w:r>
        <w:rPr>
          <w:sz w:val="20"/>
          <w:szCs w:val="20"/>
          <w:color w:val="auto"/>
        </w:rPr>
        <w:tab/>
      </w:r>
      <w:r>
        <w:rPr>
          <w:rFonts w:ascii="Courier New" w:cs="Courier New" w:eastAsia="Courier New" w:hAnsi="Courier New"/>
          <w:sz w:val="16"/>
          <w:szCs w:val="16"/>
          <w:color w:val="auto"/>
        </w:rPr>
        <w:t>Thomas G. O'Brien</w:t>
      </w:r>
    </w:p>
    <w:p>
      <w:pPr>
        <w:spacing w:after="0" w:line="29" w:lineRule="exact"/>
        <w:rPr>
          <w:sz w:val="20"/>
          <w:szCs w:val="20"/>
          <w:color w:val="auto"/>
        </w:rPr>
      </w:pPr>
    </w:p>
    <w:p>
      <w:pPr>
        <w:spacing w:after="0"/>
        <w:tabs>
          <w:tab w:leader="none" w:pos="3780" w:val="left"/>
        </w:tabs>
        <w:rPr>
          <w:sz w:val="20"/>
          <w:szCs w:val="20"/>
          <w:color w:val="auto"/>
        </w:rPr>
      </w:pPr>
      <w:r>
        <w:rPr>
          <w:rFonts w:ascii="Courier New" w:cs="Courier New" w:eastAsia="Courier New" w:hAnsi="Courier New"/>
          <w:sz w:val="18"/>
          <w:szCs w:val="18"/>
          <w:color w:val="auto"/>
        </w:rPr>
        <w:t>Date: September 9, 1999</w:t>
      </w:r>
      <w:r>
        <w:rPr>
          <w:sz w:val="20"/>
          <w:szCs w:val="20"/>
          <w:color w:val="auto"/>
        </w:rPr>
        <w:tab/>
      </w:r>
      <w:r>
        <w:rPr>
          <w:rFonts w:ascii="Courier New" w:cs="Courier New" w:eastAsia="Courier New" w:hAnsi="Courier New"/>
          <w:sz w:val="16"/>
          <w:szCs w:val="16"/>
          <w:color w:val="auto"/>
        </w:rPr>
        <w:t>------------------------------</w:t>
      </w:r>
    </w:p>
    <w:p>
      <w:pPr>
        <w:ind w:left="3800"/>
        <w:spacing w:after="0" w:line="238" w:lineRule="auto"/>
        <w:rPr>
          <w:sz w:val="20"/>
          <w:szCs w:val="20"/>
          <w:color w:val="auto"/>
        </w:rPr>
      </w:pPr>
      <w:r>
        <w:rPr>
          <w:rFonts w:ascii="Courier New" w:cs="Courier New" w:eastAsia="Courier New" w:hAnsi="Courier New"/>
          <w:sz w:val="18"/>
          <w:szCs w:val="18"/>
          <w:color w:val="auto"/>
        </w:rPr>
        <w:t>Thomas G. O'Brien</w:t>
      </w:r>
    </w:p>
    <w:p>
      <w:pPr>
        <w:ind w:left="3800"/>
        <w:spacing w:after="0"/>
        <w:rPr>
          <w:sz w:val="20"/>
          <w:szCs w:val="20"/>
          <w:color w:val="auto"/>
        </w:rPr>
      </w:pPr>
      <w:r>
        <w:rPr>
          <w:rFonts w:ascii="Courier New" w:cs="Courier New" w:eastAsia="Courier New" w:hAnsi="Courier New"/>
          <w:sz w:val="18"/>
          <w:szCs w:val="18"/>
          <w:color w:val="auto"/>
        </w:rPr>
        <w:t>Treasurer and Secretary</w:t>
      </w:r>
    </w:p>
    <w:p>
      <w:pPr>
        <w:ind w:left="3800"/>
        <w:spacing w:after="0" w:line="238" w:lineRule="auto"/>
        <w:rPr>
          <w:sz w:val="20"/>
          <w:szCs w:val="20"/>
          <w:color w:val="auto"/>
        </w:rPr>
      </w:pPr>
      <w:r>
        <w:rPr>
          <w:rFonts w:ascii="Courier New" w:cs="Courier New" w:eastAsia="Courier New" w:hAnsi="Courier New"/>
          <w:sz w:val="18"/>
          <w:szCs w:val="18"/>
          <w:color w:val="auto"/>
        </w:rPr>
        <w:t>Authorized U.S.</w:t>
      </w:r>
    </w:p>
    <w:p>
      <w:pPr>
        <w:ind w:left="3800"/>
        <w:spacing w:after="0"/>
        <w:rPr>
          <w:sz w:val="20"/>
          <w:szCs w:val="20"/>
          <w:color w:val="auto"/>
        </w:rPr>
      </w:pPr>
      <w:r>
        <w:rPr>
          <w:rFonts w:ascii="Courier New" w:cs="Courier New" w:eastAsia="Courier New" w:hAnsi="Courier New"/>
          <w:sz w:val="18"/>
          <w:szCs w:val="18"/>
          <w:color w:val="auto"/>
        </w:rPr>
        <w:t>Representative</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INDEX</w:t>
            </w:r>
          </w:p>
        </w:tc>
        <w:tc>
          <w:tcPr>
            <w:tcW w:w="6800" w:type="dxa"/>
            <w:vAlign w:val="bottom"/>
          </w:tcPr>
          <w:p>
            <w:pPr>
              <w:spacing w:after="0"/>
              <w:rPr>
                <w:sz w:val="24"/>
                <w:szCs w:val="24"/>
                <w:color w:val="auto"/>
              </w:rPr>
            </w:pPr>
          </w:p>
        </w:tc>
      </w:tr>
      <w:tr>
        <w:trPr>
          <w:trHeight w:val="373"/>
        </w:trPr>
        <w:tc>
          <w:tcPr>
            <w:tcW w:w="1640" w:type="dxa"/>
            <w:vAlign w:val="bottom"/>
          </w:tcPr>
          <w:p>
            <w:pPr>
              <w:spacing w:after="0"/>
              <w:rPr>
                <w:sz w:val="20"/>
                <w:szCs w:val="20"/>
                <w:color w:val="auto"/>
              </w:rPr>
            </w:pPr>
            <w:r>
              <w:rPr>
                <w:rFonts w:ascii="Courier New" w:cs="Courier New" w:eastAsia="Courier New" w:hAnsi="Courier New"/>
                <w:sz w:val="18"/>
                <w:szCs w:val="18"/>
                <w:color w:val="auto"/>
              </w:rPr>
              <w:t>EXHIBIT NO.</w:t>
            </w:r>
          </w:p>
        </w:tc>
        <w:tc>
          <w:tcPr>
            <w:tcW w:w="6800" w:type="dxa"/>
            <w:vAlign w:val="bottom"/>
          </w:tcPr>
          <w:p>
            <w:pPr>
              <w:ind w:left="260"/>
              <w:spacing w:after="0"/>
              <w:rPr>
                <w:sz w:val="20"/>
                <w:szCs w:val="20"/>
                <w:color w:val="auto"/>
              </w:rPr>
            </w:pPr>
            <w:r>
              <w:rPr>
                <w:rFonts w:ascii="Courier New" w:cs="Courier New" w:eastAsia="Courier New" w:hAnsi="Courier New"/>
                <w:sz w:val="18"/>
                <w:szCs w:val="18"/>
                <w:color w:val="auto"/>
              </w:rPr>
              <w:t>DESCRIPTION</w:t>
            </w: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2.1</w:t>
            </w:r>
          </w:p>
        </w:tc>
        <w:tc>
          <w:tcPr>
            <w:tcW w:w="6800" w:type="dxa"/>
            <w:vAlign w:val="bottom"/>
          </w:tcPr>
          <w:p>
            <w:pPr>
              <w:ind w:left="260"/>
              <w:spacing w:after="0"/>
              <w:rPr>
                <w:sz w:val="20"/>
                <w:szCs w:val="20"/>
                <w:color w:val="auto"/>
              </w:rPr>
            </w:pPr>
            <w:r>
              <w:rPr>
                <w:rFonts w:ascii="Courier New" w:cs="Courier New" w:eastAsia="Courier New" w:hAnsi="Courier New"/>
                <w:sz w:val="18"/>
                <w:szCs w:val="18"/>
                <w:color w:val="auto"/>
              </w:rPr>
              <w:t>Agreement and Plan of Merger, dated as of September 3, 1999,</w:t>
            </w:r>
          </w:p>
        </w:tc>
      </w:tr>
      <w:tr>
        <w:trPr>
          <w:trHeight w:val="203"/>
        </w:trPr>
        <w:tc>
          <w:tcPr>
            <w:tcW w:w="1640" w:type="dxa"/>
            <w:vAlign w:val="bottom"/>
          </w:tcPr>
          <w:p>
            <w:pPr>
              <w:spacing w:after="0"/>
              <w:rPr>
                <w:sz w:val="17"/>
                <w:szCs w:val="17"/>
                <w:color w:val="auto"/>
              </w:rPr>
            </w:pPr>
          </w:p>
        </w:tc>
        <w:tc>
          <w:tcPr>
            <w:tcW w:w="6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among Amdocs Limited, Ivan Acquisition Corp. and International</w:t>
            </w:r>
          </w:p>
        </w:tc>
      </w:tr>
      <w:tr>
        <w:trPr>
          <w:trHeight w:val="296"/>
        </w:trPr>
        <w:tc>
          <w:tcPr>
            <w:tcW w:w="1640" w:type="dxa"/>
            <w:vAlign w:val="bottom"/>
          </w:tcPr>
          <w:p>
            <w:pPr>
              <w:spacing w:after="0"/>
              <w:rPr>
                <w:sz w:val="24"/>
                <w:szCs w:val="24"/>
                <w:color w:val="auto"/>
              </w:rPr>
            </w:pPr>
          </w:p>
        </w:tc>
        <w:tc>
          <w:tcPr>
            <w:tcW w:w="6800" w:type="dxa"/>
            <w:vAlign w:val="bottom"/>
          </w:tcPr>
          <w:p>
            <w:pPr>
              <w:ind w:left="260"/>
              <w:spacing w:after="0"/>
              <w:rPr>
                <w:sz w:val="20"/>
                <w:szCs w:val="20"/>
                <w:color w:val="auto"/>
              </w:rPr>
            </w:pPr>
            <w:r>
              <w:rPr>
                <w:rFonts w:ascii="Courier New" w:cs="Courier New" w:eastAsia="Courier New" w:hAnsi="Courier New"/>
                <w:sz w:val="18"/>
                <w:szCs w:val="18"/>
                <w:color w:val="auto"/>
              </w:rPr>
              <w:t>Telecommunication Data Systems, Inc.</w:t>
            </w: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2.2</w:t>
            </w:r>
          </w:p>
        </w:tc>
        <w:tc>
          <w:tcPr>
            <w:tcW w:w="6800" w:type="dxa"/>
            <w:vAlign w:val="bottom"/>
          </w:tcPr>
          <w:p>
            <w:pPr>
              <w:ind w:left="260"/>
              <w:spacing w:after="0"/>
              <w:rPr>
                <w:sz w:val="20"/>
                <w:szCs w:val="20"/>
                <w:color w:val="auto"/>
              </w:rPr>
            </w:pPr>
            <w:r>
              <w:rPr>
                <w:rFonts w:ascii="Courier New" w:cs="Courier New" w:eastAsia="Courier New" w:hAnsi="Courier New"/>
                <w:sz w:val="18"/>
                <w:szCs w:val="18"/>
                <w:color w:val="auto"/>
              </w:rPr>
              <w:t>Stock Option Agreement dated as of September 3, 1999, by and</w:t>
            </w:r>
          </w:p>
        </w:tc>
      </w:tr>
      <w:tr>
        <w:trPr>
          <w:trHeight w:val="203"/>
        </w:trPr>
        <w:tc>
          <w:tcPr>
            <w:tcW w:w="1640" w:type="dxa"/>
            <w:vAlign w:val="bottom"/>
          </w:tcPr>
          <w:p>
            <w:pPr>
              <w:spacing w:after="0"/>
              <w:rPr>
                <w:sz w:val="17"/>
                <w:szCs w:val="17"/>
                <w:color w:val="auto"/>
              </w:rPr>
            </w:pPr>
          </w:p>
        </w:tc>
        <w:tc>
          <w:tcPr>
            <w:tcW w:w="68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between International Telecommunication Data Systems, Inc. and</w:t>
            </w:r>
          </w:p>
        </w:tc>
      </w:tr>
      <w:tr>
        <w:trPr>
          <w:trHeight w:val="296"/>
        </w:trPr>
        <w:tc>
          <w:tcPr>
            <w:tcW w:w="1640" w:type="dxa"/>
            <w:vAlign w:val="bottom"/>
          </w:tcPr>
          <w:p>
            <w:pPr>
              <w:spacing w:after="0"/>
              <w:rPr>
                <w:sz w:val="24"/>
                <w:szCs w:val="24"/>
                <w:color w:val="auto"/>
              </w:rPr>
            </w:pPr>
          </w:p>
        </w:tc>
        <w:tc>
          <w:tcPr>
            <w:tcW w:w="6800" w:type="dxa"/>
            <w:vAlign w:val="bottom"/>
          </w:tcPr>
          <w:p>
            <w:pPr>
              <w:ind w:left="260"/>
              <w:spacing w:after="0"/>
              <w:rPr>
                <w:sz w:val="20"/>
                <w:szCs w:val="20"/>
                <w:color w:val="auto"/>
              </w:rPr>
            </w:pPr>
            <w:r>
              <w:rPr>
                <w:rFonts w:ascii="Courier New" w:cs="Courier New" w:eastAsia="Courier New" w:hAnsi="Courier New"/>
                <w:sz w:val="18"/>
                <w:szCs w:val="18"/>
                <w:color w:val="auto"/>
              </w:rPr>
              <w:t>Amdocs Limited</w:t>
            </w:r>
          </w:p>
        </w:tc>
      </w:tr>
      <w:tr>
        <w:trPr>
          <w:trHeight w:val="311"/>
        </w:trPr>
        <w:tc>
          <w:tcPr>
            <w:tcW w:w="1640" w:type="dxa"/>
            <w:vAlign w:val="bottom"/>
          </w:tcPr>
          <w:p>
            <w:pPr>
              <w:spacing w:after="0"/>
              <w:rPr>
                <w:sz w:val="20"/>
                <w:szCs w:val="20"/>
                <w:color w:val="auto"/>
              </w:rPr>
            </w:pPr>
            <w:r>
              <w:rPr>
                <w:rFonts w:ascii="Courier New" w:cs="Courier New" w:eastAsia="Courier New" w:hAnsi="Courier New"/>
                <w:sz w:val="18"/>
                <w:szCs w:val="18"/>
                <w:color w:val="auto"/>
              </w:rPr>
              <w:t>2.3</w:t>
            </w:r>
          </w:p>
        </w:tc>
        <w:tc>
          <w:tcPr>
            <w:tcW w:w="6800" w:type="dxa"/>
            <w:vAlign w:val="bottom"/>
          </w:tcPr>
          <w:p>
            <w:pPr>
              <w:ind w:left="260"/>
              <w:spacing w:after="0"/>
              <w:rPr>
                <w:sz w:val="20"/>
                <w:szCs w:val="20"/>
                <w:color w:val="auto"/>
              </w:rPr>
            </w:pPr>
            <w:r>
              <w:rPr>
                <w:rFonts w:ascii="Courier New" w:cs="Courier New" w:eastAsia="Courier New" w:hAnsi="Courier New"/>
                <w:sz w:val="18"/>
                <w:szCs w:val="18"/>
                <w:color w:val="auto"/>
              </w:rPr>
              <w:t>Voting Agreement dated as of September 3, 1999, among Amdocs</w:t>
            </w:r>
          </w:p>
        </w:tc>
      </w:tr>
      <w:tr>
        <w:trPr>
          <w:trHeight w:val="296"/>
        </w:trPr>
        <w:tc>
          <w:tcPr>
            <w:tcW w:w="1640" w:type="dxa"/>
            <w:vAlign w:val="bottom"/>
          </w:tcPr>
          <w:p>
            <w:pPr>
              <w:spacing w:after="0"/>
              <w:rPr>
                <w:sz w:val="24"/>
                <w:szCs w:val="24"/>
                <w:color w:val="auto"/>
              </w:rPr>
            </w:pPr>
          </w:p>
        </w:tc>
        <w:tc>
          <w:tcPr>
            <w:tcW w:w="6800" w:type="dxa"/>
            <w:vAlign w:val="bottom"/>
          </w:tcPr>
          <w:p>
            <w:pPr>
              <w:ind w:left="260"/>
              <w:spacing w:after="0"/>
              <w:rPr>
                <w:sz w:val="20"/>
                <w:szCs w:val="20"/>
                <w:color w:val="auto"/>
              </w:rPr>
            </w:pPr>
            <w:r>
              <w:rPr>
                <w:rFonts w:ascii="Courier New" w:cs="Courier New" w:eastAsia="Courier New" w:hAnsi="Courier New"/>
                <w:sz w:val="18"/>
                <w:szCs w:val="18"/>
                <w:color w:val="auto"/>
              </w:rPr>
              <w:t>Limited and Sandra Bakes</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99.1</w:t>
            </w:r>
          </w:p>
        </w:tc>
        <w:tc>
          <w:tcPr>
            <w:tcW w:w="6800" w:type="dxa"/>
            <w:vAlign w:val="bottom"/>
          </w:tcPr>
          <w:p>
            <w:pPr>
              <w:ind w:left="260"/>
              <w:spacing w:after="0"/>
              <w:rPr>
                <w:sz w:val="20"/>
                <w:szCs w:val="20"/>
                <w:color w:val="auto"/>
              </w:rPr>
            </w:pPr>
            <w:r>
              <w:rPr>
                <w:rFonts w:ascii="Courier New" w:cs="Courier New" w:eastAsia="Courier New" w:hAnsi="Courier New"/>
                <w:sz w:val="18"/>
                <w:szCs w:val="18"/>
                <w:color w:val="auto"/>
              </w:rPr>
              <w:t>Amdocs Limited Press Release dated September 6, 1999</w:t>
            </w:r>
          </w:p>
        </w:tc>
      </w:tr>
    </w:tbl>
    <w:p>
      <w:pPr>
        <w:sectPr>
          <w:pgSz w:w="11900" w:h="16838" w:orient="portrait"/>
          <w:cols w:equalWidth="0" w:num="1">
            <w:col w:w="10219"/>
          </w:cols>
          <w:pgMar w:left="240" w:top="2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AGREEMENT AND PLAN OF MERGER</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IVAN ACQUISITION CORP.</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INTERNATIONAL TELECOMMUNICATION DATA SYSTEMS, INC.</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Dated as of September 3, 1999</w:t>
      </w:r>
    </w:p>
    <w:p>
      <w:pPr>
        <w:sectPr>
          <w:pgSz w:w="11900" w:h="16838" w:orient="portrait"/>
          <w:cols w:equalWidth="0" w:num="1">
            <w:col w:w="9899"/>
          </w:cols>
          <w:pgMar w:left="560" w:top="110"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380" w:type="dxa"/>
            <w:vAlign w:val="bottom"/>
          </w:tcPr>
          <w:p>
            <w:pPr>
              <w:spacing w:after="0"/>
              <w:rPr>
                <w:sz w:val="24"/>
                <w:szCs w:val="24"/>
                <w:color w:val="auto"/>
              </w:rPr>
            </w:pPr>
          </w:p>
        </w:tc>
        <w:tc>
          <w:tcPr>
            <w:tcW w:w="726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TABLE OF CONTENTS</w:t>
            </w:r>
          </w:p>
        </w:tc>
        <w:tc>
          <w:tcPr>
            <w:tcW w:w="640" w:type="dxa"/>
            <w:vAlign w:val="bottom"/>
          </w:tcPr>
          <w:p>
            <w:pPr>
              <w:spacing w:after="0"/>
              <w:rPr>
                <w:sz w:val="24"/>
                <w:szCs w:val="24"/>
                <w:color w:val="auto"/>
              </w:rPr>
            </w:pPr>
          </w:p>
        </w:tc>
      </w:tr>
      <w:tr>
        <w:trPr>
          <w:trHeight w:val="685"/>
        </w:trPr>
        <w:tc>
          <w:tcPr>
            <w:tcW w:w="13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Page</w:t>
            </w:r>
          </w:p>
        </w:tc>
      </w:tr>
      <w:tr>
        <w:trPr>
          <w:trHeight w:val="296"/>
        </w:trPr>
        <w:tc>
          <w:tcPr>
            <w:tcW w:w="138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405"/>
        </w:trPr>
        <w:tc>
          <w:tcPr>
            <w:tcW w:w="1380" w:type="dxa"/>
            <w:vAlign w:val="bottom"/>
          </w:tcPr>
          <w:p>
            <w:pPr>
              <w:spacing w:after="0"/>
              <w:rPr>
                <w:sz w:val="24"/>
                <w:szCs w:val="24"/>
                <w:color w:val="auto"/>
              </w:rPr>
            </w:pPr>
          </w:p>
        </w:tc>
        <w:tc>
          <w:tcPr>
            <w:tcW w:w="726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ARTICLE I</w:t>
            </w:r>
          </w:p>
        </w:tc>
        <w:tc>
          <w:tcPr>
            <w:tcW w:w="64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26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THE MERGER</w:t>
            </w:r>
          </w:p>
        </w:tc>
        <w:tc>
          <w:tcPr>
            <w:tcW w:w="64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1.01</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The Merger........................................................</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1.02</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Effect of the Merger..............................................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1.03</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Consummation of the Merger........................................</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1.04</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Certificate of Incorporation; By-Laws; Directors and Officers.....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2</w:t>
            </w:r>
          </w:p>
        </w:tc>
      </w:tr>
      <w:tr>
        <w:trPr>
          <w:trHeight w:val="608"/>
        </w:trPr>
        <w:tc>
          <w:tcPr>
            <w:tcW w:w="1380" w:type="dxa"/>
            <w:vAlign w:val="bottom"/>
          </w:tcPr>
          <w:p>
            <w:pPr>
              <w:spacing w:after="0"/>
              <w:rPr>
                <w:sz w:val="24"/>
                <w:szCs w:val="24"/>
                <w:color w:val="auto"/>
              </w:rPr>
            </w:pPr>
          </w:p>
        </w:tc>
        <w:tc>
          <w:tcPr>
            <w:tcW w:w="7260" w:type="dxa"/>
            <w:vAlign w:val="bottom"/>
          </w:tcPr>
          <w:p>
            <w:pPr>
              <w:jc w:val="right"/>
              <w:ind w:right="3392"/>
              <w:spacing w:after="0"/>
              <w:rPr>
                <w:sz w:val="20"/>
                <w:szCs w:val="20"/>
                <w:color w:val="auto"/>
              </w:rPr>
            </w:pPr>
            <w:r>
              <w:rPr>
                <w:rFonts w:ascii="Courier New" w:cs="Courier New" w:eastAsia="Courier New" w:hAnsi="Courier New"/>
                <w:sz w:val="18"/>
                <w:szCs w:val="18"/>
                <w:color w:val="auto"/>
              </w:rPr>
              <w:t>ARTICLE II</w:t>
            </w:r>
          </w:p>
        </w:tc>
        <w:tc>
          <w:tcPr>
            <w:tcW w:w="64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260" w:type="dxa"/>
            <w:vAlign w:val="bottom"/>
          </w:tcPr>
          <w:p>
            <w:pPr>
              <w:ind w:left="2000"/>
              <w:spacing w:after="0"/>
              <w:rPr>
                <w:sz w:val="20"/>
                <w:szCs w:val="20"/>
                <w:color w:val="auto"/>
              </w:rPr>
            </w:pPr>
            <w:r>
              <w:rPr>
                <w:rFonts w:ascii="Courier New" w:cs="Courier New" w:eastAsia="Courier New" w:hAnsi="Courier New"/>
                <w:sz w:val="18"/>
                <w:szCs w:val="18"/>
                <w:color w:val="auto"/>
              </w:rPr>
              <w:t>CONVERSION OF SECURITIES</w:t>
            </w:r>
          </w:p>
        </w:tc>
        <w:tc>
          <w:tcPr>
            <w:tcW w:w="64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2.01</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Conversion of Securities..........................................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2.02</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 Plans.......................................................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2.03</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Exchange of Certificates..........................................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2.04</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Stock Transfer Books..............................................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608"/>
        </w:trPr>
        <w:tc>
          <w:tcPr>
            <w:tcW w:w="1380" w:type="dxa"/>
            <w:vAlign w:val="bottom"/>
          </w:tcPr>
          <w:p>
            <w:pPr>
              <w:spacing w:after="0"/>
              <w:rPr>
                <w:sz w:val="24"/>
                <w:szCs w:val="24"/>
                <w:color w:val="auto"/>
              </w:rPr>
            </w:pPr>
          </w:p>
        </w:tc>
        <w:tc>
          <w:tcPr>
            <w:tcW w:w="7260" w:type="dxa"/>
            <w:vAlign w:val="bottom"/>
          </w:tcPr>
          <w:p>
            <w:pPr>
              <w:ind w:left="2740"/>
              <w:spacing w:after="0"/>
              <w:rPr>
                <w:sz w:val="20"/>
                <w:szCs w:val="20"/>
                <w:color w:val="auto"/>
              </w:rPr>
            </w:pPr>
            <w:r>
              <w:rPr>
                <w:rFonts w:ascii="Courier New" w:cs="Courier New" w:eastAsia="Courier New" w:hAnsi="Courier New"/>
                <w:sz w:val="18"/>
                <w:szCs w:val="18"/>
                <w:color w:val="auto"/>
              </w:rPr>
              <w:t>ARTICLE III</w:t>
            </w:r>
          </w:p>
        </w:tc>
        <w:tc>
          <w:tcPr>
            <w:tcW w:w="64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260" w:type="dxa"/>
            <w:vAlign w:val="bottom"/>
          </w:tcPr>
          <w:p>
            <w:pPr>
              <w:ind w:left="940"/>
              <w:spacing w:after="0"/>
              <w:rPr>
                <w:sz w:val="20"/>
                <w:szCs w:val="20"/>
                <w:color w:val="auto"/>
              </w:rPr>
            </w:pPr>
            <w:r>
              <w:rPr>
                <w:rFonts w:ascii="Courier New" w:cs="Courier New" w:eastAsia="Courier New" w:hAnsi="Courier New"/>
                <w:sz w:val="18"/>
                <w:szCs w:val="18"/>
                <w:color w:val="auto"/>
              </w:rPr>
              <w:t>REPRESENTATIONS AND WARRANTIES OF THE COMPANY</w:t>
            </w:r>
          </w:p>
        </w:tc>
        <w:tc>
          <w:tcPr>
            <w:tcW w:w="64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3.01</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Organization and Qualification....................................</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3.02</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Subsidiaries......................................................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3.03</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Authority Relative to Agreements..................................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3.04</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Non-Contravention.................................................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3.05</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Capitalization....................................................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3.06</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 Filings.......................................................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3.07</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3.08</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Absence of Certain Changes or Events..............................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3.09</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Governmental Approvals............................................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3.10</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Compliance with Laws..............................................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3.11</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Disclosure Documents..............................................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3.12</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Litigation........................................................</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3.13</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Title to Properties...............................................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3.14</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Real Property Interests...........................................</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3.15</w:t>
            </w:r>
          </w:p>
        </w:tc>
        <w:tc>
          <w:tcPr>
            <w:tcW w:w="7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Software..........................................................</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3.16</w:t>
            </w:r>
          </w:p>
        </w:tc>
        <w:tc>
          <w:tcPr>
            <w:tcW w:w="7260" w:type="dxa"/>
            <w:vAlign w:val="bottom"/>
          </w:tcPr>
          <w:p>
            <w:pPr>
              <w:ind w:left="100"/>
              <w:spacing w:after="0"/>
              <w:rPr>
                <w:sz w:val="20"/>
                <w:szCs w:val="20"/>
                <w:color w:val="auto"/>
              </w:rPr>
            </w:pPr>
            <w:r>
              <w:rPr>
                <w:rFonts w:ascii="Courier New" w:cs="Courier New" w:eastAsia="Courier New" w:hAnsi="Courier New"/>
                <w:sz w:val="18"/>
                <w:szCs w:val="18"/>
                <w:color w:val="auto"/>
              </w:rPr>
              <w:t>Intellectual Property Rights......................................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13</w:t>
            </w:r>
          </w:p>
        </w:tc>
      </w:tr>
    </w:tbl>
    <w:p>
      <w:pPr>
        <w:spacing w:after="0" w:line="200" w:lineRule="exact"/>
        <w:rPr>
          <w:sz w:val="20"/>
          <w:szCs w:val="20"/>
          <w:color w:val="auto"/>
        </w:rPr>
      </w:pPr>
    </w:p>
    <w:p>
      <w:pPr>
        <w:spacing w:after="0" w:line="31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0219"/>
          </w:cols>
          <w:pgMar w:left="240" w:top="285"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3</w:t>
            </w:r>
          </w:p>
        </w:tc>
        <w:tc>
          <w:tcPr>
            <w:tcW w:w="7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1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3.17</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Trade Secrets.....................................................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14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3.18</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Labor Matters.....................................................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3.19</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Severance Arrangements............................................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3.20</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Taxes.............................................................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3.21</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Employee Benefit Plans............................................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3.22</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Environmental Matters.............................................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3.23</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Contracts.........................................................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3.24</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Customer Relationships............................................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3.25</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Certain Transactions..............................................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3.26</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Insurance.........................................................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3.27</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State Takeover Statute............................................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3.28</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Opinion of Financial Advisor......................................</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3.29</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Brokers...........................................................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608"/>
        </w:trPr>
        <w:tc>
          <w:tcPr>
            <w:tcW w:w="1380" w:type="dxa"/>
            <w:vAlign w:val="bottom"/>
          </w:tcPr>
          <w:p>
            <w:pPr>
              <w:spacing w:after="0"/>
              <w:rPr>
                <w:sz w:val="24"/>
                <w:szCs w:val="24"/>
                <w:color w:val="auto"/>
              </w:rPr>
            </w:pPr>
          </w:p>
        </w:tc>
        <w:tc>
          <w:tcPr>
            <w:tcW w:w="7380" w:type="dxa"/>
            <w:vAlign w:val="bottom"/>
          </w:tcPr>
          <w:p>
            <w:pPr>
              <w:jc w:val="right"/>
              <w:ind w:right="3512"/>
              <w:spacing w:after="0"/>
              <w:rPr>
                <w:sz w:val="20"/>
                <w:szCs w:val="20"/>
                <w:color w:val="auto"/>
              </w:rPr>
            </w:pPr>
            <w:r>
              <w:rPr>
                <w:rFonts w:ascii="Courier New" w:cs="Courier New" w:eastAsia="Courier New" w:hAnsi="Courier New"/>
                <w:sz w:val="18"/>
                <w:szCs w:val="18"/>
                <w:color w:val="auto"/>
              </w:rPr>
              <w:t>ARTICLE IV</w:t>
            </w:r>
          </w:p>
        </w:tc>
        <w:tc>
          <w:tcPr>
            <w:tcW w:w="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380" w:type="dxa"/>
            <w:vAlign w:val="bottom"/>
          </w:tcPr>
          <w:p>
            <w:pPr>
              <w:ind w:left="1160"/>
              <w:spacing w:after="0"/>
              <w:rPr>
                <w:sz w:val="20"/>
                <w:szCs w:val="20"/>
                <w:color w:val="auto"/>
              </w:rPr>
            </w:pPr>
            <w:r>
              <w:rPr>
                <w:rFonts w:ascii="Courier New" w:cs="Courier New" w:eastAsia="Courier New" w:hAnsi="Courier New"/>
                <w:sz w:val="18"/>
                <w:szCs w:val="18"/>
                <w:color w:val="auto"/>
              </w:rPr>
              <w:t>REPRESENTATIONS AND WARRANTIES OF PARENT</w:t>
            </w:r>
          </w:p>
        </w:tc>
        <w:tc>
          <w:tcPr>
            <w:tcW w:w="52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4.01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Organization and Qualification....................................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4.02</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Subsidiaries......................................................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4.03</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Authority Relative to Agreement...................................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4.04</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Non-Contravention.................................................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4.05</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Capitalization....................................................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4.06</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SEC Filings.......................................................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4.07</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4.08</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Governmental Approvals............................................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4.09</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Disclosure Documents..............................................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4.10</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Compliance with Laws..............................................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4.11</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Litigation........................................................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4.12</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Brokers...........................................................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23</w:t>
            </w:r>
          </w:p>
        </w:tc>
      </w:tr>
      <w:tr>
        <w:trPr>
          <w:trHeight w:val="608"/>
        </w:trPr>
        <w:tc>
          <w:tcPr>
            <w:tcW w:w="1380" w:type="dxa"/>
            <w:vAlign w:val="bottom"/>
          </w:tcPr>
          <w:p>
            <w:pPr>
              <w:spacing w:after="0"/>
              <w:rPr>
                <w:sz w:val="24"/>
                <w:szCs w:val="24"/>
                <w:color w:val="auto"/>
              </w:rPr>
            </w:pPr>
          </w:p>
        </w:tc>
        <w:tc>
          <w:tcPr>
            <w:tcW w:w="7380" w:type="dxa"/>
            <w:vAlign w:val="bottom"/>
          </w:tcPr>
          <w:p>
            <w:pPr>
              <w:jc w:val="right"/>
              <w:ind w:right="3512"/>
              <w:spacing w:after="0"/>
              <w:rPr>
                <w:sz w:val="20"/>
                <w:szCs w:val="20"/>
                <w:color w:val="auto"/>
              </w:rPr>
            </w:pPr>
            <w:r>
              <w:rPr>
                <w:rFonts w:ascii="Courier New" w:cs="Courier New" w:eastAsia="Courier New" w:hAnsi="Courier New"/>
                <w:sz w:val="18"/>
                <w:szCs w:val="18"/>
                <w:color w:val="auto"/>
              </w:rPr>
              <w:t>ARTICLE V</w:t>
            </w:r>
          </w:p>
        </w:tc>
        <w:tc>
          <w:tcPr>
            <w:tcW w:w="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380" w:type="dxa"/>
            <w:vAlign w:val="bottom"/>
          </w:tcPr>
          <w:p>
            <w:pPr>
              <w:ind w:left="940"/>
              <w:spacing w:after="0"/>
              <w:rPr>
                <w:sz w:val="20"/>
                <w:szCs w:val="20"/>
                <w:color w:val="auto"/>
              </w:rPr>
            </w:pPr>
            <w:r>
              <w:rPr>
                <w:rFonts w:ascii="Courier New" w:cs="Courier New" w:eastAsia="Courier New" w:hAnsi="Courier New"/>
                <w:sz w:val="18"/>
                <w:szCs w:val="18"/>
                <w:color w:val="auto"/>
              </w:rPr>
              <w:t>REPRESENTATIONS AND WARRANTIES OF ACQUISITION</w:t>
            </w:r>
          </w:p>
        </w:tc>
        <w:tc>
          <w:tcPr>
            <w:tcW w:w="52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5.01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Organization and Qualification....................................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5.02</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Authority Relative to Agreement...................................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5.03</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Non-Contravention.................................................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5.04</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Governmental Approvals............................................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24</w:t>
            </w:r>
          </w:p>
        </w:tc>
      </w:tr>
    </w:tbl>
    <w:p>
      <w:pPr>
        <w:spacing w:after="0" w:line="200" w:lineRule="exact"/>
        <w:rPr>
          <w:sz w:val="20"/>
          <w:szCs w:val="20"/>
          <w:color w:val="auto"/>
        </w:rPr>
      </w:pPr>
    </w:p>
    <w:p>
      <w:pPr>
        <w:spacing w:after="0" w:line="31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0219"/>
          </w:cols>
          <w:pgMar w:left="240" w:top="28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4</w:t>
            </w:r>
          </w:p>
        </w:tc>
        <w:tc>
          <w:tcPr>
            <w:tcW w:w="7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8"/>
        </w:trPr>
        <w:tc>
          <w:tcPr>
            <w:tcW w:w="1380" w:type="dxa"/>
            <w:vAlign w:val="bottom"/>
          </w:tcPr>
          <w:p>
            <w:pPr>
              <w:spacing w:after="0"/>
              <w:rPr>
                <w:sz w:val="24"/>
                <w:szCs w:val="24"/>
                <w:color w:val="auto"/>
              </w:rPr>
            </w:pPr>
          </w:p>
        </w:tc>
        <w:tc>
          <w:tcPr>
            <w:tcW w:w="7380" w:type="dxa"/>
            <w:vAlign w:val="bottom"/>
          </w:tcPr>
          <w:p>
            <w:pPr>
              <w:jc w:val="center"/>
              <w:ind w:right="772"/>
              <w:spacing w:after="0"/>
              <w:rPr>
                <w:sz w:val="20"/>
                <w:szCs w:val="20"/>
                <w:color w:val="auto"/>
              </w:rPr>
            </w:pPr>
            <w:r>
              <w:rPr>
                <w:rFonts w:ascii="Courier New" w:cs="Courier New" w:eastAsia="Courier New" w:hAnsi="Courier New"/>
                <w:sz w:val="18"/>
                <w:szCs w:val="18"/>
                <w:color w:val="auto"/>
                <w:w w:val="96"/>
              </w:rPr>
              <w:t>ARTICLE VI</w:t>
            </w:r>
          </w:p>
        </w:tc>
        <w:tc>
          <w:tcPr>
            <w:tcW w:w="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380" w:type="dxa"/>
            <w:vAlign w:val="bottom"/>
          </w:tcPr>
          <w:p>
            <w:pPr>
              <w:jc w:val="center"/>
              <w:ind w:right="752"/>
              <w:spacing w:after="0"/>
              <w:rPr>
                <w:sz w:val="20"/>
                <w:szCs w:val="20"/>
                <w:color w:val="auto"/>
              </w:rPr>
            </w:pPr>
            <w:r>
              <w:rPr>
                <w:rFonts w:ascii="Courier New" w:cs="Courier New" w:eastAsia="Courier New" w:hAnsi="Courier New"/>
                <w:sz w:val="18"/>
                <w:szCs w:val="18"/>
                <w:color w:val="auto"/>
                <w:w w:val="97"/>
              </w:rPr>
              <w:t>CERTAIN AGREEMENTS</w:t>
            </w:r>
          </w:p>
        </w:tc>
        <w:tc>
          <w:tcPr>
            <w:tcW w:w="52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6.01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Conduct of the Company's Business.................................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25</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6.02</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Conduct of Parent's Business......................................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6.03</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Stockholder Approval..............................................</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6.04</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Access to Information.............................................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6.05</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Further Assurances................................................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6.06</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Inquiries and Negotiations........................................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6.07</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Notification of Certain Matters...................................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6.08</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Indemnification...................................................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6.09</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Affiliates of the Company.........................................</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6.10</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NYSE Listing......................................................</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6.11</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Stock Option Registration.........................................</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6.12</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Comfort Letters...................................................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6.13</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Stay Bonuses......................................................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608"/>
        </w:trPr>
        <w:tc>
          <w:tcPr>
            <w:tcW w:w="1380" w:type="dxa"/>
            <w:vAlign w:val="bottom"/>
          </w:tcPr>
          <w:p>
            <w:pPr>
              <w:spacing w:after="0"/>
              <w:rPr>
                <w:sz w:val="24"/>
                <w:szCs w:val="24"/>
                <w:color w:val="auto"/>
              </w:rPr>
            </w:pPr>
          </w:p>
        </w:tc>
        <w:tc>
          <w:tcPr>
            <w:tcW w:w="738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ARTICLE VII</w:t>
            </w:r>
          </w:p>
        </w:tc>
        <w:tc>
          <w:tcPr>
            <w:tcW w:w="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380" w:type="dxa"/>
            <w:vAlign w:val="bottom"/>
          </w:tcPr>
          <w:p>
            <w:pPr>
              <w:jc w:val="center"/>
              <w:ind w:right="772"/>
              <w:spacing w:after="0"/>
              <w:rPr>
                <w:sz w:val="20"/>
                <w:szCs w:val="20"/>
                <w:color w:val="auto"/>
              </w:rPr>
            </w:pPr>
            <w:r>
              <w:rPr>
                <w:rFonts w:ascii="Courier New" w:cs="Courier New" w:eastAsia="Courier New" w:hAnsi="Courier New"/>
                <w:sz w:val="18"/>
                <w:szCs w:val="18"/>
                <w:color w:val="auto"/>
                <w:w w:val="97"/>
              </w:rPr>
              <w:t>CONDITIONS TO THE MERGER</w:t>
            </w:r>
          </w:p>
        </w:tc>
        <w:tc>
          <w:tcPr>
            <w:tcW w:w="52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7.01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Conditions to the Obligation of Parent and Acquisition............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7.02</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Conditions to the Obligations of the Company......................</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35</w:t>
            </w:r>
          </w:p>
        </w:tc>
      </w:tr>
      <w:tr>
        <w:trPr>
          <w:trHeight w:val="608"/>
        </w:trPr>
        <w:tc>
          <w:tcPr>
            <w:tcW w:w="1380" w:type="dxa"/>
            <w:vAlign w:val="bottom"/>
          </w:tcPr>
          <w:p>
            <w:pPr>
              <w:spacing w:after="0"/>
              <w:rPr>
                <w:sz w:val="24"/>
                <w:szCs w:val="24"/>
                <w:color w:val="auto"/>
              </w:rPr>
            </w:pPr>
          </w:p>
        </w:tc>
        <w:tc>
          <w:tcPr>
            <w:tcW w:w="7380" w:type="dxa"/>
            <w:vAlign w:val="bottom"/>
          </w:tcPr>
          <w:p>
            <w:pPr>
              <w:jc w:val="center"/>
              <w:ind w:right="752"/>
              <w:spacing w:after="0"/>
              <w:rPr>
                <w:sz w:val="20"/>
                <w:szCs w:val="20"/>
                <w:color w:val="auto"/>
              </w:rPr>
            </w:pPr>
            <w:r>
              <w:rPr>
                <w:rFonts w:ascii="Courier New" w:cs="Courier New" w:eastAsia="Courier New" w:hAnsi="Courier New"/>
                <w:sz w:val="18"/>
                <w:szCs w:val="18"/>
                <w:color w:val="auto"/>
                <w:w w:val="97"/>
              </w:rPr>
              <w:t>ARTICLE VIII</w:t>
            </w:r>
          </w:p>
        </w:tc>
        <w:tc>
          <w:tcPr>
            <w:tcW w:w="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38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7"/>
              </w:rPr>
              <w:t>TERMINATION AND ABANDONMENT</w:t>
            </w:r>
          </w:p>
        </w:tc>
        <w:tc>
          <w:tcPr>
            <w:tcW w:w="52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8.01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Termination and Abandonment.......................................</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8.02</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Effect of Termination.............................................</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r>
      <w:tr>
        <w:trPr>
          <w:trHeight w:val="405"/>
        </w:trPr>
        <w:tc>
          <w:tcPr>
            <w:tcW w:w="1380" w:type="dxa"/>
            <w:vAlign w:val="bottom"/>
          </w:tcPr>
          <w:p>
            <w:pPr>
              <w:spacing w:after="0"/>
              <w:rPr>
                <w:sz w:val="24"/>
                <w:szCs w:val="24"/>
                <w:color w:val="auto"/>
              </w:rPr>
            </w:pPr>
          </w:p>
        </w:tc>
        <w:tc>
          <w:tcPr>
            <w:tcW w:w="7380" w:type="dxa"/>
            <w:vAlign w:val="bottom"/>
          </w:tcPr>
          <w:p>
            <w:pPr>
              <w:jc w:val="center"/>
              <w:ind w:right="772"/>
              <w:spacing w:after="0"/>
              <w:rPr>
                <w:sz w:val="20"/>
                <w:szCs w:val="20"/>
                <w:color w:val="auto"/>
              </w:rPr>
            </w:pPr>
            <w:r>
              <w:rPr>
                <w:rFonts w:ascii="Courier New" w:cs="Courier New" w:eastAsia="Courier New" w:hAnsi="Courier New"/>
                <w:sz w:val="18"/>
                <w:szCs w:val="18"/>
                <w:color w:val="auto"/>
                <w:w w:val="96"/>
              </w:rPr>
              <w:t>ARTICLE IX</w:t>
            </w:r>
          </w:p>
        </w:tc>
        <w:tc>
          <w:tcPr>
            <w:tcW w:w="5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7380" w:type="dxa"/>
            <w:vAlign w:val="bottom"/>
          </w:tcPr>
          <w:p>
            <w:pPr>
              <w:jc w:val="center"/>
              <w:ind w:right="652"/>
              <w:spacing w:after="0"/>
              <w:rPr>
                <w:sz w:val="20"/>
                <w:szCs w:val="20"/>
                <w:color w:val="auto"/>
              </w:rPr>
            </w:pPr>
            <w:r>
              <w:rPr>
                <w:rFonts w:ascii="Courier New" w:cs="Courier New" w:eastAsia="Courier New" w:hAnsi="Courier New"/>
                <w:sz w:val="18"/>
                <w:szCs w:val="18"/>
                <w:color w:val="auto"/>
                <w:w w:val="96"/>
              </w:rPr>
              <w:t>MISCELLANEOUS</w:t>
            </w:r>
          </w:p>
        </w:tc>
        <w:tc>
          <w:tcPr>
            <w:tcW w:w="52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9.01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Nonsurvival of Representations and Warranties.....................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37</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9.02</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Expenses, Etc.....................................................</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9.03</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Publicity.........................................................</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9.04</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Execution in Counterparts.........................................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bl>
    <w:p>
      <w:pPr>
        <w:spacing w:after="0" w:line="200" w:lineRule="exact"/>
        <w:rPr>
          <w:sz w:val="20"/>
          <w:szCs w:val="20"/>
          <w:color w:val="auto"/>
        </w:rPr>
      </w:pPr>
    </w:p>
    <w:p>
      <w:pPr>
        <w:spacing w:after="0" w:line="31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0219"/>
          </w:cols>
          <w:pgMar w:left="240" w:top="285"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96"/>
        </w:trPr>
        <w:tc>
          <w:tcPr>
            <w:tcW w:w="138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c>
          <w:tcPr>
            <w:tcW w:w="738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514"/>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9.05</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Notices...........................................................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38</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9.06</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Waivers...........................................................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9.07</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Entire Agreement..................................................</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9.08</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Applicable Law....................................................</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9.09</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Binding Effect, Benefits..........................................</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SECTION 9.10</w:t>
            </w:r>
          </w:p>
        </w:tc>
        <w:tc>
          <w:tcPr>
            <w:tcW w:w="73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Assignability.....................................................</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w:t>
            </w:r>
          </w:p>
        </w:tc>
      </w:tr>
      <w:tr>
        <w:trPr>
          <w:trHeight w:val="296"/>
        </w:trPr>
        <w:tc>
          <w:tcPr>
            <w:tcW w:w="1380" w:type="dxa"/>
            <w:vAlign w:val="bottom"/>
          </w:tcPr>
          <w:p>
            <w:pPr>
              <w:spacing w:after="0"/>
              <w:rPr>
                <w:sz w:val="20"/>
                <w:szCs w:val="20"/>
                <w:color w:val="auto"/>
              </w:rPr>
            </w:pPr>
            <w:r>
              <w:rPr>
                <w:rFonts w:ascii="Courier New" w:cs="Courier New" w:eastAsia="Courier New" w:hAnsi="Courier New"/>
                <w:sz w:val="18"/>
                <w:szCs w:val="18"/>
                <w:color w:val="auto"/>
              </w:rPr>
              <w:t>SECTION 9.11</w:t>
            </w:r>
          </w:p>
        </w:tc>
        <w:tc>
          <w:tcPr>
            <w:tcW w:w="7380" w:type="dxa"/>
            <w:vAlign w:val="bottom"/>
          </w:tcPr>
          <w:p>
            <w:pPr>
              <w:ind w:left="100"/>
              <w:spacing w:after="0"/>
              <w:rPr>
                <w:sz w:val="20"/>
                <w:szCs w:val="20"/>
                <w:color w:val="auto"/>
              </w:rPr>
            </w:pPr>
            <w:r>
              <w:rPr>
                <w:rFonts w:ascii="Courier New" w:cs="Courier New" w:eastAsia="Courier New" w:hAnsi="Courier New"/>
                <w:sz w:val="18"/>
                <w:szCs w:val="18"/>
                <w:color w:val="auto"/>
              </w:rPr>
              <w:t>Amendments........................................................</w:t>
            </w:r>
          </w:p>
        </w:tc>
        <w:tc>
          <w:tcPr>
            <w:tcW w:w="52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r>
    </w:tbl>
    <w:p>
      <w:pPr>
        <w:spacing w:after="0" w:line="200" w:lineRule="exact"/>
        <w:rPr>
          <w:sz w:val="20"/>
          <w:szCs w:val="20"/>
          <w:color w:val="auto"/>
        </w:rPr>
      </w:pPr>
    </w:p>
    <w:p>
      <w:pPr>
        <w:spacing w:after="0" w:line="31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0219"/>
          </w:cols>
          <w:pgMar w:left="240" w:top="285"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1680" w:type="dxa"/>
            <w:vAlign w:val="bottom"/>
          </w:tcPr>
          <w:p>
            <w:pPr>
              <w:spacing w:after="0"/>
              <w:rPr>
                <w:sz w:val="24"/>
                <w:szCs w:val="24"/>
                <w:color w:val="auto"/>
              </w:rPr>
            </w:pPr>
          </w:p>
        </w:tc>
        <w:tc>
          <w:tcPr>
            <w:tcW w:w="506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INDEX TO EXHIBITS</w:t>
            </w:r>
          </w:p>
        </w:tc>
      </w:tr>
      <w:tr>
        <w:trPr>
          <w:trHeight w:val="373"/>
        </w:trPr>
        <w:tc>
          <w:tcPr>
            <w:tcW w:w="16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5060" w:type="dxa"/>
            <w:vAlign w:val="bottom"/>
          </w:tcPr>
          <w:p>
            <w:pPr>
              <w:ind w:left="860"/>
              <w:spacing w:after="0"/>
              <w:rPr>
                <w:sz w:val="20"/>
                <w:szCs w:val="20"/>
                <w:color w:val="auto"/>
              </w:rPr>
            </w:pPr>
            <w:r>
              <w:rPr>
                <w:rFonts w:ascii="Courier New" w:cs="Courier New" w:eastAsia="Courier New" w:hAnsi="Courier New"/>
                <w:sz w:val="18"/>
                <w:szCs w:val="18"/>
                <w:color w:val="auto"/>
              </w:rPr>
              <w:t>Description</w:t>
            </w:r>
          </w:p>
        </w:tc>
      </w:tr>
      <w:tr>
        <w:trPr>
          <w:trHeight w:val="311"/>
        </w:trPr>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A</w:t>
            </w:r>
          </w:p>
        </w:tc>
        <w:tc>
          <w:tcPr>
            <w:tcW w:w="5060" w:type="dxa"/>
            <w:vAlign w:val="bottom"/>
          </w:tcPr>
          <w:p>
            <w:pPr>
              <w:ind w:left="860"/>
              <w:spacing w:after="0"/>
              <w:rPr>
                <w:sz w:val="20"/>
                <w:szCs w:val="20"/>
                <w:color w:val="auto"/>
              </w:rPr>
            </w:pPr>
            <w:r>
              <w:rPr>
                <w:rFonts w:ascii="Courier New" w:cs="Courier New" w:eastAsia="Courier New" w:hAnsi="Courier New"/>
                <w:sz w:val="18"/>
                <w:szCs w:val="18"/>
                <w:color w:val="auto"/>
              </w:rPr>
              <w:t>Option Agreement</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B</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Voting Agreement</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C</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6"/>
              </w:rPr>
              <w:t>Tax Representation Letter of the Company</w:t>
            </w:r>
          </w:p>
        </w:tc>
      </w:tr>
      <w:tr>
        <w:trPr>
          <w:trHeight w:val="296"/>
        </w:trPr>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D</w:t>
            </w:r>
          </w:p>
        </w:tc>
        <w:tc>
          <w:tcPr>
            <w:tcW w:w="5060" w:type="dxa"/>
            <w:vAlign w:val="bottom"/>
          </w:tcPr>
          <w:p>
            <w:pPr>
              <w:ind w:left="860"/>
              <w:spacing w:after="0"/>
              <w:rPr>
                <w:sz w:val="20"/>
                <w:szCs w:val="20"/>
                <w:color w:val="auto"/>
              </w:rPr>
            </w:pPr>
            <w:r>
              <w:rPr>
                <w:rFonts w:ascii="Courier New" w:cs="Courier New" w:eastAsia="Courier New" w:hAnsi="Courier New"/>
                <w:sz w:val="18"/>
                <w:szCs w:val="18"/>
                <w:color w:val="auto"/>
              </w:rPr>
              <w:t>Tax Representation Letter of Parent</w:t>
            </w:r>
          </w:p>
        </w:tc>
      </w:tr>
      <w:tr>
        <w:trPr>
          <w:trHeight w:val="810"/>
        </w:trPr>
        <w:tc>
          <w:tcPr>
            <w:tcW w:w="1680" w:type="dxa"/>
            <w:vAlign w:val="bottom"/>
          </w:tcPr>
          <w:p>
            <w:pPr>
              <w:spacing w:after="0"/>
              <w:rPr>
                <w:sz w:val="24"/>
                <w:szCs w:val="24"/>
                <w:color w:val="auto"/>
              </w:rPr>
            </w:pPr>
          </w:p>
        </w:tc>
        <w:tc>
          <w:tcPr>
            <w:tcW w:w="5060" w:type="dxa"/>
            <w:vAlign w:val="bottom"/>
          </w:tcPr>
          <w:p>
            <w:pPr>
              <w:jc w:val="right"/>
              <w:ind w:right="1812"/>
              <w:spacing w:after="0"/>
              <w:rPr>
                <w:sz w:val="20"/>
                <w:szCs w:val="20"/>
                <w:color w:val="auto"/>
              </w:rPr>
            </w:pPr>
            <w:r>
              <w:rPr>
                <w:rFonts w:ascii="Courier New" w:cs="Courier New" w:eastAsia="Courier New" w:hAnsi="Courier New"/>
                <w:sz w:val="18"/>
                <w:szCs w:val="18"/>
                <w:color w:val="auto"/>
              </w:rPr>
              <w:t>INDEX TO SCHEDULES</w:t>
            </w:r>
          </w:p>
        </w:tc>
      </w:tr>
      <w:tr>
        <w:trPr>
          <w:trHeight w:val="405"/>
        </w:trPr>
        <w:tc>
          <w:tcPr>
            <w:tcW w:w="1680" w:type="dxa"/>
            <w:vAlign w:val="bottom"/>
          </w:tcPr>
          <w:p>
            <w:pPr>
              <w:spacing w:after="0"/>
              <w:rPr>
                <w:sz w:val="20"/>
                <w:szCs w:val="20"/>
                <w:color w:val="auto"/>
              </w:rPr>
            </w:pPr>
            <w:r>
              <w:rPr>
                <w:rFonts w:ascii="Courier New" w:cs="Courier New" w:eastAsia="Courier New" w:hAnsi="Courier New"/>
                <w:sz w:val="18"/>
                <w:szCs w:val="18"/>
                <w:color w:val="auto"/>
              </w:rPr>
              <w:t>Schedule</w:t>
            </w:r>
          </w:p>
        </w:tc>
        <w:tc>
          <w:tcPr>
            <w:tcW w:w="5060" w:type="dxa"/>
            <w:vAlign w:val="bottom"/>
          </w:tcPr>
          <w:p>
            <w:pPr>
              <w:ind w:left="860"/>
              <w:spacing w:after="0"/>
              <w:rPr>
                <w:sz w:val="20"/>
                <w:szCs w:val="20"/>
                <w:color w:val="auto"/>
              </w:rPr>
            </w:pPr>
            <w:r>
              <w:rPr>
                <w:rFonts w:ascii="Courier New" w:cs="Courier New" w:eastAsia="Courier New" w:hAnsi="Courier New"/>
                <w:sz w:val="18"/>
                <w:szCs w:val="18"/>
                <w:color w:val="auto"/>
              </w:rPr>
              <w:t>Description</w:t>
            </w:r>
          </w:p>
        </w:tc>
      </w:tr>
      <w:tr>
        <w:trPr>
          <w:trHeight w:val="311"/>
        </w:trPr>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3.02</w:t>
            </w:r>
          </w:p>
        </w:tc>
        <w:tc>
          <w:tcPr>
            <w:tcW w:w="5060" w:type="dxa"/>
            <w:vAlign w:val="bottom"/>
          </w:tcPr>
          <w:p>
            <w:pPr>
              <w:ind w:left="860"/>
              <w:spacing w:after="0"/>
              <w:rPr>
                <w:sz w:val="20"/>
                <w:szCs w:val="20"/>
                <w:color w:val="auto"/>
              </w:rPr>
            </w:pPr>
            <w:r>
              <w:rPr>
                <w:rFonts w:ascii="Courier New" w:cs="Courier New" w:eastAsia="Courier New" w:hAnsi="Courier New"/>
                <w:sz w:val="18"/>
                <w:szCs w:val="18"/>
                <w:color w:val="auto"/>
              </w:rPr>
              <w:t>Subsidiaries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3.07</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Certain Liabilities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3.08</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Certain Changes or Events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3.09</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Governmental Approvals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3.12</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Litigation</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3.13</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Liens and Encumbrances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3.14</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Real Property Interests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3.16</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Intellectual Property Rights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3.19</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Severance Arrangements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3.20</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Taxes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3.21</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Employee Benefit Plans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3.23</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Material Contracts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3.24</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Certain Customer Relationships</w:t>
            </w:r>
          </w:p>
        </w:tc>
      </w:tr>
      <w:tr>
        <w:trPr>
          <w:trHeight w:val="203"/>
        </w:trPr>
        <w:tc>
          <w:tcPr>
            <w:tcW w:w="16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3.25</w:t>
            </w:r>
          </w:p>
        </w:tc>
        <w:tc>
          <w:tcPr>
            <w:tcW w:w="506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Certain Transactions</w:t>
            </w:r>
          </w:p>
        </w:tc>
      </w:tr>
      <w:tr>
        <w:trPr>
          <w:trHeight w:val="296"/>
        </w:trPr>
        <w:tc>
          <w:tcPr>
            <w:tcW w:w="1680" w:type="dxa"/>
            <w:vAlign w:val="bottom"/>
          </w:tcPr>
          <w:p>
            <w:pPr>
              <w:ind w:left="420"/>
              <w:spacing w:after="0"/>
              <w:rPr>
                <w:sz w:val="20"/>
                <w:szCs w:val="20"/>
                <w:color w:val="auto"/>
              </w:rPr>
            </w:pPr>
            <w:r>
              <w:rPr>
                <w:rFonts w:ascii="Courier New" w:cs="Courier New" w:eastAsia="Courier New" w:hAnsi="Courier New"/>
                <w:sz w:val="18"/>
                <w:szCs w:val="18"/>
                <w:color w:val="auto"/>
              </w:rPr>
              <w:t>3.26</w:t>
            </w:r>
          </w:p>
        </w:tc>
        <w:tc>
          <w:tcPr>
            <w:tcW w:w="5060" w:type="dxa"/>
            <w:vAlign w:val="bottom"/>
          </w:tcPr>
          <w:p>
            <w:pPr>
              <w:ind w:left="860"/>
              <w:spacing w:after="0"/>
              <w:rPr>
                <w:sz w:val="20"/>
                <w:szCs w:val="20"/>
                <w:color w:val="auto"/>
              </w:rPr>
            </w:pPr>
            <w:r>
              <w:rPr>
                <w:rFonts w:ascii="Courier New" w:cs="Courier New" w:eastAsia="Courier New" w:hAnsi="Courier New"/>
                <w:sz w:val="18"/>
                <w:szCs w:val="18"/>
                <w:color w:val="auto"/>
              </w:rPr>
              <w:t>Insurance</w:t>
            </w:r>
          </w:p>
        </w:tc>
      </w:tr>
    </w:tbl>
    <w:p>
      <w:pPr>
        <w:spacing w:after="0" w:line="31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v</w:t>
      </w:r>
    </w:p>
    <w:p>
      <w:pPr>
        <w:sectPr>
          <w:pgSz w:w="11900" w:h="16838" w:orient="portrait"/>
          <w:cols w:equalWidth="0" w:num="1">
            <w:col w:w="9899"/>
          </w:cols>
          <w:pgMar w:left="560" w:top="285"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AGREEMENT AND PLAN OF MERGER</w:t>
      </w:r>
    </w:p>
    <w:p>
      <w:pPr>
        <w:spacing w:after="0" w:line="169" w:lineRule="exact"/>
        <w:rPr>
          <w:sz w:val="20"/>
          <w:szCs w:val="20"/>
          <w:color w:val="auto"/>
        </w:rPr>
      </w:pPr>
    </w:p>
    <w:p>
      <w:pPr>
        <w:ind w:right="1999" w:firstLine="1896"/>
        <w:spacing w:after="0" w:line="293" w:lineRule="auto"/>
        <w:rPr>
          <w:sz w:val="20"/>
          <w:szCs w:val="20"/>
          <w:color w:val="auto"/>
        </w:rPr>
      </w:pPr>
      <w:r>
        <w:rPr>
          <w:rFonts w:ascii="Courier New" w:cs="Courier New" w:eastAsia="Courier New" w:hAnsi="Courier New"/>
          <w:sz w:val="16"/>
          <w:szCs w:val="16"/>
          <w:color w:val="auto"/>
        </w:rPr>
        <w:t>AGREEMENT AND PLAN OF MERGER, dated as of September 3, 1999, among AMDOCS LIMITED, a company organized under the laws of Guernsey, Channel Islands ("Parent"), IVAN ACQUISITION CORP., a Delaware corporation and a wholly-owned subsidiary of Parent ("Acquisition"), and INTERNATIONAL TELECOMMUNICATION DATA SYSTEMS, INC., a Delaware corporation (the "Company"). The Company and Acquisition are hereinafter sometimes referred to as the "Constituent Corporations" and the Company as the "Surviving Corporation."</w:t>
      </w:r>
    </w:p>
    <w:p>
      <w:pPr>
        <w:spacing w:after="0" w:line="72"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WHEREAS the respective Boards of Directors of Parent, Acquisition and the Company deem it advisable and in the best interests of their respective stockholders that Parent acquire the Company pursuant to the terms and conditions of this Agreement, and, in furtherance of such acquisition, such Boards of Directors have approved the merger of Acquisition with and into the Company in accordance with the terms of this Agreement and the General Corporation Law of the State of Delaware (the "Delaware GCL"); and</w:t>
      </w:r>
    </w:p>
    <w:p>
      <w:pPr>
        <w:spacing w:after="0" w:line="98" w:lineRule="exact"/>
        <w:rPr>
          <w:sz w:val="20"/>
          <w:szCs w:val="20"/>
          <w:color w:val="auto"/>
        </w:rPr>
      </w:pPr>
    </w:p>
    <w:p>
      <w:pPr>
        <w:ind w:right="2099" w:firstLine="1896"/>
        <w:spacing w:after="0" w:line="265" w:lineRule="auto"/>
        <w:rPr>
          <w:sz w:val="20"/>
          <w:szCs w:val="20"/>
          <w:color w:val="auto"/>
        </w:rPr>
      </w:pPr>
      <w:r>
        <w:rPr>
          <w:rFonts w:ascii="Courier New" w:cs="Courier New" w:eastAsia="Courier New" w:hAnsi="Courier New"/>
          <w:sz w:val="18"/>
          <w:szCs w:val="18"/>
          <w:color w:val="auto"/>
        </w:rPr>
        <w:t>WHEREAS Parent, Acquisition and the Company desire that all outstanding shares of the capital stock of the Company be converted into the right to receive fully paid and nonassessable Ordinary Shares, pound sterling 0.01 par value, of Parent ("Parent Ordinary Shares"), as hereinafter provided; and</w:t>
      </w:r>
    </w:p>
    <w:p>
      <w:pPr>
        <w:spacing w:after="0" w:line="90"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WHEREAS concurrently with the execution and delivery of this Agreement, and as a condition and inducement to Parent and Acquisition to enter into this Agreement, the Company and Acquisition have entered into an agreement in the form attached hereto as Exhibit A (the "Option Agreement"), pursuant to which the Company has granted Acquisition an irrevocable option to purchase up to 19.9% of the then outstanding shares of Common Stock, $.01 par value, of the Company ("Company Common Stock"), on the terms and subject to the conditions set forth therein; and</w:t>
      </w:r>
    </w:p>
    <w:p>
      <w:pPr>
        <w:spacing w:after="0" w:line="104"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WHEREAS, concurrently with the execution and delivery of this Agreement and as a condition and inducement to Parent and Acquisition to enter into this Agreement, certain holders of shares of Company Common Stock have entered into an agreement with Parent and Acquisition in the form attached hereto as Exhibit B (the "Voting Agreement"), pursuant to which such holders have agreed to vote such shares of the Company Common Stock in accordance with the terms set forth in the Voting Agreement; and</w:t>
      </w:r>
    </w:p>
    <w:p>
      <w:pPr>
        <w:spacing w:after="0" w:line="98"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WHEREAS, for federal income tax purposes, it is intended that the merger of Acquisition with and into the Company shall qualify as a reorganization within the meaning of Section 368(a) of the Internal Revenue Code of 1986, as amended (the "Code");</w:t>
      </w:r>
    </w:p>
    <w:p>
      <w:pPr>
        <w:sectPr>
          <w:pgSz w:w="11900" w:h="16838" w:orient="portrait"/>
          <w:cols w:equalWidth="0" w:num="1">
            <w:col w:w="10219"/>
          </w:cols>
          <w:pgMar w:left="240" w:top="285" w:right="1440" w:bottom="1440" w:gutter="0" w:footer="0" w:header="0"/>
        </w:sectPr>
      </w:pPr>
    </w:p>
    <w:bookmarkStart w:id="12" w:name="page13"/>
    <w:bookmarkEnd w:id="12"/>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NOW, THEREFORE, in consideration of the mutual representations, warranties, covenants, agreements and conditions contained herein, and in order to set forth the terms and conditions of the merger and the mode of carrying the same into effect, the parties hereto hereby agree as follows:</w:t>
      </w:r>
    </w:p>
    <w:p>
      <w:pPr>
        <w:spacing w:after="0" w:line="9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THE MERGER</w:t>
      </w:r>
    </w:p>
    <w:p>
      <w:pPr>
        <w:spacing w:after="0" w:line="201"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SECTION 1.01 The Merger. Subject to the terms and conditions of this Agreement, at the Effective Time (as hereinafter defined), in accordance with this Agreement and the Delaware GCL, Acquisition shall be merged with and into the Company (the "Merger"), the separate existence of Acquisition shall cease, and the Company shall continue as the surviving corporation under the corporate name of "ITDS, Inc."</w:t>
      </w:r>
    </w:p>
    <w:p>
      <w:pPr>
        <w:spacing w:after="0" w:line="93"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SECTION 1.02 Effect of the Merger. Upon the effectiveness of the Merger, the Surviving Corporation shall succeed to and assume all the rights and obligations of the Company and Acquisition in accordance with the Delaware GCL and the Merger shall otherwise have the effects set forth in Section 259 of the Delaware GCL.</w:t>
      </w:r>
    </w:p>
    <w:p>
      <w:pPr>
        <w:spacing w:after="0" w:line="90"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1.03 Consummation of the Merger. As soon as practicable after the satisfaction or waiver of the conditions to the obligations of the parties to effect the Merger set forth herein, provided that this Agreement has not been terminated previously, the parties hereto will cause the Merger to be consummated by filing with the Secretary of State of the State of Delaware a properly executed certificate of merger in accordance with the Delaware GCL, which shall be effective upon filing or on such later date as may be specified therein (the time of such effectiveness being the "Effective Time").</w:t>
      </w:r>
    </w:p>
    <w:p>
      <w:pPr>
        <w:spacing w:after="0" w:line="99" w:lineRule="exact"/>
        <w:rPr>
          <w:sz w:val="20"/>
          <w:szCs w:val="20"/>
          <w:color w:val="auto"/>
        </w:rPr>
      </w:pPr>
    </w:p>
    <w:p>
      <w:pPr>
        <w:ind w:right="1779" w:firstLine="1896"/>
        <w:spacing w:after="0" w:line="285" w:lineRule="auto"/>
        <w:rPr>
          <w:sz w:val="20"/>
          <w:szCs w:val="20"/>
          <w:color w:val="auto"/>
        </w:rPr>
      </w:pPr>
      <w:r>
        <w:rPr>
          <w:rFonts w:ascii="Courier New" w:cs="Courier New" w:eastAsia="Courier New" w:hAnsi="Courier New"/>
          <w:sz w:val="16"/>
          <w:szCs w:val="16"/>
          <w:color w:val="auto"/>
        </w:rPr>
        <w:t>SECTION 1.04 Certificate of Incorporation; By-Laws; Directors and Officers. (a) The Certificate of Incorporation of Acquisition in effect at the Effective Time shall be the Certificate of Incorporation of the Surviving Corporation (except that such Certificate of Incorporation shall be amended to provide that the name of the Surviving Corporation shall be "ITDS, Inc."), until thereafter amended in accordance with the provisions thereof and as provided by the Delaware GCL. The By-Laws of Acquisition in effect at the Effective Time shall be the By-Laws of the Surviving Corporation, until thereafter amended in accordance with the provisions thereof and the Certificate of Incorporation of the Surviving Corporation and as provided by the Delaware GCL.</w:t>
      </w:r>
    </w:p>
    <w:p>
      <w:pPr>
        <w:spacing w:after="0" w:line="76" w:lineRule="exact"/>
        <w:rPr>
          <w:sz w:val="20"/>
          <w:szCs w:val="20"/>
          <w:color w:val="auto"/>
        </w:rPr>
      </w:pPr>
    </w:p>
    <w:p>
      <w:pPr>
        <w:ind w:right="1779" w:firstLine="1904"/>
        <w:spacing w:after="0" w:line="265" w:lineRule="auto"/>
        <w:tabs>
          <w:tab w:leader="none" w:pos="2318"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and until their respective successors are duly elected or appointed and qualified, (i) the directors of Acquisition at the Effective Time shall be the directors of the Surviving Corporation and (ii) the officers of the Company at the Effective Time shall be the officers of the Surviving Corporation.</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II</w:t>
      </w:r>
    </w:p>
    <w:p>
      <w:pPr>
        <w:spacing w:after="0" w:line="169"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CONVERSION OF SECURITIES</w:t>
      </w:r>
    </w:p>
    <w:p>
      <w:pPr>
        <w:spacing w:after="0" w:line="201"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SECTION 2.01 Conversion of Securities. By virtue of the Merger and without any action on the part of either Constituent Corporation or any holder of the capital stock thereof, at the Effective Time:</w:t>
      </w:r>
    </w:p>
    <w:p>
      <w:pPr>
        <w:spacing w:after="0" w:line="66" w:lineRule="exact"/>
        <w:rPr>
          <w:sz w:val="20"/>
          <w:szCs w:val="20"/>
          <w:color w:val="auto"/>
        </w:rPr>
      </w:pPr>
    </w:p>
    <w:p>
      <w:pPr>
        <w:ind w:left="960" w:right="1879" w:firstLine="1892"/>
        <w:spacing w:after="0" w:line="318" w:lineRule="auto"/>
        <w:tabs>
          <w:tab w:leader="none" w:pos="3277"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share of Common Stock, $.01 par value, of Acquisition issued and outstanding immediately prior to the Effective Time shall be converted into and become one validly issued, fully paid and nonassessable share of Common Stock of the Surviving Corporation;</w:t>
      </w:r>
    </w:p>
    <w:p>
      <w:pPr>
        <w:spacing w:after="0" w:line="52" w:lineRule="exact"/>
        <w:rPr>
          <w:rFonts w:ascii="Courier New" w:cs="Courier New" w:eastAsia="Courier New" w:hAnsi="Courier New"/>
          <w:sz w:val="16"/>
          <w:szCs w:val="16"/>
          <w:color w:val="auto"/>
        </w:rPr>
      </w:pPr>
    </w:p>
    <w:p>
      <w:pPr>
        <w:ind w:left="960" w:right="1999" w:firstLine="1892"/>
        <w:spacing w:after="0" w:line="274" w:lineRule="auto"/>
        <w:tabs>
          <w:tab w:leader="none" w:pos="327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Company Common Stock that is held in the treasury of the Company or of any Subsidiary (as hereinafter defined) shall be canceled and retired and no consideration shall be paid or delivered in exchange therefor; and</w:t>
      </w:r>
    </w:p>
    <w:p>
      <w:pPr>
        <w:spacing w:after="0" w:line="81" w:lineRule="exact"/>
        <w:rPr>
          <w:rFonts w:ascii="Courier New" w:cs="Courier New" w:eastAsia="Courier New" w:hAnsi="Courier New"/>
          <w:sz w:val="18"/>
          <w:szCs w:val="18"/>
          <w:color w:val="auto"/>
        </w:rPr>
      </w:pPr>
    </w:p>
    <w:p>
      <w:pPr>
        <w:ind w:left="960" w:right="1779" w:firstLine="1892"/>
        <w:spacing w:after="0" w:line="252" w:lineRule="auto"/>
        <w:tabs>
          <w:tab w:leader="none" w:pos="3277"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remaining share of Company Common Stock issued and outstanding immediately prior to the Effective Time shall be converted into the right to receive a number of Parent Ordinary Shares equal to the Exchange Ratio (as hereinafter defined), subject to the payment of cash in lieu of fractional shares as provided in Section 2.03(d) below. For this purpose, the "Exchange Ratio" shall be equal to the quotient (rounded to the nearest thousandth, or if there shall not be a nearest thousandth, to the next lower thousandth) derived by dividing:</w:t>
      </w:r>
    </w:p>
    <w:p>
      <w:pPr>
        <w:spacing w:after="0" w:line="99" w:lineRule="exact"/>
        <w:rPr>
          <w:sz w:val="20"/>
          <w:szCs w:val="20"/>
          <w:color w:val="auto"/>
        </w:rPr>
      </w:pPr>
    </w:p>
    <w:p>
      <w:pPr>
        <w:ind w:left="3280" w:hanging="428"/>
        <w:spacing w:after="0"/>
        <w:tabs>
          <w:tab w:leader="none" w:pos="32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$10.50; by</w:t>
      </w:r>
    </w:p>
    <w:p>
      <w:pPr>
        <w:spacing w:after="0" w:line="201" w:lineRule="exact"/>
        <w:rPr>
          <w:rFonts w:ascii="Courier New" w:cs="Courier New" w:eastAsia="Courier New" w:hAnsi="Courier New"/>
          <w:sz w:val="18"/>
          <w:szCs w:val="18"/>
          <w:color w:val="auto"/>
        </w:rPr>
      </w:pPr>
    </w:p>
    <w:p>
      <w:pPr>
        <w:ind w:left="3380" w:hanging="528"/>
        <w:spacing w:after="0"/>
        <w:tabs>
          <w:tab w:leader="none" w:pos="3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average of the closing prices per Parent</w:t>
      </w:r>
    </w:p>
    <w:p>
      <w:pPr>
        <w:spacing w:after="0" w:line="30" w:lineRule="exact"/>
        <w:rPr>
          <w:rFonts w:ascii="Courier New" w:cs="Courier New" w:eastAsia="Courier New" w:hAnsi="Courier New"/>
          <w:sz w:val="18"/>
          <w:szCs w:val="18"/>
          <w:color w:val="auto"/>
        </w:rPr>
      </w:pPr>
    </w:p>
    <w:p>
      <w:pPr>
        <w:ind w:left="960" w:right="1879"/>
        <w:spacing w:after="0" w:line="2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 on the New York Stock Exchange during the ten consecutive trading days ending on the second trading day prior to the Effective Time (the "Pre-Closing Average Price");</w:t>
      </w:r>
    </w:p>
    <w:p>
      <w:pPr>
        <w:spacing w:after="0" w:line="82" w:lineRule="exact"/>
        <w:rPr>
          <w:sz w:val="20"/>
          <w:szCs w:val="20"/>
          <w:color w:val="auto"/>
        </w:rPr>
      </w:pPr>
    </w:p>
    <w:p>
      <w:pPr>
        <w:ind w:left="960" w:right="1779"/>
        <w:spacing w:after="0" w:line="256" w:lineRule="auto"/>
        <w:rPr>
          <w:sz w:val="20"/>
          <w:szCs w:val="20"/>
          <w:color w:val="auto"/>
        </w:rPr>
      </w:pPr>
      <w:r>
        <w:rPr>
          <w:rFonts w:ascii="Courier New" w:cs="Courier New" w:eastAsia="Courier New" w:hAnsi="Courier New"/>
          <w:sz w:val="18"/>
          <w:szCs w:val="18"/>
          <w:color w:val="auto"/>
        </w:rPr>
        <w:t>provided, however that in no event shall the Exchange Ratio be less than .3717 nor more than .4603. If, prior to the Effective Time, Parent should split or combine the outstanding Parent Ordinary Shares, or pay a stock dividend or other stock distribution in Parent Ordinary Shares, then the Exchange Ratio and the Pre-Closing Average Price shall be appropriately adjusted to reflect such split, combination, dividend or other distribution.</w:t>
      </w:r>
    </w:p>
    <w:p>
      <w:pPr>
        <w:spacing w:after="0" w:line="98" w:lineRule="exact"/>
        <w:rPr>
          <w:sz w:val="20"/>
          <w:szCs w:val="20"/>
          <w:color w:val="auto"/>
        </w:rPr>
      </w:pPr>
    </w:p>
    <w:p>
      <w:pPr>
        <w:ind w:right="1999" w:firstLine="1896"/>
        <w:spacing w:after="0" w:line="256" w:lineRule="auto"/>
        <w:rPr>
          <w:sz w:val="20"/>
          <w:szCs w:val="20"/>
          <w:color w:val="auto"/>
        </w:rPr>
      </w:pPr>
      <w:r>
        <w:rPr>
          <w:rFonts w:ascii="Courier New" w:cs="Courier New" w:eastAsia="Courier New" w:hAnsi="Courier New"/>
          <w:sz w:val="18"/>
          <w:szCs w:val="18"/>
          <w:color w:val="auto"/>
        </w:rPr>
        <w:t>All such shares of Company Common Stock to be converted into Parent Ordinary Shares pursuant to this Section 2.01(c) shall cease to be outstanding and shall automatically be canceled and retired and shall cease to exist, and each certificate previously evidencing any such shares shall thereafter represent the right to receive, upon the surrender of such certificate in accordance with the provisions of Section 2.03, certificates evidencing such number of whole</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1879"/>
        <w:spacing w:after="0" w:line="250" w:lineRule="auto"/>
        <w:rPr>
          <w:sz w:val="20"/>
          <w:szCs w:val="20"/>
          <w:color w:val="auto"/>
        </w:rPr>
      </w:pPr>
      <w:r>
        <w:rPr>
          <w:rFonts w:ascii="Courier New" w:cs="Courier New" w:eastAsia="Courier New" w:hAnsi="Courier New"/>
          <w:sz w:val="18"/>
          <w:szCs w:val="18"/>
          <w:color w:val="auto"/>
        </w:rPr>
        <w:t>Parent Ordinary Shares into which such shares were converted in accordance herewith. The holders of such certificates previously evidencing such shares of Company Common Stock outstanding immediately prior to the Effective Time shall cease to have any rights with respect to such shares of Company Common Stock except as otherwise provided herein or by law. No fraction of a Parent Ordinary Share shall be issued and, in lieu thereof, a cash payment shall be made pursuant to Section 2.03(d).</w:t>
      </w:r>
    </w:p>
    <w:p>
      <w:pPr>
        <w:spacing w:after="0" w:line="102" w:lineRule="exact"/>
        <w:rPr>
          <w:sz w:val="20"/>
          <w:szCs w:val="20"/>
          <w:color w:val="auto"/>
        </w:rPr>
      </w:pPr>
    </w:p>
    <w:p>
      <w:pPr>
        <w:ind w:right="1779" w:firstLine="1896"/>
        <w:spacing w:after="0" w:line="260" w:lineRule="auto"/>
        <w:rPr>
          <w:sz w:val="20"/>
          <w:szCs w:val="20"/>
          <w:color w:val="auto"/>
        </w:rPr>
      </w:pPr>
      <w:r>
        <w:rPr>
          <w:rFonts w:ascii="Courier New" w:cs="Courier New" w:eastAsia="Courier New" w:hAnsi="Courier New"/>
          <w:sz w:val="18"/>
          <w:szCs w:val="18"/>
          <w:color w:val="auto"/>
        </w:rPr>
        <w:t>SECTION 2.02 Stock Plans. (a) At the Effective Time, each stock option granted under the Company's 1996, 1997, 1998 and 1999 Stock Incentive Plans (the "Company Stock Plans") that is outstanding immediately prior to the Effective Time shall be assumed by Parent and converted automatically into an option to purchase Parent Ordinary Shares (a "New Option") in an amount and at an exercise price determined as provided below:</w:t>
      </w:r>
    </w:p>
    <w:p>
      <w:pPr>
        <w:spacing w:after="0" w:line="93" w:lineRule="exact"/>
        <w:rPr>
          <w:sz w:val="20"/>
          <w:szCs w:val="20"/>
          <w:color w:val="auto"/>
        </w:rPr>
      </w:pPr>
    </w:p>
    <w:p>
      <w:pPr>
        <w:ind w:left="960" w:right="1779" w:firstLine="944"/>
        <w:spacing w:after="0" w:line="260" w:lineRule="auto"/>
        <w:tabs>
          <w:tab w:leader="none" w:pos="2329"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Parent Ordinary Shares to be subject to the New Option shall be equal to the product of the number of shares of Company Common Stock remaining subject (as of immediately prior to the Effective Time) to the original option and the Exchange Ratio, provided that any fractional shares resulting from such multiplication shall be rounded down to the nearest share; and</w:t>
      </w:r>
    </w:p>
    <w:p>
      <w:pPr>
        <w:spacing w:after="0" w:line="92" w:lineRule="exact"/>
        <w:rPr>
          <w:rFonts w:ascii="Courier New" w:cs="Courier New" w:eastAsia="Courier New" w:hAnsi="Courier New"/>
          <w:sz w:val="18"/>
          <w:szCs w:val="18"/>
          <w:color w:val="auto"/>
        </w:rPr>
      </w:pPr>
    </w:p>
    <w:p>
      <w:pPr>
        <w:ind w:left="960" w:right="1999" w:firstLine="944"/>
        <w:spacing w:after="0" w:line="265" w:lineRule="auto"/>
        <w:tabs>
          <w:tab w:leader="none" w:pos="24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exercise price per Parent Ordinary Share under the New Option shall be equal to the exercise price per share of Company Common Stock under the original option divided by the Exchange Ratio, provided that such exercise price shall be rounded up to the nearest cent.</w:t>
      </w:r>
    </w:p>
    <w:p>
      <w:pPr>
        <w:spacing w:after="0" w:line="90" w:lineRule="exact"/>
        <w:rPr>
          <w:sz w:val="20"/>
          <w:szCs w:val="20"/>
          <w:color w:val="auto"/>
        </w:rPr>
      </w:pPr>
    </w:p>
    <w:p>
      <w:pPr>
        <w:ind w:right="1779"/>
        <w:spacing w:after="0" w:line="253" w:lineRule="auto"/>
        <w:rPr>
          <w:sz w:val="20"/>
          <w:szCs w:val="20"/>
          <w:color w:val="auto"/>
        </w:rPr>
      </w:pPr>
      <w:r>
        <w:rPr>
          <w:rFonts w:ascii="Courier New" w:cs="Courier New" w:eastAsia="Courier New" w:hAnsi="Courier New"/>
          <w:sz w:val="18"/>
          <w:szCs w:val="18"/>
          <w:color w:val="auto"/>
        </w:rPr>
        <w:t>The adjustment provided herein with respect to any options that are "incentive stock options" (as defined in Section 422 of the Code) shall be and is intended to be effected in a manner that is consistent with Section 424(a) of the Code. After the Effective Time, each New Option shall be subject to the same terms and conditions and shall be exercisable and shall vest upon the same terms and conditions, as were applicable to the related Company Stock Option immediately prior to the Effective Time, except that all references to the Company shall be deemed to be references to Parent.</w:t>
      </w:r>
    </w:p>
    <w:p>
      <w:pPr>
        <w:spacing w:after="0" w:line="104" w:lineRule="exact"/>
        <w:rPr>
          <w:sz w:val="20"/>
          <w:szCs w:val="20"/>
          <w:color w:val="auto"/>
        </w:rPr>
      </w:pPr>
    </w:p>
    <w:p>
      <w:pPr>
        <w:ind w:right="1779" w:firstLine="1904"/>
        <w:spacing w:after="0" w:line="318" w:lineRule="auto"/>
        <w:tabs>
          <w:tab w:leader="none" w:pos="2318"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Effective Time, the 1996 Employee Stock Purchase Plan shall terminate without the purchase of any additional shares of Company Common Stock and all amounts contributed by participants in such plan shall be returned to such participants in accordance with Section 16(b)(ii) thereof.</w:t>
      </w:r>
    </w:p>
    <w:p>
      <w:pPr>
        <w:spacing w:after="0" w:line="52"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SECTION 2.03 Exchange of Certificates. (a) As of the Effective Time, Parent shall deposit, or shall cause to be deposited, with or for the account of a bank or trust company designated by Parent, which shall be reasonably satisfactory to the Company (the "Exchange Agent"), for the benefit of the holders of shares of Company Common Stock, for exchange in accordance with this Article II, through the Exchange Agent, certificates evidencing the Parent Ordinary Shares issuable pursuant to Section 2.01(c) in exchange for outstanding shares of</w:t>
      </w:r>
    </w:p>
    <w:p>
      <w:pPr>
        <w:spacing w:after="0" w:line="3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jc w:val="both"/>
        <w:ind w:right="2099"/>
        <w:spacing w:after="0" w:line="273" w:lineRule="auto"/>
        <w:rPr>
          <w:sz w:val="20"/>
          <w:szCs w:val="20"/>
          <w:color w:val="auto"/>
        </w:rPr>
      </w:pPr>
      <w:r>
        <w:rPr>
          <w:rFonts w:ascii="Courier New" w:cs="Courier New" w:eastAsia="Courier New" w:hAnsi="Courier New"/>
          <w:sz w:val="18"/>
          <w:szCs w:val="18"/>
          <w:color w:val="auto"/>
        </w:rPr>
        <w:t>Company Common Stock (such certificates for Parent Ordinary Shares, together with any dividends or distributions thereto, being hereinafter referred to as the "Exchange Fund").</w:t>
      </w:r>
    </w:p>
    <w:p>
      <w:pPr>
        <w:spacing w:after="0" w:line="82" w:lineRule="exact"/>
        <w:rPr>
          <w:sz w:val="20"/>
          <w:szCs w:val="20"/>
          <w:color w:val="auto"/>
        </w:rPr>
      </w:pPr>
    </w:p>
    <w:p>
      <w:pPr>
        <w:ind w:right="1779" w:firstLine="1904"/>
        <w:spacing w:after="0" w:line="272" w:lineRule="auto"/>
        <w:tabs>
          <w:tab w:leader="none" w:pos="2318" w:val="left"/>
        </w:tabs>
        <w:numPr>
          <w:ilvl w:val="1"/>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reasonably practicable after the Effective Time (but in any event within five business days of the Effective Time), Parent will instruct the Exchange Agent to mail to each holder of record of a certificate or certificates which immediately prior to the Effective Time evidenced outstanding shares of Company Common Stock (the "Certificates"), (i) a letter of transmittal (which shall specify that delivery shall be effected, and risk of loss and title to the Certificates shall pass, only upon proper delivery of the Certificates to the Exchange Agent and shall be in such form and have such other provisions as Parent may reasonably specify) and (ii) instructions to effect the surrender of the Certificates in exchange for the certificates evidencing Parent Ordinary Shares. Upon surrender of a Certificate for cancellation to the Exchange Agent together with such letter of transmittal, duly executed, and such other customary documents as may be required pursuant to such instructions, the holder of such Certificate shall be entitled to receive in exchange therefor (A) certificates evidencing that number of whole Parent Ordinary Shares which such holder has the right to receive in accordance with Section 2.01(c) in respect of the shares of Company Common Stock formerly evidenced by such Certificate, and</w:t>
      </w:r>
    </w:p>
    <w:p>
      <w:pPr>
        <w:spacing w:after="0" w:line="189" w:lineRule="exact"/>
        <w:rPr>
          <w:rFonts w:ascii="Courier New" w:cs="Courier New" w:eastAsia="Courier New" w:hAnsi="Courier New"/>
          <w:sz w:val="16"/>
          <w:szCs w:val="16"/>
          <w:color w:val="auto"/>
        </w:rPr>
      </w:pPr>
    </w:p>
    <w:p>
      <w:pPr>
        <w:ind w:right="1779" w:firstLine="8"/>
        <w:spacing w:after="0" w:line="273" w:lineRule="auto"/>
        <w:tabs>
          <w:tab w:leader="none" w:pos="421"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cash in lieu of a fraction of a Parent Ordinary Share to which such holder is entitled pursuant to Section 2.03(d) (the Parent Ordinary Shares and cash described in clauses (A) and (B) being, collectively, the "Merger Consideration"), and the Certificate so surrendered shall forthwith be canceled. In the event of a transfer of ownership of shares of Company Common Stock which is not registered in the transfer records of the Company, Parent Ordinary Shares and cash (in lieu of a fraction of a Parent Ordinary Share) may be issued and paid in accordance with this Article II to a transferee if the certificate evidencing such shares of Company Common Stock is presented to the Exchange Agent, accompanied by all documents required to evidence and effect such transfer and by evidence that any applicable stock transfer taxes have been paid. If any Certificate representing Parent Ordinary Shares is to be issued in a name other than that in which the Certificate surrendered in exchange therefor is registered, it shall be a condition of such exchange that the Certificate so surrendered shall be properly endorsed and otherwise in proper form for transfer and that the person requesting such exchange shall pay to the Exchange Agent any transfer or other taxes required by reason of the issuance of certificates for such Parent Ordinary Shares in a name other than that of the registered holder of the Certificate surrendered, or shall establish to the satisfaction of the Exchange Agent that such tax has been paid or is not applicable. Until surrendered as contemplated by this Section 2.03, each Certificate shall be deemed at any time after the Effective Time to evidence only the right to receive upon such surrender the Merger Consideration.</w:t>
      </w:r>
    </w:p>
    <w:p>
      <w:pPr>
        <w:spacing w:after="0" w:line="200" w:lineRule="exact"/>
        <w:rPr>
          <w:rFonts w:ascii="Courier New" w:cs="Courier New" w:eastAsia="Courier New" w:hAnsi="Courier New"/>
          <w:sz w:val="16"/>
          <w:szCs w:val="16"/>
          <w:color w:val="auto"/>
        </w:rPr>
      </w:pPr>
    </w:p>
    <w:p>
      <w:pPr>
        <w:spacing w:after="0" w:line="300" w:lineRule="exact"/>
        <w:rPr>
          <w:rFonts w:ascii="Courier New" w:cs="Courier New" w:eastAsia="Courier New" w:hAnsi="Courier New"/>
          <w:sz w:val="16"/>
          <w:szCs w:val="16"/>
          <w:color w:val="auto"/>
        </w:rPr>
      </w:pPr>
    </w:p>
    <w:p>
      <w:pPr>
        <w:ind w:right="1779" w:firstLine="1904"/>
        <w:spacing w:after="0" w:line="256" w:lineRule="auto"/>
        <w:tabs>
          <w:tab w:leader="none" w:pos="2318"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or other distributions declared or made after the Effective Time with respect to Parent Ordinary Shares with a record date after the Effective Time shall be paid to the holder of any unsurrendered Certificate with respect to the Parent Ordinary Shares he is entitled to receive until the holder of such Certificate shall surrender such Certificate, at which time such dividends or distributions shall be paid. In no event shall the persons entitled to receive</w:t>
      </w: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such dividends or other distributions be entitled to receive interest on such dividends or other distributions.</w:t>
      </w:r>
    </w:p>
    <w:p>
      <w:pPr>
        <w:spacing w:after="0" w:line="51" w:lineRule="exact"/>
        <w:rPr>
          <w:sz w:val="20"/>
          <w:szCs w:val="20"/>
          <w:color w:val="auto"/>
        </w:rPr>
      </w:pPr>
    </w:p>
    <w:p>
      <w:pPr>
        <w:ind w:right="1779" w:firstLine="1904"/>
        <w:spacing w:after="0" w:line="242"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certificates or scrip representing a fraction of a Parent Ordinary Share shall be issued upon the conversion of Company Common Stock pursuant to Section 2.01(c), and such fractional share interests shall not entitle the owner thereof to vote or to any rights of a stockholder of Parent. As promptly as practicable following the Effective Time, the Exchange Agent shall determine the excess of (A) the number of Parent Ordinary Shares delivered to the Exchange Agent by Parent pursuant to Section 2.03(a) over (B) the aggregate number of whole Parent Ordinary Shares to be issued to holders of Company Common Stock pursuant to Section 2.01(c) (such excess being herein called the "Excess Shares"). As soon after the Effective Time as practicable, the Exchange Agent, as agent for the holders of Company Common Stock, shall sell the Excess Shares at then prevailing prices on the New York Stock Exchange (the "NYSE"), all in the manner provided in this paragraph (d). The sale of the Excess Shares by the Exchange Agent shall be executed on the NYSE and shall be executed in round lots to the extent practicable. Until the net proceeds of such sale or sales have been distributed to the holders of Company Common Stock entitled thereto, the Exchange Agent shall hold such proceeds in trust for such holders of Company Common Stock (the "Common Shares Trust"). The Exchange Agent shall determine the portion of the Common Shares Trust to which each holder of a Certificate shall be entitled, if any, by multiplying the amount of the aggregate net proceeds comprising the Common Shares Trust by a fraction, the numerator of which is the amount of the fractional share interest in a Parent Ordinary Share to which such holder is entitled under Section 2.01(c) (or would be entitled but for this Section 2.03(d)) and the denominator of which is the aggregate amount of fractional interests in Parent Ordinary Shares to which all holders of Company Common Stock are entitled.</w:t>
      </w:r>
    </w:p>
    <w:p>
      <w:pPr>
        <w:spacing w:after="0" w:line="123" w:lineRule="exact"/>
        <w:rPr>
          <w:rFonts w:ascii="Courier New" w:cs="Courier New" w:eastAsia="Courier New" w:hAnsi="Courier New"/>
          <w:sz w:val="18"/>
          <w:szCs w:val="18"/>
          <w:color w:val="auto"/>
        </w:rPr>
      </w:pPr>
    </w:p>
    <w:p>
      <w:pPr>
        <w:ind w:right="1879" w:firstLine="1904"/>
        <w:spacing w:after="0" w:line="256"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portion of the Exchange Fund that remains undistributed to the holders of Company Common Stock for six months after the Effective Time shall be delivered to Parent, upon demand, and any holders of Company Common Stock who have not theretofore complied with this Article II shall thereafter look only to Parent for the Merger Consideration to which they are entitled pursuant to this Agreement and any dividends or distributions with respect to the Merger Consideration.</w:t>
      </w:r>
    </w:p>
    <w:p>
      <w:pPr>
        <w:spacing w:after="0" w:line="98" w:lineRule="exact"/>
        <w:rPr>
          <w:rFonts w:ascii="Courier New" w:cs="Courier New" w:eastAsia="Courier New" w:hAnsi="Courier New"/>
          <w:sz w:val="18"/>
          <w:szCs w:val="18"/>
          <w:color w:val="auto"/>
        </w:rPr>
      </w:pPr>
    </w:p>
    <w:p>
      <w:pPr>
        <w:ind w:right="1879" w:firstLine="1904"/>
        <w:spacing w:after="0" w:line="265" w:lineRule="auto"/>
        <w:tabs>
          <w:tab w:leader="none" w:pos="231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the Company shall be liable to any holder of shares of Company Common Stock for any Parent Ordinary Shares (or dividends or distributions with respect thereto) or cash from the Exchange Fund delivered to a public official pursuant to any applicable abandoned property, escheat or similar law.</w:t>
      </w:r>
    </w:p>
    <w:p>
      <w:pPr>
        <w:spacing w:after="0" w:line="89" w:lineRule="exact"/>
        <w:rPr>
          <w:rFonts w:ascii="Courier New" w:cs="Courier New" w:eastAsia="Courier New" w:hAnsi="Courier New"/>
          <w:sz w:val="18"/>
          <w:szCs w:val="18"/>
          <w:color w:val="auto"/>
        </w:rPr>
      </w:pPr>
    </w:p>
    <w:p>
      <w:pPr>
        <w:ind w:right="1779" w:firstLine="1904"/>
        <w:spacing w:after="0" w:line="298" w:lineRule="auto"/>
        <w:tabs>
          <w:tab w:leader="none" w:pos="2318"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or the Exchange Agent shall be entitled to deduct and withhold from the consideration otherwise payable pursuant to this Agreement to any holder of shares of Company Common Stock such amounts as Parent or the Exchange Agent is required to deduct and withhold with respect to the making of such payment under the Code, or any provision of state, local or foreign tax law. To the extent that amounts are so withheld by Parent or the</w:t>
      </w:r>
    </w:p>
    <w:p>
      <w:pPr>
        <w:spacing w:after="0" w:line="27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13</w:t>
      </w:r>
    </w:p>
    <w:p>
      <w:pPr>
        <w:spacing w:after="0" w:line="31"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Exchange Agent, such withheld amounts shall be treated for all purposes of this Agreement as having been paid to the holder of the shares of Company Common Stock in respect of which such deduction and withholding was made by Parent or the Exchange Agent.</w:t>
      </w:r>
    </w:p>
    <w:p>
      <w:pPr>
        <w:spacing w:after="0" w:line="90" w:lineRule="exact"/>
        <w:rPr>
          <w:sz w:val="20"/>
          <w:szCs w:val="20"/>
          <w:color w:val="auto"/>
        </w:rPr>
      </w:pPr>
    </w:p>
    <w:p>
      <w:pPr>
        <w:ind w:right="1779" w:firstLine="1904"/>
        <w:spacing w:after="0" w:line="253" w:lineRule="auto"/>
        <w:tabs>
          <w:tab w:leader="none" w:pos="2318"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Certificate shall have been lost, stolen or destroyed, upon the making of an affidavit of that fact by the person or entity claiming such Certificate to be lost, stolen or destroyed and, if required by Parent or the Exchange Agent, the posting by such person or entity of a bond in such reasonable amount as Parent or the Exchange Agent may direct as indemnity against any claim that may be made against it with respect to such Certificate, the Exchange Agent shall exchange for such lost, stolen or destroyed Certificate the Merger Consideration pursuant to this Agreement.</w:t>
      </w:r>
    </w:p>
    <w:p>
      <w:pPr>
        <w:spacing w:after="0" w:line="104" w:lineRule="exact"/>
        <w:rPr>
          <w:sz w:val="20"/>
          <w:szCs w:val="20"/>
          <w:color w:val="auto"/>
        </w:rPr>
      </w:pPr>
    </w:p>
    <w:p>
      <w:pPr>
        <w:ind w:right="1879" w:firstLine="1896"/>
        <w:spacing w:after="0" w:line="274" w:lineRule="auto"/>
        <w:rPr>
          <w:sz w:val="20"/>
          <w:szCs w:val="20"/>
          <w:color w:val="auto"/>
        </w:rPr>
      </w:pPr>
      <w:r>
        <w:rPr>
          <w:rFonts w:ascii="Courier New" w:cs="Courier New" w:eastAsia="Courier New" w:hAnsi="Courier New"/>
          <w:sz w:val="18"/>
          <w:szCs w:val="18"/>
          <w:color w:val="auto"/>
        </w:rPr>
        <w:t>SECTION 2.04 Stock Transfer Books. At the Effective Time, the stock transfer books of the Company shall be closed, and there shall be no further registration of transfers of shares of Company Common Stock thereafter on the records of the Company.</w:t>
      </w:r>
    </w:p>
    <w:p>
      <w:pPr>
        <w:spacing w:after="0" w:line="8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THE COMPANY</w:t>
      </w:r>
    </w:p>
    <w:p>
      <w:pPr>
        <w:spacing w:after="0" w:line="20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The Company represents and warrants to Parent and Acquisition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as follows:</w:t>
      </w:r>
    </w:p>
    <w:p>
      <w:pPr>
        <w:spacing w:after="0" w:line="169"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SECTION 3.01 Organization and Qualification. The Company is a corporation duly organized, validly existing and in good standing under the laws of the State of Delaware and has all requisite corporate power and authority to own or lease and operate its properties and assets and to carry on its business as it is now being conducted. The Company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(as hereinafter defined) on the Company. As used herein, "Material Adverse Effect" shall mean, with respect to any party, a material adverse effect on the business, operations, assets, condition (financial or other) or operating results of such party and its subsidiaries, taken as a whole.</w:t>
      </w:r>
    </w:p>
    <w:p>
      <w:pPr>
        <w:spacing w:after="0" w:line="108" w:lineRule="exact"/>
        <w:rPr>
          <w:sz w:val="20"/>
          <w:szCs w:val="20"/>
          <w:color w:val="auto"/>
        </w:rPr>
      </w:pPr>
    </w:p>
    <w:p>
      <w:pPr>
        <w:ind w:right="1879" w:firstLine="1896"/>
        <w:spacing w:after="0" w:line="282" w:lineRule="auto"/>
        <w:rPr>
          <w:sz w:val="20"/>
          <w:szCs w:val="20"/>
          <w:color w:val="auto"/>
        </w:rPr>
      </w:pPr>
      <w:r>
        <w:rPr>
          <w:rFonts w:ascii="Courier New" w:cs="Courier New" w:eastAsia="Courier New" w:hAnsi="Courier New"/>
          <w:sz w:val="16"/>
          <w:szCs w:val="16"/>
          <w:color w:val="auto"/>
        </w:rPr>
        <w:t>SECTION 3.02 Subsidiaries. (a) Except for shares of the Subsidiaries or as set forth on Schedule 3.02 hereto (as hereinafter defined), the Company does not own of record or beneficially, directly or indirectly, (i) any shares of outstanding capital stock or securities convertible into capital stock of any other corporation or (ii) any participating interest in any partnership, joint venture or other non-corporate business enterprise. Each Subsidiary is a corporation duly organized, validly existing and in good standing under the laws of its jurisdiction of incorporation and has all requisite corporate power and authority to own or lease and operate its properties and to carry on its business as it is now being conducted. Each Subsidiary is duly qualified as a foreign corporation to do business, and is in good standing, in each jurisdiction in</w:t>
      </w:r>
    </w:p>
    <w:p>
      <w:pPr>
        <w:spacing w:after="0" w:line="200" w:lineRule="exact"/>
        <w:rPr>
          <w:sz w:val="20"/>
          <w:szCs w:val="20"/>
          <w:color w:val="auto"/>
        </w:rPr>
      </w:pPr>
    </w:p>
    <w:p>
      <w:pPr>
        <w:spacing w:after="0" w:line="29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8"/>
          <w:szCs w:val="18"/>
          <w:color w:val="auto"/>
        </w:rPr>
        <w:t>14</w:t>
      </w:r>
    </w:p>
    <w:p>
      <w:pPr>
        <w:spacing w:after="0" w:line="3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which the character of its properties owned or leased or the nature of its activities makes such qualification necessary, except where the failure to be so qualified would not have a Material Adverse Effect on the Company. Each Subsidiary and its jurisdiction of formation is identified in the Company's Annual Report on Form 10-K for the year ended December 31, 1998.</w:t>
      </w:r>
    </w:p>
    <w:p>
      <w:pPr>
        <w:spacing w:after="0" w:line="96" w:lineRule="exact"/>
        <w:rPr>
          <w:sz w:val="20"/>
          <w:szCs w:val="20"/>
          <w:color w:val="auto"/>
        </w:rPr>
      </w:pPr>
    </w:p>
    <w:p>
      <w:pPr>
        <w:ind w:right="1779" w:firstLine="1904"/>
        <w:spacing w:after="0" w:line="260" w:lineRule="auto"/>
        <w:tabs>
          <w:tab w:leader="none" w:pos="23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3.02 hereto, all the outstanding shares of capital stock of each Subsidiary are validly issued, fully paid and nonassessable and are owned by the Company or by a wholly-owned Subsidiary of the Company, free and clear of any liens, claims, charges, encumbrances or adverse claims, and there are no proxies outstanding or restrictions on voting with respect to any such shares.</w:t>
      </w:r>
    </w:p>
    <w:p>
      <w:pPr>
        <w:spacing w:after="0" w:line="92" w:lineRule="exact"/>
        <w:rPr>
          <w:rFonts w:ascii="Courier New" w:cs="Courier New" w:eastAsia="Courier New" w:hAnsi="Courier New"/>
          <w:sz w:val="18"/>
          <w:szCs w:val="18"/>
          <w:color w:val="auto"/>
        </w:rPr>
      </w:pPr>
    </w:p>
    <w:p>
      <w:pPr>
        <w:ind w:right="1779" w:firstLine="1904"/>
        <w:spacing w:after="0" w:line="265" w:lineRule="auto"/>
        <w:tabs>
          <w:tab w:leader="none" w:pos="2318"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"Subsidiary" shall mean any corporation or other business entity of which securities or other ownership interests having ordinary voting power to elect a majority of the board of directors or other persons performing similar functions are at the time owned by the Company and/or one or more other Subsidiaries.</w:t>
      </w:r>
    </w:p>
    <w:p>
      <w:pPr>
        <w:spacing w:after="0" w:line="90"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SECTION 3.03 Authority Relative to Agreements. The Company has all requisite corporate power and authority to execute and deliver this Agreement and the Option Agreement and to perform its respective obligations hereunder and thereunder. The execution, delivery and performance of this Agreement and the Option Agreement by the Company and the consummation by it of the transactions contemplated hereby and thereby have been duly authorized by the Company's Board of Directors and no other corporate proceedings on the part of the Company are necessary to authorize this Agreement and the Option Agreement and the transactions contemplated hereby and thereby, other than the approval of the Merger by a majority of the stockholders of the Company. This Agreement and the Option Agreement have been duly executed and delivered by the Company and, subject to such stockholder approval, constitute legal, valid and binding obligations of the Company, enforceable against the Company in accordance with their respective terms.</w:t>
      </w:r>
    </w:p>
    <w:p>
      <w:pPr>
        <w:spacing w:after="0" w:line="113"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6"/>
          <w:szCs w:val="16"/>
          <w:color w:val="auto"/>
        </w:rPr>
        <w:t>SECTION 3.04 Non-Contravention. Except as set forth on Schedule 3.04, the execution and delivery of this Agreement and the Option Agreement by the Company do not and the consummation by the Company of the transactions contemplated hereby and thereby will not (i) conflict with any provision of the Certificate of Incorporation or By-Laws of the Company; (ii) result (with the giving of notice or the lapse of time or both) in any violation of or default or loss of a benefit under, or permit the acceleration of any obligation under, any mortgage, indenture, lease, agreement or other instrument, permit, concession, grant, franchise, license, judgment, order, decree, statute, law, ordinance, rule or regulation applicable to the Company or any Subsidiary or their respective properties; or (iii) result in the creation or imposition of any lien, charge or encumbrance of any nature whatsoever upon any asset of the Company or any Subsidiary; other than (in the cases of clauses</w:t>
      </w:r>
    </w:p>
    <w:p>
      <w:pPr>
        <w:spacing w:after="0" w:line="182" w:lineRule="exact"/>
        <w:rPr>
          <w:sz w:val="20"/>
          <w:szCs w:val="20"/>
          <w:color w:val="auto"/>
        </w:rPr>
      </w:pPr>
    </w:p>
    <w:p>
      <w:pPr>
        <w:ind w:right="1879" w:firstLine="8"/>
        <w:spacing w:after="0" w:line="309" w:lineRule="auto"/>
        <w:tabs>
          <w:tab w:leader="none" w:pos="527"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(iii) above) such as could not reasonably be expected, individually or in the aggregate, to have a Material Adverse Effect on the Company.</w:t>
      </w:r>
    </w:p>
    <w:p>
      <w:pPr>
        <w:spacing w:after="0" w:line="25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8"/>
          <w:szCs w:val="18"/>
          <w:color w:val="auto"/>
        </w:rPr>
        <w:t>15</w:t>
      </w:r>
    </w:p>
    <w:p>
      <w:pPr>
        <w:spacing w:after="0" w:line="31" w:lineRule="exact"/>
        <w:rPr>
          <w:sz w:val="20"/>
          <w:szCs w:val="20"/>
          <w:color w:val="auto"/>
        </w:rPr>
      </w:pPr>
    </w:p>
    <w:p>
      <w:pPr>
        <w:ind w:right="1779" w:firstLine="1896"/>
        <w:spacing w:after="0" w:line="242" w:lineRule="auto"/>
        <w:rPr>
          <w:sz w:val="20"/>
          <w:szCs w:val="20"/>
          <w:color w:val="auto"/>
        </w:rPr>
      </w:pPr>
      <w:r>
        <w:rPr>
          <w:rFonts w:ascii="Courier New" w:cs="Courier New" w:eastAsia="Courier New" w:hAnsi="Courier New"/>
          <w:sz w:val="18"/>
          <w:szCs w:val="18"/>
          <w:color w:val="auto"/>
        </w:rPr>
        <w:t>SECTION 3.05 Capitalization. The authorized capital stock of the Company consists of (i) 40,000,000 shares of Company Common Stock and (ii) 2,000,000 shares of Preferred Stock, $.01 par value ("Preferred Stock"). As of August 4, 1999, 17,457,996 shares of Company Common Stock were issued and outstanding, all of which were duly and validly issued, fully paid and nonassessable, and no shares of Preferred Stock are outstanding. Except for options to purchase an aggregate 3,141,270 shares of Company Common Stock granted pursuant to the Company Stock Plans, no subscription, warrant, option, convertible security, stock appreciation or other right (contingent or other) to purchase or acquire, or any securities convertible into or exchangeable for, any shares of any class of capital stock of the Company or any Subsidiary is authorized or outstanding and there is not any commitment of the Company or any Subsidiary to issue any shares, warrants, options or other such rights or to distribute to holders of any class of its capital stock any evidences of indebtedness or assets. Neither the Company nor any Subsidiary has any obligation (contingent or other) to purchase, redeem or otherwise acquire any shares of its capital stock or any interest therein or to pay any dividend or make any other distribution in respect thereof.</w:t>
      </w:r>
    </w:p>
    <w:p>
      <w:pPr>
        <w:spacing w:after="0" w:line="116"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SECTION 3.06 SEC Filings. The Company has provided or made available to Parent and Acquisition true and complete copies of (i) the Annual Reports of the Company on Form 10-K for the years ended December 31, 1996, 1997 and 1998, (ii) the Quarterly Reports of the Company on Form 10-Q for the three months ended March 31, 1999 and June 30, 1999, (iii) its proxy or information statements relating to meetings of, or actions taken without a meeting by, the stockholders of the Company subsequent to January 1, 1997 and prior to the date hereof, and (iv) all other reports, statements and registration statements filed by the Company with the Securities and Exchange Commission (the "SEC") subsequent to January 1, 1997 (collectively, the "Company SEC Filings"). The Company SEC Filings (including, without limitation, any financial statements or schedules included therein) (i) were prepared in compliance with the requirements of the Securities Act of 1933, as amended (the "Securities Act"), or the Securities Exchange Act of 1934, as amended (the "Exchange Act"), as the case may be, and (ii) did not at the time of filing (or if amended, supplemented or superseded by a filing prior to the date hereof, on the date of that filing) contain any untrue statement of a material fact or omit to state a material fact required to be stated therein or necessary in order to make the statements therein, in the light of the circumstances under which they were made, not misleading. None of the Subsidiaries is required to file any forms, reports or other documents with the SEC.</w:t>
      </w:r>
    </w:p>
    <w:p>
      <w:pPr>
        <w:spacing w:after="0" w:line="200" w:lineRule="exact"/>
        <w:rPr>
          <w:sz w:val="20"/>
          <w:szCs w:val="20"/>
          <w:color w:val="auto"/>
        </w:rPr>
      </w:pPr>
    </w:p>
    <w:p>
      <w:pPr>
        <w:spacing w:after="0" w:line="296" w:lineRule="exact"/>
        <w:rPr>
          <w:sz w:val="20"/>
          <w:szCs w:val="20"/>
          <w:color w:val="auto"/>
        </w:rPr>
      </w:pPr>
    </w:p>
    <w:p>
      <w:pPr>
        <w:ind w:right="1779" w:firstLine="1896"/>
        <w:spacing w:after="0" w:line="283" w:lineRule="auto"/>
        <w:rPr>
          <w:sz w:val="20"/>
          <w:szCs w:val="20"/>
          <w:color w:val="auto"/>
        </w:rPr>
      </w:pPr>
      <w:r>
        <w:rPr>
          <w:rFonts w:ascii="Courier New" w:cs="Courier New" w:eastAsia="Courier New" w:hAnsi="Courier New"/>
          <w:sz w:val="16"/>
          <w:szCs w:val="16"/>
          <w:color w:val="auto"/>
        </w:rPr>
        <w:t>SECTION 3.07 Financial Statements. The consolidated financial statements of the Company included in the Company SEC Filings have been prepared in accordance with generally accepted accounting principles consistently applied and consistent with prior periods, subject, in the case of unaudited interim consolidated financial statements, to year-end adjustments (which consist of normal recurring accruals) and the absence of certain footnote disclosures. The consolidated balance sheets of the Company included in the Company SEC Filings fairly present the financial position of the Company and the Subsidiaries as of their respective dates, and the related consolidated statements of operations, stockholders' equity and cash flows included in the Company SEC Filings fairly present the results of operations of the</w:t>
      </w:r>
    </w:p>
    <w:p>
      <w:pPr>
        <w:spacing w:after="0" w:line="200" w:lineRule="exact"/>
        <w:rPr>
          <w:sz w:val="20"/>
          <w:szCs w:val="20"/>
          <w:color w:val="auto"/>
        </w:rPr>
      </w:pPr>
    </w:p>
    <w:p>
      <w:pPr>
        <w:spacing w:after="0" w:line="29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20" w:name="page21"/>
    <w:bookmarkEnd w:id="20"/>
    <w:p>
      <w:pPr>
        <w:ind w:left="320"/>
        <w:spacing w:after="0"/>
        <w:rPr>
          <w:sz w:val="20"/>
          <w:szCs w:val="20"/>
          <w:color w:val="auto"/>
        </w:rPr>
      </w:pPr>
      <w:r>
        <w:rPr>
          <w:rFonts w:ascii="Courier New" w:cs="Courier New" w:eastAsia="Courier New" w:hAnsi="Courier New"/>
          <w:sz w:val="18"/>
          <w:szCs w:val="18"/>
          <w:color w:val="auto"/>
        </w:rPr>
        <w:t>16</w:t>
      </w:r>
    </w:p>
    <w:p>
      <w:pPr>
        <w:spacing w:after="0" w:line="3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Company and the Subsidiaries for the respective periods then ended, subject, in the case of unaudited interim financial statements, to year-end adjustments (which consist of normal recurring accruals) and the absence of certain footnote disclosures. Except for liabilities or obligations that are accrued or reserved against in the Company's financial statements (or reflected in the notes hereto) included in the Company SEC Filings made prior to the date hereof or that were incurred subsequent to June 30, 1999 in the ordinary course of business and consistent with past practice, and except as set forth on Schedule 3.07 hereto, none of the Company and its Subsidiaries has any liabilities or obligations (whether absolute, accrued, contingent or otherwise) of a nature required by generally accepted accounting principles to be reflected in a consolidated balance sheet (or reflected in the notes thereto) or which would have a Material Adverse Effect on the Company.</w:t>
      </w:r>
    </w:p>
    <w:p>
      <w:pPr>
        <w:spacing w:after="0" w:line="109" w:lineRule="exact"/>
        <w:rPr>
          <w:sz w:val="20"/>
          <w:szCs w:val="20"/>
          <w:color w:val="auto"/>
        </w:rPr>
      </w:pPr>
    </w:p>
    <w:p>
      <w:pPr>
        <w:ind w:right="1879" w:firstLine="1896"/>
        <w:spacing w:after="0" w:line="278" w:lineRule="auto"/>
        <w:rPr>
          <w:sz w:val="20"/>
          <w:szCs w:val="20"/>
          <w:color w:val="auto"/>
        </w:rPr>
      </w:pPr>
      <w:r>
        <w:rPr>
          <w:rFonts w:ascii="Courier New" w:cs="Courier New" w:eastAsia="Courier New" w:hAnsi="Courier New"/>
          <w:sz w:val="16"/>
          <w:szCs w:val="16"/>
          <w:color w:val="auto"/>
        </w:rPr>
        <w:t>SECTION 3.08 Absence of Certain Changes or Events. Except as disclosed in the Company SEC Filings made prior to the date hereof or as set forth on Schedule 3.08 hereto, since December 31, 1998, neither the Company nor any Subsidiary has (i) issued any stock, bonds or other corporate securities,</w:t>
      </w:r>
    </w:p>
    <w:p>
      <w:pPr>
        <w:spacing w:after="0" w:line="3" w:lineRule="exact"/>
        <w:rPr>
          <w:sz w:val="20"/>
          <w:szCs w:val="20"/>
          <w:color w:val="auto"/>
        </w:rPr>
      </w:pPr>
    </w:p>
    <w:p>
      <w:pPr>
        <w:ind w:right="1779" w:firstLine="8"/>
        <w:spacing w:after="0" w:line="274" w:lineRule="auto"/>
        <w:tabs>
          <w:tab w:leader="none" w:pos="527"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borrowed any amount or incurred any material liabilities (absolute or contingent), except in the ordinary course of business, (iii) discharged or satisfied any lien or incurred or paid any obligation or liability (absolute or contingent) other than current liabilities shown on the consolidated balance sheet of the Company and the Subsidiaries as of December 31, 1998 referred to in Section 3.06 hereof and current liabilities incurred since the date of such balance sheet in the ordinary course of business, (iv) declared or made any payment or distribution to stockholders or purchased or redeemed any shares of its capital stock or other securities, (v) mortgaged, pledged or subjected to lien any of its assets, tangible or intangible, other than liens for current real property taxes not yet due and payable, (vi) sold, assigned or transferred any of its tangible assets, or canceled any debts or claims, except in the ordinary course of business or as otherwise contemplated hereby, (vii) sold, assigned or transferred any patents, trademarks, trade names, copyrights, trade secrets or other intangible assets, (viii) made any changes in officer or executive compensation, (ix) agreed, in writing or otherwise, to take any of the actions listed in clauses (i) through (viii) above, (x) suffered any Material Adverse Effect or waived any rights of substantial value, whether or not in the ordinary course of business, or (xi) entered into any material transaction, except in the ordinary course of business or as otherwise contemplated hereby.</w:t>
      </w:r>
    </w:p>
    <w:p>
      <w:pPr>
        <w:spacing w:after="0" w:line="291"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SECTION 3.09 Governmental Approvals. No consent, approval, order or authorization of, or registration, declaration or filing with, any federal, state, local or foreign governmental or regulatory authority is required to be made or obtained by the Company in connection with the execution and delivery of this Agreement and the Option Agreement by the Company or the consummation by the Company of the transactions contemplated hereby and thereby, except for (i) compliance by the Company with the Hart-Scott-Rodino Antitrust Improvements Act of 1976 (the "HSR Act"), (ii) the filing of a certificate of merger with the Secretary of State of the State of Delaware in accordance with the Delaware GCL, (iii) such as are listed on Schedule 3.09 hereto and (iv) such consents, approvals, orders or authorizations which if not obtained, or registrations, declarations or filings which if not made, would not materially adversely affect the ability of the Company to consummate the transactions contem-</w:t>
      </w:r>
    </w:p>
    <w:p>
      <w:pPr>
        <w:spacing w:after="0" w:line="31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8"/>
          <w:szCs w:val="18"/>
          <w:color w:val="auto"/>
        </w:rPr>
        <w:t>17</w:t>
      </w:r>
    </w:p>
    <w:p>
      <w:pPr>
        <w:spacing w:after="0" w:line="31"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8"/>
          <w:szCs w:val="18"/>
          <w:color w:val="auto"/>
        </w:rPr>
        <w:t>plated hereby or by the Option Agreement or the ability of the Surviving Corporation or any Subsidiary to conduct its business after the Effective Time substantially as currently conducted by the Company or such Subsidiary.</w:t>
      </w:r>
    </w:p>
    <w:p>
      <w:pPr>
        <w:spacing w:after="0" w:line="82" w:lineRule="exact"/>
        <w:rPr>
          <w:sz w:val="20"/>
          <w:szCs w:val="20"/>
          <w:color w:val="auto"/>
        </w:rPr>
      </w:pPr>
    </w:p>
    <w:p>
      <w:pPr>
        <w:ind w:right="1779" w:firstLine="1896"/>
        <w:spacing w:after="0" w:line="277" w:lineRule="auto"/>
        <w:rPr>
          <w:sz w:val="20"/>
          <w:szCs w:val="20"/>
          <w:color w:val="auto"/>
        </w:rPr>
      </w:pPr>
      <w:r>
        <w:rPr>
          <w:rFonts w:ascii="Courier New" w:cs="Courier New" w:eastAsia="Courier New" w:hAnsi="Courier New"/>
          <w:sz w:val="16"/>
          <w:szCs w:val="16"/>
          <w:color w:val="auto"/>
        </w:rPr>
        <w:t>SECTION 3.10 Compliance with Laws. Neither the Company nor any Subsidiary is in default under or in violation of any order of any court, governmental authority or arbitration board or tribunal to which the Company or such Subsidiary is or was subject or in violation of any laws, ordinances, governmental rules or regulations (including, but not limited to, those relating to export controls, labor and employment matters and foreign corrupt practices) to which the Company or any Subsidiary is or was subject, except for such defaults or violations that, in the aggregate, could not reasonably be expected to have a Material Adverse Effect on the Company. Neither the Company nor any Subsidiary has failed to obtain any licenses, permits, franchises or other governmental authorizations necessary to the ownership of its properties or to the conduct of its business, which failure could reasonably be expected to have a Material Adverse Effect on the Company, and, after giving effect to the transactions contemplated hereby, all such licenses, permits, franchises and other governmental authorizations will continue to be valid and in full force and effect except where such failure to be in full force and effect would not reasonably be expected to have a Material Adverse Effect on the Company.</w:t>
      </w:r>
    </w:p>
    <w:p>
      <w:pPr>
        <w:spacing w:after="0" w:line="299" w:lineRule="exact"/>
        <w:rPr>
          <w:sz w:val="20"/>
          <w:szCs w:val="20"/>
          <w:color w:val="auto"/>
        </w:rPr>
      </w:pPr>
    </w:p>
    <w:p>
      <w:pPr>
        <w:ind w:right="1779" w:firstLine="1896"/>
        <w:spacing w:after="0" w:line="243" w:lineRule="auto"/>
        <w:rPr>
          <w:sz w:val="20"/>
          <w:szCs w:val="20"/>
          <w:color w:val="auto"/>
        </w:rPr>
      </w:pPr>
      <w:r>
        <w:rPr>
          <w:rFonts w:ascii="Courier New" w:cs="Courier New" w:eastAsia="Courier New" w:hAnsi="Courier New"/>
          <w:sz w:val="18"/>
          <w:szCs w:val="18"/>
          <w:color w:val="auto"/>
        </w:rPr>
        <w:t>SECTION 3.11 Disclosure Documents. None of the information to be supplied by the Company for inclusion in (i) the Registration Statement to be filed with the SEC by Parent on Form F-4 under the Securities Act for the purpose of registering the Parent Ordinary Shares to be issued in connection with the Merger (the "Registration Statement") or (ii) the proxy statement to be distributed in connection with the Company's meeting of stockholders to vote upon this Agreement (the "Proxy Statement") will, in the case of the Registration Statement, at the time it becomes effective and at the Effective Time, or, in the case of the Proxy Statement or any amendments thereof or supplements thereto, at the time of the mailing of the Proxy Statement and any amendments or supplements thereto, and at the time of the meeting of stockholders of the Company to be held in connection with the Merger, contain any untrue statement of a material fact or omit to state any material fact required to be stated therein or necessary in order to make the statements therein, in light of the circumstances under which they are made, not misleading. The Proxy Statement will comply as to form in all material respects with the applicable provisions of the Exchange Act, and the rules and regulations promulgated thereunder, except that no representation is made by the Company with respect to statements made therein based on information supplied by Parent or its representatives for inclusion in the Proxy Statement or with respect to information concerning Parent or any of its subsidiaries incorporated by reference in the Proxy Statement.</w:t>
      </w:r>
    </w:p>
    <w:p>
      <w:pPr>
        <w:spacing w:after="0" w:line="117" w:lineRule="exact"/>
        <w:rPr>
          <w:sz w:val="20"/>
          <w:szCs w:val="20"/>
          <w:color w:val="auto"/>
        </w:rPr>
      </w:pPr>
    </w:p>
    <w:p>
      <w:pPr>
        <w:ind w:right="1779" w:firstLine="1896"/>
        <w:spacing w:after="0" w:line="306" w:lineRule="auto"/>
        <w:rPr>
          <w:sz w:val="20"/>
          <w:szCs w:val="20"/>
          <w:color w:val="auto"/>
        </w:rPr>
      </w:pPr>
      <w:r>
        <w:rPr>
          <w:rFonts w:ascii="Courier New" w:cs="Courier New" w:eastAsia="Courier New" w:hAnsi="Courier New"/>
          <w:sz w:val="16"/>
          <w:szCs w:val="16"/>
          <w:color w:val="auto"/>
        </w:rPr>
        <w:t>SECTION 3.12 Litigation. Except as set forth on Schedule 3.12 hereto, there is no action, suit, investigation, proceeding or claim pending or, to the best knowledge of the Company, threatened against or affecting the Company or any Subsidiary, or their respective properties or rights, before any governmental body or arbitration board or tribunal, either alone or</w:t>
      </w:r>
    </w:p>
    <w:p>
      <w:pPr>
        <w:spacing w:after="0" w:line="200" w:lineRule="exact"/>
        <w:rPr>
          <w:sz w:val="20"/>
          <w:szCs w:val="20"/>
          <w:color w:val="auto"/>
        </w:rPr>
      </w:pPr>
    </w:p>
    <w:p>
      <w:pPr>
        <w:spacing w:after="0" w:line="26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22" w:name="page23"/>
    <w:bookmarkEnd w:id="22"/>
    <w:p>
      <w:pPr>
        <w:ind w:left="320"/>
        <w:spacing w:after="0"/>
        <w:rPr>
          <w:sz w:val="20"/>
          <w:szCs w:val="20"/>
          <w:color w:val="auto"/>
        </w:rPr>
      </w:pPr>
      <w:r>
        <w:rPr>
          <w:rFonts w:ascii="Courier New" w:cs="Courier New" w:eastAsia="Courier New" w:hAnsi="Courier New"/>
          <w:sz w:val="18"/>
          <w:szCs w:val="18"/>
          <w:color w:val="auto"/>
        </w:rPr>
        <w:t>18</w:t>
      </w:r>
    </w:p>
    <w:p>
      <w:pPr>
        <w:spacing w:after="0" w:line="31" w:lineRule="exact"/>
        <w:rPr>
          <w:sz w:val="20"/>
          <w:szCs w:val="20"/>
          <w:color w:val="auto"/>
        </w:rPr>
      </w:pPr>
    </w:p>
    <w:p>
      <w:pPr>
        <w:ind w:right="2099"/>
        <w:spacing w:after="0" w:line="309" w:lineRule="auto"/>
        <w:rPr>
          <w:sz w:val="20"/>
          <w:szCs w:val="20"/>
          <w:color w:val="auto"/>
        </w:rPr>
      </w:pPr>
      <w:r>
        <w:rPr>
          <w:rFonts w:ascii="Courier New" w:cs="Courier New" w:eastAsia="Courier New" w:hAnsi="Courier New"/>
          <w:sz w:val="18"/>
          <w:szCs w:val="18"/>
          <w:color w:val="auto"/>
        </w:rPr>
        <w:t>together with other similar actions, the outcome of which could be reasonably expected to have a Material Adverse Effect on the Company.</w:t>
      </w:r>
    </w:p>
    <w:p>
      <w:pPr>
        <w:spacing w:after="0" w:line="51"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SECTION 3.13 Title to Properties. The Company and the Subsidiaries have good and valid title to the properties and assets reflected on the consolidated balance sheet of the Company and the Subsidiaries as of June 30, 1999 referred to in Section 3.06 hereof (other than non-material properties and assets disposed of in the ordinary course of business consistent with past practice since the date of such balance sheet), and all such properties and assets are free and clear of liens and encumbrances, except (i) as described on Schedule 3.13 hereto, (ii) liens for current taxes not yet due and payable and</w:t>
      </w:r>
    </w:p>
    <w:p>
      <w:pPr>
        <w:spacing w:after="0" w:line="3" w:lineRule="exact"/>
        <w:rPr>
          <w:sz w:val="20"/>
          <w:szCs w:val="20"/>
          <w:color w:val="auto"/>
        </w:rPr>
      </w:pPr>
    </w:p>
    <w:p>
      <w:pPr>
        <w:ind w:right="2419" w:firstLine="8"/>
        <w:spacing w:after="0" w:line="304" w:lineRule="auto"/>
        <w:tabs>
          <w:tab w:leader="none" w:pos="632"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minor imperfections of title, if any, not material in amount and not materially detracting from the value or impairing the use of the property subject thereto or impairing the operations or proposed operations of the Company or any of the Subsidiaries (collectively, "Permitted Liens").</w:t>
      </w:r>
    </w:p>
    <w:p>
      <w:pPr>
        <w:spacing w:after="0" w:line="63" w:lineRule="exact"/>
        <w:rPr>
          <w:sz w:val="20"/>
          <w:szCs w:val="20"/>
          <w:color w:val="auto"/>
        </w:rPr>
      </w:pPr>
    </w:p>
    <w:p>
      <w:pPr>
        <w:ind w:right="1779" w:firstLine="1896"/>
        <w:spacing w:after="0" w:line="244" w:lineRule="auto"/>
        <w:rPr>
          <w:sz w:val="20"/>
          <w:szCs w:val="20"/>
          <w:color w:val="auto"/>
        </w:rPr>
      </w:pPr>
      <w:r>
        <w:rPr>
          <w:rFonts w:ascii="Courier New" w:cs="Courier New" w:eastAsia="Courier New" w:hAnsi="Courier New"/>
          <w:sz w:val="18"/>
          <w:szCs w:val="18"/>
          <w:color w:val="auto"/>
        </w:rPr>
        <w:t>SECTION 3.14 Real Property Interests. Schedule 3.14 hereto sets forth a complete and accurate list of (i) the real properties owned by the Company or any of the Subsidiaries having a net book value as of June 30, 1999 in excess of $500,000 (the "Fee Properties") and (ii) the real properties leased by the Company or any of the Subsidiaries for annual rental payments in excess of $500,000 (the "Leased Properties"). Complete and accurate copies of all leases or other agreements relating to the Leased Properties have been delivered to Parent and there have been no changes or amendments to such leases or agreements since such delivery. Each lease or other agreement relating to the Leased Properties is a valid and subsisting agreement, without any material default of the Company or any Subsidiary thereunder and, to the best knowledge of the Company, without any material default thereunder of the other party thereto, and such leases and agreements give the Company and the Subsidiaries the right to use or occupy, as the case may be, all real properties as are sufficient and adequate to operate the business of the Company and the Subsidiaries as it is currently being conducted. Except as set forth on Schedule 3.14, the Company's or any Subsidiary's possession of such property has not been disturbed nor, to the best knowledge of the Company, has any claim been asserted against the Company or such Subsidiary materially adverse to its rights in such leasehold interests.</w:t>
      </w:r>
    </w:p>
    <w:p>
      <w:pPr>
        <w:spacing w:after="0" w:line="108" w:lineRule="exact"/>
        <w:rPr>
          <w:sz w:val="20"/>
          <w:szCs w:val="20"/>
          <w:color w:val="auto"/>
        </w:rPr>
      </w:pPr>
    </w:p>
    <w:p>
      <w:pPr>
        <w:ind w:right="1779" w:firstLine="1896"/>
        <w:spacing w:after="0" w:line="245" w:lineRule="auto"/>
        <w:rPr>
          <w:sz w:val="20"/>
          <w:szCs w:val="20"/>
          <w:color w:val="auto"/>
        </w:rPr>
      </w:pPr>
      <w:r>
        <w:rPr>
          <w:rFonts w:ascii="Courier New" w:cs="Courier New" w:eastAsia="Courier New" w:hAnsi="Courier New"/>
          <w:sz w:val="18"/>
          <w:szCs w:val="18"/>
          <w:color w:val="auto"/>
        </w:rPr>
        <w:t>SECTION 3.15 Software. (a) Each of the Company and the Subsidiaries has valid licenses to all copies of all software that is not owned by it and is used by it in connection with the conduct of its business ("Third Party Software"), and the use by the Company or such Subsidiary of such Third Party Software, including, without limitation, all modifications and enhancements thereto (whether or not created by the Company or such Subsidiary), complies with such license (except for such noncompliance as could not, individually or in the aggregate, be reasonably expected to have a Material Adverse Effect on the Company). The Company or a Subsidiary owns all right, title and interest in and to, or has sufficient rights in, all software used by the Company and the Subsidiaries in providing services to customers and all software marketed or licensed by the Company and the Subsidiaries to customers or held for use or in development for marketing and licensing to customers (collectively, "Proprietary Software"), and all such rights, titles and interests will continue to be valid and in full force and effect after the Effective Time.</w:t>
      </w:r>
    </w:p>
    <w:p>
      <w:pPr>
        <w:spacing w:after="0" w:line="200" w:lineRule="exact"/>
        <w:rPr>
          <w:sz w:val="20"/>
          <w:szCs w:val="20"/>
          <w:color w:val="auto"/>
        </w:rPr>
      </w:pPr>
    </w:p>
    <w:p>
      <w:pPr>
        <w:spacing w:after="0" w:line="31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8"/>
          <w:szCs w:val="18"/>
          <w:color w:val="auto"/>
        </w:rPr>
        <w:t>19</w:t>
      </w:r>
    </w:p>
    <w:p>
      <w:pPr>
        <w:spacing w:after="0" w:line="31" w:lineRule="exact"/>
        <w:rPr>
          <w:sz w:val="20"/>
          <w:szCs w:val="20"/>
          <w:color w:val="auto"/>
        </w:rPr>
      </w:pPr>
    </w:p>
    <w:p>
      <w:pPr>
        <w:ind w:right="1779" w:firstLine="1904"/>
        <w:spacing w:after="0" w:line="250" w:lineRule="auto"/>
        <w:tabs>
          <w:tab w:leader="none" w:pos="2318" w:val="left"/>
        </w:tabs>
        <w:numPr>
          <w:ilvl w:val="1"/>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 of the Third Party Software or Proprietary Software, no use thereof by the Company or any Subsidiary, and no permitted use thereof by any licensee infringes upon or violates in any respect material to the business of the Company any patent, copyright, trade secret or other intellectual property or contractual right of any customer or other person or entity, and no claim or demand with respect to any such infringement or violation has been made or, to the knowledge of the Company, threatened.</w:t>
      </w:r>
    </w:p>
    <w:p>
      <w:pPr>
        <w:spacing w:after="0" w:line="101" w:lineRule="exact"/>
        <w:rPr>
          <w:rFonts w:ascii="Courier New" w:cs="Courier New" w:eastAsia="Courier New" w:hAnsi="Courier New"/>
          <w:sz w:val="18"/>
          <w:szCs w:val="18"/>
          <w:color w:val="auto"/>
        </w:rPr>
      </w:pPr>
    </w:p>
    <w:p>
      <w:pPr>
        <w:ind w:right="1779" w:firstLine="1904"/>
        <w:spacing w:after="0" w:line="306" w:lineRule="auto"/>
        <w:tabs>
          <w:tab w:leader="none" w:pos="2318"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best knowledge of the Company, there are no viruses in the Proprietary Software and there are no defects in the Proprietary Software that would prevent such software from performing in all material respects the tasks and functions that it was intended to perform except those that can be cured without a Material Adverse Effect on the Company.</w:t>
      </w:r>
    </w:p>
    <w:p>
      <w:pPr>
        <w:spacing w:after="0" w:line="60" w:lineRule="exact"/>
        <w:rPr>
          <w:rFonts w:ascii="Courier New" w:cs="Courier New" w:eastAsia="Courier New" w:hAnsi="Courier New"/>
          <w:sz w:val="16"/>
          <w:szCs w:val="16"/>
          <w:color w:val="auto"/>
        </w:rPr>
      </w:pPr>
    </w:p>
    <w:p>
      <w:pPr>
        <w:ind w:right="1779" w:firstLine="1904"/>
        <w:spacing w:after="0" w:line="275" w:lineRule="auto"/>
        <w:tabs>
          <w:tab w:leader="none" w:pos="2318"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on Schedule 3.15 hereto, all Proprietary Software that contains or calls on a calendar function, including, without limitation, any function that is indexed to a computer processing unit clock or provides specific dates or calculates spans of dates, (i) is capable of recognizing, processing, managing, representing, interpreting and manipulating correctly date-related data for dates earlier and later than January 1, 2000,</w:t>
      </w:r>
    </w:p>
    <w:p>
      <w:pPr>
        <w:spacing w:after="0" w:line="1" w:lineRule="exact"/>
        <w:rPr>
          <w:rFonts w:ascii="Courier New" w:cs="Courier New" w:eastAsia="Courier New" w:hAnsi="Courier New"/>
          <w:sz w:val="16"/>
          <w:szCs w:val="16"/>
          <w:color w:val="auto"/>
        </w:rPr>
      </w:pPr>
    </w:p>
    <w:p>
      <w:pPr>
        <w:ind w:right="1879" w:firstLine="8"/>
        <w:spacing w:after="0" w:line="268" w:lineRule="auto"/>
        <w:tabs>
          <w:tab w:leader="none" w:pos="52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has the ability to provide date recognition for any data element without limitation, (iii) has the ability to function automatically into and beyond the year 2000 without human intervention and without any change in operations associated with the advent of the year 2000, (iv) has the ability to interpret data, dates and time correctly into and beyond the year 2000, (v) has the ability not to produce noncompliance in existing data, nor otherwise corrupt such data, into and beyond the year 2000, (vi) has the ability to process correctly after January 1, 2000, data containing dates before that date, and</w:t>
      </w:r>
    </w:p>
    <w:p>
      <w:pPr>
        <w:spacing w:after="0" w:line="1" w:lineRule="exact"/>
        <w:rPr>
          <w:rFonts w:ascii="Courier New" w:cs="Courier New" w:eastAsia="Courier New" w:hAnsi="Courier New"/>
          <w:sz w:val="16"/>
          <w:szCs w:val="16"/>
          <w:color w:val="auto"/>
        </w:rPr>
      </w:pPr>
    </w:p>
    <w:p>
      <w:pPr>
        <w:ind w:right="1779" w:firstLine="8"/>
        <w:spacing w:after="0" w:line="256" w:lineRule="auto"/>
        <w:tabs>
          <w:tab w:leader="none" w:pos="63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has the ability to recognize all "leap year" dates, including February 29, 2000 ("Year 2000 Functionality"). The Company and the Subsidiaries are in compliance with all commitments made to customers with respect to the Year 2000 Functionality of the Proprietary Software or Third Party Software used in the operations of the Company and the Subsidiaries.</w:t>
      </w:r>
    </w:p>
    <w:p>
      <w:pPr>
        <w:spacing w:after="0" w:line="96"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SECTION 3.16 Intellectual Property Rights. The Company and the Subsidiaries own or hold, or are validly licensed or have a legal right to use, all patents, trademarks and trade names, trademark and trade name registrations, servicemark, brandmark and brand name registrations and copyrights, the applications therefor and the licenses with respect thereto (collectively, "Intellectual Property Rights") that are necessary to the conduct of the business of the Company and the Subsidiaries as conducted as of the date hereof. Except as set forth on Schedule 3.16 hereto, (i) the Company and the Subsidiaries conduct such business in all material respects without infringement or claim of infringement of any Intellectual Property Right of others and the conduct by the Surviving Corporation after the Effective Time of such business, in substantially the same manner as it is currently conducted, will not infringe or misappropriate or otherwise violate in any respect material to the business of the Company the Intellectual Property Rights of any other person or constitute in any respect material to the business of the Company a breach or violation of any agreement relating to the Intellectual Property Rights of the Company and the Subsidiaries (other than as a result of agreements to which Parent or any of its affiliates is a party); (ii) the Company or a Subsidiary is, and after the consummation of the Merger will be,</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285" w:right="1440" w:bottom="144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8"/>
          <w:szCs w:val="18"/>
          <w:color w:val="auto"/>
        </w:rPr>
        <w:t>20</w:t>
      </w:r>
    </w:p>
    <w:p>
      <w:pPr>
        <w:spacing w:after="0" w:line="3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the sole and exclusive owner of, or have a valid license or other legal right to use, each Intellectual Property Right that is material to the business of the Company and the Subsidiaries, in each case free and clear of any liens and encumbrances (other than Permitted Liens) and, to the best knowledge of the Company, no person is challenging, infringing, misappropriating or otherwise violating any such Intellectual Property Rights or claiming that the conduct of the business of the Company and the Subsidiaries, as conducted as of the date hereof, infringes, misappropriates or otherwise violates the Intellectual Property Rights of any third party; (iii) the Company is not aware of any impediment to the registration of any material trademark that is currently the subject of any application for registration ; and (iv) none of the material Intellectual Property Rights of the Company and the Subsidiaries is the subject of any outstanding order, ruling, decree, judgment or stipulation.</w:t>
      </w:r>
    </w:p>
    <w:p>
      <w:pPr>
        <w:spacing w:after="0" w:line="109"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SECTION 3.17 Trade Secrets. No third party has claimed or notified the Company or any Subsidiary that any person employed by or otherwise affiliated with the Company or any Subsidiary has, in respect of his or her activities to date, violated any of the terms or conditions of his or her employment contract with any third party, or disclosed or utilized any trade secrets or proprietary information or documentation of any third party, or interfered in the employment relationship between any third party and any of its employees, and to the best knowledge of the Company, no person employed by or otherwise affiliated with the Company or any Subsidiary has employed any trade secrets or any information or documentation proprietary to any former employer, or violated any confidential relationship which such person may have had with any third party, in connection with the development or sale of any products of the Company or any Subsidiary.</w:t>
      </w:r>
    </w:p>
    <w:p>
      <w:pPr>
        <w:spacing w:after="0" w:line="108"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SECTION 3.18 Labor Matters. Neither the Company nor any of the Subsidiaries is or has been a party to any collective bargaining or union agreement, and no such agreement is or has been applicable to any employees of the Company or any of the Subsidiaries. There are not any controversies between the Company or any of the Subsidiaries and any of such employees that might reasonably be expected to have a Material Adverse Effect on the Company, or any unresolved labor union grievances or unfair labor practice or labor arbitration proceedings pending, or, to the best knowledge of the Company, threatened against the Company or any Subsidiary. To the best knowledge of the Company, there are no labor unions or other organizations representing or purporting to represent any employees of the Company or any of the Subsidiaries and there are not any organizational efforts currently being made or threatened involving any of such employees.</w:t>
      </w:r>
    </w:p>
    <w:p>
      <w:pPr>
        <w:spacing w:after="0" w:line="108"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3.19 Severance Arrangements. Except as set forth on Schedule 3.19 hereto, neither the Company nor any Subsidiary is party to any agreement with any employee (i) the benefits of which (including, without limitation, severance benefits) are contingent, or the terms of which are materially altered, upon the occurrence of a transaction involving the Company or any Subsidiary of the nature of any of the transactions contemplated by this Agreement or (ii) providing severance benefits in excess of those generally available under the Company's severance policies as in effect on the date hereof (which are described on Schedule 3.19), or which are</w:t>
      </w:r>
    </w:p>
    <w:p>
      <w:pPr>
        <w:spacing w:after="0" w:line="200" w:lineRule="exact"/>
        <w:rPr>
          <w:sz w:val="20"/>
          <w:szCs w:val="20"/>
          <w:color w:val="auto"/>
        </w:rPr>
      </w:pPr>
    </w:p>
    <w:p>
      <w:pPr>
        <w:spacing w:after="0" w:line="3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8"/>
          <w:szCs w:val="18"/>
          <w:color w:val="auto"/>
        </w:rPr>
        <w:t>21</w:t>
      </w:r>
    </w:p>
    <w:p>
      <w:pPr>
        <w:spacing w:after="0" w:line="31" w:lineRule="exact"/>
        <w:rPr>
          <w:sz w:val="20"/>
          <w:szCs w:val="20"/>
          <w:color w:val="auto"/>
        </w:rPr>
      </w:pPr>
    </w:p>
    <w:p>
      <w:pPr>
        <w:ind w:right="1879"/>
        <w:spacing w:after="0" w:line="256" w:lineRule="auto"/>
        <w:rPr>
          <w:sz w:val="20"/>
          <w:szCs w:val="20"/>
          <w:color w:val="auto"/>
        </w:rPr>
      </w:pPr>
      <w:r>
        <w:rPr>
          <w:rFonts w:ascii="Courier New" w:cs="Courier New" w:eastAsia="Courier New" w:hAnsi="Courier New"/>
          <w:sz w:val="18"/>
          <w:szCs w:val="18"/>
          <w:color w:val="auto"/>
        </w:rPr>
        <w:t>conditioned upon a change of control, after the termination of employment of such employees regardless of the reason for such termination of employment. Except as set forth on Schedule 3.19, neither the Company nor any Subsidiary is a party to any employment agreement or compensation guarantee extending for a period longer than one year from the date hereof.</w:t>
      </w:r>
    </w:p>
    <w:p>
      <w:pPr>
        <w:spacing w:after="0" w:line="96" w:lineRule="exact"/>
        <w:rPr>
          <w:sz w:val="20"/>
          <w:szCs w:val="20"/>
          <w:color w:val="auto"/>
        </w:rPr>
      </w:pPr>
    </w:p>
    <w:p>
      <w:pPr>
        <w:ind w:right="1779" w:firstLine="1896"/>
        <w:spacing w:after="0" w:line="273" w:lineRule="auto"/>
        <w:rPr>
          <w:sz w:val="20"/>
          <w:szCs w:val="20"/>
          <w:color w:val="auto"/>
        </w:rPr>
      </w:pPr>
      <w:r>
        <w:rPr>
          <w:rFonts w:ascii="Courier New" w:cs="Courier New" w:eastAsia="Courier New" w:hAnsi="Courier New"/>
          <w:sz w:val="16"/>
          <w:szCs w:val="16"/>
          <w:color w:val="auto"/>
        </w:rPr>
        <w:t>SECTION 3.20 Taxes. (a) Except as set forth on Schedule 3.20 hereto, each of the Company and the Subsidiaries has (i) timely filed all federal, state, local and foreign returns, declarations, reports, estimates, information returns and statements ("Returns") required to be filed by it in respect of any Taxes (as hereinafter defined), which Returns correctly reflect the facts regarding the income, business, assets, operations, activities and status of the Company and the Subsidiaries, (ii) timely paid or withheld all Taxes that are due and payable with respect to the Returns referred to in clause</w:t>
      </w:r>
    </w:p>
    <w:p>
      <w:pPr>
        <w:spacing w:after="0" w:line="3" w:lineRule="exact"/>
        <w:rPr>
          <w:sz w:val="20"/>
          <w:szCs w:val="20"/>
          <w:color w:val="auto"/>
        </w:rPr>
      </w:pPr>
    </w:p>
    <w:p>
      <w:pPr>
        <w:ind w:right="1779" w:firstLine="8"/>
        <w:spacing w:after="0" w:line="276" w:lineRule="auto"/>
        <w:tabs>
          <w:tab w:leader="none" w:pos="421"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Taxes that are being contested in good faith by appropriate proceedings and are adequately reserved for in the Company's most recent consolidated financial statements included in the Company SEC Filings made prior to the date hereof), (iii) established reserves that are adequate for the payment of all Taxes not yet due and payable with respect to the results of operations of the Company and the Subsidiaries through the date hereof, and (iv) to the best knowledge of the Company, complied in all material respects with all applicable laws, rules and regulations relating to the payment and withholding of Taxes and has timely withheld from employee wages and paid over to the proper governmental authorities all amounts required to be so withheld and paid over. Except for Taxes for which adequate reserves have been established as indicated in clauses (ii) and (iii), neither the Company nor any Subsidiary has any liability for any Taxes as a member, or as a result of having been a member, of any consolidated, combined, unitary, or aggregate group of companies.</w:t>
      </w:r>
    </w:p>
    <w:p>
      <w:pPr>
        <w:spacing w:after="0" w:line="296" w:lineRule="exact"/>
        <w:rPr>
          <w:rFonts w:ascii="Courier New" w:cs="Courier New" w:eastAsia="Courier New" w:hAnsi="Courier New"/>
          <w:sz w:val="16"/>
          <w:szCs w:val="16"/>
          <w:color w:val="auto"/>
        </w:rPr>
      </w:pPr>
    </w:p>
    <w:p>
      <w:pPr>
        <w:ind w:right="1779" w:firstLine="1904"/>
        <w:spacing w:after="0" w:line="260" w:lineRule="auto"/>
        <w:tabs>
          <w:tab w:leader="none" w:pos="231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3.20, (i) there is no deficiency, claim, audit, action, suit, proceeding, or investigation now pending or, to the best knowledge of the Company, threatened against or with respect to the Company or any Subsidiary in respect of any Taxes; and (ii) there are no requests for rulings or determinations in respect of any Taxes pending between the Company or any Subsidiary and any taxing authority.</w:t>
      </w:r>
    </w:p>
    <w:p>
      <w:pPr>
        <w:spacing w:after="0" w:line="92" w:lineRule="exact"/>
        <w:rPr>
          <w:rFonts w:ascii="Courier New" w:cs="Courier New" w:eastAsia="Courier New" w:hAnsi="Courier New"/>
          <w:sz w:val="18"/>
          <w:szCs w:val="18"/>
          <w:color w:val="auto"/>
        </w:rPr>
      </w:pPr>
    </w:p>
    <w:p>
      <w:pPr>
        <w:ind w:right="1779" w:firstLine="1904"/>
        <w:spacing w:after="0" w:line="252" w:lineRule="auto"/>
        <w:tabs>
          <w:tab w:leader="none" w:pos="231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3.20, neither the Company nor any Subsidiary has executed or entered into (or prior to the Effective Time will execute or enter into) with the Internal Revenue Service or any taxing authority (i) any agreement or other document extending or having the effect of extending the period for assessments or collection of any Taxes for which the Company or any Subsidiary would be liable or (ii) a closing agreement pursuant to Section 7121 of the Code, or any predecessor provision thereof or any similar provision of foreign, state or local Tax law that relates to the assets or operations of the Company or any Subsidiary.</w:t>
      </w:r>
    </w:p>
    <w:p>
      <w:pPr>
        <w:spacing w:after="0" w:line="98" w:lineRule="exact"/>
        <w:rPr>
          <w:rFonts w:ascii="Courier New" w:cs="Courier New" w:eastAsia="Courier New" w:hAnsi="Courier New"/>
          <w:sz w:val="18"/>
          <w:szCs w:val="18"/>
          <w:color w:val="auto"/>
        </w:rPr>
      </w:pPr>
    </w:p>
    <w:p>
      <w:pPr>
        <w:ind w:right="1879" w:firstLine="1904"/>
        <w:spacing w:after="0" w:line="265" w:lineRule="auto"/>
        <w:tabs>
          <w:tab w:leader="none" w:pos="2318"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"Tax" (and with correlative meaning, "Taxes") shall mean all federal, state, local, foreign or other taxing authority net income, franchise, sales, use, ad valorem, property, payroll, withholding, excise, severance, transfer, employment, alternative or add-on minimum, stamp, occupation, premium, environmental or</w:t>
      </w:r>
    </w:p>
    <w:p>
      <w:pPr>
        <w:spacing w:after="0" w:line="200" w:lineRule="exact"/>
        <w:rPr>
          <w:sz w:val="20"/>
          <w:szCs w:val="20"/>
          <w:color w:val="auto"/>
        </w:rPr>
      </w:pPr>
    </w:p>
    <w:p>
      <w:pPr>
        <w:spacing w:after="0" w:line="29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285"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8"/>
          <w:szCs w:val="18"/>
          <w:color w:val="auto"/>
        </w:rPr>
        <w:t>22</w:t>
      </w:r>
    </w:p>
    <w:p>
      <w:pPr>
        <w:spacing w:after="0" w:line="31" w:lineRule="exact"/>
        <w:rPr>
          <w:sz w:val="20"/>
          <w:szCs w:val="20"/>
          <w:color w:val="auto"/>
        </w:rPr>
      </w:pPr>
    </w:p>
    <w:p>
      <w:pPr>
        <w:ind w:right="1999"/>
        <w:spacing w:after="0" w:line="262" w:lineRule="auto"/>
        <w:rPr>
          <w:sz w:val="20"/>
          <w:szCs w:val="20"/>
          <w:color w:val="auto"/>
        </w:rPr>
      </w:pPr>
      <w:r>
        <w:rPr>
          <w:rFonts w:ascii="Courier New" w:cs="Courier New" w:eastAsia="Courier New" w:hAnsi="Courier New"/>
          <w:sz w:val="18"/>
          <w:szCs w:val="18"/>
          <w:color w:val="auto"/>
        </w:rPr>
        <w:t>windfall profits taxes, and other taxes, charges, fees, levies, imposts, customs, duties, licenses or other assessments, together with any interest and any penalties, additions to tax or additional amounts imposed by any taxing authority.</w:t>
      </w:r>
    </w:p>
    <w:p>
      <w:pPr>
        <w:spacing w:after="0" w:line="90" w:lineRule="exact"/>
        <w:rPr>
          <w:sz w:val="20"/>
          <w:szCs w:val="20"/>
          <w:color w:val="auto"/>
        </w:rPr>
      </w:pPr>
    </w:p>
    <w:p>
      <w:pPr>
        <w:ind w:right="1879" w:firstLine="1896"/>
        <w:spacing w:after="0" w:line="249" w:lineRule="auto"/>
        <w:rPr>
          <w:sz w:val="20"/>
          <w:szCs w:val="20"/>
          <w:color w:val="auto"/>
        </w:rPr>
      </w:pPr>
      <w:r>
        <w:rPr>
          <w:rFonts w:ascii="Courier New" w:cs="Courier New" w:eastAsia="Courier New" w:hAnsi="Courier New"/>
          <w:sz w:val="18"/>
          <w:szCs w:val="18"/>
          <w:color w:val="auto"/>
        </w:rPr>
        <w:t>SECTION 3.21 Employee Benefit Plans. (a) Except as set forth on Schedule 3.21 hereto, each of the Company and the Subsidiaries has complied and currently is in compliance in all material respects, both as to form and operation, with the applicable provisions of the Employee Retirement Income Security Act of 1974, as amended ("ERISA"), and the Code with respect to each "employee benefit plan" as defined under Section 3(3) of ERISA (a "Plan") which the Company or any Subsidiary (i) has ever adopted, maintained, established or to which any of the same has been required to contribute to or has ever contributed or (ii) currently maintains or to which any of the same currently contributes or is required to contribute or (iii) currently participates in or is required to participate in.</w:t>
      </w:r>
    </w:p>
    <w:p>
      <w:pPr>
        <w:spacing w:after="0" w:line="104" w:lineRule="exact"/>
        <w:rPr>
          <w:sz w:val="20"/>
          <w:szCs w:val="20"/>
          <w:color w:val="auto"/>
        </w:rPr>
      </w:pPr>
    </w:p>
    <w:p>
      <w:pPr>
        <w:ind w:right="1779" w:firstLine="1904"/>
        <w:spacing w:after="0" w:line="256" w:lineRule="auto"/>
        <w:tabs>
          <w:tab w:leader="none" w:pos="231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on Schedule 3.21, neither the Company nor any Subsidiary has ever maintained, adopted or established, contributed or been required to contribute to, or otherwise participated in or been required to participate in, a "multiemployer plan" (as defined in Section 3(37) of ERISA). No amount is due or owing from the Company or any of the Subsidiaries on account of a "multiemployer plan" (as defined in Section 3(37) of ERISA) or on account of any withdrawal therefrom.</w:t>
      </w:r>
    </w:p>
    <w:p>
      <w:pPr>
        <w:spacing w:after="0" w:line="98" w:lineRule="exact"/>
        <w:rPr>
          <w:rFonts w:ascii="Courier New" w:cs="Courier New" w:eastAsia="Courier New" w:hAnsi="Courier New"/>
          <w:sz w:val="18"/>
          <w:szCs w:val="18"/>
          <w:color w:val="auto"/>
        </w:rPr>
      </w:pPr>
    </w:p>
    <w:p>
      <w:pPr>
        <w:ind w:right="1779" w:firstLine="1904"/>
        <w:spacing w:after="0" w:line="248" w:lineRule="auto"/>
        <w:tabs>
          <w:tab w:leader="none" w:pos="2318"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routine claims for benefits and liability for premiums due to the Pension Benefit Guaranty Corporation, neither the Company nor any Subsidiary has incurred any material liability with respect to a Plan that is currently due and owing and has not yet been satisfied, including, without limitation, under ERISA (including, without limitation, Title I or Title IV thereof), the Code or other applicable law, and no event has occurred, and, to the best knowledge of the Company, there exists no condition or set of circumstances (other than the accrual of benefits under the normal terms of the Plans), that could result in the imposition of any material liability on the Company or any Subsidiary with respect to a Plan, including, without limitation, under ERISA (including, without limitation, Title I or Title IV of ERISA), the Code or other applicable law with respect to a Plan.</w:t>
      </w:r>
    </w:p>
    <w:p>
      <w:pPr>
        <w:spacing w:after="0" w:line="105" w:lineRule="exact"/>
        <w:rPr>
          <w:rFonts w:ascii="Courier New" w:cs="Courier New" w:eastAsia="Courier New" w:hAnsi="Courier New"/>
          <w:sz w:val="18"/>
          <w:szCs w:val="18"/>
          <w:color w:val="auto"/>
        </w:rPr>
      </w:pPr>
    </w:p>
    <w:p>
      <w:pPr>
        <w:ind w:right="1879" w:firstLine="1904"/>
        <w:spacing w:after="0" w:line="283" w:lineRule="auto"/>
        <w:tabs>
          <w:tab w:leader="none" w:pos="2318"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required by applicable law or as set forth on Schedule 3.21, neither the Company nor any Subsidiary has committed itself, orally or in writing, (x) to provide or cause to be provided to any person any payments or provision of any "welfare" or "pension" benefits (as defined in Sections 3(1) and 3(2) of ERISA) in addition to, or in lieu of, those payments or benefits set forth under any Plan, (y) to continue the payment of, or accelerate the payment of, benefits under any Plan, except as expressly set forth thereunder or (z) to provide or cause to be provided any severance or other post-employment benefit, salary continuation, termination, disability, death, retirement, health or medical benefit to any person (including, without limitation, any former or current employee) except as set forth under any Plan.</w:t>
      </w:r>
    </w:p>
    <w:p>
      <w:pPr>
        <w:spacing w:after="0" w:line="200" w:lineRule="exact"/>
        <w:rPr>
          <w:sz w:val="20"/>
          <w:szCs w:val="20"/>
          <w:color w:val="auto"/>
        </w:rPr>
      </w:pPr>
    </w:p>
    <w:p>
      <w:pPr>
        <w:spacing w:after="0" w:line="2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285" w:right="1440" w:bottom="1440" w:gutter="0" w:footer="0" w:header="0"/>
        </w:sectPr>
      </w:pPr>
    </w:p>
    <w:bookmarkStart w:id="27" w:name="page28"/>
    <w:bookmarkEnd w:id="27"/>
    <w:p>
      <w:pPr>
        <w:ind w:left="320"/>
        <w:spacing w:after="0"/>
        <w:rPr>
          <w:sz w:val="20"/>
          <w:szCs w:val="20"/>
          <w:color w:val="auto"/>
        </w:rPr>
      </w:pPr>
      <w:r>
        <w:rPr>
          <w:rFonts w:ascii="Courier New" w:cs="Courier New" w:eastAsia="Courier New" w:hAnsi="Courier New"/>
          <w:sz w:val="18"/>
          <w:szCs w:val="18"/>
          <w:color w:val="auto"/>
        </w:rPr>
        <w:t>23</w:t>
      </w:r>
    </w:p>
    <w:p>
      <w:pPr>
        <w:spacing w:after="0" w:line="31"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SECTION 3.22 Environmental Matters. Each of the Company and the Subsidiaries conducts its business and operations in material compliance with all applicable environmental laws, ordinances and regulations, and neither the Company nor any Subsidiary has received notice of any claim, action, suit, proceeding, hearing or investigation, based on or related to the manufacture, processing, distribution, use, treatment, storage, disposal, transport, or handling, or the emission, discharge, release or threatened release into the environment, of any pollutant, contaminant, or hazardous or toxic material or waste (collectively, an "Environmental Event") by the Company or any Subsidiary. To the best knowledge of the Company, no notice of any Environmental Event was given to any person or entity that occupied any of the premises occupied by or used by the Company or any Subsidiary prior to the date such premises were so occupied. Without limiting the generality of the foregoing, to the best knowledge of the Company, neither the Company nor any Subsidiary has disposed of or placed on or in any property or facility used in its business any waste materials, hazardous materials or hazardous substances in violation of law.</w:t>
      </w:r>
    </w:p>
    <w:p>
      <w:pPr>
        <w:spacing w:after="0" w:line="297" w:lineRule="exact"/>
        <w:rPr>
          <w:sz w:val="20"/>
          <w:szCs w:val="20"/>
          <w:color w:val="auto"/>
        </w:rPr>
      </w:pPr>
    </w:p>
    <w:p>
      <w:pPr>
        <w:ind w:right="1779" w:firstLine="1896"/>
        <w:spacing w:after="0" w:line="347" w:lineRule="auto"/>
        <w:rPr>
          <w:sz w:val="20"/>
          <w:szCs w:val="20"/>
          <w:color w:val="auto"/>
        </w:rPr>
      </w:pPr>
      <w:r>
        <w:rPr>
          <w:rFonts w:ascii="Courier New" w:cs="Courier New" w:eastAsia="Courier New" w:hAnsi="Courier New"/>
          <w:sz w:val="18"/>
          <w:szCs w:val="18"/>
          <w:color w:val="auto"/>
        </w:rPr>
        <w:t>SECTION 3.23 Contracts. Schedule 3.23 sets forth a list of the following contracts, agreements, commitments and other instruments:</w:t>
      </w:r>
    </w:p>
    <w:p>
      <w:pPr>
        <w:spacing w:after="0" w:line="18" w:lineRule="exact"/>
        <w:rPr>
          <w:sz w:val="20"/>
          <w:szCs w:val="20"/>
          <w:color w:val="auto"/>
        </w:rPr>
      </w:pPr>
    </w:p>
    <w:p>
      <w:pPr>
        <w:ind w:left="1900" w:right="1779" w:firstLine="952"/>
        <w:spacing w:after="0" w:line="281" w:lineRule="auto"/>
        <w:tabs>
          <w:tab w:leader="none" w:pos="326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continuing contracts for the future purchase, sale, development or manufacture of products, material, supplies, equipment, software or services requiring payment to or from the Company or any Subsidiary in an amount in excess of $1,000,000 per annum (x) which is not terminable on 120 days' or less notice without costs or other liability at or at any time after the Effective Time, or (y) in which the Company or such Subsidiary has granted or received manufacturing rights, most favored nations pricing provisions or exclusive marketing or other exclusive rights relating to any software or types of products or services or territory or (z) which require consent or are otherwise terminable upon a change of control of the Company;</w:t>
      </w:r>
    </w:p>
    <w:p>
      <w:pPr>
        <w:spacing w:after="0" w:line="289" w:lineRule="exact"/>
        <w:rPr>
          <w:rFonts w:ascii="Courier New" w:cs="Courier New" w:eastAsia="Courier New" w:hAnsi="Courier New"/>
          <w:sz w:val="16"/>
          <w:szCs w:val="16"/>
          <w:color w:val="auto"/>
        </w:rPr>
      </w:pPr>
    </w:p>
    <w:p>
      <w:pPr>
        <w:ind w:left="1900" w:right="1779" w:firstLine="952"/>
        <w:spacing w:after="0" w:line="279" w:lineRule="auto"/>
        <w:tabs>
          <w:tab w:leader="none" w:pos="3375"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contracts providing for the development of software for, or license of software to, the Company or any Subsidiary at a cost of $250,000 or more (other than software licensed to the Company or any Subsidiary from a third party as to which the Company or such Subsidiary has a fully-paid perpetual license to use and distribute without any restrictions or limitations, or that is generally available to the public from such third party at a per copy license fee of less than $5,000, but including any site or corporate license and each agreement providing for either the delivery of source code or the escrow of source code for the benefit of the licensee or any original equipment manufacturer, and each distribution or other agreement that requires the Company or any Subsidiary to perform any ongoing development of software including updates and error corrections);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285"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24</w:t>
      </w:r>
    </w:p>
    <w:p>
      <w:pPr>
        <w:spacing w:after="0" w:line="31" w:lineRule="exact"/>
        <w:rPr>
          <w:sz w:val="20"/>
          <w:szCs w:val="20"/>
          <w:color w:val="auto"/>
        </w:rPr>
      </w:pPr>
    </w:p>
    <w:p>
      <w:pPr>
        <w:ind w:left="1580" w:right="1779" w:firstLine="952"/>
        <w:spacing w:after="0" w:line="262" w:lineRule="auto"/>
        <w:tabs>
          <w:tab w:leader="none" w:pos="31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joint venture, partnership or other agreements that involve or are reasonably expected to involve a sharing of profits or losses in excess of $100,000 per annum with any other party;</w:t>
      </w:r>
    </w:p>
    <w:p>
      <w:pPr>
        <w:spacing w:after="0" w:line="90" w:lineRule="exact"/>
        <w:rPr>
          <w:rFonts w:ascii="Courier New" w:cs="Courier New" w:eastAsia="Courier New" w:hAnsi="Courier New"/>
          <w:sz w:val="18"/>
          <w:szCs w:val="18"/>
          <w:color w:val="auto"/>
        </w:rPr>
      </w:pPr>
    </w:p>
    <w:p>
      <w:pPr>
        <w:ind w:left="1580" w:right="1779" w:firstLine="952"/>
        <w:spacing w:after="0" w:line="256" w:lineRule="auto"/>
        <w:tabs>
          <w:tab w:leader="none" w:pos="305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indenture, mortgage, promissory note, loan agreement, guarantee or other agreement or commitment for the borrowing of money, for a line of credit or for a leasing transaction of a type required to be capitalized in accordance with generally accepted accounting principles which require payment by the Company of amounts in excess of $50,000 per annum;</w:t>
      </w:r>
    </w:p>
    <w:p>
      <w:pPr>
        <w:spacing w:after="0" w:line="98" w:lineRule="exact"/>
        <w:rPr>
          <w:rFonts w:ascii="Courier New" w:cs="Courier New" w:eastAsia="Courier New" w:hAnsi="Courier New"/>
          <w:sz w:val="18"/>
          <w:szCs w:val="18"/>
          <w:color w:val="auto"/>
        </w:rPr>
      </w:pPr>
    </w:p>
    <w:p>
      <w:pPr>
        <w:ind w:left="1580" w:right="1999" w:firstLine="952"/>
        <w:spacing w:after="0" w:line="288" w:lineRule="auto"/>
        <w:tabs>
          <w:tab w:leader="none" w:pos="294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specified in (i) above that restricts the Company or any Subsidiary from engaging in any material aspect of its business or competing in any line of business in any geographic area or in any functional area or that requires the Company or any Subsidiary to distribute or use exclusively a third party technology or product and any other such agreements not listed in (i) above where the restrictions contained therein could have a Material Adverse Effect on the Company;</w:t>
      </w:r>
    </w:p>
    <w:p>
      <w:pPr>
        <w:spacing w:after="0" w:line="285" w:lineRule="exact"/>
        <w:rPr>
          <w:rFonts w:ascii="Courier New" w:cs="Courier New" w:eastAsia="Courier New" w:hAnsi="Courier New"/>
          <w:sz w:val="16"/>
          <w:szCs w:val="16"/>
          <w:color w:val="auto"/>
        </w:rPr>
      </w:pPr>
    </w:p>
    <w:p>
      <w:pPr>
        <w:jc w:val="both"/>
        <w:ind w:left="1580" w:right="1779" w:firstLine="952"/>
        <w:spacing w:after="0" w:line="318" w:lineRule="auto"/>
        <w:tabs>
          <w:tab w:leader="none" w:pos="305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agreement between or among the Company and any Subsidiary regarding intercompany loans, revenue or cost sharing, ownership or license of Intellectual Property Rights, intercompany royalties or dividends or similar matters;</w:t>
      </w:r>
    </w:p>
    <w:p>
      <w:pPr>
        <w:spacing w:after="0" w:line="52" w:lineRule="exact"/>
        <w:rPr>
          <w:rFonts w:ascii="Courier New" w:cs="Courier New" w:eastAsia="Courier New" w:hAnsi="Courier New"/>
          <w:sz w:val="16"/>
          <w:szCs w:val="16"/>
          <w:color w:val="auto"/>
        </w:rPr>
      </w:pPr>
    </w:p>
    <w:p>
      <w:pPr>
        <w:ind w:left="1580" w:right="1779" w:firstLine="952"/>
        <w:spacing w:after="0" w:line="260" w:lineRule="auto"/>
        <w:tabs>
          <w:tab w:leader="none" w:pos="31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dealer, distributor, sales representative, original equipment manufacturer, value added remarketer, subcontractor or other agreements for the ongoing distribution by third parties of the products and services of the Company or any Subsidiary which require payments in excess of $50,000 per annum;</w:t>
      </w:r>
    </w:p>
    <w:p>
      <w:pPr>
        <w:spacing w:after="0" w:line="92" w:lineRule="exact"/>
        <w:rPr>
          <w:rFonts w:ascii="Courier New" w:cs="Courier New" w:eastAsia="Courier New" w:hAnsi="Courier New"/>
          <w:sz w:val="18"/>
          <w:szCs w:val="18"/>
          <w:color w:val="auto"/>
        </w:rPr>
      </w:pPr>
    </w:p>
    <w:p>
      <w:pPr>
        <w:ind w:left="1580" w:right="1779" w:firstLine="952"/>
        <w:spacing w:after="0" w:line="347" w:lineRule="auto"/>
        <w:tabs>
          <w:tab w:leader="none" w:pos="326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agreement by the Company or any Subsidiary regarding directors and officers indemnification;</w:t>
      </w:r>
    </w:p>
    <w:p>
      <w:pPr>
        <w:spacing w:after="0" w:line="18" w:lineRule="exact"/>
        <w:rPr>
          <w:rFonts w:ascii="Courier New" w:cs="Courier New" w:eastAsia="Courier New" w:hAnsi="Courier New"/>
          <w:sz w:val="18"/>
          <w:szCs w:val="18"/>
          <w:color w:val="auto"/>
        </w:rPr>
      </w:pPr>
    </w:p>
    <w:p>
      <w:pPr>
        <w:ind w:left="1580" w:right="1779" w:firstLine="952"/>
        <w:spacing w:after="0" w:line="344" w:lineRule="auto"/>
        <w:tabs>
          <w:tab w:leader="none" w:pos="3055"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agreement, contract or commitment by the Company or any Subsidiary relating to capital expenditures or involving future obligations in excess of $750,000;</w:t>
      </w:r>
    </w:p>
    <w:p>
      <w:pPr>
        <w:spacing w:after="0" w:line="30" w:lineRule="exact"/>
        <w:rPr>
          <w:rFonts w:ascii="Courier New" w:cs="Courier New" w:eastAsia="Courier New" w:hAnsi="Courier New"/>
          <w:sz w:val="16"/>
          <w:szCs w:val="16"/>
          <w:color w:val="auto"/>
        </w:rPr>
      </w:pPr>
    </w:p>
    <w:p>
      <w:pPr>
        <w:jc w:val="both"/>
        <w:ind w:left="1580" w:right="1879" w:firstLine="952"/>
        <w:spacing w:after="0" w:line="292" w:lineRule="auto"/>
        <w:tabs>
          <w:tab w:leader="none" w:pos="2949"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voting trust or stockholders agreement known to the Company between or among the Company or any Subsidiary and stockholders of the Company; and</w:t>
      </w:r>
    </w:p>
    <w:p>
      <w:pPr>
        <w:spacing w:after="0" w:line="66" w:lineRule="exact"/>
        <w:rPr>
          <w:rFonts w:ascii="Courier New" w:cs="Courier New" w:eastAsia="Courier New" w:hAnsi="Courier New"/>
          <w:sz w:val="18"/>
          <w:szCs w:val="18"/>
          <w:color w:val="auto"/>
        </w:rPr>
      </w:pPr>
    </w:p>
    <w:p>
      <w:pPr>
        <w:ind w:left="1580" w:right="1779" w:firstLine="952"/>
        <w:spacing w:after="0" w:line="347" w:lineRule="auto"/>
        <w:tabs>
          <w:tab w:leader="none" w:pos="3055"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tax sharing or tax indemnification agreement between or among the Company or any Subsidiary.</w:t>
      </w:r>
    </w:p>
    <w:p>
      <w:pPr>
        <w:spacing w:after="0" w:line="200" w:lineRule="exact"/>
        <w:rPr>
          <w:sz w:val="20"/>
          <w:szCs w:val="20"/>
          <w:color w:val="auto"/>
        </w:rPr>
      </w:pPr>
    </w:p>
    <w:p>
      <w:pPr>
        <w:spacing w:after="0" w:line="223"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9899"/>
          </w:cols>
          <w:pgMar w:left="560" w:top="285" w:right="1440" w:bottom="1440" w:gutter="0" w:footer="0" w:header="0"/>
        </w:sectPr>
      </w:pPr>
    </w:p>
    <w:bookmarkStart w:id="29" w:name="page30"/>
    <w:bookmarkEnd w:id="29"/>
    <w:p>
      <w:pPr>
        <w:ind w:left="320"/>
        <w:spacing w:after="0"/>
        <w:rPr>
          <w:sz w:val="20"/>
          <w:szCs w:val="20"/>
          <w:color w:val="auto"/>
        </w:rPr>
      </w:pPr>
      <w:r>
        <w:rPr>
          <w:rFonts w:ascii="Courier New" w:cs="Courier New" w:eastAsia="Courier New" w:hAnsi="Courier New"/>
          <w:sz w:val="18"/>
          <w:szCs w:val="18"/>
          <w:color w:val="auto"/>
        </w:rPr>
        <w:t>25</w:t>
      </w:r>
    </w:p>
    <w:p>
      <w:pPr>
        <w:spacing w:after="0" w:line="31" w:lineRule="exact"/>
        <w:rPr>
          <w:sz w:val="20"/>
          <w:szCs w:val="20"/>
          <w:color w:val="auto"/>
        </w:rPr>
      </w:pPr>
    </w:p>
    <w:p>
      <w:pPr>
        <w:ind w:right="1779" w:firstLine="1896"/>
        <w:spacing w:after="0" w:line="238" w:lineRule="auto"/>
        <w:rPr>
          <w:sz w:val="20"/>
          <w:szCs w:val="20"/>
          <w:color w:val="auto"/>
        </w:rPr>
      </w:pPr>
      <w:r>
        <w:rPr>
          <w:rFonts w:ascii="Courier New" w:cs="Courier New" w:eastAsia="Courier New" w:hAnsi="Courier New"/>
          <w:sz w:val="18"/>
          <w:szCs w:val="18"/>
          <w:color w:val="auto"/>
        </w:rPr>
        <w:t>Except as set forth on Schedule 3.23 or as disclosed in the Company SEC Filings made prior to the date hereof, there are not contracts or agreements that are material to the conduct of the business of the Company and the Subsidiaries or to the financial condition or results of operations of the Company and the Subsidiaries, taken as a whole. The Company has delivered to Parent complete and accurate copies of the contracts and agreements set forth on Schedule 3.23 and each such contract or agreement is a valid and subsisting agreement, without any material default of the Company or any Subsidiary thereunder and, to the best knowledge of the Company, without any material default thereunder of the other party thereto. Except as set forth on Schedule</w:t>
      </w:r>
    </w:p>
    <w:p>
      <w:pPr>
        <w:spacing w:after="0" w:line="4"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3.23, the Company has not received notice of any cancellation or termination of, or of any threat to cancel or terminate, any such contracts or agreements. The Company has no contracts requiring payment to the Company of amounts in excess of $1,000,000 per annum which may be terminated by the customer on 120 days' notice or less. The Company has no obligation to extend or to provide any services pursuant to any customer contracts that by their own terms expire on or before December 31, 1999.</w:t>
      </w:r>
    </w:p>
    <w:p>
      <w:pPr>
        <w:spacing w:after="0" w:line="102" w:lineRule="exact"/>
        <w:rPr>
          <w:sz w:val="20"/>
          <w:szCs w:val="20"/>
          <w:color w:val="auto"/>
        </w:rPr>
      </w:pPr>
    </w:p>
    <w:p>
      <w:pPr>
        <w:ind w:right="1779" w:firstLine="1896"/>
        <w:spacing w:after="0" w:line="285" w:lineRule="auto"/>
        <w:rPr>
          <w:sz w:val="20"/>
          <w:szCs w:val="20"/>
          <w:color w:val="auto"/>
        </w:rPr>
      </w:pPr>
      <w:r>
        <w:rPr>
          <w:rFonts w:ascii="Courier New" w:cs="Courier New" w:eastAsia="Courier New" w:hAnsi="Courier New"/>
          <w:sz w:val="16"/>
          <w:szCs w:val="16"/>
          <w:color w:val="auto"/>
        </w:rPr>
        <w:t>SECTION 3.24 Customer Relationships. Except as set forth on Schedule 3.24 hereto, neither the Company nor any Subsidiary has, since December 31, 1998, lost, or been notified that it will lose or suffer diminution in, and to the best knowledge of the Company no representative of any customer has notified the Company or any Subsidiary that, in the event of a change of ownership of the Company such as contemplated by this Agreement, the Company or any Subsidiary would, lose or suffer diminution in its relationship with any material customer, except, with respect to events occurring after the date hereof and on or prior to Effective Time, where any such loss or diminution would not have a Material Adverse Effect on the Company.</w:t>
      </w:r>
    </w:p>
    <w:p>
      <w:pPr>
        <w:spacing w:after="0" w:line="291"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SECTION 3.25 Certain Transactions. Except as disclosed in the Company SEC Filings made prior to the date hereof or as set forth on Schedule 3.25 hereto, there are no existing or proposed material transactions or arrangements between the Company or any Subsidiary and (i) any director or executive officer of the Company or (ii) any other person or entity controlling or under common control with the Company.</w:t>
      </w:r>
    </w:p>
    <w:p>
      <w:pPr>
        <w:spacing w:after="0" w:line="93"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SECTION 3.26 Insurance. The Company and the Subsidiaries maintain policies of fire, liability, workers' compensation and other forms of insurance providing insurance coverage to or for the Company or any of the Subsidiaries for events or occurrences arising or taking place, in the case of occurrence type insurance, and for claims made and/or suits commenced, in the case of claims-made type insurance, that provide insurance in such amounts and against such risks as is customary for companies engaged in similar businesses to protect the employees, properties, assets, businesses and operations of the Company and the Subsidiaries. Except as set forth on Schedule 3.26 hereto, all premiums with respect thereto covering all periods up to and including the date hereof have been paid, and no notice of cancellation or termination has been received with respect to any such policy. All such policies are in full force and effect in all material respects and will remain in full force and effect and will not in any way in any material respect be affected by, or terminate or lapse by reason of, any of the transactions contemplated hereby.</w:t>
      </w:r>
    </w:p>
    <w:p>
      <w:pPr>
        <w:spacing w:after="0" w:line="200" w:lineRule="exact"/>
        <w:rPr>
          <w:sz w:val="20"/>
          <w:szCs w:val="20"/>
          <w:color w:val="auto"/>
        </w:rPr>
      </w:pPr>
    </w:p>
    <w:p>
      <w:pPr>
        <w:spacing w:after="0" w:line="31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285" w:right="1440" w:bottom="1440" w:gutter="0" w:footer="0" w:header="0"/>
        </w:sectPr>
      </w:pPr>
    </w:p>
    <w:bookmarkStart w:id="30" w:name="page31"/>
    <w:bookmarkEnd w:id="30"/>
    <w:p>
      <w:pPr>
        <w:ind w:left="320"/>
        <w:spacing w:after="0"/>
        <w:rPr>
          <w:sz w:val="20"/>
          <w:szCs w:val="20"/>
          <w:color w:val="auto"/>
        </w:rPr>
      </w:pPr>
      <w:r>
        <w:rPr>
          <w:rFonts w:ascii="Courier New" w:cs="Courier New" w:eastAsia="Courier New" w:hAnsi="Courier New"/>
          <w:sz w:val="18"/>
          <w:szCs w:val="18"/>
          <w:color w:val="auto"/>
        </w:rPr>
        <w:t>26</w:t>
      </w:r>
    </w:p>
    <w:p>
      <w:pPr>
        <w:spacing w:after="0" w:line="3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3.27 State Takeover Statute. Prior to the date hereof, the Board of Directors of the Company has approved this Agreement, the Option Agreement and the Merger and the other transactions contemplated hereby and thereby, and such approval is sufficient to render inapplicable to the Merger and any of such other transactions the provisions of Section 203 of the Delaware GCL.</w:t>
      </w:r>
    </w:p>
    <w:p>
      <w:pPr>
        <w:spacing w:after="0" w:line="101" w:lineRule="exact"/>
        <w:rPr>
          <w:sz w:val="20"/>
          <w:szCs w:val="20"/>
          <w:color w:val="auto"/>
        </w:rPr>
      </w:pPr>
    </w:p>
    <w:p>
      <w:pPr>
        <w:ind w:right="1879" w:firstLine="1896"/>
        <w:spacing w:after="0" w:line="306" w:lineRule="auto"/>
        <w:rPr>
          <w:sz w:val="20"/>
          <w:szCs w:val="20"/>
          <w:color w:val="auto"/>
        </w:rPr>
      </w:pPr>
      <w:r>
        <w:rPr>
          <w:rFonts w:ascii="Courier New" w:cs="Courier New" w:eastAsia="Courier New" w:hAnsi="Courier New"/>
          <w:sz w:val="16"/>
          <w:szCs w:val="16"/>
          <w:color w:val="auto"/>
        </w:rPr>
        <w:t>SECTION 3.28 Opinion of Financial Advisor. The Company has received the opinion of Lehman Brothers Inc., dated September 3, 1999, substantially to the effect that the consideration to be received in the Merger by the holders of Company Common Stock is fair to such holders from a financial point of view, a copy of which opinion has been delivered to Parent.</w:t>
      </w:r>
    </w:p>
    <w:p>
      <w:pPr>
        <w:spacing w:after="0" w:line="60" w:lineRule="exact"/>
        <w:rPr>
          <w:sz w:val="20"/>
          <w:szCs w:val="20"/>
          <w:color w:val="auto"/>
        </w:rPr>
      </w:pPr>
    </w:p>
    <w:p>
      <w:pPr>
        <w:ind w:right="1879" w:firstLine="1896"/>
        <w:spacing w:after="0" w:line="306" w:lineRule="auto"/>
        <w:rPr>
          <w:sz w:val="20"/>
          <w:szCs w:val="20"/>
          <w:color w:val="auto"/>
        </w:rPr>
      </w:pPr>
      <w:r>
        <w:rPr>
          <w:rFonts w:ascii="Courier New" w:cs="Courier New" w:eastAsia="Courier New" w:hAnsi="Courier New"/>
          <w:sz w:val="16"/>
          <w:szCs w:val="16"/>
          <w:color w:val="auto"/>
        </w:rPr>
        <w:t>SECTION 3.29 Brokers. No person is entitled to any brokerage or finder's fee or commission in connection with the transactions contemplated by this Agreement as a result of any action taken by or on behalf of the Company, other than Lehman Brothers Inc. pursuant to an engagement letter dated August 16, 1999, a copy of which has been furnished to Parent.</w:t>
      </w:r>
    </w:p>
    <w:p>
      <w:pPr>
        <w:spacing w:after="0" w:line="60"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REPRESENTATIONS AND WARRANTIES OF PARENT</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Parent represents and warrants to the Company as follows:</w:t>
      </w:r>
    </w:p>
    <w:p>
      <w:pPr>
        <w:spacing w:after="0" w:line="201"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4.01 Organization and Qualification. Parent is a company duly organized, validly existing and in good standing under the laws of Guernsey, Channel Islands and has all requisite corporate power and authority to own or lease and operate its properties and assets and to carry on its business as it is now being conducted.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on Parent.</w:t>
      </w:r>
    </w:p>
    <w:p>
      <w:pPr>
        <w:spacing w:after="0" w:line="99" w:lineRule="exact"/>
        <w:rPr>
          <w:sz w:val="20"/>
          <w:szCs w:val="20"/>
          <w:color w:val="auto"/>
        </w:rPr>
      </w:pPr>
    </w:p>
    <w:p>
      <w:pPr>
        <w:ind w:right="1879" w:firstLine="1896"/>
        <w:spacing w:after="0" w:line="250" w:lineRule="auto"/>
        <w:rPr>
          <w:sz w:val="20"/>
          <w:szCs w:val="20"/>
          <w:color w:val="auto"/>
        </w:rPr>
      </w:pPr>
      <w:r>
        <w:rPr>
          <w:rFonts w:ascii="Courier New" w:cs="Courier New" w:eastAsia="Courier New" w:hAnsi="Courier New"/>
          <w:sz w:val="18"/>
          <w:szCs w:val="18"/>
          <w:color w:val="auto"/>
        </w:rPr>
        <w:t>SECTION 4.02 Subsidiaries. Each subsidiary of Parent is a corporation duly organized, validly existing and, where applicable, in good standing under the laws of its jurisdiction of incorporation and has all requisite corporate power and authority to own or lease and operate its properties and to carry on its business as it is now being conducted. Each subsidiary of Parent is duly qualified as a foreign corporation to do business, and is in good standing, in each jurisdiction in which the character of its properties owned or leased or the nature of its activities makes such qualification necessary, except where the failure to be so qualified would not have a Material Adverse Effect on Parent.</w:t>
      </w:r>
    </w:p>
    <w:p>
      <w:pPr>
        <w:spacing w:after="0" w:line="104"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SECTION 4.03 Authority Relative to Agreement. Parent has all requisite corporate power and authority to enter into this Agreement and to perform its obligations</w:t>
      </w:r>
    </w:p>
    <w:p>
      <w:pPr>
        <w:spacing w:after="0" w:line="200" w:lineRule="exact"/>
        <w:rPr>
          <w:sz w:val="20"/>
          <w:szCs w:val="20"/>
          <w:color w:val="auto"/>
        </w:rPr>
      </w:pPr>
    </w:p>
    <w:p>
      <w:pPr>
        <w:spacing w:after="0" w:line="27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10219"/>
          </w:cols>
          <w:pgMar w:left="240" w:top="285" w:right="1440" w:bottom="1440" w:gutter="0" w:footer="0" w:header="0"/>
        </w:sectPr>
      </w:pPr>
    </w:p>
    <w:bookmarkStart w:id="31" w:name="page32"/>
    <w:bookmarkEnd w:id="31"/>
    <w:p>
      <w:pPr>
        <w:ind w:left="320"/>
        <w:spacing w:after="0"/>
        <w:rPr>
          <w:sz w:val="20"/>
          <w:szCs w:val="20"/>
          <w:color w:val="auto"/>
        </w:rPr>
      </w:pPr>
      <w:r>
        <w:rPr>
          <w:rFonts w:ascii="Courier New" w:cs="Courier New" w:eastAsia="Courier New" w:hAnsi="Courier New"/>
          <w:sz w:val="18"/>
          <w:szCs w:val="18"/>
          <w:color w:val="auto"/>
        </w:rPr>
        <w:t>27</w:t>
      </w:r>
    </w:p>
    <w:p>
      <w:pPr>
        <w:spacing w:after="0" w:line="3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hereunder. The execution and delivery of this Agreement by Parent and the consummation by Parent of the transactions contemplated hereby have been duly authorized by the Board of Directors of Parent, and no other corporate proceedings on the part of Parent (including, without limitation, any action by its stockholders) are necessary to authorize this Agreement and the transactions contemplated hereby. This Agreement has been duly executed and delivered by Parent and constitutes the legal, valid and binding obligation of Parent, enforceable against Parent in accordance with its terms.</w:t>
      </w:r>
    </w:p>
    <w:p>
      <w:pPr>
        <w:spacing w:after="0" w:line="106" w:lineRule="exact"/>
        <w:rPr>
          <w:sz w:val="20"/>
          <w:szCs w:val="20"/>
          <w:color w:val="auto"/>
        </w:rPr>
      </w:pPr>
    </w:p>
    <w:p>
      <w:pPr>
        <w:ind w:right="1779" w:firstLine="1896"/>
        <w:spacing w:after="0" w:line="282" w:lineRule="auto"/>
        <w:rPr>
          <w:sz w:val="20"/>
          <w:szCs w:val="20"/>
          <w:color w:val="auto"/>
        </w:rPr>
      </w:pPr>
      <w:r>
        <w:rPr>
          <w:rFonts w:ascii="Courier New" w:cs="Courier New" w:eastAsia="Courier New" w:hAnsi="Courier New"/>
          <w:sz w:val="16"/>
          <w:szCs w:val="16"/>
          <w:color w:val="auto"/>
        </w:rPr>
        <w:t>SECTION 4.04 Non-Contravention. The execution and delivery of this Agreement by Parent and the consummation by Parent of the transactions contemplated hereby will not (i) conflict with any provision of the Memorandum or Articles of Association of Parent or (ii) result (with the giving of notice or the lapse of time or both) in any violation of or default or loss of a benefit under, or permit the acceleration of any obligation under, any mortgage, indenture, lease, agreement or other instrument, permit, concession, grant, franchise, license, judgment, order, decree, statute, law, ordinance, rule or regulation applicable to Parent or any of its properties, other than any such violation, default, loss or acceleration that would not materially adversely affect the ability of Parent to consummate the transactions contemplated hereby and which would not otherwise have a Material Adverse Effect on Parent.</w:t>
      </w:r>
    </w:p>
    <w:p>
      <w:pPr>
        <w:spacing w:after="0" w:line="78" w:lineRule="exact"/>
        <w:rPr>
          <w:sz w:val="20"/>
          <w:szCs w:val="20"/>
          <w:color w:val="auto"/>
        </w:rPr>
      </w:pPr>
    </w:p>
    <w:p>
      <w:pPr>
        <w:ind w:right="1779" w:firstLine="1896"/>
        <w:spacing w:after="0" w:line="244" w:lineRule="auto"/>
        <w:rPr>
          <w:sz w:val="20"/>
          <w:szCs w:val="20"/>
          <w:color w:val="auto"/>
        </w:rPr>
      </w:pPr>
      <w:r>
        <w:rPr>
          <w:rFonts w:ascii="Courier New" w:cs="Courier New" w:eastAsia="Courier New" w:hAnsi="Courier New"/>
          <w:sz w:val="18"/>
          <w:szCs w:val="18"/>
          <w:color w:val="auto"/>
        </w:rPr>
        <w:t>SECTION 4.05 Capitalization. The authorized capital stock of Parent consists of (i) 500,000,000 Ordinary Shares, pound sterling 0.01 par value, (ii) 50,000,000 Ordinary Nonvoting Shares, pound sterling 0.01 par value, and (iii) 25,000,000 Preferred Shares, pound sterling 0.01 par value. As of August 24, 1999, 174,589,951 Ordinary Shares and 24,210,073 Ordinary Nonvoting Shares were issued and outstanding, all of which were duly and validly issued, fully paid and nonassessable, and no Preferred Shares were outstanding. Except for options to purchase an aggregate 6,600,000 Ordinary Shares granted pursuant to Parent's Stock Option Plans, as of the date hereof no subscription, warrant, option, convertible security, stock appreciation or other right (contingent or other) to purchase or acquire, or any securities convertible into or exchangeable for, any shares of any class of capital stock of Parent or any subsidiary thereof is authorized or outstanding and as of the date hereof there is not any commitment of Parent or any such subsidiary to issue any shares, warrants, options or other such rights or to distribute to holders of any class of its capital stock any evidences of indebtedness or assets. As of the date hereof, neither Parent nor any of its subsidiaries has any obligation (contingent or other) to purchase, redeem or otherwise acquire any shares of its capital stock or any interest therein or to pay any dividend or to make any other distribution in respect thereof.</w:t>
      </w:r>
    </w:p>
    <w:p>
      <w:pPr>
        <w:spacing w:after="0" w:line="108" w:lineRule="exact"/>
        <w:rPr>
          <w:sz w:val="20"/>
          <w:szCs w:val="20"/>
          <w:color w:val="auto"/>
        </w:rPr>
      </w:pPr>
    </w:p>
    <w:p>
      <w:pPr>
        <w:ind w:right="1779" w:firstLine="1896"/>
        <w:spacing w:after="0" w:line="278" w:lineRule="auto"/>
        <w:rPr>
          <w:sz w:val="20"/>
          <w:szCs w:val="20"/>
          <w:color w:val="auto"/>
        </w:rPr>
      </w:pPr>
      <w:r>
        <w:rPr>
          <w:rFonts w:ascii="Courier New" w:cs="Courier New" w:eastAsia="Courier New" w:hAnsi="Courier New"/>
          <w:sz w:val="16"/>
          <w:szCs w:val="16"/>
          <w:color w:val="auto"/>
        </w:rPr>
        <w:t>SECTION 4.06 SEC Filings. Parent has provided to the Company true and complete copies of (i) the Annual Report of Parent on Form 20-F for the year ended September 30, 1998, (ii) the Quarterly Reports of Parent on Form 6-K for the three months ended December 31, 1998, March 31, 1999 and June 30, 1999,</w:t>
      </w:r>
    </w:p>
    <w:p>
      <w:pPr>
        <w:spacing w:after="0" w:line="3" w:lineRule="exact"/>
        <w:rPr>
          <w:sz w:val="20"/>
          <w:szCs w:val="20"/>
          <w:color w:val="auto"/>
        </w:rPr>
      </w:pPr>
    </w:p>
    <w:p>
      <w:pPr>
        <w:ind w:right="1999" w:firstLine="8"/>
        <w:spacing w:after="0" w:line="256" w:lineRule="auto"/>
        <w:tabs>
          <w:tab w:leader="none" w:pos="63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its proxy or information statements relating to meetings of, or actions taken without a meeting by, the stockholders of the Company subsequent to June 1, 1998, and (iv) all other reports, statements and registration statements filed by Parent with the SEC subsequent to June 1, 1998 (collectively, the "Parent SEC Filings"). The Parent</w:t>
      </w:r>
    </w:p>
    <w:p>
      <w:pPr>
        <w:spacing w:after="0" w:line="200" w:lineRule="exact"/>
        <w:rPr>
          <w:sz w:val="20"/>
          <w:szCs w:val="20"/>
          <w:color w:val="auto"/>
        </w:rPr>
      </w:pPr>
    </w:p>
    <w:p>
      <w:pPr>
        <w:spacing w:after="0" w:line="3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10219"/>
          </w:cols>
          <w:pgMar w:left="240" w:top="285" w:right="1440" w:bottom="1440" w:gutter="0" w:footer="0" w:header="0"/>
        </w:sectPr>
      </w:pPr>
    </w:p>
    <w:bookmarkStart w:id="32" w:name="page33"/>
    <w:bookmarkEnd w:id="32"/>
    <w:p>
      <w:pPr>
        <w:ind w:left="320"/>
        <w:spacing w:after="0"/>
        <w:rPr>
          <w:sz w:val="20"/>
          <w:szCs w:val="20"/>
          <w:color w:val="auto"/>
        </w:rPr>
      </w:pPr>
      <w:r>
        <w:rPr>
          <w:rFonts w:ascii="Courier New" w:cs="Courier New" w:eastAsia="Courier New" w:hAnsi="Courier New"/>
          <w:sz w:val="18"/>
          <w:szCs w:val="18"/>
          <w:color w:val="auto"/>
        </w:rPr>
        <w:t>28</w:t>
      </w:r>
    </w:p>
    <w:p>
      <w:pPr>
        <w:spacing w:after="0" w:line="31"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SEC Filings (including, without limitation, any financial statements or schedules included therein) (i) were prepared in compliance with the requirements of the Securities Act or the Exchange Act, as the case may be, and</w:t>
      </w:r>
    </w:p>
    <w:p>
      <w:pPr>
        <w:spacing w:after="0" w:line="1" w:lineRule="exact"/>
        <w:rPr>
          <w:sz w:val="20"/>
          <w:szCs w:val="20"/>
          <w:color w:val="auto"/>
        </w:rPr>
      </w:pPr>
    </w:p>
    <w:p>
      <w:pPr>
        <w:ind w:right="1779" w:firstLine="8"/>
        <w:spacing w:after="0" w:line="256" w:lineRule="auto"/>
        <w:tabs>
          <w:tab w:leader="none" w:pos="527"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did not at the time of filing (or if amended, supplemented or superseded by a filing prior to the date hereof, on the date of that filing) contain any untrue statement of a material fact or omit to state a material fact required to be stated therein or necessary in order to make the statements therein, in the light of the circumstances under which they were made, not misleading.</w:t>
      </w:r>
    </w:p>
    <w:p>
      <w:pPr>
        <w:spacing w:after="0" w:line="96"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SECTION 4.07 Financial Statements. The consolidated financial statements of Parent included in the Parent SEC Filings have been prepared in accordance with generally accepted accounting principles consistently applied and consistent with prior periods, subject, in the case of unaudited interim consolidated financial statements, to year-end adjustments (which consist of normal recurring accruals) and the absence of certain footnote disclosures. The consolidated balance sheets of Parent included in the Parent SEC Filings fairly present the financial position of Parent and its subsidiaries as of their respective dates, and the related consolidated statements of operations, stockholders' equity and cash flows included in the Parent SEC Filings fairly present the results of operations of Parent and its subsidiaries for the respective periods then ended, subject, in the case of unaudited interim financial statements, to year-end adjustments (which consist of normal recurring accruals) and the absence of certain footnote disclosures. Except for liabilities or obligations that are accrued or reserved against in the Company's financial statements (or reflected in the notes thereto) included in the Company SEC Filings made prior to the date hereof or that were incurred subsequent to June 30, 1999 in the ordinary course of business and consistent with past practice, none of the Company and its Subsidiaries has any liabilities or obligations (whether absolute, accrued, contingent or otherwise) of a nature required by generally accepted accounting principles to be reflected in a consolidated balance sheet (or reflected in the notes thereto) or which would have a Material Adverse Effect on Parent.</w:t>
      </w:r>
    </w:p>
    <w:p>
      <w:pPr>
        <w:spacing w:after="0" w:line="200" w:lineRule="exact"/>
        <w:rPr>
          <w:sz w:val="20"/>
          <w:szCs w:val="20"/>
          <w:color w:val="auto"/>
        </w:rPr>
      </w:pPr>
    </w:p>
    <w:p>
      <w:pPr>
        <w:spacing w:after="0" w:line="301" w:lineRule="exact"/>
        <w:rPr>
          <w:sz w:val="20"/>
          <w:szCs w:val="20"/>
          <w:color w:val="auto"/>
        </w:rPr>
      </w:pPr>
    </w:p>
    <w:p>
      <w:pPr>
        <w:ind w:right="1779" w:firstLine="1896"/>
        <w:spacing w:after="0" w:line="246" w:lineRule="auto"/>
        <w:rPr>
          <w:sz w:val="20"/>
          <w:szCs w:val="20"/>
          <w:color w:val="auto"/>
        </w:rPr>
      </w:pPr>
      <w:r>
        <w:rPr>
          <w:rFonts w:ascii="Courier New" w:cs="Courier New" w:eastAsia="Courier New" w:hAnsi="Courier New"/>
          <w:sz w:val="18"/>
          <w:szCs w:val="18"/>
          <w:color w:val="auto"/>
        </w:rPr>
        <w:t>SECTION 4.08 Governmental Approvals. No consent, approval, order or authorization of, or registration, declaration or filing with, any federal, state, local or foreign governmental or regulatory authority is required to be made or obtained by Parent in connection with the execution and delivery of this Agreement by Parent or the consummation by Parent of the transactions contemplated hereby, except for (i) compliance by Parent with the HSR Act, (ii) filings pursuant to Securities Act and the Exchange Act and the rules and regulations promulgated by the SEC thereunder, as contemplated by Section 6.02 hereof, (iii) the filing of a certificate of merger with the Secretary of State of the State of Delaware in accordance with the Delaware GCL, and (iv) such consents, approvals, orders or authorizations which if not obtained, or registrations, declarations or filings which if not made, would not materially adversely affect the ability of Parent to consummate the transactions contemplated hereby.</w:t>
      </w:r>
    </w:p>
    <w:p>
      <w:pPr>
        <w:spacing w:after="0" w:line="113"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SECTION 4.09 Disclosure Documents. None of the information to be supplied by Parent or Acquisition for inclusion in the Registration Statement or the Proxy Statement will, in the case of the Registration Statement, at the time it becomes effective and at the Effective</w:t>
      </w:r>
    </w:p>
    <w:p>
      <w:pPr>
        <w:spacing w:after="0" w:line="200" w:lineRule="exact"/>
        <w:rPr>
          <w:sz w:val="20"/>
          <w:szCs w:val="20"/>
          <w:color w:val="auto"/>
        </w:rPr>
      </w:pPr>
    </w:p>
    <w:p>
      <w:pPr>
        <w:spacing w:after="0" w:line="2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285" w:right="1440" w:bottom="1440" w:gutter="0" w:footer="0" w:header="0"/>
        </w:sectPr>
      </w:pPr>
    </w:p>
    <w:bookmarkStart w:id="33" w:name="page34"/>
    <w:bookmarkEnd w:id="33"/>
    <w:p>
      <w:pPr>
        <w:ind w:left="320"/>
        <w:spacing w:after="0"/>
        <w:rPr>
          <w:sz w:val="20"/>
          <w:szCs w:val="20"/>
          <w:color w:val="auto"/>
        </w:rPr>
      </w:pPr>
      <w:r>
        <w:rPr>
          <w:rFonts w:ascii="Courier New" w:cs="Courier New" w:eastAsia="Courier New" w:hAnsi="Courier New"/>
          <w:sz w:val="18"/>
          <w:szCs w:val="18"/>
          <w:color w:val="auto"/>
        </w:rPr>
        <w:t>29</w:t>
      </w:r>
    </w:p>
    <w:p>
      <w:pPr>
        <w:spacing w:after="0" w:line="31" w:lineRule="exact"/>
        <w:rPr>
          <w:sz w:val="20"/>
          <w:szCs w:val="20"/>
          <w:color w:val="auto"/>
        </w:rPr>
      </w:pPr>
    </w:p>
    <w:p>
      <w:pPr>
        <w:ind w:right="1779"/>
        <w:spacing w:after="0" w:line="243" w:lineRule="auto"/>
        <w:rPr>
          <w:sz w:val="20"/>
          <w:szCs w:val="20"/>
          <w:color w:val="auto"/>
        </w:rPr>
      </w:pPr>
      <w:r>
        <w:rPr>
          <w:rFonts w:ascii="Courier New" w:cs="Courier New" w:eastAsia="Courier New" w:hAnsi="Courier New"/>
          <w:sz w:val="18"/>
          <w:szCs w:val="18"/>
          <w:color w:val="auto"/>
        </w:rPr>
        <w:t>Time, or, in the case of the Proxy Statement or any amendments thereof or supplements thereto, at the time of the mailing of the Proxy Statement and any amendments or supplements thereto, and at the time of the meeting of stockholders of the Company to be held in connection with the Merger, contain any untrue statement of a material fact or omit to state any material fact required to be stated therein or necessary in order to make the statements therein, in light of the circumstances under which they are made, not misleading. The Registration Statement will comply as to form in all material respects with the applicable provisions of the Securities Act, and the rules and regulations promulgated thereunder, except that no representation is made by Parent with respect to statements made therein based on information supplied by the Company, or its respective representatives for inclusion in the Registration Statement or the Proxy Statement or with respect to information concerning the Company or any of the Subsidiaries incorporated by reference in the Registration Statement or the Proxy Statement.</w:t>
      </w:r>
    </w:p>
    <w:p>
      <w:pPr>
        <w:spacing w:after="0" w:line="112" w:lineRule="exact"/>
        <w:rPr>
          <w:sz w:val="20"/>
          <w:szCs w:val="20"/>
          <w:color w:val="auto"/>
        </w:rPr>
      </w:pPr>
    </w:p>
    <w:p>
      <w:pPr>
        <w:ind w:right="1779" w:firstLine="1896"/>
        <w:spacing w:after="0" w:line="277" w:lineRule="auto"/>
        <w:rPr>
          <w:sz w:val="20"/>
          <w:szCs w:val="20"/>
          <w:color w:val="auto"/>
        </w:rPr>
      </w:pPr>
      <w:r>
        <w:rPr>
          <w:rFonts w:ascii="Courier New" w:cs="Courier New" w:eastAsia="Courier New" w:hAnsi="Courier New"/>
          <w:sz w:val="16"/>
          <w:szCs w:val="16"/>
          <w:color w:val="auto"/>
        </w:rPr>
        <w:t>SECTION 4.10 Compliance with Laws. Neither Parent nor any subsidiary of Parent is in default under or in violation of any order of any court, governmental authority or arbitration board or tribunal to which Parent or such subsidiary is or was subject or in violation of any laws, ordinances, governmental rules or regulations (including, but not limited to, those relating to export controls, labor and employment matters and foreign corrupt practices) to which Parent or any subsidiary of Parent is or was subject, except for such defaults or violations that, in the aggregate, could not reasonably be expected to have a Material Adverse Effect on Parent. Neither Parent nor any subsidiary of Parent has failed to obtain any licenses, permits, franchises or other governmental authorizations necessary to the ownership of its properties or to the conduct of its business, which failure could reasonably be expected to have a Material Adverse Effect on Parent, and, after giving effect to the transactions contemplated hereby, all such licenses, permits, franchises and other governmental authorizations will continue to be valid and in full force and effect except where such failure to be in full force and effect would not reasonably be expected to have a Material Adverse Effect on Parent.</w:t>
      </w:r>
    </w:p>
    <w:p>
      <w:pPr>
        <w:spacing w:after="0" w:line="299"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SECTION 4.11 Litigation. There is no action, suit, investigation, proceeding or claim pending or, to the best knowledge of Parent, threatened against or affecting Parent or any subsidiary of Parent, or their respective properties or rights, before any governmental body or arbitration board or tribunal, either alone or together with other similar actions, the outcome of which could be reasonably expected to have a Material Adverse Effect on Parent.</w:t>
      </w:r>
    </w:p>
    <w:p>
      <w:pPr>
        <w:spacing w:after="0" w:line="98" w:lineRule="exact"/>
        <w:rPr>
          <w:sz w:val="20"/>
          <w:szCs w:val="20"/>
          <w:color w:val="auto"/>
        </w:rPr>
      </w:pPr>
    </w:p>
    <w:p>
      <w:pPr>
        <w:jc w:val="both"/>
        <w:ind w:right="1999" w:firstLine="1896"/>
        <w:spacing w:after="0" w:line="274" w:lineRule="auto"/>
        <w:rPr>
          <w:sz w:val="20"/>
          <w:szCs w:val="20"/>
          <w:color w:val="auto"/>
        </w:rPr>
      </w:pPr>
      <w:r>
        <w:rPr>
          <w:rFonts w:ascii="Courier New" w:cs="Courier New" w:eastAsia="Courier New" w:hAnsi="Courier New"/>
          <w:sz w:val="18"/>
          <w:szCs w:val="18"/>
          <w:color w:val="auto"/>
        </w:rPr>
        <w:t>SECTION 4.12 Brokers. No person is entitled to any brokerage or finder's fee or commission in connection with the transactions contemplated by this Agreement as a result of any action taken by or on behalf of Parent or Acquisition, other than Goldman Sachs &amp; Co.</w:t>
      </w:r>
    </w:p>
    <w:p>
      <w:pPr>
        <w:spacing w:after="0" w:line="200" w:lineRule="exact"/>
        <w:rPr>
          <w:sz w:val="20"/>
          <w:szCs w:val="20"/>
          <w:color w:val="auto"/>
        </w:rPr>
      </w:pPr>
    </w:p>
    <w:p>
      <w:pPr>
        <w:spacing w:after="0" w:line="28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10219"/>
          </w:cols>
          <w:pgMar w:left="240" w:top="285" w:right="1440" w:bottom="1440" w:gutter="0" w:footer="0" w:header="0"/>
        </w:sectPr>
      </w:pPr>
    </w:p>
    <w:bookmarkStart w:id="34" w:name="page35"/>
    <w:bookmarkEnd w:id="34"/>
    <w:p>
      <w:pPr>
        <w:ind w:left="320"/>
        <w:spacing w:after="0"/>
        <w:rPr>
          <w:sz w:val="20"/>
          <w:szCs w:val="20"/>
          <w:color w:val="auto"/>
        </w:rPr>
      </w:pPr>
      <w:r>
        <w:rPr>
          <w:rFonts w:ascii="Courier New" w:cs="Courier New" w:eastAsia="Courier New" w:hAnsi="Courier New"/>
          <w:sz w:val="18"/>
          <w:szCs w:val="18"/>
          <w:color w:val="auto"/>
        </w:rPr>
        <w:t>30</w:t>
      </w:r>
    </w:p>
    <w:p>
      <w:pPr>
        <w:spacing w:after="0" w:line="3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ARTICLE V</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 OF ACQUISITION</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Acquisition represents and warrants to the Company as follows:</w:t>
      </w:r>
    </w:p>
    <w:p>
      <w:pPr>
        <w:spacing w:after="0" w:line="224"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SECTION 5.01 Organization and Qualification. (a) Acquisition is a corporation duly organized, validly existing and in good standing under the laws of the State of Delaware and has all requisite corporate power and authority to own or lease and operate its properties and assets and to carry on its business as it is now being conducted.</w:t>
      </w:r>
    </w:p>
    <w:p>
      <w:pPr>
        <w:spacing w:after="0" w:line="90" w:lineRule="exact"/>
        <w:rPr>
          <w:sz w:val="20"/>
          <w:szCs w:val="20"/>
          <w:color w:val="auto"/>
        </w:rPr>
      </w:pPr>
    </w:p>
    <w:p>
      <w:pPr>
        <w:ind w:right="1779" w:firstLine="1904"/>
        <w:spacing w:after="0" w:line="292" w:lineRule="auto"/>
        <w:tabs>
          <w:tab w:leader="none" w:pos="2318"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the date of its incorporation, Acquisition has not engaged in any activity other than in connection with or as contemplated by this Agreement and the Merger.</w:t>
      </w:r>
    </w:p>
    <w:p>
      <w:pPr>
        <w:spacing w:after="0" w:line="66"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SECTION 5.02 Authority Relative to Agreement. Acquisition has all requisite corporate power and authority to enter into this Agreement and to perform its obligations hereunder. The execution and delivery of this Agreement by Acquisition and the consummation by Acquisition of the transactions contemplated hereby have been duly authorized by the Board of Directors of Acquisition and by Parent as its sole stockholder, and no other corporate proceedings on the part of Acquisition are necessary to authorize this Agreement and the transactions contemplated hereby. This Agreement has been duly executed and delivered by Acquisition and constitutes the legal, valid and binding obligation of Acquisition, enforceable against Acquisition in accordance with its terms.</w:t>
      </w:r>
    </w:p>
    <w:p>
      <w:pPr>
        <w:spacing w:after="0" w:line="104"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SECTION 5.03 Non-Contravention. The execution and delivery of this Agreement by Acquisition and the consummation by Acquisition of the transactions contemplated hereby will not (i) conflict with any provision of the Certificate of Incorporation or By-Laws of Acquisition or (ii) result (with the giving of notice or the lapse of time or both) in any violation of or default or loss of a benefit under, or permit the acceleration of any obligation under, any mortgage, indenture, lease, agreement, license, judgment, order, decree, statute, law, ordinance, rule or regulation applicable to Acquisition or its properties, other than any such violation, default, loss or acceleration that would not materially adversely affect the ability of Acquisition to consummate the transactions contemplated hereby.</w:t>
      </w:r>
    </w:p>
    <w:p>
      <w:pPr>
        <w:spacing w:after="0" w:line="104"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SECTION 5.04 Governmental Approvals. No consent, approval, order or authorization of, or registration, declaration or filing with, any federal, state, local or foreign governmental or regulatory authority is required to be made or obtained by Acquisition in connection with the execution and delivery of this Agreement by Acquisition or the consummation by Acquisition of the transactions contemplated hereby, except for (i) compliance by Acquisition with the HSR Act, (ii) filings pursuant to Securities Act and the Exchange Act and the rules and regulations promulgated by the SEC thereunder, as contemplated by Section 6.02 hereof, (iii) the filing of a certificate of merger with the Secretary of State of the State of Delaware in accordance with the Delaware GCL, and (iv) such consents, approvals, orders or</w:t>
      </w:r>
    </w:p>
    <w:p>
      <w:pPr>
        <w:spacing w:after="0" w:line="200" w:lineRule="exact"/>
        <w:rPr>
          <w:sz w:val="20"/>
          <w:szCs w:val="20"/>
          <w:color w:val="auto"/>
        </w:rPr>
      </w:pPr>
    </w:p>
    <w:p>
      <w:pPr>
        <w:spacing w:after="0" w:line="3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285" w:right="1440" w:bottom="1440" w:gutter="0" w:footer="0" w:header="0"/>
        </w:sectPr>
      </w:pPr>
    </w:p>
    <w:bookmarkStart w:id="35" w:name="page36"/>
    <w:bookmarkEnd w:id="35"/>
    <w:p>
      <w:pPr>
        <w:ind w:left="320"/>
        <w:spacing w:after="0"/>
        <w:rPr>
          <w:sz w:val="20"/>
          <w:szCs w:val="20"/>
          <w:color w:val="auto"/>
        </w:rPr>
      </w:pPr>
      <w:r>
        <w:rPr>
          <w:rFonts w:ascii="Courier New" w:cs="Courier New" w:eastAsia="Courier New" w:hAnsi="Courier New"/>
          <w:sz w:val="18"/>
          <w:szCs w:val="18"/>
          <w:color w:val="auto"/>
        </w:rPr>
        <w:t>31</w:t>
      </w:r>
    </w:p>
    <w:p>
      <w:pPr>
        <w:spacing w:after="0" w:line="31"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8"/>
          <w:szCs w:val="18"/>
          <w:color w:val="auto"/>
        </w:rPr>
        <w:t>authorizations which if not obtained, or registrations, declarations or filings which if not made, would not materially adversely affect the ability of Acquisition to consummate the transactions contemplated hereby.</w:t>
      </w:r>
    </w:p>
    <w:p>
      <w:pPr>
        <w:spacing w:after="0" w:line="8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CERTAIN AGREEMENTS</w:t>
      </w:r>
    </w:p>
    <w:p>
      <w:pPr>
        <w:spacing w:after="0" w:line="201" w:lineRule="exact"/>
        <w:rPr>
          <w:sz w:val="20"/>
          <w:szCs w:val="20"/>
          <w:color w:val="auto"/>
        </w:rPr>
      </w:pPr>
    </w:p>
    <w:p>
      <w:pPr>
        <w:ind w:right="2099" w:firstLine="1896"/>
        <w:spacing w:after="0" w:line="274" w:lineRule="auto"/>
        <w:rPr>
          <w:sz w:val="20"/>
          <w:szCs w:val="20"/>
          <w:color w:val="auto"/>
        </w:rPr>
      </w:pPr>
      <w:r>
        <w:rPr>
          <w:rFonts w:ascii="Courier New" w:cs="Courier New" w:eastAsia="Courier New" w:hAnsi="Courier New"/>
          <w:sz w:val="18"/>
          <w:szCs w:val="18"/>
          <w:color w:val="auto"/>
        </w:rPr>
        <w:t>SECTION 6.01 Conduct of the Company's Business. The Company covenants and agrees that, prior to the Effective Time, unless Parent shall otherwise consent in writing or as otherwise expressly contemplated by this Agreement:</w:t>
      </w:r>
    </w:p>
    <w:p>
      <w:pPr>
        <w:spacing w:after="0" w:line="82" w:lineRule="exact"/>
        <w:rPr>
          <w:sz w:val="20"/>
          <w:szCs w:val="20"/>
          <w:color w:val="auto"/>
        </w:rPr>
      </w:pPr>
    </w:p>
    <w:p>
      <w:pPr>
        <w:jc w:val="both"/>
        <w:ind w:left="960" w:right="1879" w:firstLine="1892"/>
        <w:spacing w:after="0" w:line="274" w:lineRule="auto"/>
        <w:tabs>
          <w:tab w:leader="none" w:pos="3277"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business of the Company and the Subsidiaries shall be conducted only in, and the Company and the Subsidiaries shall not take any action except in, the ordinary course of business and consistent with past practice;</w:t>
      </w:r>
    </w:p>
    <w:p>
      <w:pPr>
        <w:spacing w:after="0" w:line="81" w:lineRule="exact"/>
        <w:rPr>
          <w:rFonts w:ascii="Courier New" w:cs="Courier New" w:eastAsia="Courier New" w:hAnsi="Courier New"/>
          <w:sz w:val="18"/>
          <w:szCs w:val="18"/>
          <w:color w:val="auto"/>
        </w:rPr>
      </w:pPr>
    </w:p>
    <w:p>
      <w:pPr>
        <w:ind w:left="960" w:right="1779" w:firstLine="1892"/>
        <w:spacing w:after="0" w:line="272" w:lineRule="auto"/>
        <w:tabs>
          <w:tab w:leader="none" w:pos="3277"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shall, directly or indirectly, do any of the following: (i) sell, pledge, dispose of or encumber (or permit any Subsidiary to sell, pledge, dispose of or encumber) any assets of the Company or any Subsidiary, except in the ordinary course of business; (ii) amend or propose to amend its Certificate of Incorporation or By-Laws; (iii) split, combine or reclassify any outstanding shares of its capital stock, or declare, set aside or pay any dividend payable in cash, stock, property or otherwise with respect to such shares (except for any dividends paid in the ordinary course to the Company or to any wholly-owned Subsidiary);</w:t>
      </w:r>
    </w:p>
    <w:p>
      <w:pPr>
        <w:spacing w:after="0" w:line="3" w:lineRule="exact"/>
        <w:rPr>
          <w:rFonts w:ascii="Courier New" w:cs="Courier New" w:eastAsia="Courier New" w:hAnsi="Courier New"/>
          <w:sz w:val="16"/>
          <w:szCs w:val="16"/>
          <w:color w:val="auto"/>
        </w:rPr>
      </w:pPr>
    </w:p>
    <w:p>
      <w:pPr>
        <w:ind w:left="960" w:right="1779" w:hanging="4"/>
        <w:spacing w:after="0" w:line="256" w:lineRule="auto"/>
        <w:tabs>
          <w:tab w:leader="none" w:pos="1487"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redeem, purchase, acquire or offer to acquire (or permit any Subsidiary to redeem, purchase, acquire or offer to acquire) any shares of its capital stock; or (v) enter into any contract, agreement, commitment or arrangement with respect to any of the matters set forth in this paragraph (b);</w:t>
      </w:r>
    </w:p>
    <w:p>
      <w:pPr>
        <w:spacing w:after="0" w:line="95" w:lineRule="exact"/>
        <w:rPr>
          <w:rFonts w:ascii="Courier New" w:cs="Courier New" w:eastAsia="Courier New" w:hAnsi="Courier New"/>
          <w:sz w:val="18"/>
          <w:szCs w:val="18"/>
          <w:color w:val="auto"/>
        </w:rPr>
      </w:pPr>
    </w:p>
    <w:p>
      <w:pPr>
        <w:ind w:left="960" w:right="1779" w:firstLine="1892"/>
        <w:spacing w:after="0" w:line="273" w:lineRule="auto"/>
        <w:tabs>
          <w:tab w:leader="none" w:pos="3277"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shall (i) issue, sell, pledge or dispose of, or agree to issue, sell, pledge or dispose of, any additional shares of, or securities convertible or exchangeable for, or any options, warrants or rights of any kind to acquire any shares of, its capital stock of any class or other property or assets whether pursuant to the Company Stock Plans or otherwise; provided that the Company may issue shares of Company Common Stock upon the exercise of currently outstanding options referred to in Section</w:t>
      </w:r>
    </w:p>
    <w:p>
      <w:pPr>
        <w:spacing w:after="0" w:line="3" w:lineRule="exact"/>
        <w:rPr>
          <w:rFonts w:ascii="Courier New" w:cs="Courier New" w:eastAsia="Courier New" w:hAnsi="Courier New"/>
          <w:sz w:val="16"/>
          <w:szCs w:val="16"/>
          <w:color w:val="auto"/>
        </w:rPr>
      </w:pPr>
    </w:p>
    <w:p>
      <w:pPr>
        <w:ind w:left="960" w:right="17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3.05 hereof and the Company may grant options under the Company Stock Plans to new non-management employees in amounts and on terms consistent with past practice, in any event not to exceed 150,000 shares in the aggregate; (ii) acquire (by merger, consolidation or acquisition of stock or assets) any corporation, partnership or other business organization or division thereof (except an existing wholly-owned Subsidiary); (iii) incur any indebtedness for borrowed money or issue any debt securities in an amount exceeding $1,000,000 in the aggregate; (iv) enter into or modify any material contract, lease, agreement or commitment, except in the ordinary course of business and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285" w:right="1440"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8"/>
          <w:szCs w:val="18"/>
          <w:color w:val="auto"/>
        </w:rPr>
        <w:t>32</w:t>
      </w:r>
    </w:p>
    <w:p>
      <w:pPr>
        <w:spacing w:after="0" w:line="31" w:lineRule="exact"/>
        <w:rPr>
          <w:sz w:val="20"/>
          <w:szCs w:val="20"/>
          <w:color w:val="auto"/>
        </w:rPr>
      </w:pPr>
    </w:p>
    <w:p>
      <w:pPr>
        <w:ind w:left="640" w:right="1879"/>
        <w:spacing w:after="0" w:line="268" w:lineRule="auto"/>
        <w:rPr>
          <w:sz w:val="20"/>
          <w:szCs w:val="20"/>
          <w:color w:val="auto"/>
        </w:rPr>
      </w:pPr>
      <w:r>
        <w:rPr>
          <w:rFonts w:ascii="Courier New" w:cs="Courier New" w:eastAsia="Courier New" w:hAnsi="Courier New"/>
          <w:sz w:val="16"/>
          <w:szCs w:val="16"/>
          <w:color w:val="auto"/>
        </w:rPr>
        <w:t>consistent with past practice; (v) terminate, modify, assign, waive, release or relinquish any material contract rights or amend any material rights or claims except in the ordinary course of business or</w:t>
      </w:r>
    </w:p>
    <w:p>
      <w:pPr>
        <w:spacing w:after="0" w:line="1" w:lineRule="exact"/>
        <w:rPr>
          <w:sz w:val="20"/>
          <w:szCs w:val="20"/>
          <w:color w:val="auto"/>
        </w:rPr>
      </w:pPr>
    </w:p>
    <w:p>
      <w:pPr>
        <w:ind w:left="640" w:right="1779" w:hanging="4"/>
        <w:spacing w:after="0" w:line="286" w:lineRule="auto"/>
        <w:tabs>
          <w:tab w:leader="none" w:pos="1167"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settle or compromise any material claim, action, suit or proceeding pending or threatened against the Company, or, if the Company may be liable or obligated to provide indemnification, against the Company's directors or officers, before any court, governmental agency or arbitrator; provided that nothing herein shall require any action that might impair or otherwise affect the obligation of any insurance carrier under any insurance policy maintained by the Company;</w:t>
      </w:r>
    </w:p>
    <w:p>
      <w:pPr>
        <w:spacing w:after="0" w:line="76" w:lineRule="exact"/>
        <w:rPr>
          <w:rFonts w:ascii="Courier New" w:cs="Courier New" w:eastAsia="Courier New" w:hAnsi="Courier New"/>
          <w:sz w:val="16"/>
          <w:szCs w:val="16"/>
          <w:color w:val="auto"/>
        </w:rPr>
      </w:pPr>
    </w:p>
    <w:p>
      <w:pPr>
        <w:ind w:left="640" w:right="1779" w:firstLine="1892"/>
        <w:spacing w:after="0" w:line="272" w:lineRule="auto"/>
        <w:tabs>
          <w:tab w:leader="none" w:pos="2957" w:val="left"/>
        </w:tabs>
        <w:numPr>
          <w:ilvl w:val="1"/>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shall grant any increase in the salary or other compensation of its employees or grant any bonus to any employee or enter into any employment agreement or make any loan to or enter into any material transaction of any other nature with any employee of the Company or any Subsidiary except (i) pursuant to the terms of employment agreements in effect on the date hereof and previously disclosed to Parent, (ii) in the case of employees who are not executive officers of the Company, in the ordinary course of business and consistent with past practice, and</w:t>
      </w:r>
    </w:p>
    <w:p>
      <w:pPr>
        <w:spacing w:after="0" w:line="6" w:lineRule="exact"/>
        <w:rPr>
          <w:rFonts w:ascii="Courier New" w:cs="Courier New" w:eastAsia="Courier New" w:hAnsi="Courier New"/>
          <w:sz w:val="16"/>
          <w:szCs w:val="16"/>
          <w:color w:val="auto"/>
        </w:rPr>
      </w:pPr>
    </w:p>
    <w:p>
      <w:pPr>
        <w:ind w:left="640" w:right="1779" w:hanging="4"/>
        <w:spacing w:after="0" w:line="262" w:lineRule="auto"/>
        <w:tabs>
          <w:tab w:leader="none" w:pos="127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the Company may grant options under the Company Stock Plans to new non-management employees in amounts and on terms consistent with past practice, in any event not to exceed 150,000 shares in the aggregate;</w:t>
      </w:r>
    </w:p>
    <w:p>
      <w:pPr>
        <w:spacing w:after="0" w:line="90" w:lineRule="exact"/>
        <w:rPr>
          <w:rFonts w:ascii="Courier New" w:cs="Courier New" w:eastAsia="Courier New" w:hAnsi="Courier New"/>
          <w:sz w:val="18"/>
          <w:szCs w:val="18"/>
          <w:color w:val="auto"/>
        </w:rPr>
      </w:pPr>
    </w:p>
    <w:p>
      <w:pPr>
        <w:ind w:left="640" w:right="1779" w:firstLine="1892"/>
        <w:spacing w:after="0" w:line="283" w:lineRule="auto"/>
        <w:tabs>
          <w:tab w:leader="none" w:pos="2957"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Subsidiary shall (except for salary increases for employees who are not executive officers of the Company in the ordinary course of business and consistent with past practice) adopt or amend, in any respect, except as contemplated hereby or as may be required by applicable law or regulation, any collective bargaining, bonus, profit sharing, compensation, stock option, restricted stock, pension, retirement, deferred compensation, employment or other employee benefit plan, agreement, trust, fund, plan or arrangement for the benefit or welfare of any directors, officers or employees (including, without limitation, any such plan or arrangement relating to severance or termination pay);</w:t>
      </w:r>
    </w:p>
    <w:p>
      <w:pPr>
        <w:spacing w:after="0" w:line="293" w:lineRule="exact"/>
        <w:rPr>
          <w:rFonts w:ascii="Courier New" w:cs="Courier New" w:eastAsia="Courier New" w:hAnsi="Courier New"/>
          <w:sz w:val="16"/>
          <w:szCs w:val="16"/>
          <w:color w:val="auto"/>
        </w:rPr>
      </w:pPr>
    </w:p>
    <w:p>
      <w:pPr>
        <w:ind w:left="640" w:right="1779" w:firstLine="1892"/>
        <w:spacing w:after="0" w:line="260" w:lineRule="auto"/>
        <w:tabs>
          <w:tab w:leader="none" w:pos="2957"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Subsidiary shall take any action that would make any representation or warranty of the Company hereunder inaccurate in any material respect at, or as of any time prior to, the Effective Time, or omit to take any action necessary to prevent any such representation or warranty from being inaccurate in any material respect at any such time; and</w:t>
      </w:r>
    </w:p>
    <w:p>
      <w:pPr>
        <w:spacing w:after="0" w:line="92" w:lineRule="exact"/>
        <w:rPr>
          <w:rFonts w:ascii="Courier New" w:cs="Courier New" w:eastAsia="Courier New" w:hAnsi="Courier New"/>
          <w:sz w:val="18"/>
          <w:szCs w:val="18"/>
          <w:color w:val="auto"/>
        </w:rPr>
      </w:pPr>
    </w:p>
    <w:p>
      <w:pPr>
        <w:ind w:left="640" w:right="1779" w:firstLine="1892"/>
        <w:spacing w:after="0" w:line="287" w:lineRule="auto"/>
        <w:tabs>
          <w:tab w:leader="none" w:pos="2957"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Company and the Subsidiaries shall use its commercially reasonable efforts, to the extent not prohibited by the foregoing provisions of this Section 6.01, to maintain its relationships with its suppliers and customers, and if and as requested by Parent or Acquisition, (i) the Company shall use its reasonable best efforts to make reasonable arrangements for representatives of Parent or Acquisition to meet with customers and suppliers of the Company or any Subsidiary, and (ii) the Company shall make reasonable arrangements to schedule, and to the extent reasonably requested, the</w:t>
      </w:r>
    </w:p>
    <w:p>
      <w:pPr>
        <w:spacing w:after="0" w:line="200" w:lineRule="exact"/>
        <w:rPr>
          <w:sz w:val="20"/>
          <w:szCs w:val="20"/>
          <w:color w:val="auto"/>
        </w:rPr>
      </w:pPr>
    </w:p>
    <w:p>
      <w:pPr>
        <w:spacing w:after="0" w:line="28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9899"/>
          </w:cols>
          <w:pgMar w:left="560" w:top="285" w:right="1440" w:bottom="1440" w:gutter="0" w:footer="0" w:header="0"/>
        </w:sectPr>
      </w:pPr>
    </w:p>
    <w:bookmarkStart w:id="37" w:name="page38"/>
    <w:bookmarkEnd w:id="37"/>
    <w:p>
      <w:pPr>
        <w:ind w:left="320"/>
        <w:spacing w:after="0"/>
        <w:rPr>
          <w:sz w:val="20"/>
          <w:szCs w:val="20"/>
          <w:color w:val="auto"/>
        </w:rPr>
      </w:pPr>
      <w:r>
        <w:rPr>
          <w:rFonts w:ascii="Courier New" w:cs="Courier New" w:eastAsia="Courier New" w:hAnsi="Courier New"/>
          <w:sz w:val="18"/>
          <w:szCs w:val="18"/>
          <w:color w:val="auto"/>
        </w:rPr>
        <w:t>33</w:t>
      </w:r>
    </w:p>
    <w:p>
      <w:pPr>
        <w:spacing w:after="0" w:line="31" w:lineRule="exact"/>
        <w:rPr>
          <w:sz w:val="20"/>
          <w:szCs w:val="20"/>
          <w:color w:val="auto"/>
        </w:rPr>
      </w:pPr>
    </w:p>
    <w:p>
      <w:pPr>
        <w:ind w:left="960" w:right="1879"/>
        <w:spacing w:after="0" w:line="273" w:lineRule="auto"/>
        <w:rPr>
          <w:sz w:val="20"/>
          <w:szCs w:val="20"/>
          <w:color w:val="auto"/>
        </w:rPr>
      </w:pPr>
      <w:r>
        <w:rPr>
          <w:rFonts w:ascii="Courier New" w:cs="Courier New" w:eastAsia="Courier New" w:hAnsi="Courier New"/>
          <w:sz w:val="18"/>
          <w:szCs w:val="18"/>
          <w:color w:val="auto"/>
        </w:rPr>
        <w:t>management of the Company shall participate in, meetings of representatives of Parent or Acquisition with employees of the Company or any Subsidiary.</w:t>
      </w:r>
    </w:p>
    <w:p>
      <w:pPr>
        <w:spacing w:after="0" w:line="82" w:lineRule="exact"/>
        <w:rPr>
          <w:sz w:val="20"/>
          <w:szCs w:val="20"/>
          <w:color w:val="auto"/>
        </w:rPr>
      </w:pPr>
    </w:p>
    <w:p>
      <w:pPr>
        <w:ind w:right="2099" w:firstLine="1896"/>
        <w:spacing w:after="0" w:line="274" w:lineRule="auto"/>
        <w:rPr>
          <w:sz w:val="20"/>
          <w:szCs w:val="20"/>
          <w:color w:val="auto"/>
        </w:rPr>
      </w:pPr>
      <w:r>
        <w:rPr>
          <w:rFonts w:ascii="Courier New" w:cs="Courier New" w:eastAsia="Courier New" w:hAnsi="Courier New"/>
          <w:sz w:val="18"/>
          <w:szCs w:val="18"/>
          <w:color w:val="auto"/>
        </w:rPr>
        <w:t>SECTION 6.02 Conduct of Parent's Business. Parent covenants and agrees that, on or prior to the Effective Time, unless the Company shall otherwise consent in writing or as otherwise expressly provided by this Agreement:</w:t>
      </w:r>
    </w:p>
    <w:p>
      <w:pPr>
        <w:spacing w:after="0" w:line="82" w:lineRule="exact"/>
        <w:rPr>
          <w:sz w:val="20"/>
          <w:szCs w:val="20"/>
          <w:color w:val="auto"/>
        </w:rPr>
      </w:pPr>
    </w:p>
    <w:p>
      <w:pPr>
        <w:ind w:right="1779" w:firstLine="1904"/>
        <w:spacing w:after="0" w:line="306" w:lineRule="auto"/>
        <w:tabs>
          <w:tab w:leader="none" w:pos="2318"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Parent nor any of its subsidiaries shall declare, set aside or pay any dividend payable in cash, stock, property or otherwise with respect to its shares (except for any dividends paid to Parent or to any wholly-owned subsidiary) unless Parent also makes provision for such dividend to be declared and paid on the Parent Ordinary Shares to be issued in the Merger;</w:t>
      </w:r>
    </w:p>
    <w:p>
      <w:pPr>
        <w:spacing w:after="0" w:line="60" w:lineRule="exact"/>
        <w:rPr>
          <w:rFonts w:ascii="Courier New" w:cs="Courier New" w:eastAsia="Courier New" w:hAnsi="Courier New"/>
          <w:sz w:val="16"/>
          <w:szCs w:val="16"/>
          <w:color w:val="auto"/>
        </w:rPr>
      </w:pPr>
    </w:p>
    <w:p>
      <w:pPr>
        <w:ind w:right="1779" w:firstLine="1904"/>
        <w:spacing w:after="0" w:line="260" w:lineRule="auto"/>
        <w:tabs>
          <w:tab w:leader="none" w:pos="2318"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nor any of its subsidiaries shall take any action that would make any representation or warranty of Parent or Acquisition hereunder inaccurate in any material respect at, or as of any time prior to, the Effective Time, or omit to take any action necessary to prevent any such representation or warranty from being inaccurate in any material respect at any such time.</w:t>
      </w:r>
    </w:p>
    <w:p>
      <w:pPr>
        <w:spacing w:after="0" w:line="93" w:lineRule="exact"/>
        <w:rPr>
          <w:sz w:val="20"/>
          <w:szCs w:val="20"/>
          <w:color w:val="auto"/>
        </w:rPr>
      </w:pPr>
    </w:p>
    <w:p>
      <w:pPr>
        <w:ind w:right="1879" w:firstLine="1896"/>
        <w:spacing w:after="0" w:line="283" w:lineRule="auto"/>
        <w:rPr>
          <w:sz w:val="20"/>
          <w:szCs w:val="20"/>
          <w:color w:val="auto"/>
        </w:rPr>
      </w:pPr>
      <w:r>
        <w:rPr>
          <w:rFonts w:ascii="Courier New" w:cs="Courier New" w:eastAsia="Courier New" w:hAnsi="Courier New"/>
          <w:sz w:val="16"/>
          <w:szCs w:val="16"/>
          <w:color w:val="auto"/>
        </w:rPr>
        <w:t>SECTION 6.03 Stockholder Approval. (a) As soon as reasonably practicable, the Company shall take all action necessary in accordance with the Delaware GCL and its Certificate of Incorporation and By-Laws to call, give notice of and convene a meeting (the "Company Meeting") of its stockholders to consider and vote upon the approval and adoption of this Agreement and the Merger and for such other purposes as may be necessary or desirable. The Board of Directors of the Company has determined that the Merger is advisable and in the best interests of the stockholders of the Company and shall, subject to its fiduciary duties as advised by counsel, recommend that the stockholders of the Company vote to approve and adopt this Agreement and the Merger and any other matters to be submitted to stockholders in connection therewith.</w:t>
      </w:r>
    </w:p>
    <w:p>
      <w:pPr>
        <w:spacing w:after="0" w:line="80" w:lineRule="exact"/>
        <w:rPr>
          <w:sz w:val="20"/>
          <w:szCs w:val="20"/>
          <w:color w:val="auto"/>
        </w:rPr>
      </w:pPr>
    </w:p>
    <w:p>
      <w:pPr>
        <w:ind w:right="1779" w:firstLine="1904"/>
        <w:spacing w:after="0" w:line="278" w:lineRule="auto"/>
        <w:tabs>
          <w:tab w:leader="none" w:pos="2318"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and the Company shall, as promptly as practicable, prepare and file with the SEC a proxy statement/prospectus and form of proxy, in connection with the vote of the Company's stockholders with respect to the Merger and the issuance of Parent Ordinary Shares pursuant to the Merger (such proxy statement/prospectus, together with any amendments thereof or supplements thereto, in each case in the form or forms mailed to the Company's stockholders, is herein referred to as, the "Proxy Statement"). Parent will, as promptly as practicable, prepare and file with the SEC a registration statement on Form F-4 containing the Proxy Statement, in connection with the registration under the Securities Act of the Parent Ordinary Shares issuable upon conversion of the shares of Company Common Stock and the other transactions contemplated hereby. Parent and the Company shall use their best efforts to have or cause the Registration Statement declared effective as promptly as practicable, including, without limitation, causing their accountants to deliver necessary or required instruments such as opinions and certificates, and will take any other action required or necessary to be taken under federal or state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285" w:right="1440" w:bottom="1440" w:gutter="0" w:footer="0" w:header="0"/>
        </w:sectPr>
      </w:pPr>
    </w:p>
    <w:bookmarkStart w:id="38" w:name="page39"/>
    <w:bookmarkEnd w:id="38"/>
    <w:p>
      <w:pPr>
        <w:ind w:left="320"/>
        <w:spacing w:after="0"/>
        <w:rPr>
          <w:sz w:val="20"/>
          <w:szCs w:val="20"/>
          <w:color w:val="auto"/>
        </w:rPr>
      </w:pPr>
      <w:r>
        <w:rPr>
          <w:rFonts w:ascii="Courier New" w:cs="Courier New" w:eastAsia="Courier New" w:hAnsi="Courier New"/>
          <w:sz w:val="18"/>
          <w:szCs w:val="18"/>
          <w:color w:val="auto"/>
        </w:rPr>
        <w:t>34</w:t>
      </w:r>
    </w:p>
    <w:p>
      <w:pPr>
        <w:spacing w:after="0" w:line="31" w:lineRule="exact"/>
        <w:rPr>
          <w:sz w:val="20"/>
          <w:szCs w:val="20"/>
          <w:color w:val="auto"/>
        </w:rPr>
      </w:pPr>
    </w:p>
    <w:p>
      <w:pPr>
        <w:ind w:right="1779"/>
        <w:spacing w:after="0" w:line="256" w:lineRule="auto"/>
        <w:rPr>
          <w:sz w:val="20"/>
          <w:szCs w:val="20"/>
          <w:color w:val="auto"/>
        </w:rPr>
      </w:pPr>
      <w:r>
        <w:rPr>
          <w:rFonts w:ascii="Courier New" w:cs="Courier New" w:eastAsia="Courier New" w:hAnsi="Courier New"/>
          <w:sz w:val="18"/>
          <w:szCs w:val="18"/>
          <w:color w:val="auto"/>
        </w:rPr>
        <w:t>securities laws or otherwise in connection with the registration process. The Company will use its reasonable best efforts to cause the Proxy Statement to be mailed to stockholders of the Company at the earliest practicable date and shall use its reasonable best efforts to hold the Company Meeting as soon as practicable after the date hereof.</w:t>
      </w:r>
    </w:p>
    <w:p>
      <w:pPr>
        <w:spacing w:after="0" w:line="96" w:lineRule="exact"/>
        <w:rPr>
          <w:sz w:val="20"/>
          <w:szCs w:val="20"/>
          <w:color w:val="auto"/>
        </w:rPr>
      </w:pPr>
    </w:p>
    <w:p>
      <w:pPr>
        <w:ind w:right="1779" w:firstLine="1904"/>
        <w:spacing w:after="0" w:line="247" w:lineRule="auto"/>
        <w:tabs>
          <w:tab w:leader="none" w:pos="2318"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the Company shall notify each other of the receipt of any comments of the staff of the SEC and of any requests by the staff for amendments or supplements to the Proxy Statement or the Registration Statement, or for additional information, and shall promptly supply the Company with copies of all correspondence between Parent or the Company (or its representatives) and the staff of the SEC with respect thereto. If, at any time prior to the Company Meeting, any event should occur relating to or affecting the Company, Parent or Acquisition, or to their respective officers or directors, which event should be described in an amendment or supplement to the Proxy Statement or the Registration Statement, the parties shall promptly inform one another and shall cooperate in promptly preparing, filing and clearing with the SEC and, if required by applicable securities laws, distributing to the Company's stockholders such amendment or supplement.</w:t>
      </w:r>
    </w:p>
    <w:p>
      <w:pPr>
        <w:spacing w:after="0" w:line="108"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SECTION 6.04 Access to Information. (a) The Company shall, and shall cause the Subsidiaries and its and their respective officers, directors, employees, representatives and agents to, afford, from the date hereof to the Effective Time, the officers, employees, representatives and agents of Parent reasonable access during regular business hours to its officers, employees, agents, properties, books, records and workpapers, and shall promptly furnish Parent all financial, operating and other information and data as Parent, through its officers, employees or agents, may reasonably request.</w:t>
      </w:r>
    </w:p>
    <w:p>
      <w:pPr>
        <w:spacing w:after="0" w:line="77" w:lineRule="exact"/>
        <w:rPr>
          <w:sz w:val="20"/>
          <w:szCs w:val="20"/>
          <w:color w:val="auto"/>
        </w:rPr>
      </w:pPr>
    </w:p>
    <w:p>
      <w:pPr>
        <w:ind w:right="1779" w:firstLine="1904"/>
        <w:spacing w:after="0" w:line="265"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required by law, Parent shall hold, and will cause its respective officers, employees, representatives and agents to hold any confidential information in accordance with the Confidentiality Agreement dated August 21, 1999 between the Company and Parent (the "Confidentiality Agreement").</w:t>
      </w:r>
    </w:p>
    <w:p>
      <w:pPr>
        <w:spacing w:after="0" w:line="89" w:lineRule="exact"/>
        <w:rPr>
          <w:rFonts w:ascii="Courier New" w:cs="Courier New" w:eastAsia="Courier New" w:hAnsi="Courier New"/>
          <w:sz w:val="18"/>
          <w:szCs w:val="18"/>
          <w:color w:val="auto"/>
        </w:rPr>
      </w:pPr>
    </w:p>
    <w:p>
      <w:pPr>
        <w:ind w:right="1779" w:firstLine="1904"/>
        <w:spacing w:after="0" w:line="274" w:lineRule="auto"/>
        <w:tabs>
          <w:tab w:leader="none" w:pos="2318"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investigation pursuant to this Section 6.03 shall affect, add to or subtract from any representations or warranties of the parties hereto or the conditions to the obligations of the parties hereto to effect the Merger.</w:t>
      </w:r>
    </w:p>
    <w:p>
      <w:pPr>
        <w:spacing w:after="0" w:line="82" w:lineRule="exact"/>
        <w:rPr>
          <w:sz w:val="20"/>
          <w:szCs w:val="20"/>
          <w:color w:val="auto"/>
        </w:rPr>
      </w:pPr>
    </w:p>
    <w:p>
      <w:pPr>
        <w:ind w:right="1779" w:firstLine="1896"/>
        <w:spacing w:after="0" w:line="248" w:lineRule="auto"/>
        <w:rPr>
          <w:sz w:val="20"/>
          <w:szCs w:val="20"/>
          <w:color w:val="auto"/>
        </w:rPr>
      </w:pPr>
      <w:r>
        <w:rPr>
          <w:rFonts w:ascii="Courier New" w:cs="Courier New" w:eastAsia="Courier New" w:hAnsi="Courier New"/>
          <w:sz w:val="18"/>
          <w:szCs w:val="18"/>
          <w:color w:val="auto"/>
        </w:rPr>
        <w:t>SECTION 6.05 Further Assurances. (a) Subject to the terms and conditions herein provided, each of the parties hereto agrees to use all reasonable efforts to take, or cause to be taken, all action and to do, or cause to be done, all things necessary, proper or advisable to consummate and make effective as promptly as practicable the transactions contemplated by this Agreement, including, without limitation, using all reasonable efforts to obtain all necessary waivers, consents and approvals and to effect all necessary registrations and filings (including, without limitation, any necessary filings under the HSR Act); provided that the foregoing shall not require Parent to agree to make, or to permit the Company or any Subsidiary to make, any divestiture of a significant asset in order to obtain any waiver, consent or approval.</w:t>
      </w:r>
    </w:p>
    <w:p>
      <w:pPr>
        <w:spacing w:after="0" w:line="3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10219"/>
          </w:cols>
          <w:pgMar w:left="240" w:top="285" w:right="1440" w:bottom="1440" w:gutter="0" w:footer="0" w:header="0"/>
        </w:sectPr>
      </w:pPr>
    </w:p>
    <w:bookmarkStart w:id="39" w:name="page40"/>
    <w:bookmarkEnd w:id="39"/>
    <w:p>
      <w:pPr>
        <w:ind w:left="320"/>
        <w:spacing w:after="0"/>
        <w:rPr>
          <w:sz w:val="20"/>
          <w:szCs w:val="20"/>
          <w:color w:val="auto"/>
        </w:rPr>
      </w:pPr>
      <w:r>
        <w:rPr>
          <w:rFonts w:ascii="Courier New" w:cs="Courier New" w:eastAsia="Courier New" w:hAnsi="Courier New"/>
          <w:sz w:val="18"/>
          <w:szCs w:val="18"/>
          <w:color w:val="auto"/>
        </w:rPr>
        <w:t>35</w:t>
      </w:r>
    </w:p>
    <w:p>
      <w:pPr>
        <w:spacing w:after="0" w:line="31" w:lineRule="exact"/>
        <w:rPr>
          <w:sz w:val="20"/>
          <w:szCs w:val="20"/>
          <w:color w:val="auto"/>
        </w:rPr>
      </w:pPr>
    </w:p>
    <w:p>
      <w:pPr>
        <w:ind w:right="1779" w:firstLine="1904"/>
        <w:spacing w:after="0" w:line="247" w:lineRule="auto"/>
        <w:tabs>
          <w:tab w:leader="none" w:pos="2318"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to cooperate with Parent in the preparation by Parent of a registration statement on Form S-3 in connection with Parent's proposed secondary offering of its Ordinary Shares, as well as any necessary amendments and post-effective amendments thereto. The Company agrees to provide financial statements and any other information with respect to the Company not previously provided to be included in such registration statement and will use its reasonable best efforts to cause the Company's accountants to deliver any necessary or required information or instruments, including opinions and consents.</w:t>
      </w:r>
    </w:p>
    <w:p>
      <w:pPr>
        <w:spacing w:after="0" w:line="105" w:lineRule="exact"/>
        <w:rPr>
          <w:sz w:val="20"/>
          <w:szCs w:val="20"/>
          <w:color w:val="auto"/>
        </w:rPr>
      </w:pPr>
    </w:p>
    <w:p>
      <w:pPr>
        <w:ind w:right="1779" w:firstLine="1896"/>
        <w:spacing w:after="0" w:line="272" w:lineRule="auto"/>
        <w:rPr>
          <w:sz w:val="20"/>
          <w:szCs w:val="20"/>
          <w:color w:val="auto"/>
        </w:rPr>
      </w:pPr>
      <w:r>
        <w:rPr>
          <w:rFonts w:ascii="Courier New" w:cs="Courier New" w:eastAsia="Courier New" w:hAnsi="Courier New"/>
          <w:sz w:val="16"/>
          <w:szCs w:val="16"/>
          <w:color w:val="auto"/>
        </w:rPr>
        <w:t>SECTION 6.06 Inquiries and Negotiations. (a) From the date hereof until the termination hereof, the Company, the Subsidiaries and their respective officers, directors, employees, representatives and other agents will not, directly or indirectly, solicit or initiate any discussions, submissions of proposals or offers or negotiations with or, subject to the fiduciary duties of the Company's Board of Directors as advised by counsel, participate in any negotiations or discussions with, or provide any information or data of any nature whatsoever to, or otherwise cooperate in any other way with, or assist or participate in, facilitate or encourage any effort or attempt by, any person, corporation, entity or "group" (as defined in Section 13(d) of the Exchange Act) other than Parent and its affiliates, representatives and agents (each, a "Third Party") in connection with any merger, consolidation, sale of any Subsidiary or division that is material to the business of the Company and the Subsidiaries, sale of shares of capital stock or other equity securities, tender or exchange offer, recapitalization, debt restructuring or similar transaction involving the Company (such transactions being hereinafter referred to as "Alternative Transactions"). The Company shall immediately notify Parent if any proposal, offer, inquiry or other contact is received by, any information is requested from, or any discussions or negotiations are sought to be initiated or continued with, the Company in respect of an Alternative Transaction, and shall, in any such notice to Parent, indicate the identity of the Third Party and the terms and conditions of any proposals or offers or the nature of any inquiries or contacts, and thereafter shall keep Parent informed, on a current basis, of the status and terms of any such proposals or offers and the status of any such discussions or negotiations. Prior to furnishing any non-public information to, or entering into negotiations or discussions with, any Third Party, the Company shall obtain an executed confidentiality agreement from such Third Party on terms substantially the same as, or no less favorable to the Company in any material respect than, those contained in the Confidentiality Agreement. The Company shall not release any Third Party from, or waive any provision of, any such confidentiality agreement or any other confidentiality or standstill agreement to which the Company is a party. As of the date hereof, except as contemplated above, the Company shall cease, and shall cause the Subsidiaries and the officers, directors, employees, representatives and other agents of the Company and the Subsidiaries to cease all discussions, negotiations and communications with all Third Parties and demand the immediate return of all confidential information previously provided to Third Parties.</w:t>
      </w:r>
    </w:p>
    <w:p>
      <w:pPr>
        <w:spacing w:after="0" w:line="200" w:lineRule="exact"/>
        <w:rPr>
          <w:sz w:val="20"/>
          <w:szCs w:val="20"/>
          <w:color w:val="auto"/>
        </w:rPr>
      </w:pPr>
    </w:p>
    <w:p>
      <w:pPr>
        <w:spacing w:after="0" w:line="308" w:lineRule="exact"/>
        <w:rPr>
          <w:sz w:val="20"/>
          <w:szCs w:val="20"/>
          <w:color w:val="auto"/>
        </w:rPr>
      </w:pPr>
    </w:p>
    <w:p>
      <w:pPr>
        <w:ind w:right="1879" w:firstLine="1904"/>
        <w:spacing w:after="0" w:line="306" w:lineRule="auto"/>
        <w:tabs>
          <w:tab w:leader="none" w:pos="2318"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 Payment Event (as hereinafter defined) occurs, the Company shall pay to Parent, within two business days following such Payment Event, (i) a fee of $6,420,000 in cash, plus (ii) all reasonable and documented out-of-pocket costs and expenses of Parent and Acquisition, including, without limitation, fees and expenses of counsel, accountants, investment</w:t>
      </w:r>
    </w:p>
    <w:p>
      <w:pPr>
        <w:spacing w:after="0" w:line="6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285" w:right="1440" w:bottom="1440" w:gutter="0" w:footer="0" w:header="0"/>
        </w:sectPr>
      </w:pPr>
    </w:p>
    <w:bookmarkStart w:id="40" w:name="page41"/>
    <w:bookmarkEnd w:id="40"/>
    <w:p>
      <w:pPr>
        <w:ind w:left="320"/>
        <w:spacing w:after="0"/>
        <w:rPr>
          <w:sz w:val="20"/>
          <w:szCs w:val="20"/>
          <w:color w:val="auto"/>
        </w:rPr>
      </w:pPr>
      <w:r>
        <w:rPr>
          <w:rFonts w:ascii="Courier New" w:cs="Courier New" w:eastAsia="Courier New" w:hAnsi="Courier New"/>
          <w:sz w:val="18"/>
          <w:szCs w:val="18"/>
          <w:color w:val="auto"/>
        </w:rPr>
        <w:t>36</w:t>
      </w:r>
    </w:p>
    <w:p>
      <w:pPr>
        <w:spacing w:after="0" w:line="31" w:lineRule="exact"/>
        <w:rPr>
          <w:sz w:val="20"/>
          <w:szCs w:val="20"/>
          <w:color w:val="auto"/>
        </w:rPr>
      </w:pPr>
    </w:p>
    <w:p>
      <w:pPr>
        <w:ind w:right="1879"/>
        <w:spacing w:after="0" w:line="246" w:lineRule="auto"/>
        <w:rPr>
          <w:sz w:val="20"/>
          <w:szCs w:val="20"/>
          <w:color w:val="auto"/>
        </w:rPr>
      </w:pPr>
      <w:r>
        <w:rPr>
          <w:rFonts w:ascii="Courier New" w:cs="Courier New" w:eastAsia="Courier New" w:hAnsi="Courier New"/>
          <w:sz w:val="18"/>
          <w:szCs w:val="18"/>
          <w:color w:val="auto"/>
        </w:rPr>
        <w:t>bankers and other advisors, filling fees and printing expenses. In the event that this Agreement shall be terminated for any other reason and the Company shall have failed to comply with or per form, or shall have breached, in any material respect, any of its covenants or agreements contained herein, the Company shall pay to Parent, within two business days following such termination, the fees and expenses referred to in clause (ii) of the preceding sentence; provided that the fees and expenses described in clauses (i) and (ii) above shall not be so payable if Parent or Acquisition shall have failed to comply with or perform, or shall have breached, in any material respect, any of its covenants or agreements contained herein.</w:t>
      </w:r>
    </w:p>
    <w:p>
      <w:pPr>
        <w:spacing w:after="0" w:line="106" w:lineRule="exact"/>
        <w:rPr>
          <w:sz w:val="20"/>
          <w:szCs w:val="20"/>
          <w:color w:val="auto"/>
        </w:rPr>
      </w:pPr>
    </w:p>
    <w:p>
      <w:pPr>
        <w:ind w:right="1779" w:firstLine="1904"/>
        <w:spacing w:after="0" w:line="243"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 "Payment Event" means any of (x) the termination of this Agreement by Parent pursuant to Section 8.01(d); (y) the Company's entering into a written agreement with respect to an Alternative Transaction or the commencement of a tender offer by a Third Party, as contemplated by Section 8.01(c); or (z) the occurrence of any of the following events within six months of the date of termination of this Agreement (unless this Agreement was terminated pursuant to Section 8.01(a) and the Company was not in breach in any material respect of any representation, warranty or covenant at the time of such termination) whereby stockholders of the Company receive, pursuant to such event, cash, securities or other consideration having an aggregate value, when taken together with the value of any securities of the Company or the Subsidiaries otherwise held by the stockholders of the Company after such event, in excess of $10.50 per share of Company Common Stock: (i) the Company is acquired by merger or otherwise by a Third Party; (ii) a Third Party acquires more than 50% of the total assets of the Company and the Subsidiaries, taken as a whole; (iii) a Third Party acquires more than 30% of the outstanding shares of Company Common Stock or (iv) the Company adopts and implements a plan of liquidation or share repurchase relating to more than 50% of such outstanding shares or an extraordinary dividend relating to more than 50% of the outstanding Shares or 50% of the assets of the Company and the Subsidiaries, taken as a whole.</w:t>
      </w:r>
    </w:p>
    <w:p>
      <w:pPr>
        <w:spacing w:after="0" w:line="121" w:lineRule="exact"/>
        <w:rPr>
          <w:rFonts w:ascii="Courier New" w:cs="Courier New" w:eastAsia="Courier New" w:hAnsi="Courier New"/>
          <w:sz w:val="18"/>
          <w:szCs w:val="18"/>
          <w:color w:val="auto"/>
        </w:rPr>
      </w:pPr>
    </w:p>
    <w:p>
      <w:pPr>
        <w:ind w:right="1779" w:firstLine="1904"/>
        <w:spacing w:after="0" w:line="252"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acknowledges that the agreements contained in this Section 6.06 are an integral part of the transactions contemplated by this Agreement, and that, without these agreements, Parent and Acquisition would not enter into this Agreement; accordingly, if the Company fails to promptly pay any amount due pursuant to this Section 6.06, and, in order to obtain such payment, the other party commences a suit which results in a judgment against the Company for the fee or fees and expenses set forth in this Section 6.06, the Company shall also pay to Parent and Acquisition their costs and expenses incurred in connection with such litigation.</w:t>
      </w:r>
    </w:p>
    <w:p>
      <w:pPr>
        <w:spacing w:after="0" w:line="98" w:lineRule="exact"/>
        <w:rPr>
          <w:rFonts w:ascii="Courier New" w:cs="Courier New" w:eastAsia="Courier New" w:hAnsi="Courier New"/>
          <w:sz w:val="18"/>
          <w:szCs w:val="18"/>
          <w:color w:val="auto"/>
        </w:rPr>
      </w:pPr>
    </w:p>
    <w:p>
      <w:pPr>
        <w:ind w:right="2099" w:firstLine="1904"/>
        <w:spacing w:after="0" w:line="347" w:lineRule="auto"/>
        <w:tabs>
          <w:tab w:leader="none" w:pos="2318"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6.06 shall survive any termination of this Agreement, however caused.</w:t>
      </w:r>
    </w:p>
    <w:p>
      <w:pPr>
        <w:spacing w:after="0" w:line="18"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SECTION 6.07 Notification of Certain Matters. The Company shall give prompt notice to Parent and Acquisition, and Parent and Acquisition shall give prompt notice to the Company, of (i) the occurrence, or failure to occur, of any event that such party believes would be likely to cause any of its representations or warranties contained in this Agreement to be untrue or</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285" w:right="1440" w:bottom="1440" w:gutter="0" w:footer="0" w:header="0"/>
        </w:sectPr>
      </w:pPr>
    </w:p>
    <w:bookmarkStart w:id="41" w:name="page42"/>
    <w:bookmarkEnd w:id="41"/>
    <w:p>
      <w:pPr>
        <w:ind w:left="320"/>
        <w:spacing w:after="0"/>
        <w:rPr>
          <w:sz w:val="20"/>
          <w:szCs w:val="20"/>
          <w:color w:val="auto"/>
        </w:rPr>
      </w:pPr>
      <w:r>
        <w:rPr>
          <w:rFonts w:ascii="Courier New" w:cs="Courier New" w:eastAsia="Courier New" w:hAnsi="Courier New"/>
          <w:sz w:val="18"/>
          <w:szCs w:val="18"/>
          <w:color w:val="auto"/>
        </w:rPr>
        <w:t>37</w:t>
      </w:r>
    </w:p>
    <w:p>
      <w:pPr>
        <w:spacing w:after="0" w:line="31" w:lineRule="exact"/>
        <w:rPr>
          <w:sz w:val="20"/>
          <w:szCs w:val="20"/>
          <w:color w:val="auto"/>
        </w:rPr>
      </w:pPr>
    </w:p>
    <w:p>
      <w:pPr>
        <w:ind w:right="1999"/>
        <w:spacing w:after="0" w:line="250" w:lineRule="auto"/>
        <w:rPr>
          <w:sz w:val="20"/>
          <w:szCs w:val="20"/>
          <w:color w:val="auto"/>
        </w:rPr>
      </w:pPr>
      <w:r>
        <w:rPr>
          <w:rFonts w:ascii="Courier New" w:cs="Courier New" w:eastAsia="Courier New" w:hAnsi="Courier New"/>
          <w:sz w:val="18"/>
          <w:szCs w:val="18"/>
          <w:color w:val="auto"/>
        </w:rPr>
        <w:t>inaccurate in any material respect at any time from the date hereof to the Effective Time and (ii) any material failure of the Company, Parent or Acquisition, as the case may be, or any officer, director, employee or agent thereof, to comply with or satisfy any covenant, condition or agreement to be complied with or satisfied by it hereunder; provided, however, that failure to give such notice shall not constitute a waiver of any defense that may be validly asserted.</w:t>
      </w:r>
    </w:p>
    <w:p>
      <w:pPr>
        <w:spacing w:after="0" w:line="102" w:lineRule="exact"/>
        <w:rPr>
          <w:sz w:val="20"/>
          <w:szCs w:val="20"/>
          <w:color w:val="auto"/>
        </w:rPr>
      </w:pPr>
    </w:p>
    <w:p>
      <w:pPr>
        <w:ind w:right="1779" w:firstLine="1896"/>
        <w:spacing w:after="0" w:line="271" w:lineRule="auto"/>
        <w:rPr>
          <w:sz w:val="20"/>
          <w:szCs w:val="20"/>
          <w:color w:val="auto"/>
        </w:rPr>
      </w:pPr>
      <w:r>
        <w:rPr>
          <w:rFonts w:ascii="Courier New" w:cs="Courier New" w:eastAsia="Courier New" w:hAnsi="Courier New"/>
          <w:sz w:val="16"/>
          <w:szCs w:val="16"/>
          <w:color w:val="auto"/>
        </w:rPr>
        <w:t>SECTION 6.08 Indemnification. (a) The Company shall and, from and after the Effective Time, Parent and the Surviving Corporation shall, indemnify, defend and hold harmless each person who is now, or has been at any time prior to the date of this Agreement or who becomes prior to the Effective Time, an officer, director or employee of the Company or any of the Subsidiaries (the "Indemnified Parties") against all losses, claims, damages, costs, expenses, liabilities or judgments or amounts that are paid in settlement with the approval of the indemnifying party (which approval shall not be unreasonably withheld or delayed) of or in connection with any claim, action, suit, proceeding or investigation based in whole or in part on or arising in whole or in part out of the fact that such person is or was a director, officer or employee of the Company or any of the Subsidiaries, whether pertaining to any matter existing or occurring at or prior to the Effective Time and whether asserted or claimed prior to, or at or after, the Effective Time ("Indemnified Liabilities"), including all losses, claims, damages, costs, expenses, liabilities or judgments based in whole or in part on, or arising in whole or in part out of, or pertaining to this Agreement or the transactions contemplated hereby, in each case to the full extent a corporation is permitted under the Delaware GCL to indemnify its own directors, officers and employees, as the case may be (the Company, Parent and the Surviving Corporation, as the case may be, will pay expenses in advance of the final disposition of any such action or proceeding to each Indemnified Party to the full extent permitted by law upon receipt of an undertaking contemplated by Section 145(e) of the Delaware GCL). Without limiting the foregoing, in the event any such claim, action, suit, proceeding or investigation is brought against any Indemnified Party (whether arising before or after the Effective Time), (i) the Indemnified Parties may retain counsel satisfactory to them and the Company (or them and Parent and the Surviving Corporation after the Effective Time), (ii) the Company (or after the Effective Time, Parent and the Surviving Corporation) shall pay all reasonable fees and expenses of such counsel for the Indemnified Parties promptly as statements therefor are received, and (iii) the Company (or after the Effective Time, Parent and the Surviving Corporation) will use all reasonable efforts to assist in the vigorous defense of any such matter, provided that none of the Company, Parent or the Surviving Corporation shall be liable for any settlement of any claim effected without its written consent, which consent, however, shall not be unreasonably withheld or delayed. Any Indemnified Party wishing to claim indemnification under this Section 6.08, upon learning of any such claim, action, suit or proceeding or investigation, shall promptly notify the Company, Parent or the Surviving Corporation (but the failure to so notify an indemnifying party shall not relieve it from any liability which it may have had under this Section 6.08 except to the extent such failure prejudices such party), and shall deliver to the Company (or after the Effective Time, Parent and the Surviving Corporation) the undertaking contemplated by Section 145(e) of the Delaware GCL. The Indemnified Parties as a group may retain only one law firm to represent them with respect to each such matter unless there is, under applicable standards of professional conduct,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285" w:right="1440" w:bottom="1440" w:gutter="0" w:footer="0" w:header="0"/>
        </w:sectPr>
      </w:pPr>
    </w:p>
    <w:bookmarkStart w:id="42" w:name="page43"/>
    <w:bookmarkEnd w:id="42"/>
    <w:p>
      <w:pPr>
        <w:ind w:left="320"/>
        <w:spacing w:after="0"/>
        <w:rPr>
          <w:sz w:val="20"/>
          <w:szCs w:val="20"/>
          <w:color w:val="auto"/>
        </w:rPr>
      </w:pPr>
      <w:r>
        <w:rPr>
          <w:rFonts w:ascii="Courier New" w:cs="Courier New" w:eastAsia="Courier New" w:hAnsi="Courier New"/>
          <w:sz w:val="18"/>
          <w:szCs w:val="18"/>
          <w:color w:val="auto"/>
        </w:rPr>
        <w:t>38</w:t>
      </w:r>
    </w:p>
    <w:p>
      <w:pPr>
        <w:spacing w:after="0" w:line="31" w:lineRule="exact"/>
        <w:rPr>
          <w:sz w:val="20"/>
          <w:szCs w:val="20"/>
          <w:color w:val="auto"/>
        </w:rPr>
      </w:pPr>
    </w:p>
    <w:p>
      <w:pPr>
        <w:ind w:right="2099"/>
        <w:spacing w:after="0" w:line="262" w:lineRule="auto"/>
        <w:rPr>
          <w:sz w:val="20"/>
          <w:szCs w:val="20"/>
          <w:color w:val="auto"/>
        </w:rPr>
      </w:pPr>
      <w:r>
        <w:rPr>
          <w:rFonts w:ascii="Courier New" w:cs="Courier New" w:eastAsia="Courier New" w:hAnsi="Courier New"/>
          <w:sz w:val="18"/>
          <w:szCs w:val="18"/>
          <w:color w:val="auto"/>
        </w:rPr>
        <w:t>conflict on any significant issue between the positions of any two or more Indemnified Parties. The obligations of the parties set forth in this Section 6.08(a) shall be in furtherance of and not in limitation of succeeding paragraphs of this Section 6.08.</w:t>
      </w:r>
    </w:p>
    <w:p>
      <w:pPr>
        <w:spacing w:after="0" w:line="90" w:lineRule="exact"/>
        <w:rPr>
          <w:sz w:val="20"/>
          <w:szCs w:val="20"/>
          <w:color w:val="auto"/>
        </w:rPr>
      </w:pPr>
    </w:p>
    <w:p>
      <w:pPr>
        <w:ind w:right="1879" w:firstLine="1904"/>
        <w:spacing w:after="0" w:line="260"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Surviving Corporation and Parent will fulfill, assume and honor in all respects the obligations of the Company pursuant to the Company's Certificate of Incorporation, Bylaws and any indemnification agreement between the Company and the Company's directors and officers existing and in force as of the Effective Time.</w:t>
      </w:r>
    </w:p>
    <w:p>
      <w:pPr>
        <w:spacing w:after="0" w:line="92" w:lineRule="exact"/>
        <w:rPr>
          <w:rFonts w:ascii="Courier New" w:cs="Courier New" w:eastAsia="Courier New" w:hAnsi="Courier New"/>
          <w:sz w:val="18"/>
          <w:szCs w:val="18"/>
          <w:color w:val="auto"/>
        </w:rPr>
      </w:pPr>
    </w:p>
    <w:p>
      <w:pPr>
        <w:ind w:right="1779" w:firstLine="1904"/>
        <w:spacing w:after="0" w:line="245"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and the Surviving Corporation shall, until the sixth anniversary of the Effective Time or such earlier date as may be mutually agreed upon by Parent, the Surviving Corporation and the applicable Indemnified Party, cause to be maintained in effect, to the extent available, the policies of directors' and officers' liability insurance maintained by the Company and the Subsidiaries as of the date hereof (or policies of at least the same coverage and amounts containing terms that are not less advantageous to the insured parties) with respect to claims arising from facts or events that occurred on or prior to the Effective Time. In lieu of the purchase of such insurance by Parent or the Surviving Corporation, the Company may purchase a six-year extended reporting period endorsement ("reporting tail coverage") under its existing directors' and liability insurance coverage. In no event shall Parent or the Surviving Corporation be obligated to expend in order to maintain or procure insurance coverage pursuant to this paragraph (c) any amount per year in excess of 150% of the aggregate premiums paid by the Company and the Subsidiaries in the fiscal year ending December 31, 1999 for directors' and officers' liability insurance.</w:t>
      </w:r>
    </w:p>
    <w:p>
      <w:pPr>
        <w:spacing w:after="0" w:line="107" w:lineRule="exact"/>
        <w:rPr>
          <w:rFonts w:ascii="Courier New" w:cs="Courier New" w:eastAsia="Courier New" w:hAnsi="Courier New"/>
          <w:sz w:val="18"/>
          <w:szCs w:val="18"/>
          <w:color w:val="auto"/>
        </w:rPr>
      </w:pPr>
    </w:p>
    <w:p>
      <w:pPr>
        <w:ind w:right="1779" w:firstLine="1904"/>
        <w:spacing w:after="0" w:line="274" w:lineRule="auto"/>
        <w:tabs>
          <w:tab w:leader="none" w:pos="2318"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Section 6.08 shall survive the consummation of the Merger is intended to benefit the Company, Parent, the Surviving Corporation and the Indemnified Parties, and shall be binding on the successors and assigns of the Surviving Corporation.</w:t>
      </w:r>
    </w:p>
    <w:p>
      <w:pPr>
        <w:spacing w:after="0" w:line="82"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6.09 Affiliates of the Company. The Company has identified to Parent each person who is, as of the date hereof, an affiliate of the Company for purposes of Rule 145 under the Securities Act. The Company shall use its commercially reasonable efforts to cause each such affiliate to deliver to Parent, on or prior to the Effective Time, a written agreement that the affiliate will not sell, pledge, transfer or otherwise dispose of shares of Parent Common Stock issued to such affiliate pursuant to the Merger, except in compliance with Rule 145 or an exemption from the registration requirements of the Securities Act.</w:t>
      </w:r>
    </w:p>
    <w:p>
      <w:pPr>
        <w:spacing w:after="0" w:line="99" w:lineRule="exact"/>
        <w:rPr>
          <w:sz w:val="20"/>
          <w:szCs w:val="20"/>
          <w:color w:val="auto"/>
        </w:rPr>
      </w:pPr>
    </w:p>
    <w:p>
      <w:pPr>
        <w:ind w:right="1999" w:firstLine="1896"/>
        <w:spacing w:after="0" w:line="318" w:lineRule="auto"/>
        <w:rPr>
          <w:sz w:val="20"/>
          <w:szCs w:val="20"/>
          <w:color w:val="auto"/>
        </w:rPr>
      </w:pPr>
      <w:r>
        <w:rPr>
          <w:rFonts w:ascii="Courier New" w:cs="Courier New" w:eastAsia="Courier New" w:hAnsi="Courier New"/>
          <w:sz w:val="16"/>
          <w:szCs w:val="16"/>
          <w:color w:val="auto"/>
        </w:rPr>
        <w:t>SECTION 6.10 NYSE Listing. Parent shall use its best efforts to cause the Parent Ordinary Shares constituting the Merger Consideration and the Parent Ordinary Shares issuable upon exercise of the New Options to be listed on the NYSE, subject to official notice of issuance thereof.</w:t>
      </w:r>
    </w:p>
    <w:p>
      <w:pPr>
        <w:spacing w:after="0" w:line="52"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SECTION 6.11 Stock Option Registration. Parent shall file with the SEC a registration statement on Form S-8 (or other appropriate form) or a post-effective amendment to</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285" w:right="1440" w:bottom="1440" w:gutter="0" w:footer="0" w:header="0"/>
        </w:sectPr>
      </w:pPr>
    </w:p>
    <w:bookmarkStart w:id="43" w:name="page44"/>
    <w:bookmarkEnd w:id="43"/>
    <w:p>
      <w:pPr>
        <w:ind w:left="320"/>
        <w:spacing w:after="0"/>
        <w:rPr>
          <w:sz w:val="20"/>
          <w:szCs w:val="20"/>
          <w:color w:val="auto"/>
        </w:rPr>
      </w:pPr>
      <w:r>
        <w:rPr>
          <w:rFonts w:ascii="Courier New" w:cs="Courier New" w:eastAsia="Courier New" w:hAnsi="Courier New"/>
          <w:sz w:val="18"/>
          <w:szCs w:val="18"/>
          <w:color w:val="auto"/>
        </w:rPr>
        <w:t>39</w:t>
      </w:r>
    </w:p>
    <w:p>
      <w:pPr>
        <w:spacing w:after="0" w:line="31" w:lineRule="exact"/>
        <w:rPr>
          <w:sz w:val="20"/>
          <w:szCs w:val="20"/>
          <w:color w:val="auto"/>
        </w:rPr>
      </w:pPr>
    </w:p>
    <w:p>
      <w:pPr>
        <w:ind w:right="1779"/>
        <w:spacing w:after="0" w:line="246" w:lineRule="auto"/>
        <w:rPr>
          <w:sz w:val="20"/>
          <w:szCs w:val="20"/>
          <w:color w:val="auto"/>
        </w:rPr>
      </w:pPr>
      <w:r>
        <w:rPr>
          <w:rFonts w:ascii="Courier New" w:cs="Courier New" w:eastAsia="Courier New" w:hAnsi="Courier New"/>
          <w:sz w:val="18"/>
          <w:szCs w:val="18"/>
          <w:color w:val="auto"/>
        </w:rPr>
        <w:t>the Registration Statement and shall take any action required to be taken under state securities "blue sky" laws for purposes of registering all shares of Parent Common Stock issuable after the Effective Time upon exercise of the New Options contemplated by Section 2.02 hereof, and shall use all reasonable efforts to have such registration statement or post-effective amendment become effective with respect thereto as promptly as practicable after the Effective Time, but not later than 30 days after the Effective Time. The Company Stock Plans shall terminate effective as of the Effective Time. Parent shall reserve for issuance sufficient Parent Ordinary Shares issuable upon exercise of the New Options.</w:t>
      </w:r>
    </w:p>
    <w:p>
      <w:pPr>
        <w:spacing w:after="0" w:line="106" w:lineRule="exact"/>
        <w:rPr>
          <w:sz w:val="20"/>
          <w:szCs w:val="20"/>
          <w:color w:val="auto"/>
        </w:rPr>
      </w:pPr>
    </w:p>
    <w:p>
      <w:pPr>
        <w:ind w:right="1779" w:firstLine="1896"/>
        <w:spacing w:after="0" w:line="253" w:lineRule="auto"/>
        <w:rPr>
          <w:sz w:val="20"/>
          <w:szCs w:val="20"/>
          <w:color w:val="auto"/>
        </w:rPr>
      </w:pPr>
      <w:r>
        <w:rPr>
          <w:rFonts w:ascii="Courier New" w:cs="Courier New" w:eastAsia="Courier New" w:hAnsi="Courier New"/>
          <w:sz w:val="18"/>
          <w:szCs w:val="18"/>
          <w:color w:val="auto"/>
        </w:rPr>
        <w:t>SECTION 6.12 Comfort Letters. Each of the Company and Parent shall use their respective commercially reasonable efforts to cause to be delivered to the other a letter of its independent certified public accountants, dated a date within two business days before the date on which the Registration Statement shall become effective and addressed to the other, in form and substance reasonably satisfactory to the other and customary in scope and substance for letters delivered by independent public accountants in connection with registration statements similar to the Registration Statement.</w:t>
      </w:r>
    </w:p>
    <w:p>
      <w:pPr>
        <w:spacing w:after="0" w:line="104" w:lineRule="exact"/>
        <w:rPr>
          <w:sz w:val="20"/>
          <w:szCs w:val="20"/>
          <w:color w:val="auto"/>
        </w:rPr>
      </w:pPr>
    </w:p>
    <w:p>
      <w:pPr>
        <w:ind w:right="1779" w:firstLine="1896"/>
        <w:spacing w:after="0" w:line="252" w:lineRule="auto"/>
        <w:rPr>
          <w:sz w:val="20"/>
          <w:szCs w:val="20"/>
          <w:color w:val="auto"/>
        </w:rPr>
      </w:pPr>
      <w:r>
        <w:rPr>
          <w:rFonts w:ascii="Courier New" w:cs="Courier New" w:eastAsia="Courier New" w:hAnsi="Courier New"/>
          <w:sz w:val="18"/>
          <w:szCs w:val="18"/>
          <w:color w:val="auto"/>
        </w:rPr>
        <w:t>SECTION 6.13 Stay Bonuses. The Parent and the Company agree that from and after the date hereof, the Company and Parent shall allocate cash and options with an aggregate value of approximately $3,500,000 in "stay bonuses" (of which at least $2,000,000 will be payable in cash) to be paid to key employees of the Company identified by the Company upon consultation with Parent. Such stay bonuses shall be in such amounts and payable on such dates, beginning three months after the Effective Time, as determined by the Company upon consultation with Parent to such key employees who remain employees in good standing with the Company.</w:t>
      </w:r>
    </w:p>
    <w:p>
      <w:pPr>
        <w:spacing w:after="0" w:line="9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CONDITIONS TO THE MERGER</w:t>
      </w:r>
    </w:p>
    <w:p>
      <w:pPr>
        <w:spacing w:after="0" w:line="201" w:lineRule="exact"/>
        <w:rPr>
          <w:sz w:val="20"/>
          <w:szCs w:val="20"/>
          <w:color w:val="auto"/>
        </w:rPr>
      </w:pPr>
    </w:p>
    <w:p>
      <w:pPr>
        <w:ind w:right="1879" w:firstLine="1896"/>
        <w:spacing w:after="0" w:line="260" w:lineRule="auto"/>
        <w:rPr>
          <w:sz w:val="20"/>
          <w:szCs w:val="20"/>
          <w:color w:val="auto"/>
        </w:rPr>
      </w:pPr>
      <w:r>
        <w:rPr>
          <w:rFonts w:ascii="Courier New" w:cs="Courier New" w:eastAsia="Courier New" w:hAnsi="Courier New"/>
          <w:sz w:val="18"/>
          <w:szCs w:val="18"/>
          <w:color w:val="auto"/>
        </w:rPr>
        <w:t>SECTION 7.01 Conditions to the Obligation of Parent and Acquisition. The respective obligations of Parent and Acquisition to consummate the Merger are subject to the fulfillment at or prior to the Effective Time of the following conditions, any or all of which may be waived in whole or in part by Parent or Acquisition, as the case may be, to the extent permitted by applicable law.</w:t>
      </w:r>
    </w:p>
    <w:p>
      <w:pPr>
        <w:spacing w:after="0" w:line="93" w:lineRule="exact"/>
        <w:rPr>
          <w:sz w:val="20"/>
          <w:szCs w:val="20"/>
          <w:color w:val="auto"/>
        </w:rPr>
      </w:pPr>
    </w:p>
    <w:p>
      <w:pPr>
        <w:ind w:right="1779" w:firstLine="1904"/>
        <w:spacing w:after="0" w:line="253" w:lineRule="auto"/>
        <w:tabs>
          <w:tab w:leader="none" w:pos="2318"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representations and warranties of the Company set forth in this Agreement shall be true and correct in all respects material to the business of the Company on and as of the Effective Time with the same force and effect as if made on and as of the Effective Time (provided that representations and warranties made as of a particular date shall be true as of such date); the Company shall have performed in all material respects all of its obligations under this Agreement theretofore to be performed, and Parent shall</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285" w:right="1440" w:bottom="1440" w:gutter="0" w:footer="0" w:header="0"/>
        </w:sectPr>
      </w:pPr>
    </w:p>
    <w:bookmarkStart w:id="44" w:name="page45"/>
    <w:bookmarkEnd w:id="44"/>
    <w:p>
      <w:pPr>
        <w:ind w:left="320"/>
        <w:spacing w:after="0"/>
        <w:rPr>
          <w:sz w:val="20"/>
          <w:szCs w:val="20"/>
          <w:color w:val="auto"/>
        </w:rPr>
      </w:pPr>
      <w:r>
        <w:rPr>
          <w:rFonts w:ascii="Courier New" w:cs="Courier New" w:eastAsia="Courier New" w:hAnsi="Courier New"/>
          <w:sz w:val="18"/>
          <w:szCs w:val="18"/>
          <w:color w:val="auto"/>
        </w:rPr>
        <w:t>40</w:t>
      </w:r>
    </w:p>
    <w:p>
      <w:pPr>
        <w:spacing w:after="0" w:line="31" w:lineRule="exact"/>
        <w:rPr>
          <w:sz w:val="20"/>
          <w:szCs w:val="20"/>
          <w:color w:val="auto"/>
        </w:rPr>
      </w:pPr>
    </w:p>
    <w:p>
      <w:pPr>
        <w:ind w:right="2099"/>
        <w:spacing w:after="0" w:line="273" w:lineRule="auto"/>
        <w:rPr>
          <w:sz w:val="20"/>
          <w:szCs w:val="20"/>
          <w:color w:val="auto"/>
        </w:rPr>
      </w:pPr>
      <w:r>
        <w:rPr>
          <w:rFonts w:ascii="Courier New" w:cs="Courier New" w:eastAsia="Courier New" w:hAnsi="Courier New"/>
          <w:sz w:val="18"/>
          <w:szCs w:val="18"/>
          <w:color w:val="auto"/>
        </w:rPr>
        <w:t>have received at the Effective Time a certificate to that effect dated the Effective Time and executed by the chief executive officer or chief financial officer of the Company.</w:t>
      </w:r>
    </w:p>
    <w:p>
      <w:pPr>
        <w:spacing w:after="0" w:line="82" w:lineRule="exact"/>
        <w:rPr>
          <w:sz w:val="20"/>
          <w:szCs w:val="20"/>
          <w:color w:val="auto"/>
        </w:rPr>
      </w:pPr>
    </w:p>
    <w:p>
      <w:pPr>
        <w:ind w:right="1879" w:firstLine="1904"/>
        <w:spacing w:after="0" w:line="274" w:lineRule="auto"/>
        <w:tabs>
          <w:tab w:leader="none" w:pos="231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This Agreement shall have been duly approved by the holders of a majority of the outstanding shares of Company Common Stock, in accordance with applicable law and the Certificate of Incorporation and By-Laws of the Company.</w:t>
      </w:r>
    </w:p>
    <w:p>
      <w:pPr>
        <w:spacing w:after="0" w:line="81" w:lineRule="exact"/>
        <w:rPr>
          <w:rFonts w:ascii="Courier New" w:cs="Courier New" w:eastAsia="Courier New" w:hAnsi="Courier New"/>
          <w:sz w:val="18"/>
          <w:szCs w:val="18"/>
          <w:color w:val="auto"/>
        </w:rPr>
      </w:pPr>
    </w:p>
    <w:p>
      <w:pPr>
        <w:ind w:right="1779" w:firstLine="1904"/>
        <w:spacing w:after="0" w:line="245" w:lineRule="auto"/>
        <w:tabs>
          <w:tab w:leader="none" w:pos="231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Injunction, etc. There shall not be (i) in effect any preliminary or permanent injunction or other order or governmental or regulatory agency of competent jurisdiction which restrains, enjoins or otherwise prohibits, or imposes material and adverse conditions upon consummation of the transactions contemplated herein, (ii) in effect any pending or threatened suit, action or proceeding by any governmental or regulatory agency of competent jurisdiction or any third party seeking to prohibit or limit the ownership or operations by Parent, the Company or any of their respective subsidiaries, or to compel Parent, the Company or their respective subsidiaries, in the aggregate, to dispose of or hold separate, any of the material assets or business segments of the Company, in each case, as a result of the transactions contemplated hereby, or (iii) any pending or threatened action by a government or regulatory agency of competent jurisdiction which could have any of the effects referred to in (i) above; provided, however, that prior to invoking this condition Parent shall use all commercially reasonable efforts to have such injunction or order vacated.</w:t>
      </w:r>
    </w:p>
    <w:p>
      <w:pPr>
        <w:spacing w:after="0" w:line="113" w:lineRule="exact"/>
        <w:rPr>
          <w:rFonts w:ascii="Courier New" w:cs="Courier New" w:eastAsia="Courier New" w:hAnsi="Courier New"/>
          <w:sz w:val="18"/>
          <w:szCs w:val="18"/>
          <w:color w:val="auto"/>
        </w:rPr>
      </w:pPr>
    </w:p>
    <w:p>
      <w:pPr>
        <w:ind w:right="1879" w:firstLine="1904"/>
        <w:spacing w:after="0" w:line="293" w:lineRule="auto"/>
        <w:tabs>
          <w:tab w:leader="none" w:pos="231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"Blue Sky" Permits. The Registration Statement shall have become effective and no stop order suspending the effectiveness of the Registration Statement shall have been issued and no proceedings for such purpose shall have been initiated and be continuing or threatened by the SEC. Parent shall have received all state securities laws or "blue sky" permits and other authorizations necessary to issue Parent Ordinary Shares in exchange for the shares of Company Common Stock in the Merger.</w:t>
      </w:r>
    </w:p>
    <w:p>
      <w:pPr>
        <w:spacing w:after="0" w:line="71" w:lineRule="exact"/>
        <w:rPr>
          <w:rFonts w:ascii="Courier New" w:cs="Courier New" w:eastAsia="Courier New" w:hAnsi="Courier New"/>
          <w:sz w:val="16"/>
          <w:szCs w:val="16"/>
          <w:color w:val="auto"/>
        </w:rPr>
      </w:pPr>
    </w:p>
    <w:p>
      <w:pPr>
        <w:ind w:right="1879" w:firstLine="1904"/>
        <w:spacing w:after="0" w:line="306" w:lineRule="auto"/>
        <w:tabs>
          <w:tab w:leader="none" w:pos="2318"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Listing of Parent Ordinary Shares. The Parent Ordinary Shares constituting the Merger Consideration and the other such shares required to be reserved for issuance in connection with the Merger, including the Parent Ordinary Shares issuable upon exercise of the New Options, shall have been authorized for listing on the NYSE, subject to notice of official issuance.</w:t>
      </w:r>
    </w:p>
    <w:p>
      <w:pPr>
        <w:spacing w:after="0" w:line="60" w:lineRule="exact"/>
        <w:rPr>
          <w:rFonts w:ascii="Courier New" w:cs="Courier New" w:eastAsia="Courier New" w:hAnsi="Courier New"/>
          <w:sz w:val="16"/>
          <w:szCs w:val="16"/>
          <w:color w:val="auto"/>
        </w:rPr>
      </w:pPr>
    </w:p>
    <w:p>
      <w:pPr>
        <w:ind w:right="1779" w:firstLine="1904"/>
        <w:spacing w:after="0" w:line="250" w:lineRule="auto"/>
        <w:tabs>
          <w:tab w:leader="none" w:pos="2318"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Governmental Filings and Consents. All governmental filings required to be made prior to the Effective Time by the Company with, and all governmental consents required to be obtained prior to the Effective Time by the Company or Parent from, governmental and regulatory authorities in connection with the execution and delivery of this Agreement by the Company or Parent and the consummation of the transactions contemplated hereby shall have been made or obtained, except where the failure to make such filing or obtain such consent would not reasonably be expected to result in a Material Adverse Effect on Parent (assuming the Merger had taken place) and the waiting periods under the HSR Act shall have expired or been terminated.</w:t>
      </w:r>
    </w:p>
    <w:p>
      <w:pPr>
        <w:spacing w:after="0" w:line="1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285" w:right="1440" w:bottom="1440" w:gutter="0" w:footer="0" w:header="0"/>
        </w:sectPr>
      </w:pPr>
    </w:p>
    <w:bookmarkStart w:id="45" w:name="page46"/>
    <w:bookmarkEnd w:id="45"/>
    <w:p>
      <w:pPr>
        <w:ind w:left="320"/>
        <w:spacing w:after="0"/>
        <w:rPr>
          <w:sz w:val="20"/>
          <w:szCs w:val="20"/>
          <w:color w:val="auto"/>
        </w:rPr>
      </w:pPr>
      <w:r>
        <w:rPr>
          <w:rFonts w:ascii="Courier New" w:cs="Courier New" w:eastAsia="Courier New" w:hAnsi="Courier New"/>
          <w:sz w:val="18"/>
          <w:szCs w:val="18"/>
          <w:color w:val="auto"/>
        </w:rPr>
        <w:t>41</w:t>
      </w:r>
    </w:p>
    <w:p>
      <w:pPr>
        <w:spacing w:after="0" w:line="31" w:lineRule="exact"/>
        <w:rPr>
          <w:sz w:val="20"/>
          <w:szCs w:val="20"/>
          <w:color w:val="auto"/>
        </w:rPr>
      </w:pPr>
    </w:p>
    <w:p>
      <w:pPr>
        <w:ind w:right="1779" w:firstLine="1904"/>
        <w:spacing w:after="0" w:line="250"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Delivery of Comfort Letter. The Company's independent certified public accountants shall have delivered to the Company, for delivery by it to Parent, one or more letters with respect to the financial information contained in the Proxy Statement and Registration Statement in form and substance reasonably satisfactory to Parent and customary in scope and substance for letters delivered by independent certified public accountants in connection with registration statements similar to the Registration Statement.</w:t>
      </w:r>
    </w:p>
    <w:p>
      <w:pPr>
        <w:spacing w:after="0" w:line="101" w:lineRule="exact"/>
        <w:rPr>
          <w:rFonts w:ascii="Courier New" w:cs="Courier New" w:eastAsia="Courier New" w:hAnsi="Courier New"/>
          <w:sz w:val="18"/>
          <w:szCs w:val="18"/>
          <w:color w:val="auto"/>
        </w:rPr>
      </w:pPr>
    </w:p>
    <w:p>
      <w:pPr>
        <w:jc w:val="both"/>
        <w:ind w:right="2199" w:firstLine="1904"/>
        <w:spacing w:after="0" w:line="292"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Letters. Each affiliate of the Company shall have executed and delivered to Parent an affiliate letter as contemplated by Section 6.09 hereof.</w:t>
      </w:r>
    </w:p>
    <w:p>
      <w:pPr>
        <w:spacing w:after="0" w:line="66" w:lineRule="exact"/>
        <w:rPr>
          <w:rFonts w:ascii="Courier New" w:cs="Courier New" w:eastAsia="Courier New" w:hAnsi="Courier New"/>
          <w:sz w:val="18"/>
          <w:szCs w:val="18"/>
          <w:color w:val="auto"/>
        </w:rPr>
      </w:pPr>
    </w:p>
    <w:p>
      <w:pPr>
        <w:ind w:right="1779" w:firstLine="1904"/>
        <w:spacing w:after="0" w:line="293" w:lineRule="auto"/>
        <w:tabs>
          <w:tab w:leader="none" w:pos="2318" w:val="left"/>
        </w:tabs>
        <w:numPr>
          <w:ilvl w:val="0"/>
          <w:numId w:val="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Opinion. Parent shall have received a written opinion, dated as of the Effective Time, from counsel to Parent to the effect that the Merger will be treated for federal income tax purposes as a reorganization within the meaning of Section 368(a) of the Code; it being understood that in rendering such opinion, such counsel shall be entitled to rely upon customary representations provided by the parties hereto and certain stockholders of the Company substantially in the forms attached hereto as Exhibits C and D.</w:t>
      </w:r>
    </w:p>
    <w:p>
      <w:pPr>
        <w:spacing w:after="0" w:line="71" w:lineRule="exact"/>
        <w:rPr>
          <w:rFonts w:ascii="Courier New" w:cs="Courier New" w:eastAsia="Courier New" w:hAnsi="Courier New"/>
          <w:sz w:val="16"/>
          <w:szCs w:val="16"/>
          <w:color w:val="auto"/>
        </w:rPr>
      </w:pPr>
    </w:p>
    <w:p>
      <w:pPr>
        <w:ind w:right="1879" w:firstLine="1904"/>
        <w:spacing w:after="0" w:line="274" w:lineRule="auto"/>
        <w:tabs>
          <w:tab w:leader="none" w:pos="2318"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 The Company shall not have suffered after the date of this Agreement any change which has had, or in the reasonable opinion of Parent could reasonably be expected to have, individually or in the aggregate, a Material Adverse Effect on the Company.</w:t>
      </w:r>
    </w:p>
    <w:p>
      <w:pPr>
        <w:spacing w:after="0" w:line="82"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SECTION 7.02 Conditions to the Obligations of the Company. The obligation of the Company to consummate the Merger is subject to the fulfillment at or prior to the Effective Time of the following conditions, any or all of which may be waived in whole or in part by the Company to the extent permitted by applicable law.</w:t>
      </w:r>
    </w:p>
    <w:p>
      <w:pPr>
        <w:spacing w:after="0" w:line="90" w:lineRule="exact"/>
        <w:rPr>
          <w:sz w:val="20"/>
          <w:szCs w:val="20"/>
          <w:color w:val="auto"/>
        </w:rPr>
      </w:pPr>
    </w:p>
    <w:p>
      <w:pPr>
        <w:ind w:right="1879" w:firstLine="1904"/>
        <w:spacing w:after="0" w:line="249"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The representations and warranties of Parent and Acquisition set forth in this Agreement shall be true and correct in all respects material to the business of Parent on and as of the Effective Time with the same force and effect as if made on and as of the Effective Time (provided that representations and warranties made as of a particular date shall be true as of such date); Parent and Acquisition shall have performed in all material respects all of their respective obligations under this Agreement theretofore to be performed, and the Company shall have received at the Effective Time a certificate to that effect dated the Effective Time and executed by the chief executive officer or chief financial officer of Parent.</w:t>
      </w:r>
    </w:p>
    <w:p>
      <w:pPr>
        <w:spacing w:after="0" w:line="103" w:lineRule="exact"/>
        <w:rPr>
          <w:rFonts w:ascii="Courier New" w:cs="Courier New" w:eastAsia="Courier New" w:hAnsi="Courier New"/>
          <w:sz w:val="18"/>
          <w:szCs w:val="18"/>
          <w:color w:val="auto"/>
        </w:rPr>
      </w:pPr>
    </w:p>
    <w:p>
      <w:pPr>
        <w:ind w:right="1879" w:firstLine="1904"/>
        <w:spacing w:after="0" w:line="274"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Stockholder Approval. This Agreement shall have been duly approved by the holders of a majority of the outstanding shares of Company Common Stock, in accordance with applicable law and the Certificate of Incorporation and By-Laws of the Company.</w:t>
      </w:r>
    </w:p>
    <w:p>
      <w:pPr>
        <w:spacing w:after="0" w:line="81" w:lineRule="exact"/>
        <w:rPr>
          <w:rFonts w:ascii="Courier New" w:cs="Courier New" w:eastAsia="Courier New" w:hAnsi="Courier New"/>
          <w:sz w:val="18"/>
          <w:szCs w:val="18"/>
          <w:color w:val="auto"/>
        </w:rPr>
      </w:pPr>
    </w:p>
    <w:p>
      <w:pPr>
        <w:ind w:right="1779" w:firstLine="1904"/>
        <w:spacing w:after="0" w:line="292" w:lineRule="auto"/>
        <w:tabs>
          <w:tab w:leader="none" w:pos="2318"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Injunction. There shall not be (i) in effect any preliminary or permanent injunction or other order of a court or governmental or regulatory agency of competent</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285" w:right="1440" w:bottom="1440" w:gutter="0" w:footer="0" w:header="0"/>
        </w:sectPr>
      </w:pPr>
    </w:p>
    <w:bookmarkStart w:id="46" w:name="page47"/>
    <w:bookmarkEnd w:id="46"/>
    <w:p>
      <w:pPr>
        <w:ind w:left="320"/>
        <w:spacing w:after="0"/>
        <w:rPr>
          <w:sz w:val="20"/>
          <w:szCs w:val="20"/>
          <w:color w:val="auto"/>
        </w:rPr>
      </w:pPr>
      <w:r>
        <w:rPr>
          <w:rFonts w:ascii="Courier New" w:cs="Courier New" w:eastAsia="Courier New" w:hAnsi="Courier New"/>
          <w:sz w:val="18"/>
          <w:szCs w:val="18"/>
          <w:color w:val="auto"/>
        </w:rPr>
        <w:t>42</w:t>
      </w:r>
    </w:p>
    <w:p>
      <w:pPr>
        <w:spacing w:after="0" w:line="31" w:lineRule="exact"/>
        <w:rPr>
          <w:sz w:val="20"/>
          <w:szCs w:val="20"/>
          <w:color w:val="auto"/>
        </w:rPr>
      </w:pPr>
    </w:p>
    <w:p>
      <w:pPr>
        <w:ind w:right="1779"/>
        <w:spacing w:after="0" w:line="250" w:lineRule="auto"/>
        <w:rPr>
          <w:sz w:val="20"/>
          <w:szCs w:val="20"/>
          <w:color w:val="auto"/>
        </w:rPr>
      </w:pPr>
      <w:r>
        <w:rPr>
          <w:rFonts w:ascii="Courier New" w:cs="Courier New" w:eastAsia="Courier New" w:hAnsi="Courier New"/>
          <w:sz w:val="18"/>
          <w:szCs w:val="18"/>
          <w:color w:val="auto"/>
        </w:rPr>
        <w:t>jurisdiction which restrains, enjoins or otherwise prohibits, or imposes material and adverse conditions upon consummation of the transactions contemplated herein, or (ii) any pending or threatened action by a governmental or regulatory agency of competent jurisdiction which could have any of the effects referred to in (i) above; provided, however, that prior to invoking this condition the Company shall use all commercially reasonable efforts to have such injunction or order vacated.</w:t>
      </w:r>
    </w:p>
    <w:p>
      <w:pPr>
        <w:spacing w:after="0" w:line="102" w:lineRule="exact"/>
        <w:rPr>
          <w:sz w:val="20"/>
          <w:szCs w:val="20"/>
          <w:color w:val="auto"/>
        </w:rPr>
      </w:pPr>
    </w:p>
    <w:p>
      <w:pPr>
        <w:ind w:right="1879" w:firstLine="1904"/>
        <w:spacing w:after="0" w:line="293" w:lineRule="auto"/>
        <w:tabs>
          <w:tab w:leader="none" w:pos="2318"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Registration Statement; "Blue Sky" Permits. The Registration Statement shall have become effective and no stop order suspending the effectiveness of the Registration Statements shall have been issued and no proceedings for such purpose shall have been initiated and be continuing or threatened by the SEC. Parent shall have received all state securities laws or "blue sky" permits and other authorizations necessary to issue Parent Ordinary Shares in exchange for the shares of Company Common Stock in the Merger.</w:t>
      </w:r>
    </w:p>
    <w:p>
      <w:pPr>
        <w:spacing w:after="0" w:line="71" w:lineRule="exact"/>
        <w:rPr>
          <w:rFonts w:ascii="Courier New" w:cs="Courier New" w:eastAsia="Courier New" w:hAnsi="Courier New"/>
          <w:sz w:val="16"/>
          <w:szCs w:val="16"/>
          <w:color w:val="auto"/>
        </w:rPr>
      </w:pPr>
    </w:p>
    <w:p>
      <w:pPr>
        <w:ind w:right="1999" w:firstLine="1904"/>
        <w:spacing w:after="0" w:line="265"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Parent Ordinary Shares. The Parent Ordinary Shares constituting the Merger Consideration and such other shares required to be reserved for issuance in connection with the Merger, including Parent Ordinary Shares issuable upon exercise of the New Options, shall have been authorized for listing on the NYSE, subject to official notice of issuance.</w:t>
      </w:r>
    </w:p>
    <w:p>
      <w:pPr>
        <w:spacing w:after="0" w:line="89" w:lineRule="exact"/>
        <w:rPr>
          <w:rFonts w:ascii="Courier New" w:cs="Courier New" w:eastAsia="Courier New" w:hAnsi="Courier New"/>
          <w:sz w:val="18"/>
          <w:szCs w:val="18"/>
          <w:color w:val="auto"/>
        </w:rPr>
      </w:pPr>
    </w:p>
    <w:p>
      <w:pPr>
        <w:ind w:right="2099" w:firstLine="1904"/>
        <w:spacing w:after="0" w:line="252"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Opinion. The Company shall have received a written opinion, dated as of the Effective Time, from counsel to the Company to the effect that for federal income tax purposes the Merger will be treated as a reorganization within the meaning of Section 368(a) of the Code. In rendering such opinion, counsel to the Company may receive and rely upon customary representations contained in certificates of Parent, Acquisition and the Company, and certain stockholders of the Company, substantially in the forms attached hereto as Exhibits C and D, and upon such other certificates as such counsel may reasonably request.</w:t>
      </w:r>
    </w:p>
    <w:p>
      <w:pPr>
        <w:spacing w:after="0" w:line="98" w:lineRule="exact"/>
        <w:rPr>
          <w:rFonts w:ascii="Courier New" w:cs="Courier New" w:eastAsia="Courier New" w:hAnsi="Courier New"/>
          <w:sz w:val="18"/>
          <w:szCs w:val="18"/>
          <w:color w:val="auto"/>
        </w:rPr>
      </w:pPr>
    </w:p>
    <w:p>
      <w:pPr>
        <w:ind w:right="1779" w:firstLine="1904"/>
        <w:spacing w:after="0" w:line="274"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Adverse Effect. Parent shall not have suffered since June 30, 1999 any change which has had, or in the reasonable opinion of the Company could reasonably be expected to have, individually or in the aggregate, a Material Adverse Effect on Parent.</w:t>
      </w:r>
    </w:p>
    <w:p>
      <w:pPr>
        <w:spacing w:after="0" w:line="81" w:lineRule="exact"/>
        <w:rPr>
          <w:rFonts w:ascii="Courier New" w:cs="Courier New" w:eastAsia="Courier New" w:hAnsi="Courier New"/>
          <w:sz w:val="18"/>
          <w:szCs w:val="18"/>
          <w:color w:val="auto"/>
        </w:rPr>
      </w:pPr>
    </w:p>
    <w:p>
      <w:pPr>
        <w:ind w:right="1779" w:firstLine="1904"/>
        <w:spacing w:after="0" w:line="265" w:lineRule="auto"/>
        <w:tabs>
          <w:tab w:leader="none" w:pos="2318"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of Fees. Payment in full of all transaction expenses of the Company (including the fees and expenses of lawyers, accountants, investment bankers and other advisors of the Company, which fees and expenses shall not exceed $4,500,000) and all change of control payments and other amounts due employees at the Effective Time.</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10219"/>
          </w:cols>
          <w:pgMar w:left="240" w:top="285" w:right="1440" w:bottom="1440" w:gutter="0" w:footer="0" w:header="0"/>
        </w:sectPr>
      </w:pPr>
    </w:p>
    <w:bookmarkStart w:id="47" w:name="page48"/>
    <w:bookmarkEnd w:id="47"/>
    <w:p>
      <w:pPr>
        <w:ind w:left="320"/>
        <w:spacing w:after="0"/>
        <w:rPr>
          <w:sz w:val="20"/>
          <w:szCs w:val="20"/>
          <w:color w:val="auto"/>
        </w:rPr>
      </w:pPr>
      <w:r>
        <w:rPr>
          <w:rFonts w:ascii="Courier New" w:cs="Courier New" w:eastAsia="Courier New" w:hAnsi="Courier New"/>
          <w:sz w:val="18"/>
          <w:szCs w:val="18"/>
          <w:color w:val="auto"/>
        </w:rPr>
        <w:t>43</w:t>
      </w:r>
    </w:p>
    <w:p>
      <w:pPr>
        <w:spacing w:after="0" w:line="3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TERMINATION AND ABANDONMENT</w:t>
      </w:r>
    </w:p>
    <w:p>
      <w:pPr>
        <w:spacing w:after="0" w:line="201" w:lineRule="exact"/>
        <w:rPr>
          <w:sz w:val="20"/>
          <w:szCs w:val="20"/>
          <w:color w:val="auto"/>
        </w:rPr>
      </w:pPr>
    </w:p>
    <w:p>
      <w:pPr>
        <w:ind w:right="1779" w:firstLine="1896"/>
        <w:spacing w:after="0" w:line="344" w:lineRule="auto"/>
        <w:rPr>
          <w:sz w:val="20"/>
          <w:szCs w:val="20"/>
          <w:color w:val="auto"/>
        </w:rPr>
      </w:pPr>
      <w:r>
        <w:rPr>
          <w:rFonts w:ascii="Courier New" w:cs="Courier New" w:eastAsia="Courier New" w:hAnsi="Courier New"/>
          <w:sz w:val="16"/>
          <w:szCs w:val="16"/>
          <w:color w:val="auto"/>
        </w:rPr>
        <w:t>SECTION 8.01 Termination and Abandonment. This Agreement may be terminated and the Merger may be abandoned at any time prior to the Effective Time, whether before or after approval by the stockholders of the Company:</w:t>
      </w:r>
    </w:p>
    <w:p>
      <w:pPr>
        <w:spacing w:after="0" w:line="31"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(a) by mutual action of the boards of directors of Parent and</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Company;</w:t>
      </w:r>
    </w:p>
    <w:p>
      <w:pPr>
        <w:spacing w:after="0" w:line="169" w:lineRule="exact"/>
        <w:rPr>
          <w:sz w:val="20"/>
          <w:szCs w:val="20"/>
          <w:color w:val="auto"/>
        </w:rPr>
      </w:pPr>
    </w:p>
    <w:p>
      <w:pPr>
        <w:ind w:right="1779" w:firstLine="1904"/>
        <w:spacing w:after="0" w:line="276" w:lineRule="auto"/>
        <w:tabs>
          <w:tab w:leader="none" w:pos="2318"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either the Company or Parent, if (i) the conditions to its obligations under Sections 7.01 and 7.02, as applicable, shall not have been complied with or performed in any material respect and such noncompliance or nonperformance shall not have been cured or eliminated (or by its nature cannot be cured or eliminated) by the other party on or before February 28, 2000, or</w:t>
      </w:r>
    </w:p>
    <w:p>
      <w:pPr>
        <w:spacing w:after="0" w:line="2" w:lineRule="exact"/>
        <w:rPr>
          <w:rFonts w:ascii="Courier New" w:cs="Courier New" w:eastAsia="Courier New" w:hAnsi="Courier New"/>
          <w:sz w:val="16"/>
          <w:szCs w:val="16"/>
          <w:color w:val="auto"/>
        </w:rPr>
      </w:pPr>
    </w:p>
    <w:p>
      <w:pPr>
        <w:ind w:right="1999" w:firstLine="8"/>
        <w:spacing w:after="0" w:line="323" w:lineRule="auto"/>
        <w:tabs>
          <w:tab w:leader="none" w:pos="527"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Merger shall not have been effected on or prior to the close of business on February 28, 2000; unless, in any case, such event has been caused by the breach of this Agreement by the party seeking such termination;</w:t>
      </w:r>
    </w:p>
    <w:p>
      <w:pPr>
        <w:spacing w:after="0" w:line="46" w:lineRule="exact"/>
        <w:rPr>
          <w:rFonts w:ascii="Courier New" w:cs="Courier New" w:eastAsia="Courier New" w:hAnsi="Courier New"/>
          <w:sz w:val="16"/>
          <w:szCs w:val="16"/>
          <w:color w:val="auto"/>
        </w:rPr>
      </w:pPr>
    </w:p>
    <w:p>
      <w:pPr>
        <w:ind w:right="1999" w:firstLine="1904"/>
        <w:spacing w:after="0" w:line="253" w:lineRule="auto"/>
        <w:tabs>
          <w:tab w:leader="none" w:pos="231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the Company if, prior to stockholder approval of this Agreement and the Merger, the Company shall enter into a definitive written agreement with respect to an Alternative Transaction with a Third Party, or a Third Party has commenced a tender offer which, in either case, the Board of Directors of the Company believes in good faith is more favorable to the Company's stockholders than the transactions contemplated by this Agreement; provided, that all amounts payable under Section 6.06 hereof shall have been paid prior to such termination; or</w:t>
      </w:r>
    </w:p>
    <w:p>
      <w:pPr>
        <w:spacing w:after="0" w:line="103" w:lineRule="exact"/>
        <w:rPr>
          <w:rFonts w:ascii="Courier New" w:cs="Courier New" w:eastAsia="Courier New" w:hAnsi="Courier New"/>
          <w:sz w:val="18"/>
          <w:szCs w:val="18"/>
          <w:color w:val="auto"/>
        </w:rPr>
      </w:pPr>
    </w:p>
    <w:p>
      <w:pPr>
        <w:ind w:right="1879" w:firstLine="1904"/>
        <w:spacing w:after="0" w:line="265" w:lineRule="auto"/>
        <w:tabs>
          <w:tab w:leader="none" w:pos="2318"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Parent, if the Board of Directors of the Company shall have withdrawn, modified or amended in a manner adverse to Parent and Acquisition its approval or recommendation of the Merger or approved, recommended or endorsed any proposal for, or authorized the Company to enter into, an Alternative Transaction.</w:t>
      </w:r>
    </w:p>
    <w:p>
      <w:pPr>
        <w:spacing w:after="0" w:line="90" w:lineRule="exact"/>
        <w:rPr>
          <w:sz w:val="20"/>
          <w:szCs w:val="20"/>
          <w:color w:val="auto"/>
        </w:rPr>
      </w:pPr>
    </w:p>
    <w:p>
      <w:pPr>
        <w:ind w:right="2199"/>
        <w:spacing w:after="0" w:line="347" w:lineRule="auto"/>
        <w:rPr>
          <w:sz w:val="20"/>
          <w:szCs w:val="20"/>
          <w:color w:val="auto"/>
        </w:rPr>
      </w:pPr>
      <w:r>
        <w:rPr>
          <w:rFonts w:ascii="Courier New" w:cs="Courier New" w:eastAsia="Courier New" w:hAnsi="Courier New"/>
          <w:sz w:val="18"/>
          <w:szCs w:val="18"/>
          <w:color w:val="auto"/>
        </w:rPr>
        <w:t>Any party desiring to terminate this Agreement pursuant to this Section 8.01 shall give notice to the other party in accordance with Section 9.05.</w:t>
      </w:r>
    </w:p>
    <w:p>
      <w:pPr>
        <w:spacing w:after="0" w:line="18"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SECTION 8.02 Effect of Termination. Except as provided in Sections 6.06 and 9.02 hereof, in the event of the termination of this Agreement and the abandonment of the Merger pursuant to Section 8.01, this Agreement shall thereafter become void and have no effect, and no party hereto shall have any liability to any other party hereto or its stockholders or directors or officers in respect thereof, except that nothing herein shall relieve any party from liability for any willful breach hereof.</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10219"/>
          </w:cols>
          <w:pgMar w:left="240" w:top="285" w:right="1440" w:bottom="1440" w:gutter="0" w:footer="0" w:header="0"/>
        </w:sectPr>
      </w:pPr>
    </w:p>
    <w:bookmarkStart w:id="48" w:name="page49"/>
    <w:bookmarkEnd w:id="48"/>
    <w:p>
      <w:pPr>
        <w:ind w:left="320"/>
        <w:spacing w:after="0"/>
        <w:rPr>
          <w:sz w:val="20"/>
          <w:szCs w:val="20"/>
          <w:color w:val="auto"/>
        </w:rPr>
      </w:pPr>
      <w:r>
        <w:rPr>
          <w:rFonts w:ascii="Courier New" w:cs="Courier New" w:eastAsia="Courier New" w:hAnsi="Courier New"/>
          <w:sz w:val="18"/>
          <w:szCs w:val="18"/>
          <w:color w:val="auto"/>
        </w:rPr>
        <w:t>44</w:t>
      </w:r>
    </w:p>
    <w:p>
      <w:pPr>
        <w:spacing w:after="0" w:line="3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spacing w:after="0" w:line="169"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879" w:firstLine="1896"/>
        <w:spacing w:after="0" w:line="306" w:lineRule="auto"/>
        <w:rPr>
          <w:sz w:val="20"/>
          <w:szCs w:val="20"/>
          <w:color w:val="auto"/>
        </w:rPr>
      </w:pPr>
      <w:r>
        <w:rPr>
          <w:rFonts w:ascii="Courier New" w:cs="Courier New" w:eastAsia="Courier New" w:hAnsi="Courier New"/>
          <w:sz w:val="16"/>
          <w:szCs w:val="16"/>
          <w:color w:val="auto"/>
        </w:rPr>
        <w:t>SECTION 9.01 Nonsurvival of Representations and Warranties. None of the representations and warranties in this Agreement or in any instrument delivered pursuant hereto shall survive the Effective Time, provided that this Section 9.01 shall not limit any covenant or agreement of the parties that by its terms contemplates performance after the Effective Time.</w:t>
      </w:r>
    </w:p>
    <w:p>
      <w:pPr>
        <w:spacing w:after="0" w:line="60"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SECTION 9.02 Expenses, Etc. (a) Except as provided in Section 6.06, in the event that the transactions contemplated by this Agreement are not consummated, neither the Company, on the one hand, nor Parent and Acquisition, on the other hand, shall have any obligation to pay any of the fees and expenses of the other incident to the negotiation, preparation and execution of this Agreement, including the fees and expenses of counsel, accountants, investment bankers and other experts and Parent or Acquisition shall pay all such fees and expenses incurred by Acquisition, provided, however, that if this Agreement shall have been terminated as a result of the willful and material misrepresentations by a party or the willful and material breach by a party of any of its covenants and agreements contained herein, such party shall pay the costs and expenses incurred by the other parties in connection with this Agreement.</w:t>
      </w:r>
    </w:p>
    <w:p>
      <w:pPr>
        <w:spacing w:after="0" w:line="108" w:lineRule="exact"/>
        <w:rPr>
          <w:sz w:val="20"/>
          <w:szCs w:val="20"/>
          <w:color w:val="auto"/>
        </w:rPr>
      </w:pPr>
    </w:p>
    <w:p>
      <w:pPr>
        <w:ind w:right="1879" w:firstLine="1904"/>
        <w:spacing w:after="0" w:line="293" w:lineRule="auto"/>
        <w:tabs>
          <w:tab w:leader="none" w:pos="231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transactions contemplated by this Agreement are consummated, Parent shall pay all of the fees and expenses of the Company incident to the negotiation, preparation and execution of this Agreement, including the fees and expenses of counsel, accountants, investment bankers and other advisors (which fees and expenses, the Company represents and warrants, shall not exceed $4,500,000 in the aggregate), and Parent shall pay all such fees and expenses incurred by Acquisition and Parent.</w:t>
      </w:r>
    </w:p>
    <w:p>
      <w:pPr>
        <w:spacing w:after="0" w:line="72" w:lineRule="exact"/>
        <w:rPr>
          <w:sz w:val="20"/>
          <w:szCs w:val="20"/>
          <w:color w:val="auto"/>
        </w:rPr>
      </w:pPr>
    </w:p>
    <w:p>
      <w:pPr>
        <w:ind w:right="1779" w:firstLine="1896"/>
        <w:spacing w:after="0" w:line="256" w:lineRule="auto"/>
        <w:rPr>
          <w:sz w:val="20"/>
          <w:szCs w:val="20"/>
          <w:color w:val="auto"/>
        </w:rPr>
      </w:pPr>
      <w:r>
        <w:rPr>
          <w:rFonts w:ascii="Courier New" w:cs="Courier New" w:eastAsia="Courier New" w:hAnsi="Courier New"/>
          <w:sz w:val="18"/>
          <w:szCs w:val="18"/>
          <w:color w:val="auto"/>
        </w:rPr>
        <w:t>SECTION 9.03 Publicity. The Company and Parent agree that they will not issue any press release or make any other public announcement concerning this Agreement or the transactions contemplated hereby without the prior consent of the other party, except that the Company or Parent may make such public disclosure that it believes in good faith to be required by law (in which event such party shall consult with the other prior to making such disclosure).</w:t>
      </w:r>
    </w:p>
    <w:p>
      <w:pPr>
        <w:spacing w:after="0" w:line="98"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SECTION 9.04 Execution in Counterparts. For the convenience of the parties, this Agreement may be executed in one or more counterparts, each of which shall be deemed an original, but all of which together shall constitute one and the same instrument.</w:t>
      </w:r>
    </w:p>
    <w:p>
      <w:pPr>
        <w:spacing w:after="0" w:line="82"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SECTION 9.05 Notices. All notices that are required or may be given pursuant to the terms of this Agreement shall be in writing and shall be sufficient in all respects if given in writing and delivered by hand or national overnight courier service, transmitted by telecopy or mailed by registered or certified mail, postage prepaid, as follows:</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285" w:right="1440" w:bottom="1440" w:gutter="0" w:footer="0" w:header="0"/>
        </w:sectPr>
      </w:pPr>
    </w:p>
    <w:bookmarkStart w:id="49" w:name="page50"/>
    <w:bookmarkEnd w:id="49"/>
    <w:p>
      <w:pPr>
        <w:ind w:left="320"/>
        <w:spacing w:after="0"/>
        <w:rPr>
          <w:sz w:val="20"/>
          <w:szCs w:val="20"/>
          <w:color w:val="auto"/>
        </w:rPr>
      </w:pPr>
      <w:r>
        <w:rPr>
          <w:rFonts w:ascii="Courier New" w:cs="Courier New" w:eastAsia="Courier New" w:hAnsi="Courier New"/>
          <w:sz w:val="18"/>
          <w:szCs w:val="18"/>
          <w:color w:val="auto"/>
        </w:rPr>
        <w:t>45</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Parent to:</w:t>
      </w:r>
    </w:p>
    <w:p>
      <w:pPr>
        <w:spacing w:after="0" w:line="16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Amdocs Limited</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 Amdocs, Inc.</w:t>
      </w:r>
    </w:p>
    <w:p>
      <w:pPr>
        <w:ind w:left="286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2860"/>
        <w:spacing w:after="0"/>
        <w:rPr>
          <w:sz w:val="20"/>
          <w:szCs w:val="20"/>
          <w:color w:val="auto"/>
        </w:rPr>
      </w:pPr>
      <w:r>
        <w:rPr>
          <w:rFonts w:ascii="Courier New" w:cs="Courier New" w:eastAsia="Courier New" w:hAnsi="Courier New"/>
          <w:sz w:val="18"/>
          <w:szCs w:val="18"/>
          <w:color w:val="auto"/>
        </w:rPr>
        <w:t>Chesterfield, Missouri 63017</w:t>
      </w:r>
    </w:p>
    <w:p>
      <w:pPr>
        <w:ind w:left="2860"/>
        <w:spacing w:after="0"/>
        <w:rPr>
          <w:sz w:val="20"/>
          <w:szCs w:val="20"/>
          <w:color w:val="auto"/>
        </w:rPr>
      </w:pPr>
      <w:r>
        <w:rPr>
          <w:rFonts w:ascii="Courier New" w:cs="Courier New" w:eastAsia="Courier New" w:hAnsi="Courier New"/>
          <w:sz w:val="18"/>
          <w:szCs w:val="18"/>
          <w:color w:val="auto"/>
        </w:rPr>
        <w:t>Attention: Thomas O'Brien</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Reboul, MacMurray, Hewitt, Maynard &amp; Kristol</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45 Rockefeller Plaza</w:t>
      </w:r>
    </w:p>
    <w:p>
      <w:pPr>
        <w:ind w:left="2860"/>
        <w:spacing w:after="0"/>
        <w:tabs>
          <w:tab w:leader="none" w:pos="4940" w:val="left"/>
        </w:tabs>
        <w:rPr>
          <w:sz w:val="20"/>
          <w:szCs w:val="20"/>
          <w:color w:val="auto"/>
        </w:rPr>
      </w:pPr>
      <w:r>
        <w:rPr>
          <w:rFonts w:ascii="Courier New" w:cs="Courier New" w:eastAsia="Courier New" w:hAnsi="Courier New"/>
          <w:sz w:val="18"/>
          <w:szCs w:val="18"/>
          <w:color w:val="auto"/>
        </w:rPr>
        <w:t>New York, New York</w:t>
      </w:r>
      <w:r>
        <w:rPr>
          <w:sz w:val="20"/>
          <w:szCs w:val="20"/>
          <w:color w:val="auto"/>
        </w:rPr>
        <w:tab/>
      </w:r>
      <w:r>
        <w:rPr>
          <w:rFonts w:ascii="Courier New" w:cs="Courier New" w:eastAsia="Courier New" w:hAnsi="Courier New"/>
          <w:sz w:val="16"/>
          <w:szCs w:val="16"/>
          <w:color w:val="auto"/>
        </w:rPr>
        <w:t>10111</w:t>
      </w:r>
    </w:p>
    <w:p>
      <w:pPr>
        <w:ind w:left="2860"/>
        <w:spacing w:after="0"/>
        <w:rPr>
          <w:sz w:val="20"/>
          <w:szCs w:val="20"/>
          <w:color w:val="auto"/>
        </w:rPr>
      </w:pPr>
      <w:r>
        <w:rPr>
          <w:rFonts w:ascii="Courier New" w:cs="Courier New" w:eastAsia="Courier New" w:hAnsi="Courier New"/>
          <w:sz w:val="18"/>
          <w:szCs w:val="18"/>
          <w:color w:val="auto"/>
        </w:rPr>
        <w:t>Attention: Robert A. Schwed, Esq.</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If to the Company,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International Telecommunication Data System, Inc.</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225 High Ridge Road</w:t>
      </w:r>
    </w:p>
    <w:p>
      <w:pPr>
        <w:ind w:left="2860"/>
        <w:spacing w:after="0" w:line="238" w:lineRule="auto"/>
        <w:rPr>
          <w:sz w:val="20"/>
          <w:szCs w:val="20"/>
          <w:color w:val="auto"/>
        </w:rPr>
      </w:pPr>
      <w:r>
        <w:rPr>
          <w:rFonts w:ascii="Courier New" w:cs="Courier New" w:eastAsia="Courier New" w:hAnsi="Courier New"/>
          <w:sz w:val="18"/>
          <w:szCs w:val="18"/>
          <w:color w:val="auto"/>
        </w:rPr>
        <w:t>Stamford, Connecticut 06905</w:t>
      </w: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Attention:</w:t>
        <w:tab/>
        <w:t>President</w:t>
      </w:r>
    </w:p>
    <w:p>
      <w:pPr>
        <w:spacing w:after="0" w:line="16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Hale and Dorr LLP</w:t>
      </w:r>
    </w:p>
    <w:p>
      <w:pPr>
        <w:spacing w:after="0" w:line="29"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60 State Street</w:t>
      </w:r>
    </w:p>
    <w:p>
      <w:pPr>
        <w:ind w:left="2860"/>
        <w:spacing w:after="0" w:line="238" w:lineRule="auto"/>
        <w:rPr>
          <w:sz w:val="20"/>
          <w:szCs w:val="20"/>
          <w:color w:val="auto"/>
        </w:rPr>
      </w:pPr>
      <w:r>
        <w:rPr>
          <w:rFonts w:ascii="Courier New" w:cs="Courier New" w:eastAsia="Courier New" w:hAnsi="Courier New"/>
          <w:sz w:val="18"/>
          <w:szCs w:val="18"/>
          <w:color w:val="auto"/>
        </w:rPr>
        <w:t>Boston, Massachusetts 02109</w:t>
      </w:r>
    </w:p>
    <w:p>
      <w:pPr>
        <w:ind w:left="2860"/>
        <w:spacing w:after="0"/>
        <w:tabs>
          <w:tab w:leader="none" w:pos="4100" w:val="left"/>
        </w:tabs>
        <w:rPr>
          <w:sz w:val="20"/>
          <w:szCs w:val="20"/>
          <w:color w:val="auto"/>
        </w:rPr>
      </w:pPr>
      <w:r>
        <w:rPr>
          <w:rFonts w:ascii="Courier New" w:cs="Courier New" w:eastAsia="Courier New" w:hAnsi="Courier New"/>
          <w:sz w:val="18"/>
          <w:szCs w:val="18"/>
          <w:color w:val="auto"/>
        </w:rPr>
        <w:t>Attention:</w:t>
        <w:tab/>
        <w:t>John H. Chory, Esq.</w:t>
      </w:r>
    </w:p>
    <w:p>
      <w:pPr>
        <w:spacing w:after="0" w:line="169" w:lineRule="exact"/>
        <w:rPr>
          <w:sz w:val="20"/>
          <w:szCs w:val="20"/>
          <w:color w:val="auto"/>
        </w:rPr>
      </w:pPr>
    </w:p>
    <w:p>
      <w:pPr>
        <w:ind w:right="1879"/>
        <w:spacing w:after="0" w:line="347" w:lineRule="auto"/>
        <w:rPr>
          <w:sz w:val="20"/>
          <w:szCs w:val="20"/>
          <w:color w:val="auto"/>
        </w:rPr>
      </w:pPr>
      <w:r>
        <w:rPr>
          <w:rFonts w:ascii="Courier New" w:cs="Courier New" w:eastAsia="Courier New" w:hAnsi="Courier New"/>
          <w:sz w:val="18"/>
          <w:szCs w:val="18"/>
          <w:color w:val="auto"/>
        </w:rPr>
        <w:t>or such other address or addresses as any party hereto shall have designated by notice in writing to the other parties hereto.</w:t>
      </w:r>
    </w:p>
    <w:p>
      <w:pPr>
        <w:spacing w:after="0" w:line="18"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SECTION 9.06 Waivers. The Company, on the one hand, and Parent and Acquisition, on the other hand, may, by written notice to the other, (i) extend the time for the performance of any of the obligations or other actions of the other under this Agreement; (ii) waive any inaccuracies in the representations or warranties of the other contained in this Agreement or in any document delivered pursuant to this Agreement; (iii) waive compliance with any of the conditions of the other contained in this Agreement; or (iv) waive performance of any of the obligations of the other under this Agreement. Except as provided in the preceding sentence, no action taken pursuant to this Agreement, including, without limitation, any investigation by or on behalf of any party, shall be deemed to constitute a waiver by the party taking such action of compliance with any representations, warranties, covenants or agreements</w:t>
      </w:r>
    </w:p>
    <w:p>
      <w:pPr>
        <w:spacing w:after="0" w:line="1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285" w:right="1440" w:bottom="1440" w:gutter="0" w:footer="0" w:header="0"/>
        </w:sectPr>
      </w:pPr>
    </w:p>
    <w:bookmarkStart w:id="50" w:name="page51"/>
    <w:bookmarkEnd w:id="50"/>
    <w:p>
      <w:pPr>
        <w:ind w:left="320"/>
        <w:spacing w:after="0"/>
        <w:rPr>
          <w:sz w:val="20"/>
          <w:szCs w:val="20"/>
          <w:color w:val="auto"/>
        </w:rPr>
      </w:pPr>
      <w:r>
        <w:rPr>
          <w:rFonts w:ascii="Courier New" w:cs="Courier New" w:eastAsia="Courier New" w:hAnsi="Courier New"/>
          <w:sz w:val="18"/>
          <w:szCs w:val="18"/>
          <w:color w:val="auto"/>
        </w:rPr>
        <w:t>46</w:t>
      </w:r>
    </w:p>
    <w:p>
      <w:pPr>
        <w:spacing w:after="0" w:line="3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contained in this Agreement. The waiver by any party hereto of a breach of any provision of this Agreement shall not operate or be construed as a waiver of any subsequent breach.</w:t>
      </w:r>
    </w:p>
    <w:p>
      <w:pPr>
        <w:spacing w:after="0" w:line="82"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SECTION 9.07 Entire Agreement. This Agreement, its Schedules, the Option Agreement, the Voting Agreement, the documents executed on the date hereof or at the Effective Time in connection herewith and the Confidentiality Agreement constitute the entire agreement among the parties hereto with respect to the subject matter hereof and supersede all prior agreements and understandings, oral and written, among the parties hereto with respect to the subject matter hereof. No representation, warranty, promise, inducement or statement of intention has been made by any party that is not embodied in this Agreement or such other documents, and none of the parties shall be bound by, or be liable for, any alleged representation, warranty, promise, inducement or statement of intention not embodied herein or therein.</w:t>
      </w:r>
    </w:p>
    <w:p>
      <w:pPr>
        <w:spacing w:after="0" w:line="104"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SECTION 9.08 Applicable Law. This Agreement shall be governed by and construed in accordance with the laws of the State of Delaware, without regard to principles of conflict of laws.</w:t>
      </w:r>
    </w:p>
    <w:p>
      <w:pPr>
        <w:spacing w:after="0" w:line="66" w:lineRule="exact"/>
        <w:rPr>
          <w:sz w:val="20"/>
          <w:szCs w:val="20"/>
          <w:color w:val="auto"/>
        </w:rPr>
      </w:pPr>
    </w:p>
    <w:p>
      <w:pPr>
        <w:ind w:right="1879" w:firstLine="1896"/>
        <w:spacing w:after="0" w:line="250" w:lineRule="auto"/>
        <w:rPr>
          <w:sz w:val="20"/>
          <w:szCs w:val="20"/>
          <w:color w:val="auto"/>
        </w:rPr>
      </w:pPr>
      <w:r>
        <w:rPr>
          <w:rFonts w:ascii="Courier New" w:cs="Courier New" w:eastAsia="Courier New" w:hAnsi="Courier New"/>
          <w:sz w:val="18"/>
          <w:szCs w:val="18"/>
          <w:color w:val="auto"/>
        </w:rPr>
        <w:t>SECTION 9.09 Binding Effect, Benefits. This Agreement shall inure to the benefit of and be binding upon the parties hereto and their respective permitted successors and assigns. Notwithstanding anything contained in this Agreement to the contrary, nothing in this Agreement, expressed or implied, is intended to confer on any person other than the parties hereto or their respective permitted successors and assigns, any rights, remedies, obligations or liabilities under or by reason of this Agreement; provided, however, that the provisions of Section 6.07 hereof shall accrue to the benefit of, and shall be enforceable by, each of the current and former directors and officers of the Company.</w:t>
      </w:r>
    </w:p>
    <w:p>
      <w:pPr>
        <w:spacing w:after="0" w:line="104"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SECTION 9.10 Assignability. Neither this Agreement nor any of the parties' rights hereunder shall be assignable by any party hereto without the prior written consent of the other parties hereto.</w:t>
      </w:r>
    </w:p>
    <w:p>
      <w:pPr>
        <w:spacing w:after="0" w:line="66" w:lineRule="exact"/>
        <w:rPr>
          <w:sz w:val="20"/>
          <w:szCs w:val="20"/>
          <w:color w:val="auto"/>
        </w:rPr>
      </w:pPr>
    </w:p>
    <w:p>
      <w:pPr>
        <w:ind w:right="1779" w:firstLine="1896"/>
        <w:spacing w:after="0" w:line="248" w:lineRule="auto"/>
        <w:rPr>
          <w:sz w:val="20"/>
          <w:szCs w:val="20"/>
          <w:color w:val="auto"/>
        </w:rPr>
      </w:pPr>
      <w:r>
        <w:rPr>
          <w:rFonts w:ascii="Courier New" w:cs="Courier New" w:eastAsia="Courier New" w:hAnsi="Courier New"/>
          <w:sz w:val="18"/>
          <w:szCs w:val="18"/>
          <w:color w:val="auto"/>
        </w:rPr>
        <w:t>SECTION 9.11 Amendments. This Agreement may be varied, amended or supplemented at any time before or after the approval and adoption of this Agreement by the stockholders of the Company by action of the respective boards of directors of the Company, Parent and Acquisition, without action by the stockholders thereof; provided that, after approval and adoption of this Agreement by the Company's stockholders, no such variance, amendment or supplement shall, without consent of such stockholders if such action is required by law, reduce the amount or alter the form of the consideration that the holders of the capital stock of the Company shall be entitled to receive upon the Effective Time pursuant to Section 2.05 hereof. Without limiting the generality of the foregoing, this Agreement may only be amended, varied or supplemented by an instrument in writing, signed by the parties hereto.</w:t>
      </w:r>
    </w:p>
    <w:p>
      <w:pPr>
        <w:spacing w:after="0" w:line="1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285" w:right="1440" w:bottom="1440" w:gutter="0" w:footer="0" w:header="0"/>
        </w:sectPr>
      </w:pPr>
    </w:p>
    <w:bookmarkStart w:id="51" w:name="page52"/>
    <w:bookmarkEnd w:id="51"/>
    <w:p>
      <w:pPr>
        <w:ind w:left="320"/>
        <w:spacing w:after="0"/>
        <w:rPr>
          <w:sz w:val="20"/>
          <w:szCs w:val="20"/>
          <w:color w:val="auto"/>
        </w:rPr>
      </w:pPr>
      <w:r>
        <w:rPr>
          <w:rFonts w:ascii="Courier New" w:cs="Courier New" w:eastAsia="Courier New" w:hAnsi="Courier New"/>
          <w:sz w:val="18"/>
          <w:szCs w:val="18"/>
          <w:color w:val="auto"/>
        </w:rPr>
        <w:t>47</w:t>
      </w:r>
    </w:p>
    <w:p>
      <w:pPr>
        <w:spacing w:after="0" w:line="31" w:lineRule="exact"/>
        <w:rPr>
          <w:sz w:val="20"/>
          <w:szCs w:val="20"/>
          <w:color w:val="auto"/>
        </w:rPr>
      </w:pPr>
    </w:p>
    <w:p>
      <w:pPr>
        <w:jc w:val="both"/>
        <w:ind w:right="2099" w:firstLine="1896"/>
        <w:spacing w:after="0" w:line="378" w:lineRule="auto"/>
        <w:rPr>
          <w:sz w:val="20"/>
          <w:szCs w:val="20"/>
          <w:color w:val="auto"/>
        </w:rPr>
      </w:pPr>
      <w:r>
        <w:rPr>
          <w:rFonts w:ascii="Courier New" w:cs="Courier New" w:eastAsia="Courier New" w:hAnsi="Courier New"/>
          <w:sz w:val="16"/>
          <w:szCs w:val="16"/>
          <w:color w:val="auto"/>
        </w:rPr>
        <w:t>IN WITNESS WHEREOF, the parties have executed and delivered this Agreement and Plan of Merger as of the day and year first above written.</w:t>
      </w:r>
    </w:p>
    <w:p>
      <w:pPr>
        <w:spacing w:after="0" w:line="207" w:lineRule="exact"/>
        <w:rPr>
          <w:sz w:val="20"/>
          <w:szCs w:val="20"/>
          <w:color w:val="auto"/>
        </w:rPr>
      </w:pPr>
    </w:p>
    <w:tbl>
      <w:tblPr>
        <w:tblLayout w:type="fixed"/>
        <w:tblInd w:w="4220" w:type="dxa"/>
        <w:tblCellMar>
          <w:top w:w="0" w:type="dxa"/>
          <w:left w:w="0" w:type="dxa"/>
          <w:bottom w:w="0" w:type="dxa"/>
          <w:right w:w="0" w:type="dxa"/>
        </w:tblCellMar>
      </w:tblPr>
      <w:tr>
        <w:trPr>
          <w:trHeight w:val="296"/>
        </w:trPr>
        <w:tc>
          <w:tcPr>
            <w:tcW w:w="680" w:type="dxa"/>
            <w:vAlign w:val="bottom"/>
          </w:tcPr>
          <w:p>
            <w:pPr>
              <w:spacing w:after="0"/>
              <w:rPr>
                <w:sz w:val="20"/>
                <w:szCs w:val="20"/>
                <w:color w:val="auto"/>
              </w:rPr>
            </w:pPr>
            <w:r>
              <w:rPr>
                <w:rFonts w:ascii="Courier New" w:cs="Courier New" w:eastAsia="Courier New" w:hAnsi="Courier New"/>
                <w:sz w:val="18"/>
                <w:szCs w:val="18"/>
                <w:color w:val="auto"/>
              </w:rPr>
              <w:t>AMDOCS</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LIMITED</w:t>
            </w:r>
          </w:p>
        </w:tc>
        <w:tc>
          <w:tcPr>
            <w:tcW w:w="0" w:type="dxa"/>
            <w:vAlign w:val="bottom"/>
          </w:tcPr>
          <w:p>
            <w:pPr>
              <w:spacing w:after="0"/>
              <w:rPr>
                <w:sz w:val="1"/>
                <w:szCs w:val="1"/>
                <w:color w:val="auto"/>
              </w:rPr>
            </w:pPr>
          </w:p>
        </w:tc>
      </w:tr>
      <w:tr>
        <w:trPr>
          <w:trHeight w:val="717"/>
        </w:trPr>
        <w:tc>
          <w:tcPr>
            <w:tcW w:w="6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/s/ Thomas O'Brien</w:t>
            </w:r>
          </w:p>
        </w:tc>
        <w:tc>
          <w:tcPr>
            <w:tcW w:w="0" w:type="dxa"/>
            <w:vAlign w:val="bottom"/>
          </w:tcPr>
          <w:p>
            <w:pPr>
              <w:spacing w:after="0"/>
              <w:rPr>
                <w:sz w:val="1"/>
                <w:szCs w:val="1"/>
                <w:color w:val="auto"/>
              </w:rPr>
            </w:pPr>
          </w:p>
        </w:tc>
      </w:tr>
      <w:tr>
        <w:trPr>
          <w:trHeight w:val="203"/>
        </w:trPr>
        <w:tc>
          <w:tcPr>
            <w:tcW w:w="68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680" w:type="dxa"/>
            <w:vAlign w:val="bottom"/>
            <w:vMerge w:val="continue"/>
          </w:tcPr>
          <w:p>
            <w:pPr>
              <w:spacing w:after="0"/>
              <w:rPr>
                <w:sz w:val="17"/>
                <w:szCs w:val="17"/>
                <w:color w:val="auto"/>
              </w:rPr>
            </w:pP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Thomas O'Brien</w:t>
            </w:r>
          </w:p>
        </w:tc>
        <w:tc>
          <w:tcPr>
            <w:tcW w:w="0" w:type="dxa"/>
            <w:vAlign w:val="bottom"/>
          </w:tcPr>
          <w:p>
            <w:pPr>
              <w:spacing w:after="0"/>
              <w:rPr>
                <w:sz w:val="1"/>
                <w:szCs w:val="1"/>
                <w:color w:val="auto"/>
              </w:rPr>
            </w:pPr>
          </w:p>
        </w:tc>
      </w:tr>
      <w:tr>
        <w:trPr>
          <w:trHeight w:val="296"/>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Title: Treasurer and Secretary</w:t>
            </w:r>
          </w:p>
        </w:tc>
        <w:tc>
          <w:tcPr>
            <w:tcW w:w="0" w:type="dxa"/>
            <w:vAlign w:val="bottom"/>
          </w:tcPr>
          <w:p>
            <w:pPr>
              <w:spacing w:after="0"/>
              <w:rPr>
                <w:sz w:val="1"/>
                <w:szCs w:val="1"/>
                <w:color w:val="auto"/>
              </w:rPr>
            </w:pPr>
          </w:p>
        </w:tc>
      </w:tr>
      <w:tr>
        <w:trPr>
          <w:trHeight w:val="405"/>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IVAN ACQUISITION CORP.</w:t>
            </w:r>
          </w:p>
        </w:tc>
        <w:tc>
          <w:tcPr>
            <w:tcW w:w="0" w:type="dxa"/>
            <w:vAlign w:val="bottom"/>
          </w:tcPr>
          <w:p>
            <w:pPr>
              <w:spacing w:after="0"/>
              <w:rPr>
                <w:sz w:val="1"/>
                <w:szCs w:val="1"/>
                <w:color w:val="auto"/>
              </w:rPr>
            </w:pPr>
          </w:p>
        </w:tc>
      </w:tr>
      <w:tr>
        <w:trPr>
          <w:trHeight w:val="717"/>
        </w:trPr>
        <w:tc>
          <w:tcPr>
            <w:tcW w:w="68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/s/ Thomas O'Brien</w:t>
            </w:r>
          </w:p>
        </w:tc>
        <w:tc>
          <w:tcPr>
            <w:tcW w:w="0" w:type="dxa"/>
            <w:vAlign w:val="bottom"/>
          </w:tcPr>
          <w:p>
            <w:pPr>
              <w:spacing w:after="0"/>
              <w:rPr>
                <w:sz w:val="1"/>
                <w:szCs w:val="1"/>
                <w:color w:val="auto"/>
              </w:rPr>
            </w:pPr>
          </w:p>
        </w:tc>
      </w:tr>
      <w:tr>
        <w:trPr>
          <w:trHeight w:val="203"/>
        </w:trPr>
        <w:tc>
          <w:tcPr>
            <w:tcW w:w="68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03"/>
        </w:trPr>
        <w:tc>
          <w:tcPr>
            <w:tcW w:w="680" w:type="dxa"/>
            <w:vAlign w:val="bottom"/>
            <w:vMerge w:val="continue"/>
          </w:tcPr>
          <w:p>
            <w:pPr>
              <w:spacing w:after="0"/>
              <w:rPr>
                <w:sz w:val="17"/>
                <w:szCs w:val="17"/>
                <w:color w:val="auto"/>
              </w:rPr>
            </w:pPr>
          </w:p>
        </w:tc>
        <w:tc>
          <w:tcPr>
            <w:tcW w:w="3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Thomas O'Brien</w:t>
            </w:r>
          </w:p>
        </w:tc>
        <w:tc>
          <w:tcPr>
            <w:tcW w:w="0" w:type="dxa"/>
            <w:vAlign w:val="bottom"/>
          </w:tcPr>
          <w:p>
            <w:pPr>
              <w:spacing w:after="0"/>
              <w:rPr>
                <w:sz w:val="1"/>
                <w:szCs w:val="1"/>
                <w:color w:val="auto"/>
              </w:rPr>
            </w:pPr>
          </w:p>
        </w:tc>
      </w:tr>
      <w:tr>
        <w:trPr>
          <w:trHeight w:val="296"/>
        </w:trPr>
        <w:tc>
          <w:tcPr>
            <w:tcW w:w="680" w:type="dxa"/>
            <w:vAlign w:val="bottom"/>
          </w:tcPr>
          <w:p>
            <w:pPr>
              <w:spacing w:after="0"/>
              <w:rPr>
                <w:sz w:val="20"/>
                <w:szCs w:val="20"/>
                <w:color w:val="auto"/>
              </w:rPr>
            </w:pPr>
            <w:r>
              <w:rPr>
                <w:rFonts w:ascii="Courier New" w:cs="Courier New" w:eastAsia="Courier New" w:hAnsi="Courier New"/>
                <w:sz w:val="18"/>
                <w:szCs w:val="18"/>
                <w:color w:val="auto"/>
              </w:rPr>
              <w:t>Title:</w:t>
            </w:r>
          </w:p>
        </w:tc>
        <w:tc>
          <w:tcPr>
            <w:tcW w:w="3540" w:type="dxa"/>
            <w:vAlign w:val="bottom"/>
          </w:tcPr>
          <w:p>
            <w:pPr>
              <w:ind w:left="60"/>
              <w:spacing w:after="0"/>
              <w:rPr>
                <w:sz w:val="20"/>
                <w:szCs w:val="20"/>
                <w:color w:val="auto"/>
              </w:rPr>
            </w:pPr>
            <w:r>
              <w:rPr>
                <w:rFonts w:ascii="Courier New" w:cs="Courier New" w:eastAsia="Courier New" w:hAnsi="Courier New"/>
                <w:sz w:val="18"/>
                <w:szCs w:val="18"/>
                <w:color w:val="auto"/>
              </w:rPr>
              <w:t>President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INTERNATIONAL TELECOMMUNICATION</w:t>
      </w:r>
    </w:p>
    <w:p>
      <w:pPr>
        <w:spacing w:after="0" w:line="3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DATA SYSTEMS, INC.</w:t>
      </w:r>
    </w:p>
    <w:p>
      <w:pPr>
        <w:spacing w:after="0" w:line="200" w:lineRule="exact"/>
        <w:rPr>
          <w:sz w:val="20"/>
          <w:szCs w:val="20"/>
          <w:color w:val="auto"/>
        </w:rPr>
      </w:pPr>
    </w:p>
    <w:p>
      <w:pPr>
        <w:spacing w:after="0" w:line="373" w:lineRule="exact"/>
        <w:rPr>
          <w:sz w:val="20"/>
          <w:szCs w:val="20"/>
          <w:color w:val="auto"/>
        </w:rPr>
      </w:pPr>
    </w:p>
    <w:tbl>
      <w:tblPr>
        <w:tblLayout w:type="fixed"/>
        <w:tblInd w:w="422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By</w:t>
            </w: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/s/ Peter P. Bassermann</w:t>
            </w:r>
          </w:p>
        </w:tc>
        <w:tc>
          <w:tcPr>
            <w:tcW w:w="0" w:type="dxa"/>
            <w:vAlign w:val="bottom"/>
          </w:tcPr>
          <w:p>
            <w:pPr>
              <w:spacing w:after="0"/>
              <w:rPr>
                <w:sz w:val="1"/>
                <w:szCs w:val="1"/>
                <w:color w:val="auto"/>
              </w:rPr>
            </w:pPr>
          </w:p>
        </w:tc>
      </w:tr>
      <w:tr>
        <w:trPr>
          <w:trHeight w:val="203"/>
        </w:trPr>
        <w:tc>
          <w:tcPr>
            <w:tcW w:w="640" w:type="dxa"/>
            <w:vAlign w:val="bottom"/>
            <w:vMerge w:val="restart"/>
          </w:tcPr>
          <w:p>
            <w:pPr>
              <w:spacing w:after="0"/>
              <w:rPr>
                <w:sz w:val="20"/>
                <w:szCs w:val="20"/>
                <w:color w:val="auto"/>
              </w:rPr>
            </w:pPr>
            <w:r>
              <w:rPr>
                <w:rFonts w:ascii="Courier New" w:cs="Courier New" w:eastAsia="Courier New" w:hAnsi="Courier New"/>
                <w:sz w:val="18"/>
                <w:szCs w:val="18"/>
                <w:color w:val="auto"/>
              </w:rPr>
              <w:t>Name:</w:t>
            </w:r>
          </w:p>
        </w:tc>
        <w:tc>
          <w:tcPr>
            <w:tcW w:w="3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35"/>
        </w:trPr>
        <w:tc>
          <w:tcPr>
            <w:tcW w:w="640" w:type="dxa"/>
            <w:vAlign w:val="bottom"/>
            <w:vMerge w:val="continue"/>
          </w:tcPr>
          <w:p>
            <w:pPr>
              <w:spacing w:after="0"/>
              <w:rPr>
                <w:sz w:val="20"/>
                <w:szCs w:val="20"/>
                <w:color w:val="auto"/>
              </w:rPr>
            </w:pPr>
          </w:p>
        </w:tc>
        <w:tc>
          <w:tcPr>
            <w:tcW w:w="3580" w:type="dxa"/>
            <w:vAlign w:val="bottom"/>
          </w:tcPr>
          <w:p>
            <w:pPr>
              <w:ind w:left="100"/>
              <w:spacing w:after="0"/>
              <w:rPr>
                <w:sz w:val="20"/>
                <w:szCs w:val="20"/>
                <w:color w:val="auto"/>
              </w:rPr>
            </w:pPr>
            <w:r>
              <w:rPr>
                <w:rFonts w:ascii="Courier New" w:cs="Courier New" w:eastAsia="Courier New" w:hAnsi="Courier New"/>
                <w:sz w:val="18"/>
                <w:szCs w:val="18"/>
                <w:color w:val="auto"/>
              </w:rPr>
              <w:t>Peter P. Bassermann</w:t>
            </w:r>
          </w:p>
        </w:tc>
        <w:tc>
          <w:tcPr>
            <w:tcW w:w="0" w:type="dxa"/>
            <w:vAlign w:val="bottom"/>
          </w:tcPr>
          <w:p>
            <w:pPr>
              <w:spacing w:after="0"/>
              <w:rPr>
                <w:sz w:val="1"/>
                <w:szCs w:val="1"/>
                <w:color w:val="auto"/>
              </w:rPr>
            </w:pPr>
          </w:p>
        </w:tc>
      </w:tr>
    </w:tbl>
    <w:p>
      <w:pPr>
        <w:ind w:left="4220"/>
        <w:spacing w:after="0"/>
        <w:rPr>
          <w:sz w:val="20"/>
          <w:szCs w:val="20"/>
          <w:color w:val="auto"/>
        </w:rPr>
      </w:pPr>
      <w:r>
        <w:rPr>
          <w:rFonts w:ascii="Courier New" w:cs="Courier New" w:eastAsia="Courier New" w:hAnsi="Courier New"/>
          <w:sz w:val="18"/>
          <w:szCs w:val="18"/>
          <w:color w:val="auto"/>
        </w:rPr>
        <w:t>Title: President and CEO</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285" w:right="1440" w:bottom="1440" w:gutter="0" w:footer="0" w:header="0"/>
        </w:sectPr>
      </w:pPr>
    </w:p>
    <w:bookmarkStart w:id="52" w:name="page53"/>
    <w:bookmarkEnd w:id="52"/>
    <w:p>
      <w:pPr>
        <w:ind w:left="320"/>
        <w:spacing w:after="0"/>
        <w:rPr>
          <w:sz w:val="20"/>
          <w:szCs w:val="20"/>
          <w:color w:val="auto"/>
        </w:rPr>
      </w:pPr>
      <w:r>
        <w:rPr>
          <w:rFonts w:ascii="Courier New" w:cs="Courier New" w:eastAsia="Courier New" w:hAnsi="Courier New"/>
          <w:sz w:val="18"/>
          <w:szCs w:val="18"/>
          <w:color w:val="auto"/>
        </w:rPr>
        <w:t>48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2960" w:type="dxa"/>
            <w:vAlign w:val="bottom"/>
          </w:tcPr>
          <w:p>
            <w:pPr>
              <w:spacing w:after="0"/>
              <w:rPr>
                <w:sz w:val="24"/>
                <w:szCs w:val="24"/>
                <w:color w:val="auto"/>
              </w:rPr>
            </w:pPr>
          </w:p>
        </w:tc>
        <w:tc>
          <w:tcPr>
            <w:tcW w:w="3420" w:type="dxa"/>
            <w:vAlign w:val="bottom"/>
          </w:tcPr>
          <w:p>
            <w:pPr>
              <w:ind w:left="100"/>
              <w:spacing w:after="0"/>
              <w:rPr>
                <w:sz w:val="20"/>
                <w:szCs w:val="20"/>
                <w:color w:val="auto"/>
              </w:rPr>
            </w:pPr>
            <w:r>
              <w:rPr>
                <w:rFonts w:ascii="Courier New" w:cs="Courier New" w:eastAsia="Courier New" w:hAnsi="Courier New"/>
                <w:sz w:val="18"/>
                <w:szCs w:val="18"/>
                <w:color w:val="auto"/>
              </w:rPr>
              <w:t>INDEX TO DEFINED TERMS</w:t>
            </w:r>
          </w:p>
        </w:tc>
        <w:tc>
          <w:tcPr>
            <w:tcW w:w="1000" w:type="dxa"/>
            <w:vAlign w:val="bottom"/>
          </w:tcPr>
          <w:p>
            <w:pPr>
              <w:spacing w:after="0"/>
              <w:rPr>
                <w:sz w:val="24"/>
                <w:szCs w:val="24"/>
                <w:color w:val="auto"/>
              </w:rPr>
            </w:pPr>
          </w:p>
        </w:tc>
      </w:tr>
      <w:tr>
        <w:trPr>
          <w:trHeight w:val="279"/>
        </w:trPr>
        <w:tc>
          <w:tcPr>
            <w:tcW w:w="6380" w:type="dxa"/>
            <w:vAlign w:val="bottom"/>
            <w:gridSpan w:val="2"/>
          </w:tcPr>
          <w:p>
            <w:pPr>
              <w:ind w:left="1800"/>
              <w:spacing w:after="0"/>
              <w:rPr>
                <w:sz w:val="20"/>
                <w:szCs w:val="20"/>
                <w:color w:val="auto"/>
              </w:rPr>
            </w:pPr>
            <w:r>
              <w:rPr>
                <w:rFonts w:ascii="Courier New" w:cs="Courier New" w:eastAsia="Courier New" w:hAnsi="Courier New"/>
                <w:sz w:val="18"/>
                <w:szCs w:val="18"/>
                <w:color w:val="auto"/>
                <w:w w:val="98"/>
              </w:rPr>
              <w:t>THIS INDEX IS INCLUDED FOR CONVENIENCE ONLY</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r>
      <w:tr>
        <w:trPr>
          <w:trHeight w:val="296"/>
        </w:trPr>
        <w:tc>
          <w:tcPr>
            <w:tcW w:w="7380" w:type="dxa"/>
            <w:vAlign w:val="bottom"/>
            <w:gridSpan w:val="3"/>
          </w:tcPr>
          <w:p>
            <w:pPr>
              <w:ind w:left="2000"/>
              <w:spacing w:after="0"/>
              <w:rPr>
                <w:sz w:val="20"/>
                <w:szCs w:val="20"/>
                <w:color w:val="auto"/>
              </w:rPr>
            </w:pPr>
            <w:r>
              <w:rPr>
                <w:rFonts w:ascii="Courier New" w:cs="Courier New" w:eastAsia="Courier New" w:hAnsi="Courier New"/>
                <w:sz w:val="18"/>
                <w:szCs w:val="18"/>
                <w:color w:val="auto"/>
              </w:rPr>
              <w:t>DOES NOT CONSTITUTE A PART OF THE AGREEMENT</w:t>
            </w:r>
          </w:p>
        </w:tc>
      </w:tr>
      <w:tr>
        <w:trPr>
          <w:trHeight w:val="717"/>
        </w:trPr>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Term</w:t>
            </w:r>
          </w:p>
        </w:tc>
        <w:tc>
          <w:tcPr>
            <w:tcW w:w="3420" w:type="dxa"/>
            <w:vAlign w:val="bottom"/>
          </w:tcPr>
          <w:p>
            <w:pPr>
              <w:ind w:left="2640"/>
              <w:spacing w:after="0"/>
              <w:rPr>
                <w:sz w:val="20"/>
                <w:szCs w:val="20"/>
                <w:color w:val="auto"/>
              </w:rPr>
            </w:pPr>
            <w:r>
              <w:rPr>
                <w:rFonts w:ascii="Courier New" w:cs="Courier New" w:eastAsia="Courier New" w:hAnsi="Courier New"/>
                <w:sz w:val="18"/>
                <w:szCs w:val="18"/>
                <w:color w:val="auto"/>
              </w:rPr>
              <w:t>Section</w:t>
            </w:r>
          </w:p>
        </w:tc>
        <w:tc>
          <w:tcPr>
            <w:tcW w:w="1000" w:type="dxa"/>
            <w:vAlign w:val="bottom"/>
          </w:tcPr>
          <w:p>
            <w:pPr>
              <w:ind w:left="60"/>
              <w:spacing w:after="0"/>
              <w:rPr>
                <w:sz w:val="20"/>
                <w:szCs w:val="20"/>
                <w:color w:val="auto"/>
              </w:rPr>
            </w:pPr>
            <w:r>
              <w:rPr>
                <w:rFonts w:ascii="Courier New" w:cs="Courier New" w:eastAsia="Courier New" w:hAnsi="Courier New"/>
                <w:sz w:val="18"/>
                <w:szCs w:val="18"/>
                <w:color w:val="auto"/>
                <w:w w:val="94"/>
              </w:rPr>
              <w:t>Reference</w:t>
            </w:r>
          </w:p>
        </w:tc>
      </w:tr>
      <w:tr>
        <w:trPr>
          <w:trHeight w:val="296"/>
        </w:trPr>
        <w:tc>
          <w:tcPr>
            <w:tcW w:w="296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4420" w:type="dxa"/>
            <w:vAlign w:val="bottom"/>
            <w:gridSpan w:val="2"/>
          </w:tcPr>
          <w:p>
            <w:pPr>
              <w:ind w:left="2640"/>
              <w:spacing w:after="0"/>
              <w:rPr>
                <w:sz w:val="20"/>
                <w:szCs w:val="20"/>
                <w:color w:val="auto"/>
              </w:rPr>
            </w:pPr>
            <w:r>
              <w:rPr>
                <w:rFonts w:ascii="Courier New" w:cs="Courier New" w:eastAsia="Courier New" w:hAnsi="Courier New"/>
                <w:sz w:val="18"/>
                <w:szCs w:val="18"/>
                <w:color w:val="auto"/>
                <w:w w:val="95"/>
              </w:rPr>
              <w:t>-----------------</w:t>
            </w:r>
          </w:p>
        </w:tc>
      </w:tr>
      <w:tr>
        <w:trPr>
          <w:trHeight w:val="311"/>
        </w:trPr>
        <w:tc>
          <w:tcPr>
            <w:tcW w:w="2960" w:type="dxa"/>
            <w:vAlign w:val="bottom"/>
          </w:tcPr>
          <w:p>
            <w:pPr>
              <w:spacing w:after="0"/>
              <w:rPr>
                <w:sz w:val="20"/>
                <w:szCs w:val="20"/>
                <w:color w:val="auto"/>
              </w:rPr>
            </w:pPr>
            <w:r>
              <w:rPr>
                <w:rFonts w:ascii="Courier New" w:cs="Courier New" w:eastAsia="Courier New" w:hAnsi="Courier New"/>
                <w:sz w:val="18"/>
                <w:szCs w:val="18"/>
                <w:color w:val="auto"/>
              </w:rPr>
              <w:t>"Acquisition"</w:t>
            </w:r>
          </w:p>
        </w:tc>
        <w:tc>
          <w:tcPr>
            <w:tcW w:w="4420" w:type="dxa"/>
            <w:vAlign w:val="bottom"/>
            <w:gridSpan w:val="2"/>
          </w:tcPr>
          <w:p>
            <w:pPr>
              <w:ind w:left="2640"/>
              <w:spacing w:after="0"/>
              <w:rPr>
                <w:sz w:val="20"/>
                <w:szCs w:val="20"/>
                <w:color w:val="auto"/>
              </w:rPr>
            </w:pPr>
            <w:r>
              <w:rPr>
                <w:rFonts w:ascii="Courier New" w:cs="Courier New" w:eastAsia="Courier New" w:hAnsi="Courier New"/>
                <w:sz w:val="18"/>
                <w:szCs w:val="18"/>
                <w:color w:val="auto"/>
              </w:rPr>
              <w:t>Recitals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"Alternative Transactions"</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6.06(a)</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"Certificate"</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2.03(b)</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"Code"</w:t>
            </w:r>
          </w:p>
        </w:tc>
        <w:tc>
          <w:tcPr>
            <w:tcW w:w="442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442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Common Stock"</w:t>
            </w:r>
          </w:p>
        </w:tc>
        <w:tc>
          <w:tcPr>
            <w:tcW w:w="442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SEC Filings"</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3.06</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Stock Plans"</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2.02</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"Confidentiality Agreement"</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6.04(b)</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"Constituent Corporations"</w:t>
            </w:r>
          </w:p>
        </w:tc>
        <w:tc>
          <w:tcPr>
            <w:tcW w:w="442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"Delaware GCL"</w:t>
            </w:r>
          </w:p>
        </w:tc>
        <w:tc>
          <w:tcPr>
            <w:tcW w:w="442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"Effective Time"</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1.03</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"Environmental Event"</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3.22</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"ERISA"</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3.21(a)</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Act"</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3.06</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Agent"</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2.07(a)</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"Exchange Fund"</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2.07(a)</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"HSR Act"</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3.09</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"Indemnified Parties"</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6.08(a)</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"Material Adverse Effect"</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3.01</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"Meeting"</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6.03(a)</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2.01</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"Merger Consideration"</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2.05(c)</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w:t>
            </w:r>
          </w:p>
        </w:tc>
        <w:tc>
          <w:tcPr>
            <w:tcW w:w="442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 Agreement"</w:t>
            </w:r>
          </w:p>
        </w:tc>
        <w:tc>
          <w:tcPr>
            <w:tcW w:w="442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"Parent"</w:t>
            </w:r>
          </w:p>
        </w:tc>
        <w:tc>
          <w:tcPr>
            <w:tcW w:w="4420" w:type="dxa"/>
            <w:vAlign w:val="bottom"/>
            <w:gridSpan w:val="2"/>
          </w:tcPr>
          <w:p>
            <w:pPr>
              <w:ind w:left="2640"/>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"Payment Event"</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6.06(c)</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"Plans"</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3.17(a)</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"Preferred Stock"</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3.05</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"Proprietary Software"</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3.13(a)</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"Proxy Statement"</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6.03(b)</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"Returns"</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3.16(a)</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"Required Amounts"</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4.07</w:t>
            </w:r>
          </w:p>
        </w:tc>
        <w:tc>
          <w:tcPr>
            <w:tcW w:w="1000" w:type="dxa"/>
            <w:vAlign w:val="bottom"/>
          </w:tcPr>
          <w:p>
            <w:pPr>
              <w:spacing w:after="0"/>
              <w:rPr>
                <w:sz w:val="17"/>
                <w:szCs w:val="17"/>
                <w:color w:val="auto"/>
              </w:rPr>
            </w:pP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"SEC"</w:t>
            </w:r>
          </w:p>
        </w:tc>
        <w:tc>
          <w:tcPr>
            <w:tcW w:w="3420" w:type="dxa"/>
            <w:vAlign w:val="bottom"/>
          </w:tcPr>
          <w:p>
            <w:pPr>
              <w:ind w:left="2640"/>
              <w:spacing w:after="0" w:line="203" w:lineRule="exact"/>
              <w:rPr>
                <w:sz w:val="20"/>
                <w:szCs w:val="20"/>
                <w:color w:val="auto"/>
              </w:rPr>
            </w:pPr>
            <w:r>
              <w:rPr>
                <w:rFonts w:ascii="Courier New" w:cs="Courier New" w:eastAsia="Courier New" w:hAnsi="Courier New"/>
                <w:sz w:val="18"/>
                <w:szCs w:val="18"/>
                <w:color w:val="auto"/>
              </w:rPr>
              <w:t>1.01</w:t>
            </w:r>
          </w:p>
        </w:tc>
        <w:tc>
          <w:tcPr>
            <w:tcW w:w="1000" w:type="dxa"/>
            <w:vAlign w:val="bottom"/>
          </w:tcPr>
          <w:p>
            <w:pPr>
              <w:spacing w:after="0"/>
              <w:rPr>
                <w:sz w:val="17"/>
                <w:szCs w:val="17"/>
                <w:color w:val="auto"/>
              </w:rPr>
            </w:pPr>
          </w:p>
        </w:tc>
      </w:tr>
      <w:tr>
        <w:trPr>
          <w:trHeight w:val="296"/>
        </w:trPr>
        <w:tc>
          <w:tcPr>
            <w:tcW w:w="2960" w:type="dxa"/>
            <w:vAlign w:val="bottom"/>
          </w:tcPr>
          <w:p>
            <w:pPr>
              <w:spacing w:after="0"/>
              <w:rPr>
                <w:sz w:val="20"/>
                <w:szCs w:val="20"/>
                <w:color w:val="auto"/>
              </w:rPr>
            </w:pPr>
            <w:r>
              <w:rPr>
                <w:rFonts w:ascii="Courier New" w:cs="Courier New" w:eastAsia="Courier New" w:hAnsi="Courier New"/>
                <w:sz w:val="18"/>
                <w:szCs w:val="18"/>
                <w:color w:val="auto"/>
              </w:rPr>
              <w:t>"Securities Act"</w:t>
            </w:r>
          </w:p>
        </w:tc>
        <w:tc>
          <w:tcPr>
            <w:tcW w:w="3420" w:type="dxa"/>
            <w:vAlign w:val="bottom"/>
          </w:tcPr>
          <w:p>
            <w:pPr>
              <w:ind w:left="2640"/>
              <w:spacing w:after="0"/>
              <w:rPr>
                <w:sz w:val="20"/>
                <w:szCs w:val="20"/>
                <w:color w:val="auto"/>
              </w:rPr>
            </w:pPr>
            <w:r>
              <w:rPr>
                <w:rFonts w:ascii="Courier New" w:cs="Courier New" w:eastAsia="Courier New" w:hAnsi="Courier New"/>
                <w:sz w:val="18"/>
                <w:szCs w:val="18"/>
                <w:color w:val="auto"/>
              </w:rPr>
              <w:t>3.06</w:t>
            </w:r>
          </w:p>
        </w:tc>
        <w:tc>
          <w:tcPr>
            <w:tcW w:w="1000" w:type="dxa"/>
            <w:vAlign w:val="bottom"/>
          </w:tcPr>
          <w:p>
            <w:pPr>
              <w:spacing w:after="0"/>
              <w:rPr>
                <w:sz w:val="24"/>
                <w:szCs w:val="24"/>
                <w:color w:val="auto"/>
              </w:rPr>
            </w:pPr>
          </w:p>
        </w:tc>
      </w:tr>
    </w:tbl>
    <w:p>
      <w:pPr>
        <w:sectPr>
          <w:pgSz w:w="11900" w:h="16838" w:orient="portrait"/>
          <w:cols w:equalWidth="0" w:num="1">
            <w:col w:w="10219"/>
          </w:cols>
          <w:pgMar w:left="240" w:top="285" w:right="1440" w:bottom="1440" w:gutter="0" w:footer="0" w:header="0"/>
        </w:sectPr>
      </w:pPr>
    </w:p>
    <w:bookmarkStart w:id="53" w:name="page54"/>
    <w:bookmarkEnd w:id="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4020" w:type="dxa"/>
            <w:vAlign w:val="bottom"/>
          </w:tcPr>
          <w:p>
            <w:pPr>
              <w:ind w:left="320"/>
              <w:spacing w:after="0"/>
              <w:rPr>
                <w:sz w:val="20"/>
                <w:szCs w:val="20"/>
                <w:color w:val="auto"/>
              </w:rPr>
            </w:pPr>
            <w:r>
              <w:rPr>
                <w:rFonts w:ascii="Courier New" w:cs="Courier New" w:eastAsia="Courier New" w:hAnsi="Courier New"/>
                <w:sz w:val="18"/>
                <w:szCs w:val="18"/>
                <w:color w:val="auto"/>
              </w:rPr>
              <w:t>49</w:t>
            </w:r>
          </w:p>
        </w:tc>
        <w:tc>
          <w:tcPr>
            <w:tcW w:w="2420" w:type="dxa"/>
            <w:vAlign w:val="bottom"/>
          </w:tcPr>
          <w:p>
            <w:pPr>
              <w:spacing w:after="0"/>
              <w:rPr>
                <w:sz w:val="24"/>
                <w:szCs w:val="24"/>
                <w:color w:val="auto"/>
              </w:rPr>
            </w:pPr>
          </w:p>
        </w:tc>
      </w:tr>
      <w:tr>
        <w:trPr>
          <w:trHeight w:val="514"/>
        </w:trPr>
        <w:tc>
          <w:tcPr>
            <w:tcW w:w="4020" w:type="dxa"/>
            <w:vAlign w:val="bottom"/>
          </w:tcPr>
          <w:p>
            <w:pPr>
              <w:spacing w:after="0"/>
              <w:rPr>
                <w:sz w:val="20"/>
                <w:szCs w:val="20"/>
                <w:color w:val="auto"/>
              </w:rPr>
            </w:pPr>
            <w:r>
              <w:rPr>
                <w:rFonts w:ascii="Courier New" w:cs="Courier New" w:eastAsia="Courier New" w:hAnsi="Courier New"/>
                <w:sz w:val="18"/>
                <w:szCs w:val="18"/>
                <w:color w:val="auto"/>
              </w:rPr>
              <w:t>"Shares"</w:t>
            </w:r>
          </w:p>
        </w:tc>
        <w:tc>
          <w:tcPr>
            <w:tcW w:w="2420" w:type="dxa"/>
            <w:vAlign w:val="bottom"/>
          </w:tcPr>
          <w:p>
            <w:pPr>
              <w:ind w:left="1580"/>
              <w:spacing w:after="0"/>
              <w:rPr>
                <w:sz w:val="20"/>
                <w:szCs w:val="20"/>
                <w:color w:val="auto"/>
              </w:rPr>
            </w:pPr>
            <w:r>
              <w:rPr>
                <w:rFonts w:ascii="Courier New" w:cs="Courier New" w:eastAsia="Courier New" w:hAnsi="Courier New"/>
                <w:sz w:val="18"/>
                <w:szCs w:val="18"/>
                <w:color w:val="auto"/>
              </w:rPr>
              <w:t>1.01</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"Subsidiary"</w:t>
            </w:r>
          </w:p>
        </w:tc>
        <w:tc>
          <w:tcPr>
            <w:tcW w:w="24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3.02(c)</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"Surviving Corporation"</w:t>
            </w:r>
          </w:p>
        </w:tc>
        <w:tc>
          <w:tcPr>
            <w:tcW w:w="24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w w:val="94"/>
              </w:rPr>
              <w:t>Recitals</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Party"</w:t>
            </w:r>
          </w:p>
        </w:tc>
        <w:tc>
          <w:tcPr>
            <w:tcW w:w="24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6.06(a)</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"Third Party Software"</w:t>
            </w:r>
          </w:p>
        </w:tc>
        <w:tc>
          <w:tcPr>
            <w:tcW w:w="2420" w:type="dxa"/>
            <w:vAlign w:val="bottom"/>
          </w:tcPr>
          <w:p>
            <w:pPr>
              <w:ind w:left="1580"/>
              <w:spacing w:after="0" w:line="203" w:lineRule="exact"/>
              <w:rPr>
                <w:sz w:val="20"/>
                <w:szCs w:val="20"/>
                <w:color w:val="auto"/>
              </w:rPr>
            </w:pPr>
            <w:r>
              <w:rPr>
                <w:rFonts w:ascii="Courier New" w:cs="Courier New" w:eastAsia="Courier New" w:hAnsi="Courier New"/>
                <w:sz w:val="18"/>
                <w:szCs w:val="18"/>
                <w:color w:val="auto"/>
              </w:rPr>
              <w:t>3.13(a)</w:t>
            </w:r>
          </w:p>
        </w:tc>
      </w:tr>
      <w:tr>
        <w:trPr>
          <w:trHeight w:val="296"/>
        </w:trPr>
        <w:tc>
          <w:tcPr>
            <w:tcW w:w="4020" w:type="dxa"/>
            <w:vAlign w:val="bottom"/>
          </w:tcPr>
          <w:p>
            <w:pPr>
              <w:spacing w:after="0"/>
              <w:rPr>
                <w:sz w:val="20"/>
                <w:szCs w:val="20"/>
                <w:color w:val="auto"/>
              </w:rPr>
            </w:pPr>
            <w:r>
              <w:rPr>
                <w:rFonts w:ascii="Courier New" w:cs="Courier New" w:eastAsia="Courier New" w:hAnsi="Courier New"/>
                <w:sz w:val="18"/>
                <w:szCs w:val="18"/>
                <w:color w:val="auto"/>
              </w:rPr>
              <w:t>"Tax"</w:t>
            </w:r>
          </w:p>
        </w:tc>
        <w:tc>
          <w:tcPr>
            <w:tcW w:w="2420" w:type="dxa"/>
            <w:vAlign w:val="bottom"/>
          </w:tcPr>
          <w:p>
            <w:pPr>
              <w:ind w:left="1580"/>
              <w:spacing w:after="0"/>
              <w:rPr>
                <w:sz w:val="20"/>
                <w:szCs w:val="20"/>
                <w:color w:val="auto"/>
              </w:rPr>
            </w:pPr>
            <w:r>
              <w:rPr>
                <w:rFonts w:ascii="Courier New" w:cs="Courier New" w:eastAsia="Courier New" w:hAnsi="Courier New"/>
                <w:sz w:val="18"/>
                <w:szCs w:val="18"/>
                <w:color w:val="auto"/>
              </w:rPr>
              <w:t>3.16(d)</w:t>
            </w:r>
          </w:p>
        </w:tc>
      </w:tr>
    </w:tbl>
    <w:p>
      <w:pPr>
        <w:sectPr>
          <w:pgSz w:w="11900" w:h="16838" w:orient="portrait"/>
          <w:cols w:equalWidth="0" w:num="1">
            <w:col w:w="10219"/>
          </w:cols>
          <w:pgMar w:left="240" w:top="285" w:right="1440" w:bottom="1440" w:gutter="0" w:footer="0" w:header="0"/>
        </w:sectPr>
      </w:pPr>
    </w:p>
    <w:bookmarkStart w:id="54" w:name="page55"/>
    <w:bookmarkEnd w:id="54"/>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STOCK OPTION AGREEMENT</w:t>
      </w:r>
    </w:p>
    <w:p>
      <w:pPr>
        <w:spacing w:after="0" w:line="372"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STOCK OPTION AGREEMENT, dated as of September 3, 1999, between INTERNATIONAL TELECOMMUNICATION DATA SYSTEMS, INC., a Delaware corporation ("Issuer"), and AMDOCS LIMITED, a company organized under the laws of Guernsey, Channel Islands ("Grantee").</w:t>
      </w:r>
    </w:p>
    <w:p>
      <w:pPr>
        <w:spacing w:after="0" w:line="82" w:lineRule="exact"/>
        <w:rPr>
          <w:sz w:val="20"/>
          <w:szCs w:val="20"/>
          <w:color w:val="auto"/>
        </w:rPr>
      </w:pPr>
    </w:p>
    <w:p>
      <w:pPr>
        <w:ind w:right="1779" w:firstLine="1896"/>
        <w:spacing w:after="0" w:line="265" w:lineRule="auto"/>
        <w:rPr>
          <w:sz w:val="20"/>
          <w:szCs w:val="20"/>
          <w:color w:val="auto"/>
        </w:rPr>
      </w:pPr>
      <w:r>
        <w:rPr>
          <w:rFonts w:ascii="Courier New" w:cs="Courier New" w:eastAsia="Courier New" w:hAnsi="Courier New"/>
          <w:sz w:val="18"/>
          <w:szCs w:val="18"/>
          <w:color w:val="auto"/>
        </w:rPr>
        <w:t>WHEREAS, Issuer and Grantee have entered into an Agreement and Plan of Merger, dated as of the date hereof (the "Merger Agreement"), providing for, among other things, upon the terms and subject to the conditions thereof, the merger of a newly-formed subsidiary of Grantee with and into Issuer (the "Merger"); and</w:t>
      </w:r>
    </w:p>
    <w:p>
      <w:pPr>
        <w:spacing w:after="0" w:line="90" w:lineRule="exact"/>
        <w:rPr>
          <w:sz w:val="20"/>
          <w:szCs w:val="20"/>
          <w:color w:val="auto"/>
        </w:rPr>
      </w:pPr>
    </w:p>
    <w:p>
      <w:pPr>
        <w:ind w:right="2199" w:firstLine="1896"/>
        <w:spacing w:after="0" w:line="274" w:lineRule="auto"/>
        <w:rPr>
          <w:sz w:val="20"/>
          <w:szCs w:val="20"/>
          <w:color w:val="auto"/>
        </w:rPr>
      </w:pPr>
      <w:r>
        <w:rPr>
          <w:rFonts w:ascii="Courier New" w:cs="Courier New" w:eastAsia="Courier New" w:hAnsi="Courier New"/>
          <w:sz w:val="18"/>
          <w:szCs w:val="18"/>
          <w:color w:val="auto"/>
        </w:rPr>
        <w:t>WHEREAS, as a condition and inducement to Grantee's willingness to enter into the Merger Agreement, Grantee has requested that Issuer agree, and Issuer has agreed, to grant Grantee the Option (as defined below);</w:t>
      </w:r>
    </w:p>
    <w:p>
      <w:pPr>
        <w:spacing w:after="0" w:line="82" w:lineRule="exact"/>
        <w:rPr>
          <w:sz w:val="20"/>
          <w:szCs w:val="20"/>
          <w:color w:val="auto"/>
        </w:rPr>
      </w:pPr>
    </w:p>
    <w:p>
      <w:pPr>
        <w:ind w:right="2319" w:firstLine="1896"/>
        <w:spacing w:after="0" w:line="292" w:lineRule="auto"/>
        <w:rPr>
          <w:sz w:val="20"/>
          <w:szCs w:val="20"/>
          <w:color w:val="auto"/>
        </w:rPr>
      </w:pPr>
      <w:r>
        <w:rPr>
          <w:rFonts w:ascii="Courier New" w:cs="Courier New" w:eastAsia="Courier New" w:hAnsi="Courier New"/>
          <w:sz w:val="18"/>
          <w:szCs w:val="18"/>
          <w:color w:val="auto"/>
        </w:rPr>
        <w:t>NOW, THEREFORE, in consideration of the foregoing and the respective representations, warranties, covenants and agreements set forth herein, Issuer and Grantee agree as follows:</w:t>
      </w:r>
    </w:p>
    <w:p>
      <w:pPr>
        <w:spacing w:after="0" w:line="66"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Capitalized terms used but not defined herein shall have the meanings set forth in the Merger Agreement.</w:t>
      </w:r>
    </w:p>
    <w:p>
      <w:pPr>
        <w:spacing w:after="0" w:line="18" w:lineRule="exact"/>
        <w:rPr>
          <w:sz w:val="20"/>
          <w:szCs w:val="20"/>
          <w:color w:val="auto"/>
        </w:rPr>
      </w:pPr>
    </w:p>
    <w:p>
      <w:pPr>
        <w:ind w:right="1779" w:firstLine="1904"/>
        <w:spacing w:after="0" w:line="249" w:lineRule="auto"/>
        <w:tabs>
          <w:tab w:leader="none" w:pos="2212"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Grant of Option. (a) Upon the terms and subject to the conditions set forth herein, Issuer hereby grants to Grantee an unconditional, irrevocable option (the "Option") to purchase up to 19.9% of the outstanding shares, at the time of exercise (the "Option Shares"), of Issuer's Common Stock, $0.01 par value ("Issuer Common Stock"), at a price of $8.125 per share (the "Exercise Price"), subject to adjustment as set forth herein. Notwithstanding the foregoing, if at any time that the Option is exercisable pursuant to the terms and conditions of this Agreement an Alternative Transaction has theretofore been consummated for a value per share of Issuer Common Stock below the Exercise Price, then the Exercise Price will be adjusted to such lower price.</w:t>
      </w:r>
    </w:p>
    <w:p>
      <w:pPr>
        <w:spacing w:after="0" w:line="104" w:lineRule="exact"/>
        <w:rPr>
          <w:sz w:val="20"/>
          <w:szCs w:val="20"/>
          <w:color w:val="auto"/>
        </w:rPr>
      </w:pPr>
    </w:p>
    <w:p>
      <w:pPr>
        <w:ind w:right="1879" w:firstLine="1904"/>
        <w:spacing w:after="0" w:line="306" w:lineRule="auto"/>
        <w:tabs>
          <w:tab w:leader="none" w:pos="2318"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any additional shares of Issuer Common Stock are either (i) issued or otherwise become outstanding after the date of this Agreement (other than pursuant to this Agreement) or (ii) redeemed, repurchased, retired or otherwise cease to be outstanding after the date of the Agreement, the number of Option Shares shall be increased or decreased, as</w:t>
      </w:r>
    </w:p>
    <w:p>
      <w:pPr>
        <w:sectPr>
          <w:pgSz w:w="11900" w:h="16838" w:orient="portrait"/>
          <w:cols w:equalWidth="0" w:num="1">
            <w:col w:w="10219"/>
          </w:cols>
          <w:pgMar w:left="240" w:top="110" w:right="1440" w:bottom="1440" w:gutter="0" w:footer="0" w:header="0"/>
        </w:sectPr>
      </w:pPr>
    </w:p>
    <w:bookmarkStart w:id="55" w:name="page56"/>
    <w:bookmarkEnd w:id="55"/>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appropriate, so that, after such events, the number of Option Shares equals 19.9% of the number of shares of Issuer Common Stock then issued and outstanding, without giving effect to any shares subject to or issued pursuant to the Option. Nothing contained in this Section 1(b) or elsewhere in this Agreement shall be deemed to authorize Issuer or Grantee to breach any provision of the Merger Agreement.</w:t>
      </w:r>
    </w:p>
    <w:p>
      <w:pPr>
        <w:spacing w:after="0" w:line="101" w:lineRule="exact"/>
        <w:rPr>
          <w:sz w:val="20"/>
          <w:szCs w:val="20"/>
          <w:color w:val="auto"/>
        </w:rPr>
      </w:pPr>
    </w:p>
    <w:p>
      <w:pPr>
        <w:ind w:right="1779" w:firstLine="1904"/>
        <w:spacing w:after="0" w:line="242" w:lineRule="auto"/>
        <w:tabs>
          <w:tab w:leader="none" w:pos="2212"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Option. (a) Grantee may exercise the Option, with respect to any or all of the Option Shares at any time and from time to time, subject to the provisions of Section 2(c), upon and subsequent to the occurrence of a Payment Event under the Merger Agreement, except that (i) subject to the last sentence of this Section 2(a), the Option will terminate and be of no further force and effect upon the earliest to occur of (A) six months after the date of the Payment Event and (B) termination of the Merger Agreement in accordance with its terms prior to the occurrence of a Payment Event, unless, in the case of clauses (A) and (B), Grantee could be entitled to receive the fees and expenses payable pursuant to the first sentence of paragraph (b) of Section 6.06 of the Merger Agreement following such time or termination upon the occurrence of certain events, in which case the Option will not terminate until the later of (x) six months following the time such fees and expenses become payable and (y) the expiration of the period in which the Grantee has such right to receive such fees and expenses and (ii) any purchase of Option Shares upon exercise of the Option will be subject to compliance with the HSR Act and the obtaining or making of any consents, approvals, orders, notifications or authorizations, the failure of which to have obtained or made would have the effect of making the issuance of Option Shares illegal (the "Regulatory Approvals") and no preliminary or permanent injunction or other order by any court of competent jurisdiction prohibiting or otherwise restraining such issuance shall be in effect. Notwithstanding the termination of the Option, Grantee will be entitled to purchase the Option Shares if it has exercised the Option in accordance with the terms hereof prior to the termination of the Option, and the termination of the Option will not affect any rights hereunder which by their terms do not terminate or expire prior to or as of such termination.</w:t>
      </w:r>
    </w:p>
    <w:p>
      <w:pPr>
        <w:spacing w:after="0" w:line="121" w:lineRule="exact"/>
        <w:rPr>
          <w:sz w:val="20"/>
          <w:szCs w:val="20"/>
          <w:color w:val="auto"/>
        </w:rPr>
      </w:pPr>
    </w:p>
    <w:p>
      <w:pPr>
        <w:ind w:right="1779" w:firstLine="1904"/>
        <w:spacing w:after="0" w:line="246" w:lineRule="auto"/>
        <w:tabs>
          <w:tab w:leader="none" w:pos="231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Grantee wishes to exercise the Option, it will send to Issuer a written notice (an "Exercise Notice"; the date of which being herein referred to as the "Notice Date") to that effect specifying (i) the number of Option Shares, if any, Grantee wishes to purchase pursuant to this Section 2(b), (ii) the number of Option Shares, if any, with respect to which Grantee wishes to exercise its Cash-Out Right (as defined herein) pursuant to Section 7(c), (iii) the denominations of the certificate or certificates evidencing the Option Shares which Grantee wishes to purchase pursuant to this Section 2(b) and (iv) a date not earlier than three business days nor later than 30 days from the Notice Date for the closing (an "Option Closing") of such purchase (an "Option Closing Date"). Any Option Closing will be at an agreed location and time in New York, New York on the applicable Option Closing Date or at such later date as may be necessary so as to comply with clause (ii) of Section 2(a).</w:t>
      </w:r>
    </w:p>
    <w:p>
      <w:pPr>
        <w:spacing w:after="0" w:line="112" w:lineRule="exact"/>
        <w:rPr>
          <w:rFonts w:ascii="Courier New" w:cs="Courier New" w:eastAsia="Courier New" w:hAnsi="Courier New"/>
          <w:sz w:val="18"/>
          <w:szCs w:val="18"/>
          <w:color w:val="auto"/>
        </w:rPr>
      </w:pPr>
    </w:p>
    <w:p>
      <w:pPr>
        <w:ind w:right="1779" w:firstLine="1904"/>
        <w:spacing w:after="0" w:line="292" w:lineRule="auto"/>
        <w:tabs>
          <w:tab w:leader="none" w:pos="2318"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anything to the contrary contained herein, any exercise of the Option and purchase of Option Shares shall be subject to compliance with applicable laws and</w:t>
      </w:r>
    </w:p>
    <w:p>
      <w:pPr>
        <w:spacing w:after="0" w:line="6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56" w:name="page57"/>
    <w:bookmarkEnd w:id="56"/>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right="1779"/>
        <w:spacing w:after="0" w:line="242" w:lineRule="auto"/>
        <w:rPr>
          <w:sz w:val="20"/>
          <w:szCs w:val="20"/>
          <w:color w:val="auto"/>
        </w:rPr>
      </w:pPr>
      <w:r>
        <w:rPr>
          <w:rFonts w:ascii="Courier New" w:cs="Courier New" w:eastAsia="Courier New" w:hAnsi="Courier New"/>
          <w:sz w:val="18"/>
          <w:szCs w:val="18"/>
          <w:color w:val="auto"/>
        </w:rPr>
        <w:t>regulations, which may prohibit the purchase of all the Option Shares specified in the Exercise Notice without first obtaining or making certain Regulatory Approvals. In such event, if the Option is otherwise exercisable and Grantee wishes to exercise the Option, the Option may be exercised in accordance with Section 2(b) and Grantee shall acquire the maximum number of Option Shares specified in the Exercise Notice that Grantee is then permitted to acquire under the applicable laws and regulations, and if Grantee thereafter obtains the Regulatory Approvals to acquire the remaining balance of the Option Shares specified in the Exercise Notice, then Grantee shall be entitled to acquire such remaining balance. Issuer agrees to use it reasonable best efforts to assist Grantee in seeking the Regulatory Approvals. In the event (i) Grantee receives official notice that a Regulatory Approval required for the purchase of any Option Shares will not be issued or granted or (ii) such Regulatory Approval has not been issued or granted within six months of the date of the Exercise Notice, Grantee shall have the right to exercise its Cash-Out Right (as defined herein) pursuant to Section 7(c) with respect to the Option Shares for which such Regulatory Approval will not be issued or granted or has not been issued or granted.</w:t>
      </w:r>
    </w:p>
    <w:p>
      <w:pPr>
        <w:spacing w:after="0" w:line="116" w:lineRule="exact"/>
        <w:rPr>
          <w:sz w:val="20"/>
          <w:szCs w:val="20"/>
          <w:color w:val="auto"/>
        </w:rPr>
      </w:pPr>
    </w:p>
    <w:p>
      <w:pPr>
        <w:ind w:right="1779" w:firstLine="1904"/>
        <w:spacing w:after="0" w:line="273" w:lineRule="auto"/>
        <w:tabs>
          <w:tab w:leader="none" w:pos="2318" w:val="left"/>
        </w:tabs>
        <w:numPr>
          <w:ilvl w:val="1"/>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Grantee receives in aggregate (i) the fee payable pursuant to Section 6.06 of the Merger Agreement, (ii) amounts from the sale or other disposition of the Option Shares, and (iii) amounts paid pursuant to Section 7(c) hereof, and the aggregate of such amounts is in excess of the sum of (A) $8,250,000 plus (B) the amounts paid by Grantee to purchase any Option Shares, then Grantee, at is sole election, shall either (1) reduce the number of Option Shares, (2) deliver to the Issuer for cancellation Option Shares previously purchased by Grantee (valued, for the purposes of this Section 2(d) at the average closing sale price per share of Issuer Common Stock (or if there is no sale on such date then the average between the closing bid and ask prices on any such day) as reported on the NASDAQ National Market System (as reported in The Wall Street Journal (Northeast edition), or, if not reported thereby, any other authoritative source) for the ten consecutive trading days preceding the day on which the amount received by Grantee pursuant to clauses (d)(i), (ii) and</w:t>
      </w:r>
    </w:p>
    <w:p>
      <w:pPr>
        <w:spacing w:after="0" w:line="187" w:lineRule="exact"/>
        <w:rPr>
          <w:rFonts w:ascii="Courier New" w:cs="Courier New" w:eastAsia="Courier New" w:hAnsi="Courier New"/>
          <w:sz w:val="16"/>
          <w:szCs w:val="16"/>
          <w:color w:val="auto"/>
        </w:rPr>
      </w:pPr>
    </w:p>
    <w:p>
      <w:pPr>
        <w:ind w:left="640" w:hanging="632"/>
        <w:spacing w:after="0"/>
        <w:tabs>
          <w:tab w:leader="none" w:pos="640"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above exceeds the sum of the of the amounts in clauses (A) and (B) above),</w:t>
      </w:r>
    </w:p>
    <w:p>
      <w:pPr>
        <w:spacing w:after="0" w:line="21" w:lineRule="exact"/>
        <w:rPr>
          <w:rFonts w:ascii="Courier New" w:cs="Courier New" w:eastAsia="Courier New" w:hAnsi="Courier New"/>
          <w:sz w:val="16"/>
          <w:szCs w:val="16"/>
          <w:color w:val="auto"/>
        </w:rPr>
      </w:pPr>
    </w:p>
    <w:p>
      <w:pPr>
        <w:ind w:right="1999"/>
        <w:spacing w:after="0" w:line="250"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 pay cash to the Issuer or (4) any combination thereof, so that the amount received by Grantee pursuant to clauses (d)(i), (ii) and (iii) above shall not exceed the sum of the amounts in clauses (A) and (B) above after taking into account the foregoing actions. Notwithstanding any other provision of this Agreement, nothing in this Agreement shall affect the ability of Grantee to receive nor relieve Issuer's obligation to pay the fee or expenses payable pursuant to Section 6.06 of the Merger Agreement.</w:t>
      </w:r>
    </w:p>
    <w:p>
      <w:pPr>
        <w:spacing w:after="0" w:line="102" w:lineRule="exact"/>
        <w:rPr>
          <w:sz w:val="20"/>
          <w:szCs w:val="20"/>
          <w:color w:val="auto"/>
        </w:rPr>
      </w:pPr>
    </w:p>
    <w:p>
      <w:pPr>
        <w:ind w:right="1779" w:firstLine="1904"/>
        <w:spacing w:after="0" w:line="265" w:lineRule="auto"/>
        <w:tabs>
          <w:tab w:leader="none" w:pos="2212"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Payment and Delivery of Certificates. (a) At any Option Closing, Grantee will pay to Issuer in same day funds by wire transfer to a bank account designated in writing by Issuer an amount equal to the Exercise Price multiplied by the number of Option Shares to be purchased at such Option Closing.</w:t>
      </w:r>
    </w:p>
    <w:p>
      <w:pPr>
        <w:spacing w:after="0" w:line="90" w:lineRule="exact"/>
        <w:rPr>
          <w:sz w:val="20"/>
          <w:szCs w:val="20"/>
          <w:color w:val="auto"/>
        </w:rPr>
      </w:pPr>
    </w:p>
    <w:p>
      <w:pPr>
        <w:ind w:right="1779" w:firstLine="1904"/>
        <w:spacing w:after="0" w:line="306" w:lineRule="auto"/>
        <w:tabs>
          <w:tab w:leader="none" w:pos="2318"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Option Closing, simultaneously with the delivery of same day funds as provided in Section 3(a), Issuer will deliver to Grantee a certificate or certificates representing the Option Shares to be purchased at such Option Closing, which Option Shares will be free and clear of all liens, claims, charges and encumbrances of any kind whatsoever. If at the time of</w:t>
      </w:r>
    </w:p>
    <w:p>
      <w:pPr>
        <w:spacing w:after="0" w:line="60"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57" w:name="page58"/>
    <w:bookmarkEnd w:id="57"/>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right="1779"/>
        <w:spacing w:after="0" w:line="252" w:lineRule="auto"/>
        <w:rPr>
          <w:sz w:val="20"/>
          <w:szCs w:val="20"/>
          <w:color w:val="auto"/>
        </w:rPr>
      </w:pPr>
      <w:r>
        <w:rPr>
          <w:rFonts w:ascii="Courier New" w:cs="Courier New" w:eastAsia="Courier New" w:hAnsi="Courier New"/>
          <w:sz w:val="18"/>
          <w:szCs w:val="18"/>
          <w:color w:val="auto"/>
        </w:rPr>
        <w:t>issuance of Option Shares pursuant to an exercise of the Option hereunder, Issuer shall have issued any securities similar to rights under a shareholder rights plan, then each Option Share issued pursuant to such exercise will also represent such a corresponding right with terms substantially the same as and at least as favorable to Grantee as are provided under any Issuer shareholder rights agreement or any similar agreement then in effect.</w:t>
      </w:r>
    </w:p>
    <w:p>
      <w:pPr>
        <w:spacing w:after="0" w:line="101" w:lineRule="exact"/>
        <w:rPr>
          <w:sz w:val="20"/>
          <w:szCs w:val="20"/>
          <w:color w:val="auto"/>
        </w:rPr>
      </w:pPr>
    </w:p>
    <w:p>
      <w:pPr>
        <w:jc w:val="both"/>
        <w:ind w:right="1879" w:firstLine="1904"/>
        <w:spacing w:after="0" w:line="292" w:lineRule="auto"/>
        <w:tabs>
          <w:tab w:leader="none" w:pos="2318"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Certificates for the Option Shares delivered at an Option Closing will have typed or printed thereon a restrictive legend which will read substantially as follows:</w:t>
      </w:r>
    </w:p>
    <w:p>
      <w:pPr>
        <w:spacing w:after="0" w:line="66" w:lineRule="exact"/>
        <w:rPr>
          <w:sz w:val="20"/>
          <w:szCs w:val="20"/>
          <w:color w:val="auto"/>
        </w:rPr>
      </w:pPr>
    </w:p>
    <w:p>
      <w:pPr>
        <w:ind w:left="1900" w:right="1779"/>
        <w:spacing w:after="0" w:line="265" w:lineRule="auto"/>
        <w:rPr>
          <w:sz w:val="20"/>
          <w:szCs w:val="20"/>
          <w:color w:val="auto"/>
        </w:rPr>
      </w:pPr>
      <w:r>
        <w:rPr>
          <w:rFonts w:ascii="Courier New" w:cs="Courier New" w:eastAsia="Courier New" w:hAnsi="Courier New"/>
          <w:sz w:val="18"/>
          <w:szCs w:val="18"/>
          <w:color w:val="auto"/>
        </w:rPr>
        <w:t>"THE SECURITIES REPRESENTED BY THIS CERTIFICATE HAVE NOT BEEN REGISTERED UNDER THE SECURITIES ACT OF 1933, AS AMENDED, AND MAY BE OFFERED, SOLD, PLEDGED OR OTHERWISE TRANSFERRED ONLY IF SO REGISTERED OR IF AN EXEMPTION FROM SUCH REGISTRATION IS AVAILABLE."</w:t>
      </w:r>
    </w:p>
    <w:p>
      <w:pPr>
        <w:spacing w:after="0" w:line="90" w:lineRule="exact"/>
        <w:rPr>
          <w:sz w:val="20"/>
          <w:szCs w:val="20"/>
          <w:color w:val="auto"/>
        </w:rPr>
      </w:pPr>
    </w:p>
    <w:p>
      <w:pPr>
        <w:ind w:right="1779"/>
        <w:spacing w:after="0" w:line="289" w:lineRule="auto"/>
        <w:rPr>
          <w:sz w:val="20"/>
          <w:szCs w:val="20"/>
          <w:color w:val="auto"/>
        </w:rPr>
      </w:pPr>
      <w:r>
        <w:rPr>
          <w:rFonts w:ascii="Courier New" w:cs="Courier New" w:eastAsia="Courier New" w:hAnsi="Courier New"/>
          <w:sz w:val="16"/>
          <w:szCs w:val="16"/>
          <w:color w:val="auto"/>
        </w:rPr>
        <w:t>It is understood and agreed that the above legend will be removed by delivery of substitute certificate(s) without such reference if such Option Shares have been sold in compliance with the registration and prospectus delivery requirements of the Securities Act, such Option Shares have been sold in reliance on and in accordance with Rule 144 under the Securities Act or Grantee has delivered to Issuer a copy of a letter from the staff of the SEC, or an opinion of counsel in form and substance reasonably satisfactory to Issuer and its counsel, to the effect that such legend is not required for purposes of the Securities Act.</w:t>
      </w:r>
    </w:p>
    <w:p>
      <w:pPr>
        <w:spacing w:after="0" w:line="77" w:lineRule="exact"/>
        <w:rPr>
          <w:sz w:val="20"/>
          <w:szCs w:val="20"/>
          <w:color w:val="auto"/>
        </w:rPr>
      </w:pPr>
    </w:p>
    <w:p>
      <w:pPr>
        <w:ind w:right="1879" w:firstLine="1904"/>
        <w:spacing w:after="0" w:line="265" w:lineRule="auto"/>
        <w:tabs>
          <w:tab w:leader="none" w:pos="221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Incorporation of Representations and Warranties of Issuer and Grantee. The representations and warranties of Issuer and Grantee contained in Articles III and IV of the Merger Agreement are hereby incorporated by reference herein with the same force and effect as though made pursuant to this Agreement.</w:t>
      </w:r>
    </w:p>
    <w:p>
      <w:pPr>
        <w:spacing w:after="0" w:line="89" w:lineRule="exact"/>
        <w:rPr>
          <w:rFonts w:ascii="Courier New" w:cs="Courier New" w:eastAsia="Courier New" w:hAnsi="Courier New"/>
          <w:sz w:val="18"/>
          <w:szCs w:val="18"/>
          <w:color w:val="auto"/>
        </w:rPr>
      </w:pPr>
    </w:p>
    <w:p>
      <w:pPr>
        <w:ind w:right="1879" w:firstLine="1904"/>
        <w:spacing w:after="0" w:line="244" w:lineRule="auto"/>
        <w:tabs>
          <w:tab w:leader="none" w:pos="2212"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Issuer. Issuer hereby additionally represents and warrants to Grantee that Issuer has taken all necessary corporate and other action to authorize and reserve and, subject to the expiration or termination of any required waiting period under the HSR Act, to permit it to issue, and, at all times from the date hereof until the obligation to deliver Option Shares upon the exercise of the Option terminates, shall have reserved for issuance, upon exercise of the Option, shares of Issuer Common Stock necessary for Grantee to exercise the Option, and Issuer will take all necessary corporate action to authorize and reserve (and shall at all times maintain, free from pre-emptive rights, sufficient authorized and reserved shares) for issuance all additional shares of Issuer Common Stock or other securities which may be issued pursuant to Section 7 upon exercise of the Option. The shares of Issuer Common Stock to be issued upon due exercise of the Option, including all additional shares of Issuer Common Stock or other securities which may be issued pursuant to Section 7, upon issuance pursuant hereto, will be duly and validly issued, fully paid and nonassessable, and will be delivered free and clear of all liens, claims, charges and encumbrances of any kind or nature whatsoever, including, without limitation, any preemptive rights of any stockholder of Issuer.</w:t>
      </w:r>
    </w:p>
    <w:p>
      <w:pPr>
        <w:spacing w:after="0" w:line="113"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left="-320" w:right="1879" w:firstLine="1904"/>
        <w:spacing w:after="0" w:line="286" w:lineRule="auto"/>
        <w:tabs>
          <w:tab w:leader="none" w:pos="1892" w:val="left"/>
        </w:tabs>
        <w:numPr>
          <w:ilvl w:val="0"/>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Grantee. Grantee hereby additionally represents and warrants to Issuer that any Option Shares or other securities acquired by Grantee upon exercise of the Option will not be, and the Option is not being, acquired by Grantee with a view to the public distribution thereof. Neither the Option nor any of the Option Shares will be offered, sold, pledged or otherwise transferred except in compliance with, or pursuant to an exemption from, the registration requirements of the Securities Act.</w:t>
      </w:r>
    </w:p>
    <w:p>
      <w:pPr>
        <w:spacing w:after="0" w:line="76" w:lineRule="exact"/>
        <w:rPr>
          <w:rFonts w:ascii="Courier New" w:cs="Courier New" w:eastAsia="Courier New" w:hAnsi="Courier New"/>
          <w:sz w:val="16"/>
          <w:szCs w:val="16"/>
          <w:color w:val="auto"/>
        </w:rPr>
      </w:pPr>
    </w:p>
    <w:p>
      <w:pPr>
        <w:ind w:left="-320" w:right="1779" w:firstLine="1904"/>
        <w:spacing w:after="0" w:line="249" w:lineRule="auto"/>
        <w:tabs>
          <w:tab w:leader="none" w:pos="1892"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Adjustment upon Changes in Capitalization, Etc. (a) In the event of any changes in Issuer Common Stock by reason of a stock dividend, stock split, reverse stock split, stock issuance, merger, recapitalization, combination, exchange of shares, or similar transaction, the type and number of shares of securities subject to the Option, and the Exercise Price therefor, will be adjusted appropriately, and proper provision will be made in the agreements governing such transaction, so that Grantee will receive upon exercise of the Option the number and class of shares or other securities or property that Grantee would have received with respect to Issuer Common Stock if the Option had been exercised immediately prior to such event or the record date therefor, as applicable.</w:t>
      </w:r>
    </w:p>
    <w:p>
      <w:pPr>
        <w:spacing w:after="0" w:line="104" w:lineRule="exact"/>
        <w:rPr>
          <w:sz w:val="20"/>
          <w:szCs w:val="20"/>
          <w:color w:val="auto"/>
        </w:rPr>
      </w:pPr>
    </w:p>
    <w:p>
      <w:pPr>
        <w:ind w:left="-320" w:right="1779" w:firstLine="1904"/>
        <w:spacing w:after="0" w:line="243" w:lineRule="auto"/>
        <w:tabs>
          <w:tab w:leader="none" w:pos="199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limiting the parties' relative rights and obligations under the Merger Agreement, in the event that Issuer enters into an agreement (i) to consolidate with or merge into any person, other than Grantee or one of its subsidiaries, and Issuer will not be the continuing or surviving corporation in such consolidation or merger, (ii) to permit any person, other than Grantee or one of its subsidiaries, to merge into Issuer and Issuer will be the continuing or surviving corporation, but in connection with such merger, the shares of Issuer Common Stock outstanding immediately prior to the consummation of such merger will be changed into or exchanged for stock or other securities of Issuer or any other person or cash or any other property, or the shares of Issuer Common Stock outstanding immediately prior to the consummation of such merger will, after such merger, represent less than 50% of the outstanding voting securities of the merged company, or (iii) to sell or otherwise transfer all or substantially all of its assets to any person, other than Grantee or one of its subsidiaries, then, and in each such case, the agreement governing such transaction will make proper provision so that the Option will, upon the consummation of any such transaction and upon the terms and condition set forth herein, be converted into, or exchanged for, an option with identical terms appropriately adjusted to acquire the number and class of shares or other securities or property that Grantee would have received in respect of Issuer Common Stock if the Option has been exercised immediately prior to such consolidation, merger, sale, or transfer, or the record date therefor, as applicable and make any necessary adjustments.</w:t>
      </w:r>
    </w:p>
    <w:p>
      <w:pPr>
        <w:spacing w:after="0" w:line="113" w:lineRule="exact"/>
        <w:rPr>
          <w:rFonts w:ascii="Courier New" w:cs="Courier New" w:eastAsia="Courier New" w:hAnsi="Courier New"/>
          <w:sz w:val="18"/>
          <w:szCs w:val="18"/>
          <w:color w:val="auto"/>
        </w:rPr>
      </w:pPr>
    </w:p>
    <w:p>
      <w:pPr>
        <w:ind w:left="-320" w:right="1779" w:firstLine="1904"/>
        <w:spacing w:after="0" w:line="253" w:lineRule="auto"/>
        <w:tabs>
          <w:tab w:leader="none" w:pos="1998" w:val="left"/>
        </w:tabs>
        <w:numPr>
          <w:ilvl w:val="0"/>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at any time during the period commencing on the occurrence of a Payment Event and ending on the termination of the Option in accordance with Section 2, Grantee sends to Issuer an Exercise Notice indicating Grantee's election to exercise its right (the "Cash-Out- Right") pursuant to this Section 7(c) then Issuer shall pay to Grantee, on the Option Closing Date, in exchange for the cancellation of the Option with respect to such number of Option Shares as Grantee specifies in the Exercise Notice, an amount in cash (the "Cash-Out-</w:t>
      </w:r>
    </w:p>
    <w:p>
      <w:pPr>
        <w:spacing w:after="0" w:line="1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9899"/>
          </w:cols>
          <w:pgMar w:left="560" w:top="285" w:right="1440" w:bottom="1440" w:gutter="0" w:footer="0" w:header="0"/>
        </w:sectPr>
      </w:pPr>
    </w:p>
    <w:bookmarkStart w:id="59" w:name="page60"/>
    <w:bookmarkEnd w:id="59"/>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Price") equal to the amount by which (A) the highest of (i) the price per share of Issuer Common Stock at which a tender offer or exchange offer therefor has been made, (ii) the highest price per share of Issuer Common Stock to be paid by any third-party pursuant to an agreement with the Issuer, (iii) the highest closing price within the six month period immediately preceding the Notice Date per share of Issuer Common Stock as reported on the NASDAQ National Market System (as reported in The Wall Street Journal (Northeast edition), or, if not reported thereby, any other authoritative source) and (iv) in the event of a sale of all or a substantial portion of Issuer's assets, the sum of the price paid in such sale for such assets and the current market value of the remaining assets of Issuer as determined by a nationally recognized investment banking firm selected by Grantee, and reasonably acceptable to Issuer, divided by the number of shares of Issuer Common Stock outstanding at the time of such sale exceeds (B) the Exercise Price multiplied by the number of shares for which this Option is then exercised. In determining the Cash-Out Price, the value of consideration other than cash shall be determined by a nationally recognized investment banking firm selected by Grantee and reasonably acceptable to Issuer. Grantee will cooperate with the valuation work of any investment banking firm selected pursuant to this Section 7(c). Notwithstanding the termination of the Option, Grantee will be entitled to exercise its rights under this Section 7(c) if it has exercised such rights in accordance with the terms hereof prior to the termination of the Option.</w:t>
      </w:r>
    </w:p>
    <w:p>
      <w:pPr>
        <w:spacing w:after="0" w:line="200" w:lineRule="exact"/>
        <w:rPr>
          <w:sz w:val="20"/>
          <w:szCs w:val="20"/>
          <w:color w:val="auto"/>
        </w:rPr>
      </w:pPr>
    </w:p>
    <w:p>
      <w:pPr>
        <w:spacing w:after="0" w:line="304" w:lineRule="exact"/>
        <w:rPr>
          <w:sz w:val="20"/>
          <w:szCs w:val="20"/>
          <w:color w:val="auto"/>
        </w:rPr>
      </w:pPr>
    </w:p>
    <w:p>
      <w:pPr>
        <w:ind w:right="1779" w:firstLine="1904"/>
        <w:spacing w:after="0" w:line="247" w:lineRule="auto"/>
        <w:tabs>
          <w:tab w:leader="none" w:pos="2212"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 (a) At any time and from time to time within three years of date hereof, Grantee may by written notice (a "Registration Notice") to Issuer request Issuer to register under the Securities Act all or part of any Issuer Common Stock acquired hereunder and beneficially owned by Grantee (collectively, the "Registrable Securities") in order to permit the sale or other disposition of such securities pursuant to, at the option of Grantee, (i) a shelf registration or (ii) a bona fide, firm commitment underwritten public offering in which Grantee shall have the right, including with respect to any takedown off the shelf, to select the managing underwriter, which shall be reasonably acceptable to Issuer, and shall effect as wide a distribution of such Registrable Securities as is reasonably practicable; provided, however, that any such Registration Notice must relate to a number of shares equal to at least 40% of the Option Shares.</w:t>
      </w:r>
    </w:p>
    <w:p>
      <w:pPr>
        <w:spacing w:after="0" w:line="108" w:lineRule="exact"/>
        <w:rPr>
          <w:sz w:val="20"/>
          <w:szCs w:val="20"/>
          <w:color w:val="auto"/>
        </w:rPr>
      </w:pPr>
    </w:p>
    <w:p>
      <w:pPr>
        <w:ind w:right="1779" w:firstLine="1904"/>
        <w:spacing w:after="0" w:line="279" w:lineRule="auto"/>
        <w:tabs>
          <w:tab w:leader="none" w:pos="2318" w:val="left"/>
        </w:tabs>
        <w:numPr>
          <w:ilvl w:val="0"/>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Issuer shall use reasonable best efforts to effect, as promptly as practicable, the registration under the Securities Act of the Registrable Securities requested to be registered in the Registration Notice and to keep such registration statement current; provided, however, that (i) Grantee shall not be entitled to more than an aggregate of two effective registration statements hereunder and (ii) Issuer will not be required to file any such registration statement during any period of time (not to exceed 60 days after a Registration Notice in the case of clause (A) below or 120 days after a Registration Notice in the case of clauses (B) and (C) below) when (A) Issuer is in possession of material non-public information which it reasonably believes would be detrimental to be disclosed at such time and, based upon the advice of outside securities counsel to Issuer, such information would have to be disclosed if a registration statement were filed at that time; (B) Issuer would be required under the Securities Act to prepare audited financial statements for any period in such registration statement; or (C) Issuer determines, in its</w:t>
      </w:r>
    </w:p>
    <w:p>
      <w:pPr>
        <w:spacing w:after="0" w:line="29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60" w:name="page61"/>
    <w:bookmarkEnd w:id="60"/>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right="1779"/>
        <w:spacing w:after="0" w:line="274" w:lineRule="auto"/>
        <w:rPr>
          <w:sz w:val="20"/>
          <w:szCs w:val="20"/>
          <w:color w:val="auto"/>
        </w:rPr>
      </w:pPr>
      <w:r>
        <w:rPr>
          <w:rFonts w:ascii="Courier New" w:cs="Courier New" w:eastAsia="Courier New" w:hAnsi="Courier New"/>
          <w:sz w:val="16"/>
          <w:szCs w:val="16"/>
          <w:color w:val="auto"/>
        </w:rPr>
        <w:t>reasonable judgment, that such registration would interfere with any financing, acquisition or other material transaction involving Issuer; provided that the filing of such registration statement may not be delayed more than an aggregate of 120 days after the Registration Notice. If the consummation of the sale of any Registrable Securities pursuant to a registration statement therefor does not occur, the provisions of this Section shall again be applicable to any proposed registration thereafter, it being understood that Grantee shall not be entitled to more than an aggregate of two effective registration statements hereunder. Issuer will use reasonable best efforts to cause each such registration statement to become effective, to obtain all consents or waivers of other parties which are required therefor, and to keep such registration statement effective for such period not in excess of 180 calendar days from the day such registration statement first becomes effective as may be reasonably necessary to effect such sale or other disposition. Issuer shall use reasonable best efforts to cause any Registrable Securities registered pursuant to this Section to be qualified for sale under the securities or blue sky laws of such jurisdictions as Grantee may reasonably request and shall continue such registration or qualification in effect in such jurisdictions; provided, however, that Issuer shall not be required to qualify to do business in, or consent to general service of process in, any jurisdiction.</w:t>
      </w:r>
    </w:p>
    <w:p>
      <w:pPr>
        <w:spacing w:after="0" w:line="200" w:lineRule="exact"/>
        <w:rPr>
          <w:sz w:val="20"/>
          <w:szCs w:val="20"/>
          <w:color w:val="auto"/>
        </w:rPr>
      </w:pPr>
    </w:p>
    <w:p>
      <w:pPr>
        <w:spacing w:after="0" w:line="297" w:lineRule="exact"/>
        <w:rPr>
          <w:sz w:val="20"/>
          <w:szCs w:val="20"/>
          <w:color w:val="auto"/>
        </w:rPr>
      </w:pPr>
    </w:p>
    <w:p>
      <w:pPr>
        <w:ind w:right="1779" w:firstLine="1904"/>
        <w:spacing w:after="0" w:line="246" w:lineRule="auto"/>
        <w:tabs>
          <w:tab w:leader="none" w:pos="231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Issuer effects a registration under the Securities Act of Issuer Common Stock for its own account or for any other stockholders of Issuer (other than on Form S-4 or Form S-8, or any successor form), it will allow Grantee the right to participate in such registration with its Registrable Securities, and such participation will not affect the obligation of Issuer to effect demand registration statements for Grantee under this Section 8, except that, if the managing underwriters of such offering advise Issuer in writing that in their opinion the number of shares of Issuer Common Stock requested to be included in such registration exceeds the number which can be sold in such offering, Issuer will include that portion of the shares requested to be included therein equal to the product obtained by multiplying (i) the number of shares which the underwriter has informed the Issuer can be included in the offering and (ii) the percentage obtained by dividing (x) the total number of shares of Issuer Common Stock held by Grantee and (y) the total number of shares of Issuer outstanding.</w:t>
      </w:r>
    </w:p>
    <w:p>
      <w:pPr>
        <w:spacing w:after="0" w:line="106" w:lineRule="exact"/>
        <w:rPr>
          <w:rFonts w:ascii="Courier New" w:cs="Courier New" w:eastAsia="Courier New" w:hAnsi="Courier New"/>
          <w:sz w:val="18"/>
          <w:szCs w:val="18"/>
          <w:color w:val="auto"/>
        </w:rPr>
      </w:pPr>
    </w:p>
    <w:p>
      <w:pPr>
        <w:ind w:right="1779" w:firstLine="1904"/>
        <w:spacing w:after="0" w:line="256" w:lineRule="auto"/>
        <w:tabs>
          <w:tab w:leader="none" w:pos="231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rights set forth in this Section are subject to the condition that Grantee shall provide Issuer with such information with respect to Grantee, the Registrable Securities, the plan for distribution thereof, and such other information with respect to Grantee as, in the reasonable judgment of counsel for Issuer, is necessary to enable Issuer to include in an registration statement all material facts required to be disclosed with respect to a registration hereunder.</w:t>
      </w:r>
    </w:p>
    <w:p>
      <w:pPr>
        <w:spacing w:after="0" w:line="98" w:lineRule="exact"/>
        <w:rPr>
          <w:rFonts w:ascii="Courier New" w:cs="Courier New" w:eastAsia="Courier New" w:hAnsi="Courier New"/>
          <w:sz w:val="18"/>
          <w:szCs w:val="18"/>
          <w:color w:val="auto"/>
        </w:rPr>
      </w:pPr>
    </w:p>
    <w:p>
      <w:pPr>
        <w:ind w:right="1879" w:firstLine="1904"/>
        <w:spacing w:after="0" w:line="256" w:lineRule="auto"/>
        <w:tabs>
          <w:tab w:leader="none" w:pos="2318"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registration effected under this Section shall be effected at Issuer's expense, except for underwriting discounts and commissions and the fees and expenses of Grantee's counsel, and Issuer shall provide to the underwriters such documentation as such underwriters may reasonably require. In connection with any registration, Grantee and Issuer agree to enter into an underwriting agreement reasonably acceptable to each such party, in form and substance customary for transactions of this type.</w:t>
      </w:r>
    </w:p>
    <w:p>
      <w:pPr>
        <w:spacing w:after="0" w:line="9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61" w:name="page62"/>
    <w:bookmarkEnd w:id="61"/>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right="1879" w:firstLine="1904"/>
        <w:spacing w:after="0" w:line="243" w:lineRule="auto"/>
        <w:tabs>
          <w:tab w:leader="none" w:pos="231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connection with a registration effected under this Section 8, Issuer shall indemnify and hold harmless Grantee, its affiliates and controlling persons and their respective officers, directors, agents and representatives from and against any and all losses, claims, damages, liabilities and expenses (including, without limitation, all out-of-pocket expenses, investigation expenses, expenses incurred with respect to any judgement and fees and disbursements of counsel and accountants) arising out of or based upon any statements contained in, or omissions or alleged omissions from, each registration statement (and related prospectus) filed pursuant to this Section 8; provided, however, that Issuer shall not be liable in any such proceeding to the extent such loss or expense arises out of or is based upon an untrue statement contained in, or omissions or alleged omission from, such registration statement or prospectus in reliance upon and in conformity with, written information furnished to Issuer specifically for use in the preparation thereof by Grantee.</w:t>
      </w:r>
    </w:p>
    <w:p>
      <w:pPr>
        <w:spacing w:after="0" w:line="112" w:lineRule="exact"/>
        <w:rPr>
          <w:rFonts w:ascii="Courier New" w:cs="Courier New" w:eastAsia="Courier New" w:hAnsi="Courier New"/>
          <w:sz w:val="18"/>
          <w:szCs w:val="18"/>
          <w:color w:val="auto"/>
        </w:rPr>
      </w:pPr>
    </w:p>
    <w:p>
      <w:pPr>
        <w:ind w:right="1779" w:firstLine="1904"/>
        <w:spacing w:after="0" w:line="281" w:lineRule="auto"/>
        <w:tabs>
          <w:tab w:leader="none" w:pos="231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 registration effected under this Section 8, Grantee shall indemnify and hold harmless Issuer, its affiliates and controlling persons, and their respective officers, directors, agents and representatives from and against any and all losses, claims, damages, liabilities and expenses (including, without limitation, all out-of-pocket expenses, investigation expenses, expenses incurred with respect to any judgement and fees and disbursement of counsel and accountants) arising out of or based upon any statements contained in, or omissions or alleged omissions from, each registration statement (and related prospectus) filed pursuant to this Section 8 that arises out of or is based upon an untrue statement contained in, or omission or alleged omission from, such registration statement or prospectus in reliance upon, and in conformity with, written information furnished to Issuer specifically for use in the preparation thereof by Grantee.</w:t>
      </w:r>
    </w:p>
    <w:p>
      <w:pPr>
        <w:spacing w:after="0" w:line="290" w:lineRule="exact"/>
        <w:rPr>
          <w:sz w:val="20"/>
          <w:szCs w:val="20"/>
          <w:color w:val="auto"/>
        </w:rPr>
      </w:pPr>
    </w:p>
    <w:p>
      <w:pPr>
        <w:ind w:right="1779" w:firstLine="1904"/>
        <w:spacing w:after="0" w:line="256" w:lineRule="auto"/>
        <w:tabs>
          <w:tab w:leader="none" w:pos="2212"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If Issuer Common Stock or any other securities to be acquired upon exercise of the Option are then listed on a national securities exchange or national securities quotation system, Issuer, upon the request of Grantee, will promptly file an application to list the shares of Issuer Common Stock on such national securities exchange or national securities quotation system and will use reasonable efforts to obtain approval of such listing as promptly as practicable.</w:t>
      </w:r>
    </w:p>
    <w:p>
      <w:pPr>
        <w:spacing w:after="0" w:line="98" w:lineRule="exact"/>
        <w:rPr>
          <w:rFonts w:ascii="Courier New" w:cs="Courier New" w:eastAsia="Courier New" w:hAnsi="Courier New"/>
          <w:sz w:val="18"/>
          <w:szCs w:val="18"/>
          <w:color w:val="auto"/>
        </w:rPr>
      </w:pPr>
    </w:p>
    <w:p>
      <w:pPr>
        <w:ind w:left="2860" w:hanging="956"/>
        <w:spacing w:after="0"/>
        <w:tabs>
          <w:tab w:leader="none" w:pos="2860"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Miscellaneous.</w:t>
      </w:r>
    </w:p>
    <w:p>
      <w:pPr>
        <w:spacing w:after="0" w:line="201" w:lineRule="exact"/>
        <w:rPr>
          <w:sz w:val="20"/>
          <w:szCs w:val="20"/>
          <w:color w:val="auto"/>
        </w:rPr>
      </w:pPr>
    </w:p>
    <w:p>
      <w:pPr>
        <w:ind w:right="1779" w:firstLine="1904"/>
        <w:spacing w:after="0" w:line="265" w:lineRule="auto"/>
        <w:tabs>
          <w:tab w:leader="none" w:pos="2318"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Expenses. Except as otherwise provided in the Merger Agreement, each of the parties hereto will pay all costs and expenses incurred by it or on its behalf in connection with the transactions contemplated hereunder, including fees and expenses of its own financial advisors, investment bankers, accountants and counsel.</w:t>
      </w:r>
    </w:p>
    <w:p>
      <w:pPr>
        <w:spacing w:after="0" w:line="89" w:lineRule="exact"/>
        <w:rPr>
          <w:rFonts w:ascii="Courier New" w:cs="Courier New" w:eastAsia="Courier New" w:hAnsi="Courier New"/>
          <w:sz w:val="18"/>
          <w:szCs w:val="18"/>
          <w:color w:val="auto"/>
        </w:rPr>
      </w:pPr>
    </w:p>
    <w:p>
      <w:pPr>
        <w:ind w:left="2320" w:hanging="416"/>
        <w:spacing w:after="0"/>
        <w:tabs>
          <w:tab w:leader="none" w:pos="2320" w:val="left"/>
        </w:tabs>
        <w:numPr>
          <w:ilvl w:val="0"/>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This Agreement may not be amended, except by an</w:t>
      </w:r>
    </w:p>
    <w:p>
      <w:pPr>
        <w:spacing w:after="0" w:line="53"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instrument in writing signed on behalf of each of the parties.</w:t>
      </w:r>
    </w:p>
    <w:p>
      <w:pPr>
        <w:spacing w:after="0" w:line="1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62" w:name="page63"/>
    <w:bookmarkEnd w:id="62"/>
    <w:p>
      <w:pPr>
        <w:ind w:left="312"/>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ind w:left="-8" w:right="1779" w:firstLine="1904"/>
        <w:spacing w:after="0" w:line="252" w:lineRule="auto"/>
        <w:tabs>
          <w:tab w:leader="none" w:pos="2310"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Extension; Waiver. Any agreement on the part of a party to waive any provision of this Agreement, or to extend the time for performance, will be valid only if set forth in an instrument in writing signed on behalf of such party. The failure of any party to this Agreement to assert any of its rights under this Agreement or otherwise will not constitute a waiver of such rights.</w:t>
      </w:r>
    </w:p>
    <w:p>
      <w:pPr>
        <w:spacing w:after="0" w:line="101" w:lineRule="exact"/>
        <w:rPr>
          <w:rFonts w:ascii="Courier New" w:cs="Courier New" w:eastAsia="Courier New" w:hAnsi="Courier New"/>
          <w:sz w:val="18"/>
          <w:szCs w:val="18"/>
          <w:color w:val="auto"/>
        </w:rPr>
      </w:pPr>
    </w:p>
    <w:p>
      <w:pPr>
        <w:ind w:left="-8" w:right="2099" w:firstLine="1904"/>
        <w:spacing w:after="0" w:line="278" w:lineRule="auto"/>
        <w:tabs>
          <w:tab w:leader="none" w:pos="2310" w:val="left"/>
        </w:tabs>
        <w:numPr>
          <w:ilvl w:val="1"/>
          <w:numId w:val="6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No Third-Party Beneficiaries. This Agreement and the Merger Agreement (i) constitute the entire agreement, and supersede all prior agreements and understandings, both written and oral, between the parties with respect to the subject matter of this Agreement, and</w:t>
      </w:r>
    </w:p>
    <w:p>
      <w:pPr>
        <w:spacing w:after="0" w:line="2" w:lineRule="exact"/>
        <w:rPr>
          <w:rFonts w:ascii="Courier New" w:cs="Courier New" w:eastAsia="Courier New" w:hAnsi="Courier New"/>
          <w:sz w:val="16"/>
          <w:szCs w:val="16"/>
          <w:color w:val="auto"/>
        </w:rPr>
      </w:pPr>
    </w:p>
    <w:p>
      <w:pPr>
        <w:ind w:left="-8" w:right="2419" w:firstLine="8"/>
        <w:spacing w:after="0" w:line="309" w:lineRule="auto"/>
        <w:tabs>
          <w:tab w:leader="none" w:pos="519"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are not intended to confer upon any person other than the parties any rights or remedies in respect of this Agreement.</w:t>
      </w:r>
    </w:p>
    <w:p>
      <w:pPr>
        <w:spacing w:after="0" w:line="50" w:lineRule="exact"/>
        <w:rPr>
          <w:rFonts w:ascii="Courier New" w:cs="Courier New" w:eastAsia="Courier New" w:hAnsi="Courier New"/>
          <w:sz w:val="18"/>
          <w:szCs w:val="18"/>
          <w:color w:val="auto"/>
        </w:rPr>
      </w:pPr>
    </w:p>
    <w:p>
      <w:pPr>
        <w:ind w:left="-8" w:right="1879" w:firstLine="1904"/>
        <w:spacing w:after="0" w:line="274" w:lineRule="auto"/>
        <w:tabs>
          <w:tab w:leader="none" w:pos="231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Counterparts. This Agreement may be executed in two or more counter parts, all of which shall be considered one and the same agreement and shall become effective when two or more counterparts have been signed by each of the parties and delivered to the other parties.</w:t>
      </w:r>
    </w:p>
    <w:p>
      <w:pPr>
        <w:spacing w:after="0" w:line="81" w:lineRule="exact"/>
        <w:rPr>
          <w:rFonts w:ascii="Courier New" w:cs="Courier New" w:eastAsia="Courier New" w:hAnsi="Courier New"/>
          <w:sz w:val="18"/>
          <w:szCs w:val="18"/>
          <w:color w:val="auto"/>
        </w:rPr>
      </w:pPr>
    </w:p>
    <w:p>
      <w:pPr>
        <w:ind w:left="-8" w:right="1999" w:firstLine="1904"/>
        <w:spacing w:after="0" w:line="274" w:lineRule="auto"/>
        <w:tabs>
          <w:tab w:leader="none" w:pos="2310" w:val="left"/>
        </w:tabs>
        <w:numPr>
          <w:ilvl w:val="1"/>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GOVERNING LAW. THIS AGREEMENT SHALL BE GOVERNED BY AND CONSTRUED IN ACCORDANCE WITH THE LAWS OF THE STATE OF DELAWARE WITHOUT GIVING EFFECT TO THE PRINCIPLES OF CONFLICTS OR CHOICE OF LAW THEREOF OR OF ANY OTHER JURISDICTION.</w:t>
      </w:r>
    </w:p>
    <w:p>
      <w:pPr>
        <w:spacing w:after="0" w:line="81" w:lineRule="exact"/>
        <w:rPr>
          <w:rFonts w:ascii="Courier New" w:cs="Courier New" w:eastAsia="Courier New" w:hAnsi="Courier New"/>
          <w:sz w:val="18"/>
          <w:szCs w:val="18"/>
          <w:color w:val="auto"/>
        </w:rPr>
      </w:pPr>
    </w:p>
    <w:p>
      <w:pPr>
        <w:ind w:left="-8" w:right="1879" w:firstLine="1904"/>
        <w:spacing w:after="0" w:line="318" w:lineRule="auto"/>
        <w:tabs>
          <w:tab w:leader="none" w:pos="2310" w:val="left"/>
        </w:tabs>
        <w:numPr>
          <w:ilvl w:val="1"/>
          <w:numId w:val="6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other communications hereunder shall be in writing and shall be deemed given upon receipt, and shall be given to the parties at the following addresses or telecopy numbers (or at such other address or telecopy number for a party as shall be specified by like notice):</w:t>
      </w:r>
    </w:p>
    <w:p>
      <w:pPr>
        <w:spacing w:after="0" w:line="52"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If to Grantee, to:</w:t>
      </w:r>
    </w:p>
    <w:p>
      <w:pPr>
        <w:spacing w:after="0" w:line="201"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Amdocs Limited</w:t>
      </w:r>
    </w:p>
    <w:p>
      <w:pPr>
        <w:spacing w:after="0" w:line="29"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c/o Amdocs, Inc.</w:t>
      </w:r>
    </w:p>
    <w:p>
      <w:pPr>
        <w:ind w:left="1892"/>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1892"/>
        <w:spacing w:after="0"/>
        <w:rPr>
          <w:sz w:val="20"/>
          <w:szCs w:val="20"/>
          <w:color w:val="auto"/>
        </w:rPr>
      </w:pPr>
      <w:r>
        <w:rPr>
          <w:rFonts w:ascii="Courier New" w:cs="Courier New" w:eastAsia="Courier New" w:hAnsi="Courier New"/>
          <w:sz w:val="18"/>
          <w:szCs w:val="18"/>
          <w:color w:val="auto"/>
        </w:rPr>
        <w:t>Chesterfield, Missouri 63017</w:t>
      </w:r>
    </w:p>
    <w:p>
      <w:pPr>
        <w:ind w:left="1892"/>
        <w:spacing w:after="0" w:line="238" w:lineRule="auto"/>
        <w:rPr>
          <w:sz w:val="20"/>
          <w:szCs w:val="20"/>
          <w:color w:val="auto"/>
        </w:rPr>
      </w:pPr>
      <w:r>
        <w:rPr>
          <w:rFonts w:ascii="Courier New" w:cs="Courier New" w:eastAsia="Courier New" w:hAnsi="Courier New"/>
          <w:sz w:val="18"/>
          <w:szCs w:val="18"/>
          <w:color w:val="auto"/>
        </w:rPr>
        <w:t>Attention: Thomas O'Brien</w:t>
      </w:r>
    </w:p>
    <w:p>
      <w:pPr>
        <w:ind w:left="1892"/>
        <w:spacing w:after="0"/>
        <w:rPr>
          <w:sz w:val="20"/>
          <w:szCs w:val="20"/>
          <w:color w:val="auto"/>
        </w:rPr>
      </w:pPr>
      <w:r>
        <w:rPr>
          <w:rFonts w:ascii="Courier New" w:cs="Courier New" w:eastAsia="Courier New" w:hAnsi="Courier New"/>
          <w:sz w:val="18"/>
          <w:szCs w:val="18"/>
          <w:color w:val="auto"/>
        </w:rPr>
        <w:t>Telecopy: (314) 212-8358</w:t>
      </w:r>
    </w:p>
    <w:p>
      <w:pPr>
        <w:spacing w:after="0" w:line="169"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Reboul, MacMurray, Hewitt, Maynard &amp; Kristol</w:t>
      </w:r>
    </w:p>
    <w:p>
      <w:pPr>
        <w:spacing w:after="0" w:line="29" w:lineRule="exact"/>
        <w:rPr>
          <w:sz w:val="20"/>
          <w:szCs w:val="20"/>
          <w:color w:val="auto"/>
        </w:rPr>
      </w:pPr>
    </w:p>
    <w:p>
      <w:pPr>
        <w:ind w:left="1892"/>
        <w:spacing w:after="0"/>
        <w:rPr>
          <w:sz w:val="20"/>
          <w:szCs w:val="20"/>
          <w:color w:val="auto"/>
        </w:rPr>
      </w:pPr>
      <w:r>
        <w:rPr>
          <w:rFonts w:ascii="Courier New" w:cs="Courier New" w:eastAsia="Courier New" w:hAnsi="Courier New"/>
          <w:sz w:val="18"/>
          <w:szCs w:val="18"/>
          <w:color w:val="auto"/>
        </w:rPr>
        <w:t>45 Rockefeller Plaza</w:t>
      </w:r>
    </w:p>
    <w:p>
      <w:pPr>
        <w:ind w:left="1892"/>
        <w:spacing w:after="0" w:line="238" w:lineRule="auto"/>
        <w:rPr>
          <w:sz w:val="20"/>
          <w:szCs w:val="20"/>
          <w:color w:val="auto"/>
        </w:rPr>
      </w:pPr>
      <w:r>
        <w:rPr>
          <w:rFonts w:ascii="Courier New" w:cs="Courier New" w:eastAsia="Courier New" w:hAnsi="Courier New"/>
          <w:sz w:val="18"/>
          <w:szCs w:val="18"/>
          <w:color w:val="auto"/>
        </w:rPr>
        <w:t>New York, New York 10111</w:t>
      </w:r>
    </w:p>
    <w:p>
      <w:pPr>
        <w:ind w:left="1892"/>
        <w:spacing w:after="0"/>
        <w:rPr>
          <w:sz w:val="20"/>
          <w:szCs w:val="20"/>
          <w:color w:val="auto"/>
        </w:rPr>
      </w:pPr>
      <w:r>
        <w:rPr>
          <w:rFonts w:ascii="Courier New" w:cs="Courier New" w:eastAsia="Courier New" w:hAnsi="Courier New"/>
          <w:sz w:val="18"/>
          <w:szCs w:val="18"/>
          <w:color w:val="auto"/>
        </w:rPr>
        <w:t>Attention: Robert A. Schwed, Esq.</w:t>
      </w:r>
    </w:p>
    <w:p>
      <w:pPr>
        <w:ind w:left="1892"/>
        <w:spacing w:after="0"/>
        <w:rPr>
          <w:sz w:val="20"/>
          <w:szCs w:val="20"/>
          <w:color w:val="auto"/>
        </w:rPr>
      </w:pPr>
      <w:r>
        <w:rPr>
          <w:rFonts w:ascii="Courier New" w:cs="Courier New" w:eastAsia="Courier New" w:hAnsi="Courier New"/>
          <w:sz w:val="18"/>
          <w:szCs w:val="18"/>
          <w:color w:val="auto"/>
        </w:rPr>
        <w:t>Telecopy: (212) 841-5725</w:t>
      </w:r>
    </w:p>
    <w:p>
      <w:pPr>
        <w:spacing w:after="0" w:line="169" w:lineRule="exact"/>
        <w:rPr>
          <w:sz w:val="20"/>
          <w:szCs w:val="20"/>
          <w:color w:val="auto"/>
        </w:rPr>
      </w:pPr>
    </w:p>
    <w:p>
      <w:pPr>
        <w:ind w:left="4112"/>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1"/>
          </w:cols>
          <w:pgMar w:left="248" w:top="285"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If to Issuer, to:</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International Telecommunication</w:t>
      </w:r>
    </w:p>
    <w:p>
      <w:pPr>
        <w:spacing w:after="0" w:line="29"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Data Systems, Inc.</w:t>
      </w:r>
    </w:p>
    <w:p>
      <w:pPr>
        <w:ind w:left="1580"/>
        <w:spacing w:after="0" w:line="238" w:lineRule="auto"/>
        <w:rPr>
          <w:sz w:val="20"/>
          <w:szCs w:val="20"/>
          <w:color w:val="auto"/>
        </w:rPr>
      </w:pPr>
      <w:r>
        <w:rPr>
          <w:rFonts w:ascii="Courier New" w:cs="Courier New" w:eastAsia="Courier New" w:hAnsi="Courier New"/>
          <w:sz w:val="18"/>
          <w:szCs w:val="18"/>
          <w:color w:val="auto"/>
        </w:rPr>
        <w:t>225 High Ridge Road</w:t>
      </w:r>
    </w:p>
    <w:p>
      <w:pPr>
        <w:ind w:left="1580"/>
        <w:spacing w:after="0"/>
        <w:rPr>
          <w:sz w:val="20"/>
          <w:szCs w:val="20"/>
          <w:color w:val="auto"/>
        </w:rPr>
      </w:pPr>
      <w:r>
        <w:rPr>
          <w:rFonts w:ascii="Courier New" w:cs="Courier New" w:eastAsia="Courier New" w:hAnsi="Courier New"/>
          <w:sz w:val="18"/>
          <w:szCs w:val="18"/>
          <w:color w:val="auto"/>
        </w:rPr>
        <w:t>Stamford, Connecticut 06905</w:t>
      </w:r>
    </w:p>
    <w:p>
      <w:pPr>
        <w:ind w:left="1580"/>
        <w:spacing w:after="0" w:line="238" w:lineRule="auto"/>
        <w:rPr>
          <w:sz w:val="20"/>
          <w:szCs w:val="20"/>
          <w:color w:val="auto"/>
        </w:rPr>
      </w:pPr>
      <w:r>
        <w:rPr>
          <w:rFonts w:ascii="Courier New" w:cs="Courier New" w:eastAsia="Courier New" w:hAnsi="Courier New"/>
          <w:sz w:val="18"/>
          <w:szCs w:val="18"/>
          <w:color w:val="auto"/>
        </w:rPr>
        <w:t>Attention: President</w:t>
      </w:r>
    </w:p>
    <w:p>
      <w:pPr>
        <w:ind w:left="1580"/>
        <w:spacing w:after="0"/>
        <w:rPr>
          <w:sz w:val="20"/>
          <w:szCs w:val="20"/>
          <w:color w:val="auto"/>
        </w:rPr>
      </w:pPr>
      <w:r>
        <w:rPr>
          <w:rFonts w:ascii="Courier New" w:cs="Courier New" w:eastAsia="Courier New" w:hAnsi="Courier New"/>
          <w:sz w:val="18"/>
          <w:szCs w:val="18"/>
          <w:color w:val="auto"/>
        </w:rPr>
        <w:t>Telecopy: (203) 323-1314</w:t>
      </w:r>
    </w:p>
    <w:p>
      <w:pPr>
        <w:spacing w:after="0" w:line="16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Hale and Dorr LLP</w:t>
      </w:r>
    </w:p>
    <w:p>
      <w:pPr>
        <w:spacing w:after="0" w:line="2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60 State Street</w:t>
      </w:r>
    </w:p>
    <w:p>
      <w:pPr>
        <w:ind w:left="1580"/>
        <w:spacing w:after="0" w:line="238" w:lineRule="auto"/>
        <w:rPr>
          <w:sz w:val="20"/>
          <w:szCs w:val="20"/>
          <w:color w:val="auto"/>
        </w:rPr>
      </w:pPr>
      <w:r>
        <w:rPr>
          <w:rFonts w:ascii="Courier New" w:cs="Courier New" w:eastAsia="Courier New" w:hAnsi="Courier New"/>
          <w:sz w:val="18"/>
          <w:szCs w:val="18"/>
          <w:color w:val="auto"/>
        </w:rPr>
        <w:t>Boston, Massachusetts</w:t>
      </w:r>
    </w:p>
    <w:p>
      <w:pPr>
        <w:ind w:left="1580"/>
        <w:spacing w:after="0"/>
        <w:tabs>
          <w:tab w:leader="none" w:pos="282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John H. Chory, Esq.</w:t>
      </w:r>
    </w:p>
    <w:p>
      <w:pPr>
        <w:ind w:left="1580"/>
        <w:spacing w:after="0"/>
        <w:rPr>
          <w:sz w:val="20"/>
          <w:szCs w:val="20"/>
          <w:color w:val="auto"/>
        </w:rPr>
      </w:pPr>
      <w:r>
        <w:rPr>
          <w:rFonts w:ascii="Courier New" w:cs="Courier New" w:eastAsia="Courier New" w:hAnsi="Courier New"/>
          <w:sz w:val="18"/>
          <w:szCs w:val="18"/>
          <w:color w:val="auto"/>
        </w:rPr>
        <w:t>Telecopy: (617) 526-5000</w:t>
      </w:r>
    </w:p>
    <w:p>
      <w:pPr>
        <w:spacing w:after="0" w:line="169" w:lineRule="exact"/>
        <w:rPr>
          <w:sz w:val="20"/>
          <w:szCs w:val="20"/>
          <w:color w:val="auto"/>
        </w:rPr>
      </w:pPr>
    </w:p>
    <w:p>
      <w:pPr>
        <w:ind w:left="-320" w:right="1999" w:firstLine="1904"/>
        <w:spacing w:after="0" w:line="256" w:lineRule="auto"/>
        <w:tabs>
          <w:tab w:leader="none" w:pos="199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Except as set forth herein, neither this Agreement, the Option nor any of the rights, interests, or obligations under this Agreement may be assigned, transferred or delegated, in whole or in part, by operation of law or otherwise, by Issuer without the consent of Grantee. Subject to the first sentence of this Section 11(h), this Agreement will be binding upon, inure to the benefit of, and be enforceable by, the parties and their respective successors and assigns.</w:t>
      </w:r>
    </w:p>
    <w:p>
      <w:pPr>
        <w:spacing w:after="0" w:line="98" w:lineRule="exact"/>
        <w:rPr>
          <w:rFonts w:ascii="Courier New" w:cs="Courier New" w:eastAsia="Courier New" w:hAnsi="Courier New"/>
          <w:sz w:val="18"/>
          <w:szCs w:val="18"/>
          <w:color w:val="auto"/>
        </w:rPr>
      </w:pPr>
    </w:p>
    <w:p>
      <w:pPr>
        <w:ind w:left="-320" w:right="1779" w:firstLine="1904"/>
        <w:spacing w:after="0" w:line="318" w:lineRule="auto"/>
        <w:tabs>
          <w:tab w:leader="none" w:pos="1998"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Further Assurances. In the event of any exercise of the Option by Grantee, Issuer and Grantee will execute and deliver all other documents and instruments and take all other action that may be reasonably necessary in order to consummate the transactions provided for by such exercise.</w:t>
      </w:r>
    </w:p>
    <w:p>
      <w:pPr>
        <w:spacing w:after="0" w:line="52" w:lineRule="exact"/>
        <w:rPr>
          <w:rFonts w:ascii="Courier New" w:cs="Courier New" w:eastAsia="Courier New" w:hAnsi="Courier New"/>
          <w:sz w:val="16"/>
          <w:szCs w:val="16"/>
          <w:color w:val="auto"/>
        </w:rPr>
      </w:pPr>
    </w:p>
    <w:p>
      <w:pPr>
        <w:ind w:left="-320" w:right="1779" w:firstLine="1904"/>
        <w:spacing w:after="0" w:line="248" w:lineRule="auto"/>
        <w:tabs>
          <w:tab w:leader="none" w:pos="1998"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ENFORCEMENT.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 COURT, THIS BEING IN ADDITION TO ANY OTHER REMEDY TO WHICH THEY ARE ENTITLED AT LAW OR IN EQUITY. IN ADDITION, EACH OF THE PARTIES HERETO (I) CONSENTS TO SUBMIT ITSELF TO THE PERSONAL JURISDICTION OF ANY FEDERAL COURT LOCATED IN THE STATE OF NEW YORK OR ANY NEW YORK STATE COURT IN THE EVENT ANY DISPUTE ARISES OUT OF THIS AGREEMENT OR ANY OF THE TRANSACTIONS, (II) AGREES THAT IT WILL NOT ATTEMPT TO DENY OR</w:t>
      </w:r>
    </w:p>
    <w:p>
      <w:pPr>
        <w:spacing w:after="0" w:line="200" w:lineRule="exact"/>
        <w:rPr>
          <w:sz w:val="20"/>
          <w:szCs w:val="20"/>
          <w:color w:val="auto"/>
        </w:rPr>
      </w:pPr>
    </w:p>
    <w:p>
      <w:pPr>
        <w:spacing w:after="0" w:line="310"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9899"/>
          </w:cols>
          <w:pgMar w:left="560" w:top="285" w:right="1440" w:bottom="1440" w:gutter="0" w:footer="0" w:header="0"/>
        </w:sectPr>
      </w:pPr>
    </w:p>
    <w:bookmarkStart w:id="64" w:name="page65"/>
    <w:bookmarkEnd w:id="64"/>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ind w:right="1879"/>
        <w:spacing w:after="0" w:line="262" w:lineRule="auto"/>
        <w:rPr>
          <w:sz w:val="20"/>
          <w:szCs w:val="20"/>
          <w:color w:val="auto"/>
        </w:rPr>
      </w:pPr>
      <w:r>
        <w:rPr>
          <w:rFonts w:ascii="Courier New" w:cs="Courier New" w:eastAsia="Courier New" w:hAnsi="Courier New"/>
          <w:sz w:val="18"/>
          <w:szCs w:val="18"/>
          <w:color w:val="auto"/>
        </w:rPr>
        <w:t>DEFEAT SUCH PERSONAL JURISDICTION BY MOTION OR OTHER REQUEST FOR LEAVE FROM ANY SUCH COURT AND (III) AGREES THAT IT WILL NOT BRING ANY ACTION RELATING TO THIS AGREEMENT OR ANY OF THE TRANSACTIONS IN ANY COURT OTHER THAN A FEDERAL OR STATE COURT SITTING IN THE STATE OF NEW YORK.</w:t>
      </w:r>
    </w:p>
    <w:p>
      <w:pPr>
        <w:spacing w:after="0" w:line="9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65" w:name="page66"/>
    <w:bookmarkEnd w:id="65"/>
    <w:p>
      <w:pPr>
        <w:ind w:left="320"/>
        <w:spacing w:after="0"/>
        <w:rPr>
          <w:sz w:val="20"/>
          <w:szCs w:val="20"/>
          <w:color w:val="auto"/>
        </w:rPr>
      </w:pPr>
      <w:r>
        <w:rPr>
          <w:rFonts w:ascii="Courier New" w:cs="Courier New" w:eastAsia="Courier New" w:hAnsi="Courier New"/>
          <w:sz w:val="18"/>
          <w:szCs w:val="18"/>
          <w:color w:val="auto"/>
        </w:rPr>
        <w:t>12</w:t>
      </w:r>
    </w:p>
    <w:p>
      <w:pPr>
        <w:spacing w:after="0" w:line="200" w:lineRule="exact"/>
        <w:rPr>
          <w:sz w:val="20"/>
          <w:szCs w:val="20"/>
          <w:color w:val="auto"/>
        </w:rPr>
      </w:pPr>
    </w:p>
    <w:p>
      <w:pPr>
        <w:spacing w:after="0" w:line="204" w:lineRule="exact"/>
        <w:rPr>
          <w:sz w:val="20"/>
          <w:szCs w:val="20"/>
          <w:color w:val="auto"/>
        </w:rPr>
      </w:pPr>
    </w:p>
    <w:p>
      <w:pPr>
        <w:ind w:right="1779" w:firstLine="1896"/>
        <w:spacing w:after="0" w:line="292" w:lineRule="auto"/>
        <w:rPr>
          <w:sz w:val="20"/>
          <w:szCs w:val="20"/>
          <w:color w:val="auto"/>
        </w:rPr>
      </w:pPr>
      <w:r>
        <w:rPr>
          <w:rFonts w:ascii="Courier New" w:cs="Courier New" w:eastAsia="Courier New" w:hAnsi="Courier New"/>
          <w:sz w:val="18"/>
          <w:szCs w:val="18"/>
          <w:color w:val="auto"/>
        </w:rPr>
        <w:t>IN WITNESS WHEREOF, Issuer and Grantee have caused this Agreement to be signed by their respective officers thereunto duly authorized as of the day and year first written above.</w:t>
      </w:r>
    </w:p>
    <w:p>
      <w:pPr>
        <w:spacing w:after="0" w:line="26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INTERNATIONAL TELECOMMUNICATION</w:t>
      </w:r>
    </w:p>
    <w:p>
      <w:pPr>
        <w:spacing w:after="0" w:line="31" w:lineRule="exact"/>
        <w:rPr>
          <w:sz w:val="20"/>
          <w:szCs w:val="20"/>
          <w:color w:val="auto"/>
        </w:rPr>
      </w:pPr>
    </w:p>
    <w:p>
      <w:pPr>
        <w:ind w:left="4440"/>
        <w:spacing w:after="0"/>
        <w:rPr>
          <w:sz w:val="20"/>
          <w:szCs w:val="20"/>
          <w:color w:val="auto"/>
        </w:rPr>
      </w:pPr>
      <w:r>
        <w:rPr>
          <w:rFonts w:ascii="Courier New" w:cs="Courier New" w:eastAsia="Courier New" w:hAnsi="Courier New"/>
          <w:sz w:val="18"/>
          <w:szCs w:val="18"/>
          <w:color w:val="auto"/>
        </w:rPr>
        <w:t>DATA SYSTEMS, INC.</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PETER P. BASSERMANN</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Peter P. Bassermann</w:t>
      </w:r>
    </w:p>
    <w:p>
      <w:pPr>
        <w:ind w:left="4740"/>
        <w:spacing w:after="0"/>
        <w:rPr>
          <w:sz w:val="20"/>
          <w:szCs w:val="20"/>
          <w:color w:val="auto"/>
        </w:rPr>
      </w:pPr>
      <w:r>
        <w:rPr>
          <w:rFonts w:ascii="Courier New" w:cs="Courier New" w:eastAsia="Courier New" w:hAnsi="Courier New"/>
          <w:sz w:val="18"/>
          <w:szCs w:val="18"/>
          <w:color w:val="auto"/>
        </w:rPr>
        <w:t>Title: President and CEO</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By: /s/ THOMAS O'BRIEN</w:t>
      </w:r>
    </w:p>
    <w:p>
      <w:pPr>
        <w:spacing w:after="0" w:line="29"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Name: Thomas O'Brien</w:t>
      </w:r>
    </w:p>
    <w:p>
      <w:pPr>
        <w:ind w:left="4740"/>
        <w:spacing w:after="0"/>
        <w:rPr>
          <w:sz w:val="20"/>
          <w:szCs w:val="20"/>
          <w:color w:val="auto"/>
        </w:rPr>
      </w:pPr>
      <w:r>
        <w:rPr>
          <w:rFonts w:ascii="Courier New" w:cs="Courier New" w:eastAsia="Courier New" w:hAnsi="Courier New"/>
          <w:sz w:val="18"/>
          <w:szCs w:val="18"/>
          <w:color w:val="auto"/>
        </w:rPr>
        <w:t>Title: Treasurer and Secretary</w:t>
      </w:r>
    </w:p>
    <w:p>
      <w:pPr>
        <w:spacing w:after="0" w:line="200" w:lineRule="exact"/>
        <w:rPr>
          <w:sz w:val="20"/>
          <w:szCs w:val="20"/>
          <w:color w:val="auto"/>
        </w:rPr>
      </w:pPr>
    </w:p>
    <w:p>
      <w:pPr>
        <w:spacing w:after="0" w:line="37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66" w:name="page67"/>
    <w:bookmarkEnd w:id="66"/>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VOTING AGREEMENT</w:t>
      </w:r>
    </w:p>
    <w:p>
      <w:pPr>
        <w:spacing w:after="0" w:line="169" w:lineRule="exact"/>
        <w:rPr>
          <w:sz w:val="20"/>
          <w:szCs w:val="20"/>
          <w:color w:val="auto"/>
        </w:rPr>
      </w:pPr>
    </w:p>
    <w:p>
      <w:pPr>
        <w:ind w:right="1879" w:firstLine="1896"/>
        <w:spacing w:after="0" w:line="344" w:lineRule="auto"/>
        <w:rPr>
          <w:sz w:val="20"/>
          <w:szCs w:val="20"/>
          <w:color w:val="auto"/>
        </w:rPr>
      </w:pPr>
      <w:r>
        <w:rPr>
          <w:rFonts w:ascii="Courier New" w:cs="Courier New" w:eastAsia="Courier New" w:hAnsi="Courier New"/>
          <w:sz w:val="16"/>
          <w:szCs w:val="16"/>
          <w:color w:val="auto"/>
        </w:rPr>
        <w:t>This VOTING AGREEMENT, dated as of September 3, 1999, is made and entered into among AMDOCS LIMITED, a company organized under the laws of Guernsey, Channel Islands ("Parent"), Sandra Bakes (the "Stockholder"):</w:t>
      </w:r>
    </w:p>
    <w:p>
      <w:pPr>
        <w:spacing w:after="0" w:line="31" w:lineRule="exact"/>
        <w:rPr>
          <w:sz w:val="20"/>
          <w:szCs w:val="20"/>
          <w:color w:val="auto"/>
        </w:rPr>
      </w:pPr>
    </w:p>
    <w:p>
      <w:pPr>
        <w:ind w:right="1879" w:firstLine="1896"/>
        <w:spacing w:after="0" w:line="256" w:lineRule="auto"/>
        <w:rPr>
          <w:sz w:val="20"/>
          <w:szCs w:val="20"/>
          <w:color w:val="auto"/>
        </w:rPr>
      </w:pPr>
      <w:r>
        <w:rPr>
          <w:rFonts w:ascii="Courier New" w:cs="Courier New" w:eastAsia="Courier New" w:hAnsi="Courier New"/>
          <w:sz w:val="18"/>
          <w:szCs w:val="18"/>
          <w:color w:val="auto"/>
        </w:rPr>
        <w:t>WHEREAS, Parent, Ivan Acquisition Corp., a Delaware corporation and a wholly-owned subsidiary of Parent ("Acquisition"), and International Telecommunication Data Systems, Inc., a Delaware corporation (the "Company"), propose to enter into an Agreement and Plan of Merger, dated as of the date hereof (the "Merger Agreement"), pursuant to which Acquisition will merge with and into the Company (the "Merger"), on the terms and subject to the conditions set forth in the Merger Agreement; and</w:t>
      </w:r>
    </w:p>
    <w:p>
      <w:pPr>
        <w:spacing w:after="0" w:line="98"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6"/>
          <w:szCs w:val="16"/>
          <w:color w:val="auto"/>
        </w:rPr>
        <w:t>WHEREAS, as of the date hereof, the Stockholder beneficially owns and is entitled to dispose of (or to direct the disposition of) and to vote (or to direct the voting of) the number of shares of Common Stock, $0.01 par value, of the Company ("Common Stock") set forth opposite such Stockholder's name on Schedule A hereto (such shares of Common Stock, together with any other shares of capital stock of the Company acquired by such Stockholder during the period from and including the date hereof through and including the earlier of</w:t>
      </w:r>
    </w:p>
    <w:p>
      <w:pPr>
        <w:ind w:left="420" w:hanging="412"/>
        <w:spacing w:after="0"/>
        <w:tabs>
          <w:tab w:leader="none" w:pos="420"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Effective Time (as such term is defined in the Merger Agreement) and</w:t>
      </w:r>
    </w:p>
    <w:p>
      <w:pPr>
        <w:ind w:right="2319" w:firstLine="8"/>
        <w:spacing w:after="0" w:line="309" w:lineRule="auto"/>
        <w:tabs>
          <w:tab w:leader="none" w:pos="527" w:val="left"/>
        </w:tabs>
        <w:numPr>
          <w:ilvl w:val="0"/>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first anniversary of the date hereof, are collectively referred to herein as such Stockholder's "Subject Shares"); and</w:t>
      </w:r>
    </w:p>
    <w:p>
      <w:pPr>
        <w:spacing w:after="0" w:line="5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WHEREAS, the Stockholder may be deemed an "affiliate" of the Company within the meaning of Rule 145 ("Rule 145") promulgated under the Securities Act of 1933, as amended (the "Securities Act"), by the Securities and Exchange Commission (the "SEC"); and</w:t>
      </w:r>
    </w:p>
    <w:p>
      <w:pPr>
        <w:spacing w:after="0" w:line="82" w:lineRule="exact"/>
        <w:rPr>
          <w:sz w:val="20"/>
          <w:szCs w:val="20"/>
          <w:color w:val="auto"/>
        </w:rPr>
      </w:pPr>
    </w:p>
    <w:p>
      <w:pPr>
        <w:ind w:right="1779" w:firstLine="1896"/>
        <w:spacing w:after="0" w:line="344" w:lineRule="auto"/>
        <w:rPr>
          <w:sz w:val="20"/>
          <w:szCs w:val="20"/>
          <w:color w:val="auto"/>
        </w:rPr>
      </w:pPr>
      <w:r>
        <w:rPr>
          <w:rFonts w:ascii="Courier New" w:cs="Courier New" w:eastAsia="Courier New" w:hAnsi="Courier New"/>
          <w:sz w:val="16"/>
          <w:szCs w:val="16"/>
          <w:color w:val="auto"/>
        </w:rPr>
        <w:t>WHEREAS, as a condition and inducement to Parent's willingness to enter into the Merger Agreement, Parent has requested that the Stockholder agree, and the Stockholder has agreed, to enter into this Agreement;</w:t>
      </w:r>
    </w:p>
    <w:p>
      <w:pPr>
        <w:spacing w:after="0" w:line="31" w:lineRule="exact"/>
        <w:rPr>
          <w:sz w:val="20"/>
          <w:szCs w:val="20"/>
          <w:color w:val="auto"/>
        </w:rPr>
      </w:pPr>
    </w:p>
    <w:p>
      <w:pPr>
        <w:ind w:right="2319" w:firstLine="1896"/>
        <w:spacing w:after="0" w:line="292" w:lineRule="auto"/>
        <w:rPr>
          <w:sz w:val="20"/>
          <w:szCs w:val="20"/>
          <w:color w:val="auto"/>
        </w:rPr>
      </w:pPr>
      <w:r>
        <w:rPr>
          <w:rFonts w:ascii="Courier New" w:cs="Courier New" w:eastAsia="Courier New" w:hAnsi="Courier New"/>
          <w:sz w:val="18"/>
          <w:szCs w:val="18"/>
          <w:color w:val="auto"/>
        </w:rPr>
        <w:t>NOW, THEREFORE, in consideration of the foregoing and the representations, warranties and covenants contained in this Agreement, the parties hereto hereby agree as follows:</w:t>
      </w:r>
    </w:p>
    <w:p>
      <w:pPr>
        <w:spacing w:after="0" w:line="269"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right="1779" w:firstLine="1896"/>
        <w:spacing w:after="0" w:line="298" w:lineRule="auto"/>
        <w:rPr>
          <w:sz w:val="20"/>
          <w:szCs w:val="20"/>
          <w:color w:val="auto"/>
        </w:rPr>
      </w:pPr>
      <w:r>
        <w:rPr>
          <w:rFonts w:ascii="Courier New" w:cs="Courier New" w:eastAsia="Courier New" w:hAnsi="Courier New"/>
          <w:sz w:val="16"/>
          <w:szCs w:val="16"/>
          <w:color w:val="auto"/>
        </w:rPr>
        <w:t>Section 1.1 Agreement to Vote Shares. At any meeting of the stockholders of the Company called to consider and vote upon the adoption of the Merger Agreement (and at any and all postponements and adjournments thereto, and in connection with any action to be taken in respect of the adoption of the Merger Agreement by written consent of the stockholders of the Company, the Stockholder shall vote or cause to be voted (including by written consent, if</w:t>
      </w:r>
    </w:p>
    <w:p>
      <w:pPr>
        <w:sectPr>
          <w:pgSz w:w="11900" w:h="16838" w:orient="portrait"/>
          <w:cols w:equalWidth="0" w:num="1">
            <w:col w:w="10219"/>
          </w:cols>
          <w:pgMar w:left="240" w:top="110" w:right="1440" w:bottom="1440" w:gutter="0" w:footer="0" w:header="0"/>
        </w:sectPr>
      </w:pPr>
    </w:p>
    <w:bookmarkStart w:id="67" w:name="page68"/>
    <w:bookmarkEnd w:id="67"/>
    <w:p>
      <w:pPr>
        <w:ind w:left="320"/>
        <w:spacing w:after="0"/>
        <w:rPr>
          <w:sz w:val="20"/>
          <w:szCs w:val="20"/>
          <w:color w:val="auto"/>
        </w:rPr>
      </w:pPr>
      <w:r>
        <w:rPr>
          <w:rFonts w:ascii="Courier New" w:cs="Courier New" w:eastAsia="Courier New" w:hAnsi="Courier New"/>
          <w:sz w:val="18"/>
          <w:szCs w:val="18"/>
          <w:color w:val="auto"/>
        </w:rPr>
        <w:t>2</w:t>
      </w:r>
    </w:p>
    <w:p>
      <w:pPr>
        <w:spacing w:after="0" w:line="3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applicable) all of such Stockholder's Subject Shares in favor of the adoption of the Merger Agreement and in favor of any other matter necessary for the consummation of the transactions contemplated by the Merger Agreement and considered and voted upon at such meeting or made the subject of such written consent, as applicable. At any meeting of the stockholders of the Company called to consider and vote upon any Alternative Transaction (as such term is defined in the Merger Agreement), and at any and all postponements and adjournments thereof, and in connection with any action to be taken in respect of any Alternative Transaction by written consent of the stockholders of the Company, each Stockholder shall vote or cause to be voted (including by written consent, if applicable) all of such Stockholder's Subject Shares against such Alternative Transaction.</w:t>
      </w:r>
    </w:p>
    <w:p>
      <w:pPr>
        <w:spacing w:after="0" w:line="114" w:lineRule="exact"/>
        <w:rPr>
          <w:sz w:val="20"/>
          <w:szCs w:val="20"/>
          <w:color w:val="auto"/>
        </w:rPr>
      </w:pPr>
    </w:p>
    <w:p>
      <w:pPr>
        <w:ind w:left="1900"/>
        <w:spacing w:after="0"/>
        <w:tabs>
          <w:tab w:leader="none" w:pos="326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6"/>
          <w:szCs w:val="16"/>
          <w:color w:val="auto"/>
        </w:rPr>
        <w:t>Irrevocable Proxy.</w:t>
      </w:r>
    </w:p>
    <w:p>
      <w:pPr>
        <w:spacing w:after="0" w:line="201" w:lineRule="exact"/>
        <w:rPr>
          <w:sz w:val="20"/>
          <w:szCs w:val="20"/>
          <w:color w:val="auto"/>
        </w:rPr>
      </w:pPr>
    </w:p>
    <w:p>
      <w:pPr>
        <w:ind w:right="1779" w:firstLine="1904"/>
        <w:spacing w:after="0" w:line="282" w:lineRule="auto"/>
        <w:tabs>
          <w:tab w:leader="none" w:pos="2318"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Grant of Proxy. THE STOCKHOLDER HEREBY APPOINTS PARENT AND ANY DESIGNEE OF PARENT, EACH OF THEM INDIVIDUALLY, SUCH STOCKHOLDER'S PROXY AND ATTORNEY-IN-FACT PURSUANT TO THE PROVISIONS OF SECTION 212 OF THE DELAWARE GENERAL CORPORATION LAW, WITH FULL POWER OF SUBSTITUTION AND RESUBSTITUTION, TO VOTE OR ACT BY WRITTEN CONSENT WITH RESPECT TO SUCH STOCKHOLDER'S SUBJECT SHARES IN ACCORDANCE WITH SECTION 1.1 HEREOF. THIS PROXY IS GIVEN TO SECURE THE PERFORMANCE OF THE DUTIES OF SUCH STOCKHOLDER UNDER THIS AGREEMENT. THE STOCKHOLDER AFFIRMS THAT THIS PROXY IS COUPLED WITH AN INTEREST AND SHALL BE IRREVOCABLE. THIS PROXY SHALL REMAIN IN EFFECT THROUGH AND INCLUDING THE EARLIER OF (A) THE EFFECTIVE TIME AND (B) SIXTY DAYS AFTER THE TERMINATION OF THE MERGER AGREEMENT. THE STOCKHOLDER SHALL TAKE SUCH OTHER ACTION OR EXECUTE SUCH OTHER INSTRUMENTS AS MAY BE NECESSARY TO EFFECTUATE THE INTENT OF THIS PROXY.</w:t>
      </w:r>
    </w:p>
    <w:p>
      <w:pPr>
        <w:spacing w:after="0" w:line="77" w:lineRule="exact"/>
        <w:rPr>
          <w:rFonts w:ascii="Courier New" w:cs="Courier New" w:eastAsia="Courier New" w:hAnsi="Courier New"/>
          <w:sz w:val="16"/>
          <w:szCs w:val="16"/>
          <w:color w:val="auto"/>
        </w:rPr>
      </w:pPr>
    </w:p>
    <w:p>
      <w:pPr>
        <w:jc w:val="both"/>
        <w:ind w:right="1779" w:firstLine="1904"/>
        <w:spacing w:after="0" w:line="292" w:lineRule="auto"/>
        <w:tabs>
          <w:tab w:leader="none" w:pos="231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Proxies Revoked. The Stockholder represents that any proxies heretofore given in respect of such Stockholder's Subject Shares are not irrevocable, and that all such proxies are hereby revoked.</w:t>
      </w:r>
    </w:p>
    <w:p>
      <w:pPr>
        <w:spacing w:after="0" w:line="6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Section 2.1 Grant of Option. The Stockholder hereby grants to Parent an irrevocable option (the "Option") to purchase such Stockholder's Subject Shares on the terms and subject to the conditions set forth herein, in exchange for the number of Ordinary Shares, pound sterling0.01 par value, of Parent ("Parent Ordinary Shares") equal to the product of (a) the Exchange Ratio (as such term is defined in the Merger Agreement), and (b) the number of Subject Shares to be purchased upon any particular exercise of such Option (such product being the "Option Consideration"), with the type and number of shares, securities or other property subject to the Option, and the Option Consideration payable therefor, being subject to adjustment as provided</w:t>
      </w:r>
    </w:p>
    <w:p>
      <w:pPr>
        <w:spacing w:after="0" w:line="307"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68" w:name="page69"/>
    <w:bookmarkEnd w:id="68"/>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right="1879"/>
        <w:spacing w:after="0" w:line="246" w:lineRule="auto"/>
        <w:rPr>
          <w:sz w:val="20"/>
          <w:szCs w:val="20"/>
          <w:color w:val="auto"/>
        </w:rPr>
      </w:pPr>
      <w:r>
        <w:rPr>
          <w:rFonts w:ascii="Courier New" w:cs="Courier New" w:eastAsia="Courier New" w:hAnsi="Courier New"/>
          <w:sz w:val="18"/>
          <w:szCs w:val="18"/>
          <w:color w:val="auto"/>
        </w:rPr>
        <w:t>herein. For purposes of this Agreement, the "Pre-Closing Average Price" used to determine the Exchange Ratio shall be determined on the basis of the average of the closing prices per Parent Ordinary Share during the ten consecutive trading days ending on the second trading day prior to the Option Closing (as hereinafter defined). In the event that the grant or exercise of the Option shall result in liability to the Stockholder under Section 16(b) of the Securities Exchange Act of 1934, as amended, Parent shall hold such stockholder harmless for such liability (on an after-tax basis), subject to accuracy of the information previously provided to Parent concerning recent stock transactions by the Stockholder.</w:t>
      </w:r>
    </w:p>
    <w:p>
      <w:pPr>
        <w:spacing w:after="0" w:line="106" w:lineRule="exact"/>
        <w:rPr>
          <w:sz w:val="20"/>
          <w:szCs w:val="20"/>
          <w:color w:val="auto"/>
        </w:rPr>
      </w:pPr>
    </w:p>
    <w:p>
      <w:pPr>
        <w:ind w:right="1779" w:firstLine="1896"/>
        <w:spacing w:after="0" w:line="247" w:lineRule="auto"/>
        <w:rPr>
          <w:sz w:val="20"/>
          <w:szCs w:val="20"/>
          <w:color w:val="auto"/>
        </w:rPr>
      </w:pPr>
      <w:r>
        <w:rPr>
          <w:rFonts w:ascii="Courier New" w:cs="Courier New" w:eastAsia="Courier New" w:hAnsi="Courier New"/>
          <w:sz w:val="18"/>
          <w:szCs w:val="18"/>
          <w:color w:val="auto"/>
        </w:rPr>
        <w:t>Section 2.2 Exercise of Option. Parent may exercise all or any of the Option, in whole or in part, at any time or from time to time during the period (the "Option Period") from and including the date hereof through and including the earlier of (i) the Effective Time and (ii) sixty days after the termination of the Merger Agreement. The purchase of any Subject Shares upon exercise of an Option shall be subject to compliance with the HSR Act (as such term is defined in the Merger Agreement), to the extent that the HSR Act is applicable to such purchase. Notwithstanding the expiration of the Option Period, Parent shall be entitled to purchase all Subject Shares in respect of which an Option shall have been exercised prior to the expiration of the Option Period, and the expiration of the Option Period shall not affect any rights hereunder which by their terms do not terminate or expire prior to or as of such expiration.</w:t>
      </w:r>
    </w:p>
    <w:p>
      <w:pPr>
        <w:spacing w:after="0" w:line="108" w:lineRule="exact"/>
        <w:rPr>
          <w:sz w:val="20"/>
          <w:szCs w:val="20"/>
          <w:color w:val="auto"/>
        </w:rPr>
      </w:pPr>
    </w:p>
    <w:p>
      <w:pPr>
        <w:ind w:right="1779" w:firstLine="1896"/>
        <w:spacing w:after="0" w:line="275" w:lineRule="auto"/>
        <w:rPr>
          <w:sz w:val="20"/>
          <w:szCs w:val="20"/>
          <w:color w:val="auto"/>
        </w:rPr>
      </w:pPr>
      <w:r>
        <w:rPr>
          <w:rFonts w:ascii="Courier New" w:cs="Courier New" w:eastAsia="Courier New" w:hAnsi="Courier New"/>
          <w:sz w:val="16"/>
          <w:szCs w:val="16"/>
          <w:color w:val="auto"/>
        </w:rPr>
        <w:t>If Parent wishes to exercise an Option, it shall deliver to the Stockholder (the "Selling Stockholder") a written notice to that effect which specifies (i) the number of Subject Shares to be purchased from such Selling Stockholder and (ii) a date not earlier than three business days nor later than 20 business days from the date such notice is delivered for the consummation of the purchase and sale of such Subject Shares (the "Option Closing Date"); provided, however, that (x) if the consummation of the purchase and sale of such Subject Shares (the "Option Closing") cannot be effected by reason of any applicable judgment, decree, order, law or regulation, the period of time that otherwise would run pursuant to this sentence shall run instead from the date on which such restriction on consummation has expired or been terminated and (y) without limiting the foregoing, if prior notification to or approval of any regulatory authority is required in connection with such purchase, Parent and the applicable Selling Stockholder shall promptly file the required notice or application for approval and shall cooperate in the expeditious filing of such notice or application, and the period of time that otherwise would run pursuant to this sentence shall run instead from the date on which any required notification period has expired or been terminated, any required approval has been obtained and any requisite waiting period has expired or been terminated. The place of the Option Closing shall be at the offices of Reboul, MacMurray, Hewitt, Maynard &amp; Kristol, 45 Rockefeller Plaza, New York, New York 10111, and the time of the Option Closing shall be 10:00 a.m. (New York Time) on the Option Closing Date.</w:t>
      </w:r>
    </w:p>
    <w:p>
      <w:pPr>
        <w:spacing w:after="0" w:line="200" w:lineRule="exact"/>
        <w:rPr>
          <w:sz w:val="20"/>
          <w:szCs w:val="20"/>
          <w:color w:val="auto"/>
        </w:rPr>
      </w:pPr>
    </w:p>
    <w:p>
      <w:pPr>
        <w:spacing w:after="0" w:line="30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Section 2.3 Parent and Delivery of Certificates, At any Option Closing, Parent shall deliver to the Selling Stockholder a certificate or certificates evidencing the Option Consideration payable in respect of the Subject Shares to be purchased from such Selling</w:t>
      </w:r>
    </w:p>
    <w:p>
      <w:pPr>
        <w:spacing w:after="0" w:line="8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69" w:name="page70"/>
    <w:bookmarkEnd w:id="69"/>
    <w:p>
      <w:pPr>
        <w:ind w:left="320"/>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0"/>
          <w:szCs w:val="20"/>
          <w:color w:val="auto"/>
        </w:rPr>
      </w:pPr>
    </w:p>
    <w:p>
      <w:pPr>
        <w:ind w:right="1879"/>
        <w:spacing w:after="0" w:line="245" w:lineRule="auto"/>
        <w:rPr>
          <w:sz w:val="20"/>
          <w:szCs w:val="20"/>
          <w:color w:val="auto"/>
        </w:rPr>
      </w:pPr>
      <w:r>
        <w:rPr>
          <w:rFonts w:ascii="Courier New" w:cs="Courier New" w:eastAsia="Courier New" w:hAnsi="Courier New"/>
          <w:sz w:val="18"/>
          <w:szCs w:val="18"/>
          <w:color w:val="auto"/>
        </w:rPr>
        <w:t>Stockholder at the Option Closing, and the Selling Stockholder shall deliver to Parent such Subject Shares, free and clear of all liens and encumbrances, with the certificate or certificates evidencing such Subject Shares being duly endorsed for transfer by such Selling Stockholder and accompanied by all powers of attorney and/or other instruments necessary to convey valid and unencumbered title thereto to Parent, and shall assign to Parent (pursuant to a written instrument in form and substance satisfactory to Parent) all rights that such Selling Stockholder may have to require Company to register such Subject Shares under the Securities Act of 1933, as amended (the "Securities Act"). Transfer taxes, if any, imposed as a result of the exercise of an Option shall be borne by the Selling Stockholder.</w:t>
      </w:r>
    </w:p>
    <w:p>
      <w:pPr>
        <w:spacing w:after="0" w:line="109" w:lineRule="exact"/>
        <w:rPr>
          <w:sz w:val="20"/>
          <w:szCs w:val="20"/>
          <w:color w:val="auto"/>
        </w:rPr>
      </w:pPr>
    </w:p>
    <w:p>
      <w:pPr>
        <w:ind w:right="1779" w:firstLine="1896"/>
        <w:spacing w:after="0" w:line="277" w:lineRule="auto"/>
        <w:rPr>
          <w:sz w:val="20"/>
          <w:szCs w:val="20"/>
          <w:color w:val="auto"/>
        </w:rPr>
      </w:pPr>
      <w:r>
        <w:rPr>
          <w:rFonts w:ascii="Courier New" w:cs="Courier New" w:eastAsia="Courier New" w:hAnsi="Courier New"/>
          <w:sz w:val="16"/>
          <w:szCs w:val="16"/>
          <w:color w:val="auto"/>
        </w:rPr>
        <w:t>Section 2.4 Adjustment upon Changes in Capitalization, Etc. In the event of any change in the capital stock of either the Company or Parent by reason of a stock dividend, split-up, merger, recapitalization, combination, exchange of shares, extraordinary distribution or similar transaction, the type and number of shares, securities or other property subject to the Option, and the Option Consideration payable therefor, shall be adjusted appropriately, and proper provision shall be made in the agreements governing such transaction, so that (a) Parent shall receive upon exercise of any Option the number and class of shares, securities or property that Parent would have received in respect of the applicable Selling Stockholder's Subject Shares if the Option had been exercised immediately prior to such event relating to the Company or the record date therefor, as applicable, and (b) the applicable Selling Stockholder shall receive upon exercise of any Option granted by such Selling Stockholder the number and class of shares, securities or other property that such Selling Stockholder would have received in respect of such Selling Stockholder's Subject Shares if the Option had been exercised immediately prior to such event relating to Parent or the record date therefor, as applicable.</w:t>
      </w:r>
    </w:p>
    <w:p>
      <w:pPr>
        <w:spacing w:after="0" w:line="29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III</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Section 3.1 Certain Representations and Warranties of the</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The Stockholder represents and warrants to Parent as follows:</w:t>
      </w:r>
    </w:p>
    <w:p>
      <w:pPr>
        <w:spacing w:after="0" w:line="169" w:lineRule="exact"/>
        <w:rPr>
          <w:sz w:val="20"/>
          <w:szCs w:val="20"/>
          <w:color w:val="auto"/>
        </w:rPr>
      </w:pPr>
    </w:p>
    <w:p>
      <w:pPr>
        <w:ind w:left="3800" w:hanging="948"/>
        <w:spacing w:after="0"/>
        <w:tabs>
          <w:tab w:leader="none" w:pos="3800"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Ownership.  Except as specified on Schedule</w:t>
      </w:r>
    </w:p>
    <w:p>
      <w:pPr>
        <w:spacing w:after="0" w:line="53" w:lineRule="exact"/>
        <w:rPr>
          <w:rFonts w:ascii="Courier New" w:cs="Courier New" w:eastAsia="Courier New" w:hAnsi="Courier New"/>
          <w:sz w:val="16"/>
          <w:szCs w:val="16"/>
          <w:color w:val="auto"/>
        </w:rPr>
      </w:pPr>
    </w:p>
    <w:p>
      <w:pPr>
        <w:ind w:right="1779"/>
        <w:spacing w:after="0" w:line="29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3.1(a), such Stockholder is the sole record and beneficial owner of the number of shares of Common Stock set forth opposite such Stockholder's name on Schedule A hereto and has full and unrestricted power to dispose of and to vote such shares of Common Stock. Such Stockholder does not own any securities of Company on the date hereof other than the shares of Common Stock set forth on Schedule A and the options to purchase shares of Common Stock specified in Schedule 3.1(a).</w:t>
      </w:r>
    </w:p>
    <w:p>
      <w:pPr>
        <w:spacing w:after="0" w:line="71" w:lineRule="exact"/>
        <w:rPr>
          <w:rFonts w:ascii="Courier New" w:cs="Courier New" w:eastAsia="Courier New" w:hAnsi="Courier New"/>
          <w:sz w:val="16"/>
          <w:szCs w:val="16"/>
          <w:color w:val="auto"/>
        </w:rPr>
      </w:pPr>
    </w:p>
    <w:p>
      <w:pPr>
        <w:ind w:right="1779" w:firstLine="2852"/>
        <w:spacing w:after="0" w:line="253" w:lineRule="auto"/>
        <w:tabs>
          <w:tab w:leader="none" w:pos="3792"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Due Authorization. Such Stockholder has all requisite power and authority to enter into this Agreement and to consummate the transactions contemplated hereby. The execution and delivery of this Agreement by such Stockholder and the consummation by such Stockholder of the transactions contemplated hereby have been duly authorized by all necessary action, if any, on the part of such Stockholder. This Agreement has been duly executed and delivered by such Stockholder and constitutes a valid and binding obligation of such Stockholder,</w:t>
      </w:r>
    </w:p>
    <w:p>
      <w:pPr>
        <w:spacing w:after="0" w:line="10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70" w:name="page71"/>
    <w:bookmarkEnd w:id="70"/>
    <w:p>
      <w:pPr>
        <w:ind w:left="320"/>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0"/>
          <w:szCs w:val="20"/>
          <w:color w:val="auto"/>
        </w:rPr>
      </w:pPr>
    </w:p>
    <w:p>
      <w:pPr>
        <w:ind w:right="1779"/>
        <w:spacing w:after="0" w:line="262" w:lineRule="auto"/>
        <w:rPr>
          <w:sz w:val="20"/>
          <w:szCs w:val="20"/>
          <w:color w:val="auto"/>
        </w:rPr>
      </w:pPr>
      <w:r>
        <w:rPr>
          <w:rFonts w:ascii="Courier New" w:cs="Courier New" w:eastAsia="Courier New" w:hAnsi="Courier New"/>
          <w:sz w:val="18"/>
          <w:szCs w:val="18"/>
          <w:color w:val="auto"/>
        </w:rPr>
        <w:t>enforceable against such Stockholder in accordance with its terms, subject to applicable bankruptcy, insolvency, fraudulent conveyance, reorganization, moratorium and similar laws affecting creditors' rights generally and to general principles of equity.</w:t>
      </w:r>
    </w:p>
    <w:p>
      <w:pPr>
        <w:spacing w:after="0" w:line="90" w:lineRule="exact"/>
        <w:rPr>
          <w:sz w:val="20"/>
          <w:szCs w:val="20"/>
          <w:color w:val="auto"/>
        </w:rPr>
      </w:pPr>
    </w:p>
    <w:p>
      <w:pPr>
        <w:ind w:left="3800" w:hanging="948"/>
        <w:spacing w:after="0"/>
        <w:tabs>
          <w:tab w:leader="none" w:pos="3800" w:val="left"/>
        </w:tabs>
        <w:numPr>
          <w:ilvl w:val="1"/>
          <w:numId w:val="6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Conflicts.  The execution and delivery of</w:t>
      </w:r>
    </w:p>
    <w:p>
      <w:pPr>
        <w:spacing w:after="0" w:line="53" w:lineRule="exact"/>
        <w:rPr>
          <w:rFonts w:ascii="Courier New" w:cs="Courier New" w:eastAsia="Courier New" w:hAnsi="Courier New"/>
          <w:sz w:val="16"/>
          <w:szCs w:val="16"/>
          <w:color w:val="auto"/>
        </w:rPr>
      </w:pPr>
    </w:p>
    <w:p>
      <w:pPr>
        <w:ind w:right="177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do not, and, subject to compliance with the HSR Act, to the extent applicable, the consummation of the transactions contemplated hereby and compliance with the provisions of this Agreement will not, conflict with, result in a breach or violation of or default (with or without notice or lapse of time or both) under, or give rise to a material obligation, a right of termination, cancellation, or acceleration of any obligation or a loss of a material benefit under, or require notice to or the consent of any person under any agreement, instrument, undertaking, law, rule, regulation, judgment, order, injunction, decree, determination or award binding on such Stockholder, other than any such conflicts, breaches, violations, defaults, obligations, rights or losses that individually or in the aggregate would not (i) impair the ability of such Stockholder to perform such Stockholder's obligations under this Agreement or</w:t>
      </w:r>
    </w:p>
    <w:p>
      <w:pPr>
        <w:spacing w:after="0" w:line="2" w:lineRule="exact"/>
        <w:rPr>
          <w:rFonts w:ascii="Courier New" w:cs="Courier New" w:eastAsia="Courier New" w:hAnsi="Courier New"/>
          <w:sz w:val="16"/>
          <w:szCs w:val="16"/>
          <w:color w:val="auto"/>
        </w:rPr>
      </w:pPr>
    </w:p>
    <w:p>
      <w:pPr>
        <w:ind w:right="1999" w:firstLine="8"/>
        <w:spacing w:after="0" w:line="309" w:lineRule="auto"/>
        <w:tabs>
          <w:tab w:leader="none" w:pos="527" w:val="left"/>
        </w:tabs>
        <w:numPr>
          <w:ilvl w:val="0"/>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prevent or delay the consummation of any of the transactions contemplated hereby.</w:t>
      </w:r>
    </w:p>
    <w:p>
      <w:pPr>
        <w:spacing w:after="0" w:line="50"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6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Not for Distribution.  The Parent</w:t>
      </w:r>
    </w:p>
    <w:p>
      <w:pPr>
        <w:spacing w:after="0" w:line="30" w:lineRule="exact"/>
        <w:rPr>
          <w:rFonts w:ascii="Courier New" w:cs="Courier New" w:eastAsia="Courier New" w:hAnsi="Courier New"/>
          <w:sz w:val="18"/>
          <w:szCs w:val="18"/>
          <w:color w:val="auto"/>
        </w:rPr>
      </w:pPr>
    </w:p>
    <w:p>
      <w:pPr>
        <w:ind w:right="1879"/>
        <w:spacing w:after="0" w:line="25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Ordinary Shares to be acquired by such Stockholder upon Parent's exercise of an Option shall be so acquired without a view to the public distribution thereof and such shares shall not be transferred or otherwise disposed of except in a transaction registered or exempt from registration under the Securities Act and in compliance with applicable state securities laws.</w:t>
      </w:r>
    </w:p>
    <w:p>
      <w:pPr>
        <w:spacing w:after="0" w:line="96" w:lineRule="exact"/>
        <w:rPr>
          <w:sz w:val="20"/>
          <w:szCs w:val="20"/>
          <w:color w:val="auto"/>
        </w:rPr>
      </w:pPr>
    </w:p>
    <w:p>
      <w:pPr>
        <w:ind w:right="1999" w:firstLine="1896"/>
        <w:spacing w:after="0" w:line="347" w:lineRule="auto"/>
        <w:rPr>
          <w:sz w:val="20"/>
          <w:szCs w:val="20"/>
          <w:color w:val="auto"/>
        </w:rPr>
      </w:pPr>
      <w:r>
        <w:rPr>
          <w:rFonts w:ascii="Courier New" w:cs="Courier New" w:eastAsia="Courier New" w:hAnsi="Courier New"/>
          <w:sz w:val="18"/>
          <w:szCs w:val="18"/>
          <w:color w:val="auto"/>
        </w:rPr>
        <w:t>Section 3.2 Representations and Warranties of Parent. Parent hereby represents and warrants to the Stockholder that:</w:t>
      </w:r>
    </w:p>
    <w:p>
      <w:pPr>
        <w:spacing w:after="0" w:line="18" w:lineRule="exact"/>
        <w:rPr>
          <w:sz w:val="20"/>
          <w:szCs w:val="20"/>
          <w:color w:val="auto"/>
        </w:rPr>
      </w:pPr>
    </w:p>
    <w:p>
      <w:pPr>
        <w:ind w:right="1779" w:firstLine="2852"/>
        <w:spacing w:after="0" w:line="285" w:lineRule="auto"/>
        <w:tabs>
          <w:tab w:leader="none" w:pos="3792"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Due Authorization. Parent has all requisite corporate power and authority to enter into this Agreement and to consummate the transactions contemplated hereby. The execution and delivery of this Agreement by Parent and the consummation by Parent of the transactions contemplated hereby have been duly authorized by all necessary corporate action on the part of Parent. This Agreement has been duly executed and delivered by Parent and constitutes a valid and binding obligation of Parent, enforceable against Parent in accordance with its terms, subject to applicable bankruptcy, insolvency, fraudulent conveyance, reorganization, moratorium and similar laws affecting creditors' rights generally and to general principles of equity.</w:t>
      </w:r>
    </w:p>
    <w:p>
      <w:pPr>
        <w:spacing w:after="0" w:line="76" w:lineRule="exact"/>
        <w:rPr>
          <w:rFonts w:ascii="Courier New" w:cs="Courier New" w:eastAsia="Courier New" w:hAnsi="Courier New"/>
          <w:sz w:val="16"/>
          <w:szCs w:val="16"/>
          <w:color w:val="auto"/>
        </w:rPr>
      </w:pPr>
    </w:p>
    <w:p>
      <w:pPr>
        <w:ind w:left="3800" w:hanging="948"/>
        <w:spacing w:after="0"/>
        <w:tabs>
          <w:tab w:leader="none" w:pos="3800"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Conflicts.  The execution and delivery of</w:t>
      </w:r>
    </w:p>
    <w:p>
      <w:pPr>
        <w:spacing w:after="0" w:line="53" w:lineRule="exact"/>
        <w:rPr>
          <w:rFonts w:ascii="Courier New" w:cs="Courier New" w:eastAsia="Courier New" w:hAnsi="Courier New"/>
          <w:sz w:val="16"/>
          <w:szCs w:val="16"/>
          <w:color w:val="auto"/>
        </w:rPr>
      </w:pPr>
    </w:p>
    <w:p>
      <w:pPr>
        <w:ind w:right="1779"/>
        <w:spacing w:after="0" w:line="24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this Agreement do not, and, subject to compliance with the HSR Act, to the extent applicable, the consummation of the transactions contemplated hereby and compliance with the provisions of this Agreement will not, conflict with, result in a breach or violation of or default (with or without notice or lapse of time or both) under, or give rise to a material obligation, right of termination, cancellation, or acceleration of any obligation or a loss of a material benefit under, or require notice to or the consent of any person under any agreement, instrument, undertaking, law, rule, regulation,</w:t>
      </w:r>
    </w:p>
    <w:p>
      <w:pPr>
        <w:spacing w:after="0" w:line="200" w:lineRule="exact"/>
        <w:rPr>
          <w:sz w:val="20"/>
          <w:szCs w:val="20"/>
          <w:color w:val="auto"/>
        </w:rPr>
      </w:pPr>
    </w:p>
    <w:p>
      <w:pPr>
        <w:spacing w:after="0" w:line="31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285" w:right="1440" w:bottom="1440" w:gutter="0" w:footer="0" w:header="0"/>
        </w:sectPr>
      </w:pPr>
    </w:p>
    <w:bookmarkStart w:id="71" w:name="page72"/>
    <w:bookmarkEnd w:id="71"/>
    <w:p>
      <w:pPr>
        <w:ind w:left="320"/>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judgment, order, injunction, decree, determination or award binding on Parent, other than any such conflicts, breaches, violations, defaults, obligations, rights or losses that individually or in the aggregate would not (i) impair the ability of Parent to perform its obligations under this Agreement or (ii) prevent or delay the consummation of any of the transactions contemplated hereby.</w:t>
      </w:r>
    </w:p>
    <w:p>
      <w:pPr>
        <w:spacing w:after="0" w:line="101" w:lineRule="exact"/>
        <w:rPr>
          <w:sz w:val="20"/>
          <w:szCs w:val="20"/>
          <w:color w:val="auto"/>
        </w:rPr>
      </w:pPr>
    </w:p>
    <w:p>
      <w:pPr>
        <w:ind w:left="3800" w:hanging="948"/>
        <w:spacing w:after="0"/>
        <w:tabs>
          <w:tab w:leader="none" w:pos="3800" w:val="left"/>
        </w:tabs>
        <w:numPr>
          <w:ilvl w:val="0"/>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Purchase Not for Distribution.  The Option</w:t>
      </w:r>
    </w:p>
    <w:p>
      <w:pPr>
        <w:spacing w:after="0" w:line="30" w:lineRule="exact"/>
        <w:rPr>
          <w:rFonts w:ascii="Courier New" w:cs="Courier New" w:eastAsia="Courier New" w:hAnsi="Courier New"/>
          <w:sz w:val="18"/>
          <w:szCs w:val="18"/>
          <w:color w:val="auto"/>
        </w:rPr>
      </w:pPr>
    </w:p>
    <w:p>
      <w:pPr>
        <w:ind w:right="1879"/>
        <w:spacing w:after="0" w:line="25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and the Subject Shares to be acquired upon exercise of the Option are being and shall be acquired by Parent without a view to the public distribution thereof and neither the Option nor any Subject Shares to be acquired upon exercise thereof shall be transferred or otherwise disposed of except in a transaction registered or exempt from registration under the Securities Act and in compliance with applicable state securities laws.</w:t>
      </w:r>
    </w:p>
    <w:p>
      <w:pPr>
        <w:spacing w:after="0" w:line="101" w:lineRule="exact"/>
        <w:rPr>
          <w:sz w:val="20"/>
          <w:szCs w:val="20"/>
          <w:color w:val="auto"/>
        </w:rPr>
      </w:pPr>
    </w:p>
    <w:p>
      <w:pPr>
        <w:jc w:val="center"/>
        <w:ind w:right="175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Section 4.1 Certain Covenants of the Stockholder.</w:t>
      </w:r>
    </w:p>
    <w:p>
      <w:pPr>
        <w:spacing w:after="0" w:line="201" w:lineRule="exact"/>
        <w:rPr>
          <w:sz w:val="20"/>
          <w:szCs w:val="20"/>
          <w:color w:val="auto"/>
        </w:rPr>
      </w:pPr>
    </w:p>
    <w:p>
      <w:pPr>
        <w:ind w:left="3800" w:hanging="948"/>
        <w:spacing w:after="0"/>
        <w:tabs>
          <w:tab w:leader="none" w:pos="3800"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Restriction on Transfer of Subject Shares,</w:t>
      </w:r>
    </w:p>
    <w:p>
      <w:pPr>
        <w:spacing w:after="0" w:line="30" w:lineRule="exact"/>
        <w:rPr>
          <w:rFonts w:ascii="Courier New" w:cs="Courier New" w:eastAsia="Courier New" w:hAnsi="Courier New"/>
          <w:sz w:val="18"/>
          <w:szCs w:val="18"/>
          <w:color w:val="auto"/>
        </w:rPr>
      </w:pPr>
    </w:p>
    <w:p>
      <w:pPr>
        <w:ind w:right="1879"/>
        <w:spacing w:after="0" w:line="24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Proxies and Noninterference. No Stockholder shall directly or indirectly: (i) except pursuant to the terms of this Agreement or the Merger Agreement, offer for sale, sell, transfer, tender, pledge, encumber, assign or otherwise dispose of, or enter into any contract, option or other arrangement or understanding with respect to or consent to the offer for sale, sale, transfer, tender, pledge, encumbrance, assignment or other disposition of, any or all of such Stockholder's Subject Shares; (ii) except pursuant to the terms of this Agreement, grant any proxies or powers of attorney, deposit any of such Stockholder's Subject Shares into a voting trust or enter into a voting agreement with respect to any of such Stockholder's Subject Shares; or (iii) take any action that would make any representation or warranty contained herein untrue or incorrect or have the effect of impairing the ability of such Stockholder to perform such Stockholder's obligations under this Agreement or preventing or delaying the consummation of any of the transactions contemplated hereby.</w:t>
      </w:r>
    </w:p>
    <w:p>
      <w:pPr>
        <w:spacing w:after="0" w:line="112" w:lineRule="exact"/>
        <w:rPr>
          <w:rFonts w:ascii="Courier New" w:cs="Courier New" w:eastAsia="Courier New" w:hAnsi="Courier New"/>
          <w:sz w:val="18"/>
          <w:szCs w:val="18"/>
          <w:color w:val="auto"/>
        </w:rPr>
      </w:pPr>
    </w:p>
    <w:p>
      <w:pPr>
        <w:ind w:left="3800" w:hanging="948"/>
        <w:spacing w:after="0"/>
        <w:tabs>
          <w:tab w:leader="none" w:pos="3800" w:val="left"/>
        </w:tabs>
        <w:numPr>
          <w:ilvl w:val="0"/>
          <w:numId w:val="7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Restrictions on Transfer of Parent Ordinary</w:t>
      </w:r>
    </w:p>
    <w:p>
      <w:pPr>
        <w:spacing w:after="0" w:line="53" w:lineRule="exact"/>
        <w:rPr>
          <w:rFonts w:ascii="Courier New" w:cs="Courier New" w:eastAsia="Courier New" w:hAnsi="Courier New"/>
          <w:sz w:val="16"/>
          <w:szCs w:val="16"/>
          <w:color w:val="auto"/>
        </w:rPr>
      </w:pPr>
    </w:p>
    <w:p>
      <w:pPr>
        <w:ind w:right="1879"/>
        <w:spacing w:after="0" w:line="276"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Shares. Prior to the first anniversary of the Effective Time or the second anniversary of any Option Closing, no Stockholder shall sell, assign or otherwise dispose of any of the Parent Ordinary Shares received by such Stockholder pursuant to the Merger or such Option Closing, as the case may be, except (i) pursuant to an effective registration statement under the Securities Act, (ii) in conformity with the volume limitations and other provisions of SEC Rule 145, or (iii) in a transaction which, in the opinion of counsel reasonably satisfactory to Parent, is not required to be registered under the Securities Act. The Stockholder understands and acknowledges that, except as provided in Section 4.2, Parent shall not be required to maintain the effectiveness of any registration statement under the Securities Act for the purpose of facilitating the resale of any Parent Ordinary Shares by such Stockholder. In the event of a sale, assignment or other disposition by any Stockholder of Parent Ordinary Shares pursuant to SEC Rule 145, such Stockholder shall supply Parent with</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285" w:right="1440" w:bottom="1440" w:gutter="0" w:footer="0" w:header="0"/>
        </w:sectPr>
      </w:pPr>
    </w:p>
    <w:bookmarkStart w:id="72" w:name="page73"/>
    <w:bookmarkEnd w:id="72"/>
    <w:p>
      <w:pPr>
        <w:ind w:left="320"/>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0"/>
          <w:szCs w:val="20"/>
          <w:color w:val="auto"/>
        </w:rPr>
      </w:pPr>
    </w:p>
    <w:p>
      <w:pPr>
        <w:ind w:right="1779"/>
        <w:spacing w:after="0" w:line="248" w:lineRule="auto"/>
        <w:rPr>
          <w:sz w:val="20"/>
          <w:szCs w:val="20"/>
          <w:color w:val="auto"/>
        </w:rPr>
      </w:pPr>
      <w:r>
        <w:rPr>
          <w:rFonts w:ascii="Courier New" w:cs="Courier New" w:eastAsia="Courier New" w:hAnsi="Courier New"/>
          <w:sz w:val="18"/>
          <w:szCs w:val="18"/>
          <w:color w:val="auto"/>
        </w:rPr>
        <w:t>evidence of compliance with such Rule, in the form of a letter in the form of Annex I hereto and the opinion of counsel referred to above. The Stockholder understands and acknowledges that Parent may instruct its transfer agent to withhold the transfer of any Parent Ordinary Shares disposed of by any Stockholder, but that (provided such transfer is not prohibited by any other provision of this Agreement) upon receipt of such evidence of compliance, Parent shall cause the transfer agent to effectuate the transfer of the Parent Ordinary Shares sold as indicated in such letter.</w:t>
      </w:r>
    </w:p>
    <w:p>
      <w:pPr>
        <w:spacing w:after="0" w:line="106" w:lineRule="exact"/>
        <w:rPr>
          <w:sz w:val="20"/>
          <w:szCs w:val="20"/>
          <w:color w:val="auto"/>
        </w:rPr>
      </w:pPr>
    </w:p>
    <w:p>
      <w:pPr>
        <w:ind w:left="3800" w:hanging="948"/>
        <w:spacing w:after="0"/>
        <w:tabs>
          <w:tab w:leader="none" w:pos="3800"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Tax Treatment.  No Stockholder shall or</w:t>
      </w:r>
    </w:p>
    <w:p>
      <w:pPr>
        <w:spacing w:after="0" w:line="30" w:lineRule="exact"/>
        <w:rPr>
          <w:rFonts w:ascii="Courier New" w:cs="Courier New" w:eastAsia="Courier New" w:hAnsi="Courier New"/>
          <w:sz w:val="18"/>
          <w:szCs w:val="18"/>
          <w:color w:val="auto"/>
        </w:rPr>
      </w:pPr>
    </w:p>
    <w:p>
      <w:pPr>
        <w:ind w:right="177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shall permit any affiliate of such Stockholder to take any position on any federal, state or local income tax return, or take any other action or reporting position, that is inconsistent with the treatment of the Merger as a reorganization within the meaning of Section 368(a) of the Internal Revenue Code of 1986, as amended (the "Code"), or with the representations made in this Agreement, unless otherwise required pursuant to a "determination" (as defined in Section 1313(a)(1) of the Code).</w:t>
      </w:r>
    </w:p>
    <w:p>
      <w:pPr>
        <w:spacing w:after="0" w:line="102" w:lineRule="exact"/>
        <w:rPr>
          <w:sz w:val="20"/>
          <w:szCs w:val="20"/>
          <w:color w:val="auto"/>
        </w:rPr>
      </w:pPr>
    </w:p>
    <w:p>
      <w:pPr>
        <w:ind w:right="1779" w:firstLine="1896"/>
        <w:spacing w:after="0" w:line="244" w:lineRule="auto"/>
        <w:rPr>
          <w:sz w:val="20"/>
          <w:szCs w:val="20"/>
          <w:color w:val="auto"/>
        </w:rPr>
      </w:pPr>
      <w:r>
        <w:rPr>
          <w:rFonts w:ascii="Courier New" w:cs="Courier New" w:eastAsia="Courier New" w:hAnsi="Courier New"/>
          <w:sz w:val="18"/>
          <w:szCs w:val="18"/>
          <w:color w:val="auto"/>
        </w:rPr>
        <w:t>Section 4.2 Registration Rights. (a) On the terms and subject to the conditions set forth in this Section 4.2, within 30 days after the earlier of the Effective Time (as defined in the Merger Agreement) and the first Option Closing, Parent shall file, and shall thereafter use its reasonable best efforts to cause to become and remain effective, for so long as the Parent Ordinary Shares held by the Stockholder continue to be Registrable Securities (as hereinafter defined), a registration statement registering for purposes of the Securities Act the resale of all Registrable Securities held by the Stockholder (the "Registration Statement"). For so long as Parent is required to cause the Registration Statement to remain in effect, Parent shall use its reasonable best efforts to cause the Parent Ordinary Shares to be (x) registered or qualified (to the extent not exempt from such registration or qualification) for sale under the blue sky laws of such states as any Stockholder may reasonably request (provided that Parent shall not be required to qualify to do business in, or consent to general service of process in, any jurisdiction by reason thereof) and (y) listed on a national securities exchange or accepted for quotation on the National Association of Securities Dealers Automated Quotation System.</w:t>
      </w:r>
    </w:p>
    <w:p>
      <w:pPr>
        <w:spacing w:after="0" w:line="117" w:lineRule="exact"/>
        <w:rPr>
          <w:sz w:val="20"/>
          <w:szCs w:val="20"/>
          <w:color w:val="auto"/>
        </w:rPr>
      </w:pPr>
    </w:p>
    <w:p>
      <w:pPr>
        <w:ind w:left="3800" w:hanging="948"/>
        <w:spacing w:after="0"/>
        <w:tabs>
          <w:tab w:leader="none" w:pos="3800"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 of Parent hereunder to file</w:t>
      </w:r>
    </w:p>
    <w:p>
      <w:pPr>
        <w:spacing w:after="0" w:line="53" w:lineRule="exact"/>
        <w:rPr>
          <w:rFonts w:ascii="Courier New" w:cs="Courier New" w:eastAsia="Courier New" w:hAnsi="Courier New"/>
          <w:sz w:val="16"/>
          <w:szCs w:val="16"/>
          <w:color w:val="auto"/>
        </w:rPr>
      </w:pPr>
    </w:p>
    <w:p>
      <w:pPr>
        <w:ind w:right="1779"/>
        <w:spacing w:after="0" w:line="28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Registration Statement and to maintain its effectiveness may be suspended for one or more periods of time not exceeding 90 calendar days in the aggregate if the Board of Directors of Parent shall have determined that the filing of the Registration Statement or the maintenance of its effectiveness would require disclosure of nonpublic information that would materially and adversely affect Parent or would materially interfere with any financing, acquisition or other transaction involving Parent. The preparation and filing of the Registration Statement, and any sale covered thereby, will be at Parent's expense, except for underwriting discounts or commissions, brokers' fees and the fees and disbursements of counsel for any Stockholder related thereto.</w:t>
      </w:r>
    </w:p>
    <w:p>
      <w:pPr>
        <w:spacing w:after="0" w:line="293" w:lineRule="exact"/>
        <w:rPr>
          <w:rFonts w:ascii="Courier New" w:cs="Courier New" w:eastAsia="Courier New" w:hAnsi="Courier New"/>
          <w:sz w:val="16"/>
          <w:szCs w:val="16"/>
          <w:color w:val="auto"/>
        </w:rPr>
      </w:pPr>
    </w:p>
    <w:p>
      <w:pPr>
        <w:ind w:left="3800" w:hanging="948"/>
        <w:spacing w:after="0"/>
        <w:tabs>
          <w:tab w:leader="none" w:pos="3800"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shall provide all</w:t>
      </w:r>
    </w:p>
    <w:p>
      <w:pPr>
        <w:spacing w:after="0" w:line="30" w:lineRule="exact"/>
        <w:rPr>
          <w:rFonts w:ascii="Courier New" w:cs="Courier New" w:eastAsia="Courier New" w:hAnsi="Courier New"/>
          <w:sz w:val="18"/>
          <w:szCs w:val="18"/>
          <w:color w:val="auto"/>
        </w:rPr>
      </w:pPr>
    </w:p>
    <w:p>
      <w:pPr>
        <w:ind w:right="2099"/>
        <w:spacing w:after="0" w:line="323"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information reasonably requested by Parent for inclusion in the Registration Statement and any related prospectus (a "Prospectus"). In connection with the sale or other disposition of Registrable Securities to be effected pursuant</w:t>
      </w:r>
    </w:p>
    <w:p>
      <w:pPr>
        <w:spacing w:after="0" w:line="249"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73" w:name="page74"/>
    <w:bookmarkEnd w:id="73"/>
    <w:p>
      <w:pPr>
        <w:ind w:left="320"/>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8"/>
          <w:szCs w:val="18"/>
          <w:color w:val="auto"/>
        </w:rPr>
        <w:t>to the Registration Statement, Parent and the Stockholder will provide each other and any underwriter with customary representations, warranties, covenants, indemnification and contribution.</w:t>
      </w:r>
    </w:p>
    <w:p>
      <w:pPr>
        <w:spacing w:after="0" w:line="82" w:lineRule="exact"/>
        <w:rPr>
          <w:sz w:val="20"/>
          <w:szCs w:val="20"/>
          <w:color w:val="auto"/>
        </w:rPr>
      </w:pPr>
    </w:p>
    <w:p>
      <w:pPr>
        <w:ind w:left="3800" w:hanging="948"/>
        <w:spacing w:after="0"/>
        <w:tabs>
          <w:tab w:leader="none" w:pos="38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Stockholder shall use its reasonable</w:t>
      </w:r>
    </w:p>
    <w:p>
      <w:pPr>
        <w:spacing w:after="0" w:line="30" w:lineRule="exact"/>
        <w:rPr>
          <w:rFonts w:ascii="Courier New" w:cs="Courier New" w:eastAsia="Courier New" w:hAnsi="Courier New"/>
          <w:sz w:val="18"/>
          <w:szCs w:val="18"/>
          <w:color w:val="auto"/>
        </w:rPr>
      </w:pPr>
    </w:p>
    <w:p>
      <w:pPr>
        <w:ind w:right="1779"/>
        <w:spacing w:after="0" w:line="262"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best efforts to cause, and to cause any underwriters of any sale or other disposition to cause, any sale or other disposition of Parent Ordinary Shares pursuant to the Registration Statement to be effected on as widely a distributed basis as practicable.</w:t>
      </w:r>
    </w:p>
    <w:p>
      <w:pPr>
        <w:spacing w:after="0" w:line="90"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the term</w:t>
      </w:r>
    </w:p>
    <w:p>
      <w:pPr>
        <w:spacing w:after="0" w:line="30" w:lineRule="exact"/>
        <w:rPr>
          <w:rFonts w:ascii="Courier New" w:cs="Courier New" w:eastAsia="Courier New" w:hAnsi="Courier New"/>
          <w:sz w:val="18"/>
          <w:szCs w:val="18"/>
          <w:color w:val="auto"/>
        </w:rPr>
      </w:pPr>
    </w:p>
    <w:p>
      <w:pPr>
        <w:ind w:right="1879"/>
        <w:spacing w:after="0" w:line="244"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"Registrable Securities" means Parent Ordinary Shares acquired by any Stockholder as a result of the conversion of shares of Common Stock pursuant to the Merger or as Option Consideration at any Option Closing; provided, however, that Registrable Securities will cease to be Registrable Securities when and to the extent that (i) a registration statement covering such Registrable Securities has been declared effective under the Securities Act and such Registrable Securities have been disposed of pursuant to such effective registration statement, (ii) one year has elapsed since the acquisition of such Registrable Securities by the applicable Stockholder, or (iii) such Registrable Securities are sold or transferred by a Stockholder otherwise than to another Stockholder. The Stockholder shall promptly notify Parent when any of such Stockholder's Parent Ordinary Shares shall have ceased to be Registrable Securities.</w:t>
      </w:r>
    </w:p>
    <w:p>
      <w:pPr>
        <w:spacing w:after="0" w:line="109" w:lineRule="exact"/>
        <w:rPr>
          <w:rFonts w:ascii="Courier New" w:cs="Courier New" w:eastAsia="Courier New" w:hAnsi="Courier New"/>
          <w:sz w:val="18"/>
          <w:szCs w:val="18"/>
          <w:color w:val="auto"/>
        </w:rPr>
      </w:pPr>
    </w:p>
    <w:p>
      <w:pPr>
        <w:ind w:left="3800" w:hanging="948"/>
        <w:spacing w:after="0"/>
        <w:tabs>
          <w:tab w:leader="none" w:pos="3800" w:val="left"/>
        </w:tabs>
        <w:numPr>
          <w:ilvl w:val="1"/>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will notify the Stockholder as</w:t>
      </w:r>
    </w:p>
    <w:p>
      <w:pPr>
        <w:spacing w:after="0" w:line="30" w:lineRule="exact"/>
        <w:rPr>
          <w:rFonts w:ascii="Courier New" w:cs="Courier New" w:eastAsia="Courier New" w:hAnsi="Courier New"/>
          <w:sz w:val="18"/>
          <w:szCs w:val="18"/>
          <w:color w:val="auto"/>
        </w:rPr>
      </w:pPr>
    </w:p>
    <w:p>
      <w:pPr>
        <w:ind w:right="17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promptly as practicable of (i) any request by the SEC or any other federal or state governmental authority for amendments or supplements to the Registration Statement or any Prospectus or for additional information, (ii) the issuance by the SEC or any other federal or state governmental authority of any stop order suspending the effectiveness of the Registration Statement or the initiation of any proceedings for that purpose, (iii) any notification with respect to the suspension of the qualification or exemption from qualification of any of the Registrable Securities for sale in any jurisdiction or the initiation or threatening of any proceeding for such purpose, and (iv) the occurrence of any event which makes any statement made in the Registration Statement or a Prospectus untrue in any material respect or which requires the making of any changes in the Registration Statement or a Prospectus or other documents so that</w:t>
      </w:r>
    </w:p>
    <w:p>
      <w:pPr>
        <w:spacing w:after="0" w:line="179" w:lineRule="exact"/>
        <w:rPr>
          <w:rFonts w:ascii="Courier New" w:cs="Courier New" w:eastAsia="Courier New" w:hAnsi="Courier New"/>
          <w:sz w:val="18"/>
          <w:szCs w:val="18"/>
          <w:color w:val="auto"/>
        </w:rPr>
      </w:pPr>
    </w:p>
    <w:p>
      <w:pPr>
        <w:ind w:right="1999" w:firstLine="8"/>
        <w:spacing w:after="0" w:line="268" w:lineRule="auto"/>
        <w:tabs>
          <w:tab w:leader="none" w:pos="421"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Registration Statement, it will not contain any untrue statement of a material fact or omit to state any material fact required to be stated therein or necessary to make the statements therein not misleading and</w:t>
      </w:r>
    </w:p>
    <w:p>
      <w:pPr>
        <w:ind w:right="1779" w:firstLine="8"/>
        <w:spacing w:after="0" w:line="245" w:lineRule="auto"/>
        <w:tabs>
          <w:tab w:leader="none" w:pos="421"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 Prospectus, it will not contain any untrue statement of a material fact or omit to state any material fact required to be stated therein or necessary to make the statements therein, in light of the circumstances under which they were made, not misleading. The Stockholder will be deemed to have agreed that, upon receipt of any notice from Parent of the occurrence of any event of the kind described in the immediately preceding sentence, such Stockholder will discontinue offers, sales and other dispositions of Registrable Securities covered by the Registration Statement or a Prospectus until such Stockholder's receipt of the copies of a supplemented or amended Prospectus or until such Stockholder is advised in writing by Parent that the use of the applicable</w:t>
      </w:r>
    </w:p>
    <w:p>
      <w:pPr>
        <w:spacing w:after="0" w:line="200" w:lineRule="exact"/>
        <w:rPr>
          <w:sz w:val="20"/>
          <w:szCs w:val="20"/>
          <w:color w:val="auto"/>
        </w:rPr>
      </w:pPr>
    </w:p>
    <w:p>
      <w:pPr>
        <w:spacing w:after="0" w:line="314"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285" w:right="1440" w:bottom="1440" w:gutter="0" w:footer="0" w:header="0"/>
        </w:sectPr>
      </w:pPr>
    </w:p>
    <w:bookmarkStart w:id="74" w:name="page75"/>
    <w:bookmarkEnd w:id="74"/>
    <w:p>
      <w:pPr>
        <w:ind w:left="320"/>
        <w:spacing w:after="0"/>
        <w:rPr>
          <w:sz w:val="20"/>
          <w:szCs w:val="20"/>
          <w:color w:val="auto"/>
        </w:rPr>
      </w:pPr>
      <w:r>
        <w:rPr>
          <w:rFonts w:ascii="Courier New" w:cs="Courier New" w:eastAsia="Courier New" w:hAnsi="Courier New"/>
          <w:sz w:val="18"/>
          <w:szCs w:val="18"/>
          <w:color w:val="auto"/>
        </w:rPr>
        <w:t>9</w:t>
      </w:r>
    </w:p>
    <w:p>
      <w:pPr>
        <w:spacing w:after="0" w:line="31"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8"/>
          <w:szCs w:val="18"/>
          <w:color w:val="auto"/>
        </w:rPr>
        <w:t>Prospectus may be resumed and has received copies of any additional or supplemental filings that are incorporated or deemed to be incorporated by reference in such Prospectus.</w:t>
      </w:r>
    </w:p>
    <w:p>
      <w:pPr>
        <w:spacing w:after="0" w:line="82"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ind w:right="1779" w:firstLine="1896"/>
        <w:spacing w:after="0" w:line="274" w:lineRule="auto"/>
        <w:rPr>
          <w:sz w:val="20"/>
          <w:szCs w:val="20"/>
          <w:color w:val="auto"/>
        </w:rPr>
      </w:pPr>
      <w:r>
        <w:rPr>
          <w:rFonts w:ascii="Courier New" w:cs="Courier New" w:eastAsia="Courier New" w:hAnsi="Courier New"/>
          <w:sz w:val="18"/>
          <w:szCs w:val="18"/>
          <w:color w:val="auto"/>
        </w:rPr>
        <w:t>Section 5.1 Fees and Expenses. Except to the extent otherwise provided in Section 4.2(b), each party hereto shall pay its own expenses incident to preparing for, entering into and carrying out this Agreement and the consummation of the transactions contemplated hereby.</w:t>
      </w:r>
    </w:p>
    <w:p>
      <w:pPr>
        <w:spacing w:after="0" w:line="82" w:lineRule="exact"/>
        <w:rPr>
          <w:sz w:val="20"/>
          <w:szCs w:val="20"/>
          <w:color w:val="auto"/>
        </w:rPr>
      </w:pPr>
    </w:p>
    <w:p>
      <w:pPr>
        <w:jc w:val="both"/>
        <w:ind w:right="2419" w:firstLine="1896"/>
        <w:spacing w:after="0" w:line="292" w:lineRule="auto"/>
        <w:rPr>
          <w:sz w:val="20"/>
          <w:szCs w:val="20"/>
          <w:color w:val="auto"/>
        </w:rPr>
      </w:pPr>
      <w:r>
        <w:rPr>
          <w:rFonts w:ascii="Courier New" w:cs="Courier New" w:eastAsia="Courier New" w:hAnsi="Courier New"/>
          <w:sz w:val="18"/>
          <w:szCs w:val="18"/>
          <w:color w:val="auto"/>
        </w:rPr>
        <w:t>Section 5.2 Amendment. This Agreement may not be amended except by an instrument in writing signed on behalf of each of the parties hereto.</w:t>
      </w:r>
    </w:p>
    <w:p>
      <w:pPr>
        <w:spacing w:after="0" w:line="66" w:lineRule="exact"/>
        <w:rPr>
          <w:sz w:val="20"/>
          <w:szCs w:val="20"/>
          <w:color w:val="auto"/>
        </w:rPr>
      </w:pPr>
    </w:p>
    <w:p>
      <w:pPr>
        <w:ind w:right="1999" w:firstLine="1896"/>
        <w:spacing w:after="0" w:line="260" w:lineRule="auto"/>
        <w:rPr>
          <w:sz w:val="20"/>
          <w:szCs w:val="20"/>
          <w:color w:val="auto"/>
        </w:rPr>
      </w:pPr>
      <w:r>
        <w:rPr>
          <w:rFonts w:ascii="Courier New" w:cs="Courier New" w:eastAsia="Courier New" w:hAnsi="Courier New"/>
          <w:sz w:val="18"/>
          <w:szCs w:val="18"/>
          <w:color w:val="auto"/>
        </w:rPr>
        <w:t>Section 5.3 Extension Waiver. Any agreement on the part of a party to waive any provision of this Agreement, or to extend the time for any performance hereunder, shall be valid only if set forth in an instrument in writing signed on behalf of such party. The failure of any party to this Agreement to assert any of its rights under this Agreement or otherwise shall not constitute a waiver of such rights.</w:t>
      </w:r>
    </w:p>
    <w:p>
      <w:pPr>
        <w:spacing w:after="0" w:line="93" w:lineRule="exact"/>
        <w:rPr>
          <w:sz w:val="20"/>
          <w:szCs w:val="20"/>
          <w:color w:val="auto"/>
        </w:rPr>
      </w:pPr>
    </w:p>
    <w:p>
      <w:pPr>
        <w:ind w:right="1879" w:firstLine="1896"/>
        <w:spacing w:after="0" w:line="247" w:lineRule="auto"/>
        <w:rPr>
          <w:sz w:val="20"/>
          <w:szCs w:val="20"/>
          <w:color w:val="auto"/>
        </w:rPr>
      </w:pPr>
      <w:r>
        <w:rPr>
          <w:rFonts w:ascii="Courier New" w:cs="Courier New" w:eastAsia="Courier New" w:hAnsi="Courier New"/>
          <w:sz w:val="18"/>
          <w:szCs w:val="18"/>
          <w:color w:val="auto"/>
        </w:rPr>
        <w:t>Section 5.4 Legend. The Stockholder acknowledges and agrees that the legend set forth below shall be placed on certificates representing Parent Ordinary Shares received by such Stockholder in connection with the Merger or any Option Closing, or held by a transferee thereof of such Stockholder, which legend shall be removed by delivery of substitute certificates upon receipt the first anniversary of the Effective Time or the second anniversary of such Option Closing, as the case may be, or upon (a) the earlier sale of such Parent Ordinary Shares (i) pursuant to an effective registration statement under the Securities Act or (iii) in conformity with the provisions of SEC Rule 145, or (b) the receipt by Parent of an opinion in form and substance reasonably satisfactory to Parent from independent counsel reasonably satisfactory to Parent to the effect that such legend is no longer required for purposes of the Securities Act.</w:t>
      </w:r>
    </w:p>
    <w:p>
      <w:pPr>
        <w:spacing w:after="0" w:line="108" w:lineRule="exact"/>
        <w:rPr>
          <w:sz w:val="20"/>
          <w:szCs w:val="20"/>
          <w:color w:val="auto"/>
        </w:rPr>
      </w:pPr>
    </w:p>
    <w:p>
      <w:pPr>
        <w:ind w:right="1879" w:firstLine="1896"/>
        <w:spacing w:after="0" w:line="292" w:lineRule="auto"/>
        <w:rPr>
          <w:sz w:val="20"/>
          <w:szCs w:val="20"/>
          <w:color w:val="auto"/>
        </w:rPr>
      </w:pPr>
      <w:r>
        <w:rPr>
          <w:rFonts w:ascii="Courier New" w:cs="Courier New" w:eastAsia="Courier New" w:hAnsi="Courier New"/>
          <w:sz w:val="18"/>
          <w:szCs w:val="18"/>
          <w:color w:val="auto"/>
        </w:rPr>
        <w:t>There shall be placed on the certificates for Parent Ordinary Shares issued to the Stockholder, or any substitutions therefor, a legend stating in substance:</w:t>
      </w:r>
    </w:p>
    <w:p>
      <w:pPr>
        <w:spacing w:after="0" w:line="66" w:lineRule="exact"/>
        <w:rPr>
          <w:sz w:val="20"/>
          <w:szCs w:val="20"/>
          <w:color w:val="auto"/>
        </w:rPr>
      </w:pPr>
    </w:p>
    <w:p>
      <w:pPr>
        <w:ind w:right="1879" w:firstLine="948"/>
        <w:spacing w:after="0" w:line="256" w:lineRule="auto"/>
        <w:rPr>
          <w:sz w:val="20"/>
          <w:szCs w:val="20"/>
          <w:color w:val="auto"/>
        </w:rPr>
      </w:pPr>
      <w:r>
        <w:rPr>
          <w:rFonts w:ascii="Courier New" w:cs="Courier New" w:eastAsia="Courier New" w:hAnsi="Courier New"/>
          <w:sz w:val="18"/>
          <w:szCs w:val="18"/>
          <w:color w:val="auto"/>
        </w:rPr>
        <w:t>"THE SHARES REPRESENTED BY THIS CERTIFICATE WERE ISSUED IN A TRANSACTION TO WHICH RULE 145 PROMULGATED UNDER THE SECURITIES ACT OF 1933 APPLIES. THE SHARES HAVE NOT BEEN ACQUIRED BY THE HOLDER WITH A VIEW TO, OR FOR RESALE IN CONNECTION WITH, ANY DISTRIBUTION THEREOF WITHIN THE MEANING OF THE SECURITIES ACT OF 1933. THE SHARES MAY NOT BE SOLD, PLEDGED OR OTHERWISE TRANSFERRED EXCEPT IN ACCORDANCE WITH THE REGISTRATION REQUIREMENTS OF THE SECURITIES ACT OF 1933 OR AN EXEMPTION THEREFROM."</w:t>
      </w:r>
    </w:p>
    <w:p>
      <w:pPr>
        <w:spacing w:after="0" w:line="3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285" w:right="1440" w:bottom="1440" w:gutter="0" w:footer="0" w:header="0"/>
        </w:sectPr>
      </w:pPr>
    </w:p>
    <w:bookmarkStart w:id="75" w:name="page76"/>
    <w:bookmarkEnd w:id="75"/>
    <w:p>
      <w:pPr>
        <w:ind w:left="320"/>
        <w:spacing w:after="0"/>
        <w:rPr>
          <w:sz w:val="20"/>
          <w:szCs w:val="20"/>
          <w:color w:val="auto"/>
        </w:rPr>
      </w:pPr>
      <w:r>
        <w:rPr>
          <w:rFonts w:ascii="Courier New" w:cs="Courier New" w:eastAsia="Courier New" w:hAnsi="Courier New"/>
          <w:sz w:val="18"/>
          <w:szCs w:val="18"/>
          <w:color w:val="auto"/>
        </w:rPr>
        <w:t>10</w:t>
      </w:r>
    </w:p>
    <w:p>
      <w:pPr>
        <w:spacing w:after="0" w:line="31" w:lineRule="exact"/>
        <w:rPr>
          <w:sz w:val="20"/>
          <w:szCs w:val="20"/>
          <w:color w:val="auto"/>
        </w:rPr>
      </w:pPr>
    </w:p>
    <w:p>
      <w:pPr>
        <w:ind w:right="1999" w:firstLine="1896"/>
        <w:spacing w:after="0" w:line="295" w:lineRule="auto"/>
        <w:rPr>
          <w:sz w:val="20"/>
          <w:szCs w:val="20"/>
          <w:color w:val="auto"/>
        </w:rPr>
      </w:pPr>
      <w:r>
        <w:rPr>
          <w:rFonts w:ascii="Courier New" w:cs="Courier New" w:eastAsia="Courier New" w:hAnsi="Courier New"/>
          <w:sz w:val="16"/>
          <w:szCs w:val="16"/>
          <w:color w:val="auto"/>
        </w:rPr>
        <w:t>Section 5.5 Entire Agreement; No Third-Party Beneficiaries. This Agreement constitutes the entire agreement, and supersedes all prior agreements and understandings, both written and oral, among the parties with respect to the subject matter of this Agreement, and is not intended to confer upon any person other than the parties any rights or remedies.</w:t>
      </w:r>
    </w:p>
    <w:p>
      <w:pPr>
        <w:spacing w:after="0" w:line="70"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Section 5.6 Governing Law. This Agreement shall be governed by, and construed in accordance with, the laws of the State of Delaware, regardless of the laws that might otherwise govern under applicable principles of conflict of laws thereof.</w:t>
      </w:r>
    </w:p>
    <w:p>
      <w:pPr>
        <w:spacing w:after="0" w:line="82" w:lineRule="exact"/>
        <w:rPr>
          <w:sz w:val="20"/>
          <w:szCs w:val="20"/>
          <w:color w:val="auto"/>
        </w:rPr>
      </w:pPr>
    </w:p>
    <w:p>
      <w:pPr>
        <w:ind w:right="1779" w:firstLine="1896"/>
        <w:spacing w:after="0" w:line="298" w:lineRule="auto"/>
        <w:rPr>
          <w:sz w:val="20"/>
          <w:szCs w:val="20"/>
          <w:color w:val="auto"/>
        </w:rPr>
      </w:pPr>
      <w:r>
        <w:rPr>
          <w:rFonts w:ascii="Courier New" w:cs="Courier New" w:eastAsia="Courier New" w:hAnsi="Courier New"/>
          <w:sz w:val="16"/>
          <w:szCs w:val="16"/>
          <w:color w:val="auto"/>
        </w:rPr>
        <w:t>Section 5.7 Notices. All notices, requests, claims, demands and other communications under this Agreement shall be in writing and shall be deemed given if delivered personally, or sent by overnight courier (providing proof of delivery), in the case of the Stockholder, to the address set forth on Schedule A hereto or, in the case of Parent, to the address set forth below (or, in each case, at such other address as shall be specified by like notice).</w:t>
      </w:r>
    </w:p>
    <w:p>
      <w:pPr>
        <w:spacing w:after="0" w:line="68"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Amdocs Limited</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c/o Amdocs, Inc.</w:t>
      </w:r>
    </w:p>
    <w:p>
      <w:pPr>
        <w:ind w:left="3480"/>
        <w:spacing w:after="0" w:line="238" w:lineRule="auto"/>
        <w:rPr>
          <w:sz w:val="20"/>
          <w:szCs w:val="20"/>
          <w:color w:val="auto"/>
        </w:rPr>
      </w:pPr>
      <w:r>
        <w:rPr>
          <w:rFonts w:ascii="Courier New" w:cs="Courier New" w:eastAsia="Courier New" w:hAnsi="Courier New"/>
          <w:sz w:val="18"/>
          <w:szCs w:val="18"/>
          <w:color w:val="auto"/>
        </w:rPr>
        <w:t>1390 Timberlake Manor Parkway</w:t>
      </w:r>
    </w:p>
    <w:p>
      <w:pPr>
        <w:ind w:left="3480"/>
        <w:spacing w:after="0"/>
        <w:rPr>
          <w:sz w:val="20"/>
          <w:szCs w:val="20"/>
          <w:color w:val="auto"/>
        </w:rPr>
      </w:pPr>
      <w:r>
        <w:rPr>
          <w:rFonts w:ascii="Courier New" w:cs="Courier New" w:eastAsia="Courier New" w:hAnsi="Courier New"/>
          <w:sz w:val="18"/>
          <w:szCs w:val="18"/>
          <w:color w:val="auto"/>
        </w:rPr>
        <w:t>Chesterfield, Missouri 63017</w:t>
      </w:r>
    </w:p>
    <w:p>
      <w:pPr>
        <w:ind w:left="3480"/>
        <w:spacing w:after="0" w:line="238" w:lineRule="auto"/>
        <w:rPr>
          <w:sz w:val="20"/>
          <w:szCs w:val="20"/>
          <w:color w:val="auto"/>
        </w:rPr>
      </w:pPr>
      <w:r>
        <w:rPr>
          <w:rFonts w:ascii="Courier New" w:cs="Courier New" w:eastAsia="Courier New" w:hAnsi="Courier New"/>
          <w:sz w:val="18"/>
          <w:szCs w:val="18"/>
          <w:color w:val="auto"/>
        </w:rPr>
        <w:t>Attention: Thomas O'Brien</w:t>
      </w:r>
    </w:p>
    <w:p>
      <w:pPr>
        <w:ind w:left="3480"/>
        <w:spacing w:after="0"/>
        <w:rPr>
          <w:sz w:val="20"/>
          <w:szCs w:val="20"/>
          <w:color w:val="auto"/>
        </w:rPr>
      </w:pPr>
      <w:r>
        <w:rPr>
          <w:rFonts w:ascii="Courier New" w:cs="Courier New" w:eastAsia="Courier New" w:hAnsi="Courier New"/>
          <w:sz w:val="18"/>
          <w:szCs w:val="18"/>
          <w:color w:val="auto"/>
        </w:rPr>
        <w:t>Telecopy: (314) 212-8358</w:t>
      </w:r>
    </w:p>
    <w:p>
      <w:pPr>
        <w:spacing w:after="0" w:line="169"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with a copy (which shall not constitute notice) to:</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Reboul, MacMurray, Hewitt, Maynard &amp; Kristol</w:t>
      </w:r>
    </w:p>
    <w:p>
      <w:pPr>
        <w:spacing w:after="0" w:line="29"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45 Rockefeller Plaza</w:t>
      </w:r>
    </w:p>
    <w:p>
      <w:pPr>
        <w:ind w:left="3480"/>
        <w:spacing w:after="0" w:line="238" w:lineRule="auto"/>
        <w:rPr>
          <w:sz w:val="20"/>
          <w:szCs w:val="20"/>
          <w:color w:val="auto"/>
        </w:rPr>
      </w:pPr>
      <w:r>
        <w:rPr>
          <w:rFonts w:ascii="Courier New" w:cs="Courier New" w:eastAsia="Courier New" w:hAnsi="Courier New"/>
          <w:sz w:val="18"/>
          <w:szCs w:val="18"/>
          <w:color w:val="auto"/>
        </w:rPr>
        <w:t>New York, New York 10111</w:t>
      </w:r>
    </w:p>
    <w:p>
      <w:pPr>
        <w:ind w:left="3480"/>
        <w:spacing w:after="0"/>
        <w:rPr>
          <w:sz w:val="20"/>
          <w:szCs w:val="20"/>
          <w:color w:val="auto"/>
        </w:rPr>
      </w:pPr>
      <w:r>
        <w:rPr>
          <w:rFonts w:ascii="Courier New" w:cs="Courier New" w:eastAsia="Courier New" w:hAnsi="Courier New"/>
          <w:sz w:val="18"/>
          <w:szCs w:val="18"/>
          <w:color w:val="auto"/>
        </w:rPr>
        <w:t>Attention: Robert A. Schwed, Esq.</w:t>
      </w:r>
    </w:p>
    <w:p>
      <w:pPr>
        <w:ind w:left="3480"/>
        <w:spacing w:after="0"/>
        <w:rPr>
          <w:sz w:val="20"/>
          <w:szCs w:val="20"/>
          <w:color w:val="auto"/>
        </w:rPr>
      </w:pPr>
      <w:r>
        <w:rPr>
          <w:rFonts w:ascii="Courier New" w:cs="Courier New" w:eastAsia="Courier New" w:hAnsi="Courier New"/>
          <w:sz w:val="18"/>
          <w:szCs w:val="18"/>
          <w:color w:val="auto"/>
        </w:rPr>
        <w:t>Telecopy: (212) 841-5725</w:t>
      </w:r>
    </w:p>
    <w:p>
      <w:pPr>
        <w:spacing w:after="0" w:line="169" w:lineRule="exact"/>
        <w:rPr>
          <w:sz w:val="20"/>
          <w:szCs w:val="20"/>
          <w:color w:val="auto"/>
        </w:rPr>
      </w:pPr>
    </w:p>
    <w:p>
      <w:pPr>
        <w:ind w:right="1779" w:firstLine="1896"/>
        <w:spacing w:after="0" w:line="249" w:lineRule="auto"/>
        <w:rPr>
          <w:sz w:val="20"/>
          <w:szCs w:val="20"/>
          <w:color w:val="auto"/>
        </w:rPr>
      </w:pPr>
      <w:r>
        <w:rPr>
          <w:rFonts w:ascii="Courier New" w:cs="Courier New" w:eastAsia="Courier New" w:hAnsi="Courier New"/>
          <w:sz w:val="18"/>
          <w:szCs w:val="18"/>
          <w:color w:val="auto"/>
        </w:rPr>
        <w:t>Section 5.8 Assignment. Neither this Agreement nor any of the rights, interests, or obligations under this Agreement may be assigned or delegated, in whole or in part, by operation of law or otherwise, by any Stockholder without the prior written consent of Parent, and any such assignment or delegation that is not consented to shall be null and void. This Agreement, together with any rights, interests, or obligations of Parent hereunder, may be assigned or delegated, in whole or in part, by Parent without the consent of or any action by the Stockholder upon notice by Parent to the Stockholder as herein provided. Subject to the preceding sentence, this Agreement shall be binding upon, inure to the benefit of, and be enforceable by, the parties and their respective successors and assigns.</w:t>
      </w:r>
    </w:p>
    <w:p>
      <w:pPr>
        <w:spacing w:after="0" w:line="104" w:lineRule="exact"/>
        <w:rPr>
          <w:sz w:val="20"/>
          <w:szCs w:val="20"/>
          <w:color w:val="auto"/>
        </w:rPr>
      </w:pPr>
    </w:p>
    <w:p>
      <w:pPr>
        <w:ind w:right="1999" w:firstLine="1896"/>
        <w:spacing w:after="0" w:line="292" w:lineRule="auto"/>
        <w:rPr>
          <w:sz w:val="20"/>
          <w:szCs w:val="20"/>
          <w:color w:val="auto"/>
        </w:rPr>
      </w:pPr>
      <w:r>
        <w:rPr>
          <w:rFonts w:ascii="Courier New" w:cs="Courier New" w:eastAsia="Courier New" w:hAnsi="Courier New"/>
          <w:sz w:val="18"/>
          <w:szCs w:val="18"/>
          <w:color w:val="auto"/>
        </w:rPr>
        <w:t>Section 5.9 Further Assurances. In the event of any exercise of any Option by Parent, the applicable Selling Stockholder and Parent shall execute and deliver all other</w:t>
      </w:r>
    </w:p>
    <w:p>
      <w:pPr>
        <w:spacing w:after="0" w:line="6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285" w:right="1440" w:bottom="1440" w:gutter="0" w:footer="0" w:header="0"/>
        </w:sectPr>
      </w:pPr>
    </w:p>
    <w:bookmarkStart w:id="76" w:name="page77"/>
    <w:bookmarkEnd w:id="76"/>
    <w:p>
      <w:pPr>
        <w:ind w:left="320"/>
        <w:spacing w:after="0"/>
        <w:rPr>
          <w:sz w:val="20"/>
          <w:szCs w:val="20"/>
          <w:color w:val="auto"/>
        </w:rPr>
      </w:pPr>
      <w:r>
        <w:rPr>
          <w:rFonts w:ascii="Courier New" w:cs="Courier New" w:eastAsia="Courier New" w:hAnsi="Courier New"/>
          <w:sz w:val="18"/>
          <w:szCs w:val="18"/>
          <w:color w:val="auto"/>
        </w:rPr>
        <w:t>11</w:t>
      </w:r>
    </w:p>
    <w:p>
      <w:pPr>
        <w:spacing w:after="0" w:line="31" w:lineRule="exact"/>
        <w:rPr>
          <w:sz w:val="20"/>
          <w:szCs w:val="20"/>
          <w:color w:val="auto"/>
        </w:rPr>
      </w:pPr>
    </w:p>
    <w:p>
      <w:pPr>
        <w:ind w:right="2419"/>
        <w:spacing w:after="0" w:line="273" w:lineRule="auto"/>
        <w:rPr>
          <w:sz w:val="20"/>
          <w:szCs w:val="20"/>
          <w:color w:val="auto"/>
        </w:rPr>
      </w:pPr>
      <w:r>
        <w:rPr>
          <w:rFonts w:ascii="Courier New" w:cs="Courier New" w:eastAsia="Courier New" w:hAnsi="Courier New"/>
          <w:sz w:val="18"/>
          <w:szCs w:val="18"/>
          <w:color w:val="auto"/>
        </w:rPr>
        <w:t>documents and instruments and take all other action that may be reasonably necessary in order to consummate the transactions provided for herein in relation to such exercise.</w:t>
      </w:r>
    </w:p>
    <w:p>
      <w:pPr>
        <w:spacing w:after="0" w:line="82" w:lineRule="exact"/>
        <w:rPr>
          <w:sz w:val="20"/>
          <w:szCs w:val="20"/>
          <w:color w:val="auto"/>
        </w:rPr>
      </w:pPr>
    </w:p>
    <w:p>
      <w:pPr>
        <w:ind w:right="1779" w:firstLine="1896"/>
        <w:spacing w:after="0" w:line="276" w:lineRule="auto"/>
        <w:rPr>
          <w:sz w:val="20"/>
          <w:szCs w:val="20"/>
          <w:color w:val="auto"/>
        </w:rPr>
      </w:pPr>
      <w:r>
        <w:rPr>
          <w:rFonts w:ascii="Courier New" w:cs="Courier New" w:eastAsia="Courier New" w:hAnsi="Courier New"/>
          <w:sz w:val="16"/>
          <w:szCs w:val="16"/>
          <w:color w:val="auto"/>
        </w:rPr>
        <w:t>Section 5.10 Enforcement. Irreparable damage would occur in the event that any of the provisions of this Agreement were not performed in accordance with their specific terms or were otherwise breached. Accordingly, the parties shall be entitled to an injunction or injunctions to prevent breaches of this Agreement and to enforce specifically the terms and provisions of this Agreement in the Court of Chancery in and for New Castle County in the State of Delaware (or, if such court lacks subject matter jurisdiction, any appropriate state or federal court in New Castle County in the State of Delaware), this being in addition to any other remedy to which they are entitled at law or in equity. Each of the parties hereto (i) shall submit itself to the personal jurisdiction of the Court of Chancery in and for New Castle County in the State of Delaware (or, if such court lacks subject matter jurisdiction, any appropriate state or federal court in New Castle County in the State of Delaware) in the event any dispute arises out of this Agreement or any of the transactions contemplated by this Agreement, (ii) shall not attempt to deny or defeat such personal jurisdiction by motion or other request for leave from any such court, and (iii) shall not bring any action relating to this Agreement or any of the transactions contemplated hereby in any court other than the Court of Chancery in and for New Castle County in the State of Delaware (or, if such court lacks subject matter jurisdiction, any appropriate state or federal court in New Castle County in the State of Delaware).</w:t>
      </w:r>
    </w:p>
    <w:p>
      <w:pPr>
        <w:spacing w:after="0" w:line="200" w:lineRule="exact"/>
        <w:rPr>
          <w:sz w:val="20"/>
          <w:szCs w:val="20"/>
          <w:color w:val="auto"/>
        </w:rPr>
      </w:pPr>
    </w:p>
    <w:p>
      <w:pPr>
        <w:spacing w:after="0" w:line="296" w:lineRule="exact"/>
        <w:rPr>
          <w:sz w:val="20"/>
          <w:szCs w:val="20"/>
          <w:color w:val="auto"/>
        </w:rPr>
      </w:pPr>
    </w:p>
    <w:p>
      <w:pPr>
        <w:ind w:right="1779" w:firstLine="1896"/>
        <w:spacing w:after="0" w:line="250" w:lineRule="auto"/>
        <w:rPr>
          <w:sz w:val="20"/>
          <w:szCs w:val="20"/>
          <w:color w:val="auto"/>
        </w:rPr>
      </w:pPr>
      <w:r>
        <w:rPr>
          <w:rFonts w:ascii="Courier New" w:cs="Courier New" w:eastAsia="Courier New" w:hAnsi="Courier New"/>
          <w:sz w:val="18"/>
          <w:szCs w:val="18"/>
          <w:color w:val="auto"/>
        </w:rPr>
        <w:t>Section 5.11 Severability.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04" w:lineRule="exact"/>
        <w:rPr>
          <w:sz w:val="20"/>
          <w:szCs w:val="20"/>
          <w:color w:val="auto"/>
        </w:rPr>
      </w:pPr>
    </w:p>
    <w:p>
      <w:pPr>
        <w:ind w:right="1999" w:firstLine="1896"/>
        <w:spacing w:after="0" w:line="274" w:lineRule="auto"/>
        <w:rPr>
          <w:sz w:val="20"/>
          <w:szCs w:val="20"/>
          <w:color w:val="auto"/>
        </w:rPr>
      </w:pPr>
      <w:r>
        <w:rPr>
          <w:rFonts w:ascii="Courier New" w:cs="Courier New" w:eastAsia="Courier New" w:hAnsi="Courier New"/>
          <w:sz w:val="18"/>
          <w:szCs w:val="18"/>
          <w:color w:val="auto"/>
        </w:rPr>
        <w:t>Section 5.12 Counterparts. This Agreement may be executed in one or more counterparts, all of which shall be considered one and the same instrument and shall become effective when one or more counterparts have been signed by each party and delivered to the other parties.</w:t>
      </w:r>
    </w:p>
    <w:p>
      <w:pPr>
        <w:spacing w:after="0" w:line="82"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285" w:right="1440" w:bottom="1440" w:gutter="0" w:footer="0" w:header="0"/>
        </w:sectPr>
      </w:pPr>
    </w:p>
    <w:bookmarkStart w:id="77" w:name="page78"/>
    <w:bookmarkEnd w:id="77"/>
    <w:p>
      <w:pPr>
        <w:ind w:left="320"/>
        <w:spacing w:after="0"/>
        <w:rPr>
          <w:sz w:val="20"/>
          <w:szCs w:val="20"/>
          <w:color w:val="auto"/>
        </w:rPr>
      </w:pPr>
      <w:r>
        <w:rPr>
          <w:rFonts w:ascii="Courier New" w:cs="Courier New" w:eastAsia="Courier New" w:hAnsi="Courier New"/>
          <w:sz w:val="18"/>
          <w:szCs w:val="18"/>
          <w:color w:val="auto"/>
        </w:rPr>
        <w:t>12</w:t>
      </w:r>
    </w:p>
    <w:p>
      <w:pPr>
        <w:spacing w:after="0" w:line="31" w:lineRule="exact"/>
        <w:rPr>
          <w:sz w:val="20"/>
          <w:szCs w:val="20"/>
          <w:color w:val="auto"/>
        </w:rPr>
      </w:pPr>
    </w:p>
    <w:p>
      <w:pPr>
        <w:ind w:right="2739" w:firstLine="948"/>
        <w:spacing w:after="0" w:line="378" w:lineRule="auto"/>
        <w:rPr>
          <w:sz w:val="20"/>
          <w:szCs w:val="20"/>
          <w:color w:val="auto"/>
        </w:rPr>
      </w:pPr>
      <w:r>
        <w:rPr>
          <w:rFonts w:ascii="Courier New" w:cs="Courier New" w:eastAsia="Courier New" w:hAnsi="Courier New"/>
          <w:sz w:val="16"/>
          <w:szCs w:val="16"/>
          <w:color w:val="auto"/>
        </w:rPr>
        <w:t>IN WITNESS WHEREOF, each of the parties hereto has caused this Agreement to be signed as of the day and year first written above.</w:t>
      </w:r>
    </w:p>
    <w:p>
      <w:pPr>
        <w:spacing w:after="0" w:line="207"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AMDOCS LIMITED</w:t>
      </w:r>
    </w:p>
    <w:p>
      <w:pPr>
        <w:spacing w:after="0" w:line="200" w:lineRule="exact"/>
        <w:rPr>
          <w:sz w:val="20"/>
          <w:szCs w:val="20"/>
          <w:color w:val="auto"/>
        </w:rPr>
      </w:pPr>
    </w:p>
    <w:p>
      <w:pPr>
        <w:spacing w:after="0" w:line="204" w:lineRule="exact"/>
        <w:rPr>
          <w:sz w:val="20"/>
          <w:szCs w:val="20"/>
          <w:color w:val="auto"/>
        </w:rPr>
      </w:pPr>
    </w:p>
    <w:p>
      <w:pPr>
        <w:ind w:left="4960"/>
        <w:spacing w:after="0"/>
        <w:tabs>
          <w:tab w:leader="none" w:pos="5460" w:val="left"/>
        </w:tabs>
        <w:rPr>
          <w:sz w:val="20"/>
          <w:szCs w:val="20"/>
          <w:color w:val="auto"/>
        </w:rPr>
      </w:pPr>
      <w:r>
        <w:rPr>
          <w:rFonts w:ascii="Courier New" w:cs="Courier New" w:eastAsia="Courier New" w:hAnsi="Courier New"/>
          <w:sz w:val="18"/>
          <w:szCs w:val="18"/>
          <w:color w:val="auto"/>
        </w:rPr>
        <w:t>By:</w:t>
        <w:tab/>
        <w:t>/s/ THOMAS O'BRIEN</w:t>
      </w:r>
    </w:p>
    <w:p>
      <w:pPr>
        <w:spacing w:after="0" w:line="29"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Name: Thomas O'Brien</w:t>
      </w:r>
    </w:p>
    <w:p>
      <w:pPr>
        <w:ind w:left="4960"/>
        <w:spacing w:after="0"/>
        <w:rPr>
          <w:sz w:val="20"/>
          <w:szCs w:val="20"/>
          <w:color w:val="auto"/>
        </w:rPr>
      </w:pPr>
      <w:r>
        <w:rPr>
          <w:rFonts w:ascii="Courier New" w:cs="Courier New" w:eastAsia="Courier New" w:hAnsi="Courier New"/>
          <w:sz w:val="16"/>
          <w:szCs w:val="16"/>
          <w:color w:val="auto"/>
        </w:rPr>
        <w:t>Title: Treasurer and Secretary</w:t>
      </w:r>
    </w:p>
    <w:p>
      <w:pPr>
        <w:spacing w:after="0" w:line="394"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STOCKHOLDER: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8"/>
          <w:szCs w:val="18"/>
          <w:color w:val="auto"/>
        </w:rPr>
        <w:t>/s/Sandra Bakes</w:t>
      </w:r>
    </w:p>
    <w:p>
      <w:pPr>
        <w:spacing w:after="0" w:line="31" w:lineRule="exact"/>
        <w:rPr>
          <w:sz w:val="20"/>
          <w:szCs w:val="20"/>
          <w:color w:val="auto"/>
        </w:rPr>
      </w:pPr>
    </w:p>
    <w:p>
      <w:pPr>
        <w:jc w:val="right"/>
        <w:ind w:right="3159"/>
        <w:spacing w:after="0"/>
        <w:rPr>
          <w:sz w:val="20"/>
          <w:szCs w:val="20"/>
          <w:color w:val="auto"/>
        </w:rPr>
      </w:pPr>
      <w:r>
        <w:rPr>
          <w:rFonts w:ascii="Courier New" w:cs="Courier New" w:eastAsia="Courier New" w:hAnsi="Courier New"/>
          <w:sz w:val="18"/>
          <w:szCs w:val="18"/>
          <w:color w:val="auto"/>
        </w:rPr>
        <w:t>Sandra Bakes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285" w:right="1440" w:bottom="1440" w:gutter="0" w:footer="0" w:header="0"/>
        </w:sectPr>
      </w:pPr>
    </w:p>
    <w:bookmarkStart w:id="78" w:name="page79"/>
    <w:bookmarkEnd w:id="78"/>
    <w:p>
      <w:pPr>
        <w:ind w:left="320"/>
        <w:spacing w:after="0"/>
        <w:rPr>
          <w:sz w:val="20"/>
          <w:szCs w:val="20"/>
          <w:color w:val="auto"/>
        </w:rPr>
      </w:pPr>
      <w:r>
        <w:rPr>
          <w:rFonts w:ascii="Courier New" w:cs="Courier New" w:eastAsia="Courier New" w:hAnsi="Courier New"/>
          <w:sz w:val="18"/>
          <w:szCs w:val="18"/>
          <w:color w:val="auto"/>
        </w:rPr>
        <w:t>13</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SCHEDULE A</w:t>
      </w:r>
    </w:p>
    <w:p>
      <w:pPr>
        <w:sectPr>
          <w:pgSz w:w="11900" w:h="16838" w:orient="portrait"/>
          <w:cols w:equalWidth="0" w:num="1">
            <w:col w:w="10219"/>
          </w:cols>
          <w:pgMar w:left="240" w:top="285" w:right="1440" w:bottom="1440" w:gutter="0" w:footer="0" w:header="0"/>
        </w:sect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and Address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Stockholder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Common Stock</w:t>
      </w:r>
    </w:p>
    <w:p>
      <w:pPr>
        <w:spacing w:after="0" w:line="169" w:lineRule="exact"/>
        <w:rPr>
          <w:sz w:val="20"/>
          <w:szCs w:val="20"/>
          <w:color w:val="auto"/>
        </w:rPr>
      </w:pPr>
    </w:p>
    <w:p>
      <w:pPr>
        <w:sectPr>
          <w:pgSz w:w="11900" w:h="16838" w:orient="portrait"/>
          <w:cols w:equalWidth="0" w:num="2">
            <w:col w:w="3500" w:space="720"/>
            <w:col w:w="5999"/>
          </w:cols>
          <w:pgMar w:left="240" w:top="28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Sandra Bakes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787,668</w:t>
      </w:r>
    </w:p>
    <w:p>
      <w:pPr>
        <w:spacing w:after="0" w:line="200" w:lineRule="exact"/>
        <w:rPr>
          <w:sz w:val="20"/>
          <w:szCs w:val="20"/>
          <w:color w:val="auto"/>
        </w:rPr>
      </w:pPr>
    </w:p>
    <w:p>
      <w:pPr>
        <w:sectPr>
          <w:pgSz w:w="11900" w:h="16838" w:orient="portrait"/>
          <w:cols w:equalWidth="0" w:num="2">
            <w:col w:w="3500" w:space="720"/>
            <w:col w:w="5999"/>
          </w:cols>
          <w:pgMar w:left="240" w:top="28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285" w:right="1440" w:bottom="1440" w:gutter="0" w:footer="0" w:header="0"/>
          <w:type w:val="continuous"/>
        </w:sectPr>
      </w:pPr>
    </w:p>
    <w:bookmarkStart w:id="79" w:name="page80"/>
    <w:bookmarkEnd w:id="79"/>
    <w:p>
      <w:pPr>
        <w:ind w:left="320"/>
        <w:spacing w:after="0"/>
        <w:rPr>
          <w:sz w:val="20"/>
          <w:szCs w:val="20"/>
          <w:color w:val="auto"/>
        </w:rPr>
      </w:pPr>
      <w:r>
        <w:rPr>
          <w:rFonts w:ascii="Courier New" w:cs="Courier New" w:eastAsia="Courier New" w:hAnsi="Courier New"/>
          <w:sz w:val="18"/>
          <w:szCs w:val="18"/>
          <w:color w:val="auto"/>
        </w:rPr>
        <w:t>14</w:t>
      </w:r>
    </w:p>
    <w:p>
      <w:pPr>
        <w:spacing w:after="0" w:line="31" w:lineRule="exact"/>
        <w:rPr>
          <w:sz w:val="20"/>
          <w:szCs w:val="20"/>
          <w:color w:val="auto"/>
        </w:rPr>
      </w:pPr>
    </w:p>
    <w:p>
      <w:pPr>
        <w:ind w:left="7700"/>
        <w:spacing w:after="0"/>
        <w:rPr>
          <w:sz w:val="20"/>
          <w:szCs w:val="20"/>
          <w:color w:val="auto"/>
        </w:rPr>
      </w:pPr>
      <w:r>
        <w:rPr>
          <w:rFonts w:ascii="Courier New" w:cs="Courier New" w:eastAsia="Courier New" w:hAnsi="Courier New"/>
          <w:sz w:val="16"/>
          <w:szCs w:val="16"/>
          <w:color w:val="auto"/>
        </w:rPr>
        <w:t>ANNEX I</w:t>
      </w:r>
    </w:p>
    <w:p>
      <w:pPr>
        <w:sectPr>
          <w:pgSz w:w="11900" w:h="16838" w:orient="portrait"/>
          <w:cols w:equalWidth="0" w:num="1">
            <w:col w:w="10219"/>
          </w:cols>
          <w:pgMar w:left="240" w:top="285" w:right="1440" w:bottom="1440" w:gutter="0" w:footer="0" w:header="0"/>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w:t>
      </w:r>
    </w:p>
    <w:p>
      <w:pPr>
        <w:spacing w:after="0" w:line="200" w:lineRule="exact"/>
        <w:rPr>
          <w:sz w:val="20"/>
          <w:szCs w:val="20"/>
          <w:color w:val="auto"/>
        </w:rPr>
      </w:pPr>
    </w:p>
    <w:p>
      <w:pPr>
        <w:sectPr>
          <w:pgSz w:w="11900" w:h="16838" w:orient="portrait"/>
          <w:cols w:equalWidth="0" w:num="2">
            <w:col w:w="7080" w:space="720"/>
            <w:col w:w="2419"/>
          </w:cols>
          <w:pgMar w:left="240" w:top="285" w:right="1440" w:bottom="1440" w:gutter="0" w:footer="0" w:header="0"/>
          <w:type w:val="continuous"/>
        </w:sectPr>
      </w:pPr>
    </w:p>
    <w:p>
      <w:pPr>
        <w:spacing w:after="0" w:line="24"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On ___________________________, Stockholder sold the</w:t>
      </w:r>
    </w:p>
    <w:p>
      <w:pPr>
        <w:sectPr>
          <w:pgSz w:w="11900" w:h="16838" w:orient="portrait"/>
          <w:cols w:equalWidth="0" w:num="1">
            <w:col w:w="10219"/>
          </w:cols>
          <w:pgMar w:left="240" w:top="285" w:right="1440" w:bottom="1440" w:gutter="0" w:footer="0" w:header="0"/>
          <w:type w:val="continuous"/>
        </w:sectPr>
      </w:pPr>
    </w:p>
    <w:p>
      <w:pPr>
        <w:spacing w:after="0" w:line="1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securities of Amdocs Limited, a company organized under the laws of Guernsey, Channel Islands ("Parent"), described below in the space provided for that purpose (the "Securities"). The Securities were received by Stockholder in connection with the merger of Ivan Acquisition Corp. with and into International Telecommunication Data Systems, Inc.</w:t>
      </w:r>
    </w:p>
    <w:p>
      <w:pPr>
        <w:spacing w:after="0" w:line="111" w:lineRule="exact"/>
        <w:rPr>
          <w:sz w:val="20"/>
          <w:szCs w:val="20"/>
          <w:color w:val="auto"/>
        </w:rPr>
      </w:pPr>
    </w:p>
    <w:p>
      <w:pPr>
        <w:ind w:right="1779" w:firstLine="1896"/>
        <w:spacing w:after="0" w:line="318" w:lineRule="auto"/>
        <w:rPr>
          <w:sz w:val="20"/>
          <w:szCs w:val="20"/>
          <w:color w:val="auto"/>
        </w:rPr>
      </w:pPr>
      <w:r>
        <w:rPr>
          <w:rFonts w:ascii="Courier New" w:cs="Courier New" w:eastAsia="Courier New" w:hAnsi="Courier New"/>
          <w:sz w:val="16"/>
          <w:szCs w:val="16"/>
          <w:color w:val="auto"/>
        </w:rPr>
        <w:t>Based upon the most recent report or statement filed by Parent with the Securities and Exchange Commission, the Securities sold by Stockholder were within the prescribed limitations set forth in paragraph (e) of Rule 144 promulgated under the Securities Act of 1933, as amended (the "Securities Act").</w:t>
      </w:r>
    </w:p>
    <w:p>
      <w:pPr>
        <w:spacing w:after="0" w:line="52" w:lineRule="exact"/>
        <w:rPr>
          <w:sz w:val="20"/>
          <w:szCs w:val="20"/>
          <w:color w:val="auto"/>
        </w:rPr>
      </w:pPr>
    </w:p>
    <w:p>
      <w:pPr>
        <w:ind w:right="1779" w:firstLine="1896"/>
        <w:spacing w:after="0" w:line="289" w:lineRule="auto"/>
        <w:rPr>
          <w:sz w:val="20"/>
          <w:szCs w:val="20"/>
          <w:color w:val="auto"/>
        </w:rPr>
      </w:pPr>
      <w:r>
        <w:rPr>
          <w:rFonts w:ascii="Courier New" w:cs="Courier New" w:eastAsia="Courier New" w:hAnsi="Courier New"/>
          <w:sz w:val="16"/>
          <w:szCs w:val="16"/>
          <w:color w:val="auto"/>
        </w:rPr>
        <w:t>Stockholder hereby represents that the Securities were sold in "brokers' transactions" within the meaning of Section 4(4) of the Securities Act or in transactions directly with a "market maker" as that term is defined in Section 3(a)(38) of the Securities Exchange Act of 1934, as amended. Stockholder further represents that Stockholder has not solicited or arranged for the solicitation of orders to buy the Securities, and that Stockholder has not made any payment in connection with the offer or sale of the Securities to any person other than to the broker who executed the order in respect of such sale.</w:t>
      </w:r>
    </w:p>
    <w:p>
      <w:pPr>
        <w:spacing w:after="0" w:line="280"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[Space to be provided for description of the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285" w:right="1440" w:bottom="1440" w:gutter="0" w:footer="0" w:header="0"/>
          <w:type w:val="continuous"/>
        </w:sectPr>
      </w:pPr>
    </w:p>
    <w:bookmarkStart w:id="80" w:name="page81"/>
    <w:bookmarkEnd w:id="80"/>
    <w:p>
      <w:pPr>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320" w:right="2099"/>
        <w:spacing w:after="0" w:line="309" w:lineRule="auto"/>
        <w:rPr>
          <w:sz w:val="20"/>
          <w:szCs w:val="20"/>
          <w:color w:val="auto"/>
        </w:rPr>
      </w:pPr>
      <w:r>
        <w:rPr>
          <w:rFonts w:ascii="Courier New" w:cs="Courier New" w:eastAsia="Courier New" w:hAnsi="Courier New"/>
          <w:sz w:val="18"/>
          <w:szCs w:val="18"/>
          <w:color w:val="auto"/>
        </w:rPr>
        <w:t>AMDOCS LIMITED TO ACQUIRE INTERNATIONAL TELECOMMUNICATION DATA SYSTEMS, INC.</w:t>
      </w:r>
    </w:p>
    <w:p>
      <w:pPr>
        <w:spacing w:after="0" w:line="51" w:lineRule="exact"/>
        <w:rPr>
          <w:sz w:val="20"/>
          <w:szCs w:val="20"/>
          <w:color w:val="auto"/>
        </w:rPr>
      </w:pPr>
    </w:p>
    <w:p>
      <w:pPr>
        <w:ind w:left="320" w:right="1779"/>
        <w:spacing w:after="0" w:line="347" w:lineRule="auto"/>
        <w:rPr>
          <w:sz w:val="20"/>
          <w:szCs w:val="20"/>
          <w:color w:val="auto"/>
        </w:rPr>
      </w:pPr>
      <w:r>
        <w:rPr>
          <w:rFonts w:ascii="Courier New" w:cs="Courier New" w:eastAsia="Courier New" w:hAnsi="Courier New"/>
          <w:sz w:val="18"/>
          <w:szCs w:val="18"/>
          <w:color w:val="auto"/>
        </w:rPr>
        <w:t>INDUSTRY LEADER IN CUSTOMER CARE AND BILLING SOLUTIONS EXPANDS OUTSOURCING CAPABILITIES</w:t>
      </w:r>
    </w:p>
    <w:p>
      <w:pPr>
        <w:spacing w:after="0" w:line="18" w:lineRule="exact"/>
        <w:rPr>
          <w:sz w:val="20"/>
          <w:szCs w:val="20"/>
          <w:color w:val="auto"/>
        </w:rPr>
      </w:pPr>
    </w:p>
    <w:p>
      <w:pPr>
        <w:ind w:left="320" w:right="1779"/>
        <w:spacing w:after="0" w:line="253" w:lineRule="auto"/>
        <w:rPr>
          <w:sz w:val="20"/>
          <w:szCs w:val="20"/>
          <w:color w:val="auto"/>
        </w:rPr>
      </w:pPr>
      <w:r>
        <w:rPr>
          <w:rFonts w:ascii="Courier New" w:cs="Courier New" w:eastAsia="Courier New" w:hAnsi="Courier New"/>
          <w:sz w:val="18"/>
          <w:szCs w:val="18"/>
          <w:color w:val="auto"/>
        </w:rPr>
        <w:t>ST. LOUIS and STAMFORD, Conn.-- Sept. 6, 1999 --Amdocs Limited (NYSE: DOX news), a global leader in customer care, billing and order management solutions for the telecom industry, and International Telecommunication Data Systems, Inc. (NASDAQ: ITDS - news), a leading provider of outsourcing and service bureau solutions to telecom companies, today jointly announced an agreement for Amdocs Limited to acquire International Telecommunication Data Systems, Inc. (ITDS) for approximately $182 million in Amdocs shares.</w:t>
      </w:r>
    </w:p>
    <w:p>
      <w:pPr>
        <w:spacing w:after="0" w:line="104" w:lineRule="exact"/>
        <w:rPr>
          <w:sz w:val="20"/>
          <w:szCs w:val="20"/>
          <w:color w:val="auto"/>
        </w:rPr>
      </w:pPr>
    </w:p>
    <w:p>
      <w:pPr>
        <w:ind w:left="320" w:right="1779"/>
        <w:spacing w:after="0" w:line="274" w:lineRule="auto"/>
        <w:rPr>
          <w:sz w:val="20"/>
          <w:szCs w:val="20"/>
          <w:color w:val="auto"/>
        </w:rPr>
      </w:pPr>
      <w:r>
        <w:rPr>
          <w:rFonts w:ascii="Courier New" w:cs="Courier New" w:eastAsia="Courier New" w:hAnsi="Courier New"/>
          <w:sz w:val="18"/>
          <w:szCs w:val="18"/>
          <w:color w:val="auto"/>
        </w:rPr>
        <w:t>The combination expands the scope of Amdocs' solution services through the enhancement of outsourcing capabilities for telecom customer care and billing operations. Amdocs expects the transaction to be accretive to its earnings immediately upon close of the transaction.</w:t>
      </w:r>
    </w:p>
    <w:p>
      <w:pPr>
        <w:spacing w:after="0" w:line="82" w:lineRule="exact"/>
        <w:rPr>
          <w:sz w:val="20"/>
          <w:szCs w:val="20"/>
          <w:color w:val="auto"/>
        </w:rPr>
      </w:pPr>
    </w:p>
    <w:p>
      <w:pPr>
        <w:ind w:left="320" w:right="1779"/>
        <w:spacing w:after="0" w:line="253" w:lineRule="auto"/>
        <w:rPr>
          <w:sz w:val="20"/>
          <w:szCs w:val="20"/>
          <w:color w:val="auto"/>
        </w:rPr>
      </w:pPr>
      <w:r>
        <w:rPr>
          <w:rFonts w:ascii="Courier New" w:cs="Courier New" w:eastAsia="Courier New" w:hAnsi="Courier New"/>
          <w:sz w:val="18"/>
          <w:szCs w:val="18"/>
          <w:color w:val="auto"/>
        </w:rPr>
        <w:t>"The deal brings together powerful, scalable customer care and billing systems from Amdocs with proven billing outsourcing capabilities from ITDS," said Avi Naor, President and Chief Executive Officer of Amdocs Management Limited. "Amdocs currently supports its customer care and billing customers with a rich services offering including customization, implementation, system integration and ongoing support. With the acquisition of ITDS, we will be expanding our services capabilities in the outsourcing area."</w:t>
      </w:r>
    </w:p>
    <w:p>
      <w:pPr>
        <w:spacing w:after="0" w:line="104" w:lineRule="exact"/>
        <w:rPr>
          <w:sz w:val="20"/>
          <w:szCs w:val="20"/>
          <w:color w:val="auto"/>
        </w:rPr>
      </w:pPr>
    </w:p>
    <w:p>
      <w:pPr>
        <w:ind w:left="320" w:right="1879"/>
        <w:spacing w:after="0" w:line="256" w:lineRule="auto"/>
        <w:rPr>
          <w:sz w:val="20"/>
          <w:szCs w:val="20"/>
          <w:color w:val="auto"/>
        </w:rPr>
      </w:pPr>
      <w:r>
        <w:rPr>
          <w:rFonts w:ascii="Courier New" w:cs="Courier New" w:eastAsia="Courier New" w:hAnsi="Courier New"/>
          <w:sz w:val="18"/>
          <w:szCs w:val="18"/>
          <w:color w:val="auto"/>
        </w:rPr>
        <w:t>Naor added, "In our target market, which comprises high-end and mid-tier providers of wireless, wireline, data and convergence services, we are witnessing demand for outsourcing as well as in-house solutions. The ITDS acquisition allows Amdocs to expedite the expansion of our outsourcing services offering. In addition, ITDS' focus on establishing long-term relationships with their customers is consistent with our business model and the high visibility of our business performance."</w:t>
      </w:r>
    </w:p>
    <w:p>
      <w:pPr>
        <w:spacing w:after="0" w:line="98" w:lineRule="exact"/>
        <w:rPr>
          <w:sz w:val="20"/>
          <w:szCs w:val="20"/>
          <w:color w:val="auto"/>
        </w:rPr>
      </w:pPr>
    </w:p>
    <w:p>
      <w:pPr>
        <w:ind w:left="320" w:right="1999"/>
        <w:spacing w:after="0" w:line="293" w:lineRule="auto"/>
        <w:rPr>
          <w:sz w:val="20"/>
          <w:szCs w:val="20"/>
          <w:color w:val="auto"/>
        </w:rPr>
      </w:pPr>
      <w:r>
        <w:rPr>
          <w:rFonts w:ascii="Courier New" w:cs="Courier New" w:eastAsia="Courier New" w:hAnsi="Courier New"/>
          <w:sz w:val="16"/>
          <w:szCs w:val="16"/>
          <w:color w:val="auto"/>
        </w:rPr>
        <w:t>"The deal is a good fit for both companies, complementing our respective capabilities," said Lewis Bakes, Chairman of the Board of ITDS. "The combined company will expand the total market currently addressed by Amdocs and ITDS, based on a set of systems and outsourcing capabilities that is unmatched in the industry. Our collective scalable software and data processing solutions will be very attractive to carriers and resellers, both domestically and internationally."</w:t>
      </w:r>
    </w:p>
    <w:p>
      <w:pPr>
        <w:spacing w:after="0" w:line="72" w:lineRule="exact"/>
        <w:rPr>
          <w:sz w:val="20"/>
          <w:szCs w:val="20"/>
          <w:color w:val="auto"/>
        </w:rPr>
      </w:pPr>
    </w:p>
    <w:p>
      <w:pPr>
        <w:ind w:left="320" w:right="1879"/>
        <w:spacing w:after="0" w:line="318" w:lineRule="auto"/>
        <w:rPr>
          <w:sz w:val="20"/>
          <w:szCs w:val="20"/>
          <w:color w:val="auto"/>
        </w:rPr>
      </w:pPr>
      <w:r>
        <w:rPr>
          <w:rFonts w:ascii="Courier New" w:cs="Courier New" w:eastAsia="Courier New" w:hAnsi="Courier New"/>
          <w:sz w:val="16"/>
          <w:szCs w:val="16"/>
          <w:color w:val="auto"/>
        </w:rPr>
        <w:t>Under the terms of the agreement, Amdocs will acquire all outstanding shares of ITDS in a stock-for-stock merger transaction that will be accounted for using the purchase accounting method under U.S. GAAP rules. In the merger, each ITDS common share will be exchanged for a number of</w:t>
      </w:r>
    </w:p>
    <w:p>
      <w:pPr>
        <w:sectPr>
          <w:pgSz w:w="11900" w:h="16838" w:orient="portrait"/>
          <w:cols w:equalWidth="0" w:num="1">
            <w:col w:w="9899"/>
          </w:cols>
          <w:pgMar w:left="560" w:top="110" w:right="1440" w:bottom="1440" w:gutter="0" w:footer="0" w:header="0"/>
        </w:sectPr>
      </w:pPr>
    </w:p>
    <w:bookmarkStart w:id="81" w:name="page82"/>
    <w:bookmarkEnd w:id="81"/>
    <w:p>
      <w:pPr>
        <w:spacing w:after="0"/>
        <w:rPr>
          <w:sz w:val="20"/>
          <w:szCs w:val="20"/>
          <w:color w:val="auto"/>
        </w:rPr>
      </w:pPr>
      <w:r>
        <w:rPr>
          <w:rFonts w:ascii="Courier New" w:cs="Courier New" w:eastAsia="Courier New" w:hAnsi="Courier New"/>
          <w:sz w:val="18"/>
          <w:szCs w:val="18"/>
          <w:color w:val="auto"/>
        </w:rPr>
        <w:t>2</w:t>
      </w:r>
    </w:p>
    <w:p>
      <w:pPr>
        <w:spacing w:after="0" w:line="2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Amdocs Ordinary Shares equal to $10.50 divided by the ten-day average</w:t>
      </w:r>
    </w:p>
    <w:p>
      <w:pPr>
        <w:ind w:left="320"/>
        <w:spacing w:after="0"/>
        <w:rPr>
          <w:sz w:val="20"/>
          <w:szCs w:val="20"/>
          <w:color w:val="auto"/>
        </w:rPr>
      </w:pPr>
      <w:r>
        <w:rPr>
          <w:rFonts w:ascii="Courier New" w:cs="Courier New" w:eastAsia="Courier New" w:hAnsi="Courier New"/>
          <w:sz w:val="16"/>
          <w:szCs w:val="16"/>
          <w:color w:val="auto"/>
        </w:rPr>
        <w:t>closing price of the Amdocs shares immediately prior to the completion of</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the merger, subject to a maximum exchange ratio of .4603 and a minimum</w:t>
      </w:r>
    </w:p>
    <w:p>
      <w:pPr>
        <w:ind w:left="320"/>
        <w:spacing w:after="0"/>
        <w:rPr>
          <w:sz w:val="20"/>
          <w:szCs w:val="20"/>
          <w:color w:val="auto"/>
        </w:rPr>
      </w:pPr>
      <w:r>
        <w:rPr>
          <w:rFonts w:ascii="Courier New" w:cs="Courier New" w:eastAsia="Courier New" w:hAnsi="Courier New"/>
          <w:sz w:val="16"/>
          <w:szCs w:val="16"/>
          <w:color w:val="auto"/>
        </w:rPr>
        <w:t>exchange ratio of .3717. In addition, Amdocs will convert ITDS options to</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Amdocs options according to the same exchange ratio. To complete the</w:t>
      </w:r>
    </w:p>
    <w:p>
      <w:pPr>
        <w:ind w:left="320"/>
        <w:spacing w:after="0"/>
        <w:rPr>
          <w:sz w:val="20"/>
          <w:szCs w:val="20"/>
          <w:color w:val="auto"/>
        </w:rPr>
      </w:pPr>
      <w:r>
        <w:rPr>
          <w:rFonts w:ascii="Courier New" w:cs="Courier New" w:eastAsia="Courier New" w:hAnsi="Courier New"/>
          <w:sz w:val="16"/>
          <w:szCs w:val="16"/>
          <w:color w:val="auto"/>
        </w:rPr>
        <w:t>transaction, Amdocs will file a registration statement for the issuance of</w:t>
      </w:r>
    </w:p>
    <w:p>
      <w:pPr>
        <w:spacing w:after="0" w:line="20"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approximately 6.6 million shares, based on a recent closing price of</w:t>
      </w:r>
    </w:p>
    <w:p>
      <w:pPr>
        <w:ind w:left="320"/>
        <w:spacing w:after="0" w:line="238" w:lineRule="auto"/>
        <w:rPr>
          <w:sz w:val="20"/>
          <w:szCs w:val="20"/>
          <w:color w:val="auto"/>
        </w:rPr>
      </w:pPr>
      <w:r>
        <w:rPr>
          <w:rFonts w:ascii="Courier New" w:cs="Courier New" w:eastAsia="Courier New" w:hAnsi="Courier New"/>
          <w:sz w:val="18"/>
          <w:szCs w:val="18"/>
          <w:color w:val="auto"/>
        </w:rPr>
        <w:t>$27.50 for Amdocs' shares. Closing of the transaction is subject to the</w:t>
      </w:r>
    </w:p>
    <w:p>
      <w:pPr>
        <w:ind w:left="320"/>
        <w:spacing w:after="0"/>
        <w:rPr>
          <w:sz w:val="20"/>
          <w:szCs w:val="20"/>
          <w:color w:val="auto"/>
        </w:rPr>
      </w:pPr>
      <w:r>
        <w:rPr>
          <w:rFonts w:ascii="Courier New" w:cs="Courier New" w:eastAsia="Courier New" w:hAnsi="Courier New"/>
          <w:sz w:val="16"/>
          <w:szCs w:val="16"/>
          <w:color w:val="auto"/>
        </w:rPr>
        <w:t>approval of ITDS shareholders and required regulatory approvals as well as</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certain other customary closing conditions. Amdocs expects the transaction</w:t>
      </w:r>
    </w:p>
    <w:p>
      <w:pPr>
        <w:spacing w:after="0" w:line="2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to close by the end of December 1999.</w:t>
      </w:r>
    </w:p>
    <w:p>
      <w:pPr>
        <w:spacing w:after="0" w:line="169"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Amdocs Limited</w:t>
      </w:r>
    </w:p>
    <w:p>
      <w:pPr>
        <w:spacing w:after="0" w:line="201" w:lineRule="exact"/>
        <w:rPr>
          <w:sz w:val="20"/>
          <w:szCs w:val="20"/>
          <w:color w:val="auto"/>
        </w:rPr>
      </w:pPr>
    </w:p>
    <w:p>
      <w:pPr>
        <w:ind w:left="320" w:right="1779"/>
        <w:spacing w:after="0" w:line="256" w:lineRule="auto"/>
        <w:rPr>
          <w:sz w:val="20"/>
          <w:szCs w:val="20"/>
          <w:color w:val="auto"/>
        </w:rPr>
      </w:pPr>
      <w:r>
        <w:rPr>
          <w:rFonts w:ascii="Courier New" w:cs="Courier New" w:eastAsia="Courier New" w:hAnsi="Courier New"/>
          <w:sz w:val="18"/>
          <w:szCs w:val="18"/>
          <w:color w:val="auto"/>
        </w:rPr>
        <w:t>Amdocs is a leading provider of product-driven information system solutions to premier telecommunications companies worldwide. Amdocs has an unparalleled success record in project delivery of its mission-critical products. With human resources of over 4,300 information systems professionals dedicated to the telecommunications industry, Amdocs has an installed base of successful projects with more than 70 major telecommunications companies throughout the world.</w:t>
      </w:r>
    </w:p>
    <w:p>
      <w:pPr>
        <w:spacing w:after="0" w:line="98" w:lineRule="exact"/>
        <w:rPr>
          <w:sz w:val="20"/>
          <w:szCs w:val="20"/>
          <w:color w:val="auto"/>
        </w:rPr>
      </w:pPr>
    </w:p>
    <w:p>
      <w:pPr>
        <w:ind w:left="320" w:right="1779"/>
        <w:spacing w:after="0" w:line="253" w:lineRule="auto"/>
        <w:rPr>
          <w:sz w:val="20"/>
          <w:szCs w:val="20"/>
          <w:color w:val="auto"/>
        </w:rPr>
      </w:pPr>
      <w:r>
        <w:rPr>
          <w:rFonts w:ascii="Courier New" w:cs="Courier New" w:eastAsia="Courier New" w:hAnsi="Courier New"/>
          <w:sz w:val="18"/>
          <w:szCs w:val="18"/>
          <w:color w:val="auto"/>
        </w:rPr>
        <w:t>Amdocs' Ensemble(TM) system supports convergent customer care, billing and order management activities in single and multi-service environments including local, cellular, data, long distance, international, cable, paging, Internet and Voice over the Internet Protocol (VOIP). Ensemble includes advanced capabilities such as a flexible customer hierarchy facility, and multi-service rating engine. The system utilizes a scaleable, client-server UNIX platform, and has been proven to support the high-volume performance requirements of leading carriers.</w:t>
      </w:r>
    </w:p>
    <w:p>
      <w:pPr>
        <w:spacing w:after="0" w:line="104" w:lineRule="exact"/>
        <w:rPr>
          <w:sz w:val="20"/>
          <w:szCs w:val="20"/>
          <w:color w:val="auto"/>
        </w:rPr>
      </w:pPr>
    </w:p>
    <w:p>
      <w:pPr>
        <w:ind w:left="320" w:right="1879"/>
        <w:spacing w:after="0" w:line="402" w:lineRule="auto"/>
        <w:rPr>
          <w:sz w:val="20"/>
          <w:szCs w:val="20"/>
          <w:color w:val="auto"/>
        </w:rPr>
      </w:pPr>
      <w:r>
        <w:rPr>
          <w:rFonts w:ascii="Courier New" w:cs="Courier New" w:eastAsia="Courier New" w:hAnsi="Courier New"/>
          <w:sz w:val="16"/>
          <w:szCs w:val="16"/>
          <w:color w:val="auto"/>
        </w:rPr>
        <w:t>For further information please call the Amdocs investor relations line at 314-212-8328 or visit our World Wide Web site at http://www.amdocs.com.</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Ensemble is a trademark of Amdocs Limited.</w:t>
      </w:r>
    </w:p>
    <w:p>
      <w:pPr>
        <w:spacing w:after="0" w:line="20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ITDS</w:t>
      </w:r>
    </w:p>
    <w:p>
      <w:pPr>
        <w:spacing w:after="0" w:line="201" w:lineRule="exact"/>
        <w:rPr>
          <w:sz w:val="20"/>
          <w:szCs w:val="20"/>
          <w:color w:val="auto"/>
        </w:rPr>
      </w:pPr>
    </w:p>
    <w:p>
      <w:pPr>
        <w:ind w:left="320" w:right="1779"/>
        <w:spacing w:after="0" w:line="287" w:lineRule="auto"/>
        <w:rPr>
          <w:sz w:val="20"/>
          <w:szCs w:val="20"/>
          <w:color w:val="auto"/>
        </w:rPr>
      </w:pPr>
      <w:r>
        <w:rPr>
          <w:rFonts w:ascii="Courier New" w:cs="Courier New" w:eastAsia="Courier New" w:hAnsi="Courier New"/>
          <w:sz w:val="16"/>
          <w:szCs w:val="16"/>
          <w:color w:val="auto"/>
        </w:rPr>
        <w:t>ITDS offers advanced billing, customer care and management information systems which form the foundation for a suite of applications that provide not only subscriber billing and service support, but also the means to automate subscriber activation, remittance processing, collections, data retrieval and reporting, electronic funds transfer, credit management, inventory management and data archiving. ITDS' state-of-the-art data centers located at its facilities in Stamford, Connecticut and Champaign, Illinois, supported by a staff of approximately 750 professionals, produce almost 9 million telephone invoices monthly.</w:t>
      </w:r>
    </w:p>
    <w:p>
      <w:pPr>
        <w:spacing w:after="0" w:line="75" w:lineRule="exact"/>
        <w:rPr>
          <w:sz w:val="20"/>
          <w:szCs w:val="20"/>
          <w:color w:val="auto"/>
        </w:rPr>
      </w:pPr>
    </w:p>
    <w:p>
      <w:pPr>
        <w:ind w:left="320" w:right="1879"/>
        <w:spacing w:after="0" w:line="292" w:lineRule="auto"/>
        <w:rPr>
          <w:sz w:val="20"/>
          <w:szCs w:val="20"/>
          <w:color w:val="auto"/>
        </w:rPr>
      </w:pPr>
      <w:r>
        <w:rPr>
          <w:rFonts w:ascii="Courier New" w:cs="Courier New" w:eastAsia="Courier New" w:hAnsi="Courier New"/>
          <w:sz w:val="18"/>
          <w:szCs w:val="18"/>
          <w:color w:val="auto"/>
        </w:rPr>
        <w:t>ITDS is a registered service mark of International Telecommunication Data Systems, Inc. Additional information about ITDS is available on the Internet at http://www.itds.com.</w:t>
      </w:r>
    </w:p>
    <w:p>
      <w:pPr>
        <w:spacing w:after="0" w:line="66" w:lineRule="exact"/>
        <w:rPr>
          <w:sz w:val="20"/>
          <w:szCs w:val="20"/>
          <w:color w:val="auto"/>
        </w:rPr>
      </w:pPr>
    </w:p>
    <w:p>
      <w:pPr>
        <w:ind w:left="320" w:right="1879"/>
        <w:spacing w:after="0" w:line="344" w:lineRule="auto"/>
        <w:rPr>
          <w:sz w:val="20"/>
          <w:szCs w:val="20"/>
          <w:color w:val="auto"/>
        </w:rPr>
      </w:pPr>
      <w:r>
        <w:rPr>
          <w:rFonts w:ascii="Courier New" w:cs="Courier New" w:eastAsia="Courier New" w:hAnsi="Courier New"/>
          <w:sz w:val="16"/>
          <w:szCs w:val="16"/>
          <w:color w:val="auto"/>
        </w:rPr>
        <w:t>This news release may contain certain forward-looking statements relating to the future performance of Amdocs Ltd. and ITDS. The forward-looking information is within the meaning of Section 27A of the Securities Act of</w:t>
      </w:r>
    </w:p>
    <w:p>
      <w:pPr>
        <w:sectPr>
          <w:pgSz w:w="11900" w:h="16838" w:orient="portrait"/>
          <w:cols w:equalWidth="0" w:num="1">
            <w:col w:w="9899"/>
          </w:cols>
          <w:pgMar w:left="560" w:top="285"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left="320" w:right="1779"/>
        <w:spacing w:after="0" w:line="304" w:lineRule="auto"/>
        <w:rPr>
          <w:sz w:val="20"/>
          <w:szCs w:val="20"/>
          <w:color w:val="auto"/>
        </w:rPr>
      </w:pPr>
      <w:r>
        <w:rPr>
          <w:rFonts w:ascii="Courier New" w:cs="Courier New" w:eastAsia="Courier New" w:hAnsi="Courier New"/>
          <w:sz w:val="16"/>
          <w:szCs w:val="16"/>
          <w:color w:val="auto"/>
        </w:rPr>
        <w:t>1933 and Section 21E of the Securities Act of 1934, and subject to certain risks and uncertainties, and actual results may differ materially. These risks and uncertainties are described in greater detail in Amdocs' and ITDS' filings with the Securities and Exchange Commission.</w:t>
      </w:r>
    </w:p>
    <w:sectPr>
      <w:pgSz w:w="11900" w:h="16838" w:orient="portrait"/>
      <w:cols w:equalWidth="0" w:num="1">
        <w:col w:w="9899"/>
      </w:cols>
      <w:pgMar w:left="560" w:top="28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63B9EA"/>
    <w:multiLevelType w:val="hybridMultilevel"/>
    <w:lvl w:ilvl="0">
      <w:lvlJc w:val="left"/>
      <w:lvlText w:val="(%1)"/>
      <w:numFmt w:val="lowerLetter"/>
      <w:start w:val="2"/>
    </w:lvl>
  </w:abstractNum>
  <w:abstractNum w:abstractNumId="1">
    <w:nsid w:val="5E884ADC"/>
    <w:multiLevelType w:val="hybridMultilevel"/>
    <w:lvl w:ilvl="0">
      <w:lvlJc w:val="left"/>
      <w:lvlText w:val="(%1)"/>
      <w:numFmt w:val="lowerLetter"/>
      <w:start w:val="1"/>
    </w:lvl>
  </w:abstractNum>
  <w:abstractNum w:abstractNumId="2">
    <w:nsid w:val="51EAD36B"/>
    <w:multiLevelType w:val="hybridMultilevel"/>
    <w:lvl w:ilvl="0">
      <w:lvlJc w:val="left"/>
      <w:lvlText w:val="(%1)"/>
      <w:numFmt w:val="lowerRoman"/>
      <w:start w:val="1"/>
    </w:lvl>
  </w:abstractNum>
  <w:abstractNum w:abstractNumId="3">
    <w:nsid w:val="2D517796"/>
    <w:multiLevelType w:val="hybridMultilevel"/>
    <w:lvl w:ilvl="0">
      <w:lvlJc w:val="left"/>
      <w:lvlText w:val="(%1)"/>
      <w:numFmt w:val="lowerRoman"/>
      <w:start w:val="1"/>
    </w:lvl>
  </w:abstractNum>
  <w:abstractNum w:abstractNumId="4">
    <w:nsid w:val="580BD78F"/>
    <w:multiLevelType w:val="hybridMultilevel"/>
    <w:lvl w:ilvl="0">
      <w:lvlJc w:val="left"/>
      <w:lvlText w:val="(%1)"/>
      <w:numFmt w:val="lowerLetter"/>
      <w:start w:val="2"/>
    </w:lvl>
  </w:abstractNum>
  <w:abstractNum w:abstractNumId="5">
    <w:nsid w:val="153EA438"/>
    <w:multiLevelType w:val="hybridMultilevel"/>
    <w:lvl w:ilvl="0">
      <w:lvlJc w:val="left"/>
      <w:lvlText w:val="%1"/>
      <w:numFmt w:val="upperLetter"/>
      <w:start w:val="1"/>
    </w:lvl>
    <w:lvl w:ilvl="1">
      <w:lvlJc w:val="left"/>
      <w:lvlText w:val="(%2)"/>
      <w:numFmt w:val="lowerLetter"/>
      <w:start w:val="2"/>
    </w:lvl>
  </w:abstractNum>
  <w:abstractNum w:abstractNumId="6">
    <w:nsid w:val="3855585C"/>
    <w:multiLevelType w:val="hybridMultilevel"/>
    <w:lvl w:ilvl="0">
      <w:lvlJc w:val="left"/>
      <w:lvlText w:val="(%1)"/>
      <w:numFmt w:val="upperLetter"/>
      <w:start w:val="2"/>
    </w:lvl>
    <w:lvl w:ilvl="1">
      <w:lvlJc w:val="left"/>
      <w:lvlText w:val="(%2)"/>
      <w:numFmt w:val="lowerLetter"/>
      <w:start w:val="3"/>
    </w:lvl>
  </w:abstractNum>
  <w:abstractNum w:abstractNumId="7">
    <w:nsid w:val="70A64E2A"/>
    <w:multiLevelType w:val="hybridMultilevel"/>
    <w:lvl w:ilvl="0">
      <w:lvlJc w:val="left"/>
      <w:lvlText w:val="(%1)"/>
      <w:numFmt w:val="lowerLetter"/>
      <w:start w:val="4"/>
    </w:lvl>
  </w:abstractNum>
  <w:abstractNum w:abstractNumId="8">
    <w:nsid w:val="6A2342EC"/>
    <w:multiLevelType w:val="hybridMultilevel"/>
    <w:lvl w:ilvl="0">
      <w:lvlJc w:val="left"/>
      <w:lvlText w:val="(%1)"/>
      <w:numFmt w:val="lowerLetter"/>
      <w:start w:val="8"/>
    </w:lvl>
  </w:abstractNum>
  <w:abstractNum w:abstractNumId="9">
    <w:nsid w:val="2A487CB0"/>
    <w:multiLevelType w:val="hybridMultilevel"/>
    <w:lvl w:ilvl="0">
      <w:lvlJc w:val="left"/>
      <w:lvlText w:val="(%1)"/>
      <w:numFmt w:val="lowerLetter"/>
      <w:start w:val="2"/>
    </w:lvl>
  </w:abstractNum>
  <w:abstractNum w:abstractNumId="10">
    <w:nsid w:val="1D4ED43B"/>
    <w:multiLevelType w:val="hybridMultilevel"/>
    <w:lvl w:ilvl="0">
      <w:lvlJc w:val="left"/>
      <w:lvlText w:val="(%1)"/>
      <w:numFmt w:val="lowerRoman"/>
      <w:start w:val="2"/>
    </w:lvl>
  </w:abstractNum>
  <w:abstractNum w:abstractNumId="11">
    <w:nsid w:val="725A06FB"/>
    <w:multiLevelType w:val="hybridMultilevel"/>
    <w:lvl w:ilvl="0">
      <w:lvlJc w:val="left"/>
      <w:lvlText w:val="(%1)"/>
      <w:numFmt w:val="lowerRoman"/>
      <w:start w:val="2"/>
    </w:lvl>
  </w:abstractNum>
  <w:abstractNum w:abstractNumId="12">
    <w:nsid w:val="2CD89A32"/>
    <w:multiLevelType w:val="hybridMultilevel"/>
    <w:lvl w:ilvl="0">
      <w:lvlJc w:val="left"/>
      <w:lvlText w:val="(%1)"/>
      <w:numFmt w:val="lowerRoman"/>
      <w:start w:val="3"/>
    </w:lvl>
  </w:abstractNum>
  <w:abstractNum w:abstractNumId="13">
    <w:nsid w:val="57E4CCAF"/>
    <w:multiLevelType w:val="hybridMultilevel"/>
    <w:lvl w:ilvl="0">
      <w:lvlJc w:val="left"/>
      <w:lvlText w:val="%1"/>
      <w:numFmt w:val="lowerRoman"/>
      <w:start w:val="1"/>
    </w:lvl>
    <w:lvl w:ilvl="1">
      <w:lvlJc w:val="left"/>
      <w:lvlText w:val="(%2)"/>
      <w:numFmt w:val="lowerLetter"/>
      <w:start w:val="2"/>
    </w:lvl>
  </w:abstractNum>
  <w:abstractNum w:abstractNumId="14">
    <w:nsid w:val="7A6D8D3C"/>
    <w:multiLevelType w:val="hybridMultilevel"/>
    <w:lvl w:ilvl="0">
      <w:lvlJc w:val="left"/>
      <w:lvlText w:val="(%1)"/>
      <w:numFmt w:val="lowerRoman"/>
      <w:start w:val="2"/>
    </w:lvl>
    <w:lvl w:ilvl="1">
      <w:lvlJc w:val="left"/>
      <w:lvlText w:val="%2"/>
      <w:numFmt w:val="lowerLetter"/>
      <w:start w:val="1"/>
    </w:lvl>
  </w:abstractNum>
  <w:abstractNum w:abstractNumId="15">
    <w:nsid w:val="4B588F54"/>
    <w:multiLevelType w:val="hybridMultilevel"/>
    <w:lvl w:ilvl="0">
      <w:lvlJc w:val="left"/>
      <w:lvlText w:val="(%1)"/>
      <w:numFmt w:val="lowerRoman"/>
      <w:start w:val="7"/>
    </w:lvl>
    <w:lvl w:ilvl="1">
      <w:lvlJc w:val="left"/>
      <w:lvlText w:val="%2"/>
      <w:numFmt w:val="lowerLetter"/>
      <w:start w:val="1"/>
    </w:lvl>
  </w:abstractNum>
  <w:abstractNum w:abstractNumId="16">
    <w:nsid w:val="542289EC"/>
    <w:multiLevelType w:val="hybridMultilevel"/>
    <w:lvl w:ilvl="0">
      <w:lvlJc w:val="left"/>
      <w:lvlText w:val="(%1)"/>
      <w:numFmt w:val="lowerLetter"/>
      <w:start w:val="9"/>
    </w:lvl>
    <w:lvl w:ilvl="1">
      <w:lvlJc w:val="left"/>
      <w:lvlText w:val="(%2)"/>
      <w:numFmt w:val="lowerLetter"/>
      <w:start w:val="2"/>
    </w:lvl>
  </w:abstractNum>
  <w:abstractNum w:abstractNumId="17">
    <w:nsid w:val="6DE91B18"/>
    <w:multiLevelType w:val="hybridMultilevel"/>
    <w:lvl w:ilvl="0">
      <w:lvlJc w:val="left"/>
      <w:lvlText w:val="(%1)"/>
      <w:numFmt w:val="lowerLetter"/>
      <w:start w:val="2"/>
    </w:lvl>
  </w:abstractNum>
  <w:abstractNum w:abstractNumId="18">
    <w:nsid w:val="38437FDB"/>
    <w:multiLevelType w:val="hybridMultilevel"/>
    <w:lvl w:ilvl="0">
      <w:lvlJc w:val="left"/>
      <w:lvlText w:val="(%1)"/>
      <w:numFmt w:val="lowerRoman"/>
      <w:start w:val="1"/>
    </w:lvl>
  </w:abstractNum>
  <w:abstractNum w:abstractNumId="19">
    <w:nsid w:val="7644A45C"/>
    <w:multiLevelType w:val="hybridMultilevel"/>
    <w:lvl w:ilvl="0">
      <w:lvlJc w:val="left"/>
      <w:lvlText w:val="(%1)"/>
      <w:numFmt w:val="lowerRoman"/>
      <w:start w:val="3"/>
    </w:lvl>
  </w:abstractNum>
  <w:abstractNum w:abstractNumId="20">
    <w:nsid w:val="32FFF902"/>
    <w:multiLevelType w:val="hybridMultilevel"/>
    <w:lvl w:ilvl="0">
      <w:lvlJc w:val="left"/>
      <w:lvlText w:val="(%1)"/>
      <w:numFmt w:val="lowerRoman"/>
      <w:start w:val="3"/>
    </w:lvl>
  </w:abstractNum>
  <w:abstractNum w:abstractNumId="21">
    <w:nsid w:val="684A481A"/>
    <w:multiLevelType w:val="hybridMultilevel"/>
    <w:lvl w:ilvl="0">
      <w:lvlJc w:val="left"/>
      <w:lvlText w:val="(%1)"/>
      <w:numFmt w:val="lowerRoman"/>
      <w:start w:val="2"/>
    </w:lvl>
  </w:abstractNum>
  <w:abstractNum w:abstractNumId="22">
    <w:nsid w:val="579478FE"/>
    <w:multiLevelType w:val="hybridMultilevel"/>
    <w:lvl w:ilvl="0">
      <w:lvlJc w:val="left"/>
      <w:lvlText w:val="(%1)"/>
      <w:numFmt w:val="lowerLetter"/>
      <w:start w:val="2"/>
    </w:lvl>
  </w:abstractNum>
  <w:abstractNum w:abstractNumId="23">
    <w:nsid w:val="749ABB43"/>
    <w:multiLevelType w:val="hybridMultilevel"/>
    <w:lvl w:ilvl="0">
      <w:lvlJc w:val="left"/>
      <w:lvlText w:val="%1"/>
      <w:numFmt w:val="lowerRoman"/>
      <w:start w:val="1"/>
    </w:lvl>
    <w:lvl w:ilvl="1">
      <w:lvlJc w:val="left"/>
      <w:lvlText w:val="(%2)"/>
      <w:numFmt w:val="lowerLetter"/>
      <w:start w:val="1"/>
    </w:lvl>
  </w:abstractNum>
  <w:abstractNum w:abstractNumId="24">
    <w:nsid w:val="3DC240FB"/>
    <w:multiLevelType w:val="hybridMultilevel"/>
    <w:lvl w:ilvl="0">
      <w:lvlJc w:val="left"/>
      <w:lvlText w:val="(%1)"/>
      <w:numFmt w:val="lowerRoman"/>
      <w:start w:val="4"/>
    </w:lvl>
    <w:lvl w:ilvl="1">
      <w:lvlJc w:val="left"/>
      <w:lvlText w:val="(%2)"/>
      <w:numFmt w:val="lowerLetter"/>
      <w:start w:val="3"/>
    </w:lvl>
  </w:abstractNum>
  <w:abstractNum w:abstractNumId="25">
    <w:nsid w:val="1BA026FA"/>
    <w:multiLevelType w:val="hybridMultilevel"/>
    <w:lvl w:ilvl="0">
      <w:lvlJc w:val="left"/>
      <w:lvlText w:val="(%1)"/>
      <w:numFmt w:val="lowerRoman"/>
      <w:start w:val="6"/>
    </w:lvl>
    <w:lvl w:ilvl="1">
      <w:lvlJc w:val="left"/>
      <w:lvlText w:val="(%2)"/>
      <w:numFmt w:val="lowerLetter"/>
      <w:start w:val="4"/>
    </w:lvl>
  </w:abstractNum>
  <w:abstractNum w:abstractNumId="26">
    <w:nsid w:val="79A1DEAA"/>
    <w:multiLevelType w:val="hybridMultilevel"/>
    <w:lvl w:ilvl="0">
      <w:lvlJc w:val="left"/>
      <w:lvlText w:val="(%1)"/>
      <w:numFmt w:val="lowerRoman"/>
      <w:start w:val="3"/>
    </w:lvl>
    <w:lvl w:ilvl="1">
      <w:lvlJc w:val="left"/>
      <w:lvlText w:val="(%2)"/>
      <w:numFmt w:val="lowerLetter"/>
      <w:start w:val="5"/>
    </w:lvl>
  </w:abstractNum>
  <w:abstractNum w:abstractNumId="27">
    <w:nsid w:val="75C6C33A"/>
    <w:multiLevelType w:val="hybridMultilevel"/>
    <w:lvl w:ilvl="0">
      <w:lvlJc w:val="left"/>
      <w:lvlText w:val="(%1)"/>
      <w:numFmt w:val="lowerLetter"/>
      <w:start w:val="1"/>
    </w:lvl>
  </w:abstractNum>
  <w:abstractNum w:abstractNumId="28">
    <w:nsid w:val="12E685FB"/>
    <w:multiLevelType w:val="hybridMultilevel"/>
    <w:lvl w:ilvl="0">
      <w:lvlJc w:val="left"/>
      <w:lvlText w:val="(%1)"/>
      <w:numFmt w:val="lowerLetter"/>
      <w:start w:val="2"/>
    </w:lvl>
  </w:abstractNum>
  <w:abstractNum w:abstractNumId="29">
    <w:nsid w:val="70C6A529"/>
    <w:multiLevelType w:val="hybridMultilevel"/>
    <w:lvl w:ilvl="0">
      <w:lvlJc w:val="left"/>
      <w:lvlText w:val="(%1)"/>
      <w:numFmt w:val="lowerLetter"/>
      <w:start w:val="3"/>
    </w:lvl>
  </w:abstractNum>
  <w:abstractNum w:abstractNumId="30">
    <w:nsid w:val="520EEDD1"/>
    <w:multiLevelType w:val="hybridMultilevel"/>
    <w:lvl w:ilvl="0">
      <w:lvlJc w:val="left"/>
      <w:lvlText w:val="(%1)"/>
      <w:numFmt w:val="lowerLetter"/>
      <w:start w:val="2"/>
    </w:lvl>
  </w:abstractNum>
  <w:abstractNum w:abstractNumId="31">
    <w:nsid w:val="374A3FE6"/>
    <w:multiLevelType w:val="hybridMultilevel"/>
    <w:lvl w:ilvl="0">
      <w:lvlJc w:val="left"/>
      <w:lvlText w:val="(%1)"/>
      <w:numFmt w:val="lowerLetter"/>
      <w:start w:val="2"/>
    </w:lvl>
  </w:abstractNum>
  <w:abstractNum w:abstractNumId="32">
    <w:nsid w:val="4F4EF005"/>
    <w:multiLevelType w:val="hybridMultilevel"/>
    <w:lvl w:ilvl="0">
      <w:lvlJc w:val="left"/>
      <w:lvlText w:val="(%1)"/>
      <w:numFmt w:val="lowerLetter"/>
      <w:start w:val="2"/>
    </w:lvl>
  </w:abstractNum>
  <w:abstractNum w:abstractNumId="33">
    <w:nsid w:val="23F9C13C"/>
    <w:multiLevelType w:val="hybridMultilevel"/>
    <w:lvl w:ilvl="0">
      <w:lvlJc w:val="left"/>
      <w:lvlText w:val="(%1)"/>
      <w:numFmt w:val="lowerLetter"/>
      <w:start w:val="3"/>
    </w:lvl>
  </w:abstractNum>
  <w:abstractNum w:abstractNumId="34">
    <w:nsid w:val="649BB77C"/>
    <w:multiLevelType w:val="hybridMultilevel"/>
    <w:lvl w:ilvl="0">
      <w:lvlJc w:val="left"/>
      <w:lvlText w:val="(%1)"/>
      <w:numFmt w:val="lowerLetter"/>
      <w:start w:val="2"/>
    </w:lvl>
  </w:abstractNum>
  <w:abstractNum w:abstractNumId="35">
    <w:nsid w:val="275AC794"/>
    <w:multiLevelType w:val="hybridMultilevel"/>
    <w:lvl w:ilvl="0">
      <w:lvlJc w:val="left"/>
      <w:lvlText w:val="(%1)"/>
      <w:numFmt w:val="lowerLetter"/>
      <w:start w:val="1"/>
    </w:lvl>
  </w:abstractNum>
  <w:abstractNum w:abstractNumId="36">
    <w:nsid w:val="39386575"/>
    <w:multiLevelType w:val="hybridMultilevel"/>
    <w:lvl w:ilvl="0">
      <w:lvlJc w:val="left"/>
      <w:lvlText w:val="(%1)"/>
      <w:numFmt w:val="lowerLetter"/>
      <w:start w:val="2"/>
    </w:lvl>
  </w:abstractNum>
  <w:abstractNum w:abstractNumId="37">
    <w:nsid w:val="1CF10FD8"/>
    <w:multiLevelType w:val="hybridMultilevel"/>
    <w:lvl w:ilvl="0">
      <w:lvlJc w:val="left"/>
      <w:lvlText w:val="(%1)"/>
      <w:numFmt w:val="lowerLetter"/>
      <w:start w:val="7"/>
    </w:lvl>
  </w:abstractNum>
  <w:abstractNum w:abstractNumId="38">
    <w:nsid w:val="180115BE"/>
    <w:multiLevelType w:val="hybridMultilevel"/>
    <w:lvl w:ilvl="0">
      <w:lvlJc w:val="left"/>
      <w:lvlText w:val="(%1)"/>
      <w:numFmt w:val="lowerLetter"/>
      <w:start w:val="1"/>
    </w:lvl>
  </w:abstractNum>
  <w:abstractNum w:abstractNumId="39">
    <w:nsid w:val="235BA861"/>
    <w:multiLevelType w:val="hybridMultilevel"/>
    <w:lvl w:ilvl="0">
      <w:lvlJc w:val="left"/>
      <w:lvlText w:val="(%1)"/>
      <w:numFmt w:val="lowerLetter"/>
      <w:start w:val="4"/>
    </w:lvl>
  </w:abstractNum>
  <w:abstractNum w:abstractNumId="40">
    <w:nsid w:val="47398C89"/>
    <w:multiLevelType w:val="hybridMultilevel"/>
    <w:lvl w:ilvl="0">
      <w:lvlJc w:val="left"/>
      <w:lvlText w:val="%1"/>
      <w:numFmt w:val="lowerLetter"/>
      <w:start w:val="1"/>
    </w:lvl>
    <w:lvl w:ilvl="1">
      <w:lvlJc w:val="left"/>
      <w:lvlText w:val="(%2)"/>
      <w:numFmt w:val="lowerLetter"/>
      <w:start w:val="2"/>
    </w:lvl>
  </w:abstractNum>
  <w:abstractNum w:abstractNumId="41">
    <w:nsid w:val="354FE9F9"/>
    <w:multiLevelType w:val="hybridMultilevel"/>
    <w:lvl w:ilvl="0">
      <w:lvlJc w:val="left"/>
      <w:lvlText w:val="(%1)"/>
      <w:numFmt w:val="lowerLetter"/>
      <w:start w:val="35"/>
    </w:lvl>
    <w:lvl w:ilvl="1">
      <w:lvlJc w:val="left"/>
      <w:lvlText w:val="(%2)"/>
      <w:numFmt w:val="lowerLetter"/>
      <w:start w:val="3"/>
    </w:lvl>
  </w:abstractNum>
  <w:abstractNum w:abstractNumId="42">
    <w:nsid w:val="15B5AF5C"/>
    <w:multiLevelType w:val="hybridMultilevel"/>
    <w:lvl w:ilvl="0">
      <w:lvlJc w:val="left"/>
      <w:lvlText w:val="(%1)"/>
      <w:numFmt w:val="lowerLetter"/>
      <w:start w:val="2"/>
    </w:lvl>
  </w:abstractNum>
  <w:abstractNum w:abstractNumId="43">
    <w:nsid w:val="741226BB"/>
    <w:multiLevelType w:val="hybridMultilevel"/>
    <w:lvl w:ilvl="0">
      <w:lvlJc w:val="left"/>
      <w:lvlText w:val="%1."/>
      <w:numFmt w:val="decimal"/>
      <w:start w:val="1"/>
    </w:lvl>
  </w:abstractNum>
  <w:abstractNum w:abstractNumId="44">
    <w:nsid w:val="D34B6A8"/>
    <w:multiLevelType w:val="hybridMultilevel"/>
    <w:lvl w:ilvl="0">
      <w:lvlJc w:val="left"/>
      <w:lvlText w:val="(%1)"/>
      <w:numFmt w:val="lowerLetter"/>
      <w:start w:val="2"/>
    </w:lvl>
  </w:abstractNum>
  <w:abstractNum w:abstractNumId="45">
    <w:nsid w:val="10233C99"/>
    <w:multiLevelType w:val="hybridMultilevel"/>
    <w:lvl w:ilvl="0">
      <w:lvlJc w:val="left"/>
      <w:lvlText w:val="%1."/>
      <w:numFmt w:val="decimal"/>
      <w:start w:val="2"/>
    </w:lvl>
  </w:abstractNum>
  <w:abstractNum w:abstractNumId="46">
    <w:nsid w:val="3F6AB60F"/>
    <w:multiLevelType w:val="hybridMultilevel"/>
    <w:lvl w:ilvl="0">
      <w:lvlJc w:val="left"/>
      <w:lvlText w:val="(%1)"/>
      <w:numFmt w:val="lowerLetter"/>
      <w:start w:val="2"/>
    </w:lvl>
  </w:abstractNum>
  <w:abstractNum w:abstractNumId="47">
    <w:nsid w:val="61574095"/>
    <w:multiLevelType w:val="hybridMultilevel"/>
    <w:lvl w:ilvl="0">
      <w:lvlJc w:val="left"/>
      <w:lvlText w:val="%1"/>
      <w:numFmt w:val="lowerLetter"/>
      <w:start w:val="1"/>
    </w:lvl>
    <w:lvl w:ilvl="1">
      <w:lvlJc w:val="left"/>
      <w:lvlText w:val="(%2)"/>
      <w:numFmt w:val="lowerLetter"/>
      <w:start w:val="4"/>
    </w:lvl>
  </w:abstractNum>
  <w:abstractNum w:abstractNumId="48">
    <w:nsid w:val="7E0C57B1"/>
    <w:multiLevelType w:val="hybridMultilevel"/>
    <w:lvl w:ilvl="0">
      <w:lvlJc w:val="left"/>
      <w:lvlText w:val="(%1)"/>
      <w:numFmt w:val="lowerLetter"/>
      <w:start w:val="61"/>
    </w:lvl>
    <w:lvl w:ilvl="1">
      <w:lvlJc w:val="left"/>
      <w:lvlText w:val="%2"/>
      <w:numFmt w:val="lowerLetter"/>
      <w:start w:val="1"/>
    </w:lvl>
  </w:abstractNum>
  <w:abstractNum w:abstractNumId="49">
    <w:nsid w:val="77AE35EB"/>
    <w:multiLevelType w:val="hybridMultilevel"/>
    <w:lvl w:ilvl="0">
      <w:lvlJc w:val="left"/>
      <w:lvlText w:val="%1."/>
      <w:numFmt w:val="decimal"/>
      <w:start w:val="3"/>
    </w:lvl>
  </w:abstractNum>
  <w:abstractNum w:abstractNumId="50">
    <w:nsid w:val="579BE4F1"/>
    <w:multiLevelType w:val="hybridMultilevel"/>
    <w:lvl w:ilvl="0">
      <w:lvlJc w:val="left"/>
      <w:lvlText w:val="(%1)"/>
      <w:numFmt w:val="lowerLetter"/>
      <w:start w:val="2"/>
    </w:lvl>
  </w:abstractNum>
  <w:abstractNum w:abstractNumId="51">
    <w:nsid w:val="310C50B3"/>
    <w:multiLevelType w:val="hybridMultilevel"/>
    <w:lvl w:ilvl="0">
      <w:lvlJc w:val="left"/>
      <w:lvlText w:val="(%1)"/>
      <w:numFmt w:val="lowerLetter"/>
      <w:start w:val="3"/>
    </w:lvl>
  </w:abstractNum>
  <w:abstractNum w:abstractNumId="52">
    <w:nsid w:val="5FF87E05"/>
    <w:multiLevelType w:val="hybridMultilevel"/>
    <w:lvl w:ilvl="0">
      <w:lvlJc w:val="left"/>
      <w:lvlText w:val="%1."/>
      <w:numFmt w:val="decimal"/>
      <w:start w:val="4"/>
    </w:lvl>
  </w:abstractNum>
  <w:abstractNum w:abstractNumId="53">
    <w:nsid w:val="2F305DEF"/>
    <w:multiLevelType w:val="hybridMultilevel"/>
    <w:lvl w:ilvl="0">
      <w:lvlJc w:val="left"/>
      <w:lvlText w:val="%1."/>
      <w:numFmt w:val="decimal"/>
      <w:start w:val="6"/>
    </w:lvl>
  </w:abstractNum>
  <w:abstractNum w:abstractNumId="54">
    <w:nsid w:val="25A70BF7"/>
    <w:multiLevelType w:val="hybridMultilevel"/>
    <w:lvl w:ilvl="0">
      <w:lvlJc w:val="left"/>
      <w:lvlText w:val="(%1)"/>
      <w:numFmt w:val="lowerLetter"/>
      <w:start w:val="2"/>
    </w:lvl>
  </w:abstractNum>
  <w:abstractNum w:abstractNumId="55">
    <w:nsid w:val="1DBABF00"/>
    <w:multiLevelType w:val="hybridMultilevel"/>
    <w:lvl w:ilvl="0">
      <w:lvlJc w:val="left"/>
      <w:lvlText w:val="%1."/>
      <w:numFmt w:val="decimal"/>
      <w:start w:val="8"/>
    </w:lvl>
  </w:abstractNum>
  <w:abstractNum w:abstractNumId="56">
    <w:nsid w:val="4AD084E9"/>
    <w:multiLevelType w:val="hybridMultilevel"/>
    <w:lvl w:ilvl="0">
      <w:lvlJc w:val="left"/>
      <w:lvlText w:val="(%1)"/>
      <w:numFmt w:val="lowerLetter"/>
      <w:start w:val="2"/>
    </w:lvl>
  </w:abstractNum>
  <w:abstractNum w:abstractNumId="57">
    <w:nsid w:val="1F48EAA1"/>
    <w:multiLevelType w:val="hybridMultilevel"/>
    <w:lvl w:ilvl="0">
      <w:lvlJc w:val="left"/>
      <w:lvlText w:val="(%1)"/>
      <w:numFmt w:val="lowerLetter"/>
      <w:start w:val="3"/>
    </w:lvl>
  </w:abstractNum>
  <w:abstractNum w:abstractNumId="58">
    <w:nsid w:val="1381823A"/>
    <w:multiLevelType w:val="hybridMultilevel"/>
    <w:lvl w:ilvl="0">
      <w:lvlJc w:val="left"/>
      <w:lvlText w:val="(%1)"/>
      <w:numFmt w:val="lowerLetter"/>
      <w:start w:val="6"/>
    </w:lvl>
  </w:abstractNum>
  <w:abstractNum w:abstractNumId="59">
    <w:nsid w:val="5DB70AE5"/>
    <w:multiLevelType w:val="hybridMultilevel"/>
    <w:lvl w:ilvl="0">
      <w:lvlJc w:val="left"/>
      <w:lvlText w:val="%1."/>
      <w:numFmt w:val="decimal"/>
      <w:start w:val="9"/>
    </w:lvl>
  </w:abstractNum>
  <w:abstractNum w:abstractNumId="60">
    <w:nsid w:val="100F8FCA"/>
    <w:multiLevelType w:val="hybridMultilevel"/>
    <w:lvl w:ilvl="0">
      <w:lvlJc w:val="left"/>
      <w:lvlText w:val="(%1)"/>
      <w:numFmt w:val="lowerLetter"/>
      <w:start w:val="1"/>
    </w:lvl>
  </w:abstractNum>
  <w:abstractNum w:abstractNumId="61">
    <w:nsid w:val="6590700B"/>
    <w:multiLevelType w:val="hybridMultilevel"/>
    <w:lvl w:ilvl="0">
      <w:lvlJc w:val="left"/>
      <w:lvlText w:val="%1"/>
      <w:numFmt w:val="lowerLetter"/>
      <w:start w:val="1"/>
    </w:lvl>
    <w:lvl w:ilvl="1">
      <w:lvlJc w:val="left"/>
      <w:lvlText w:val="(%2)"/>
      <w:numFmt w:val="lowerLetter"/>
      <w:start w:val="3"/>
    </w:lvl>
  </w:abstractNum>
  <w:abstractNum w:abstractNumId="62">
    <w:nsid w:val="15014ACB"/>
    <w:multiLevelType w:val="hybridMultilevel"/>
    <w:lvl w:ilvl="0">
      <w:lvlJc w:val="left"/>
      <w:lvlText w:val="(%1)"/>
      <w:numFmt w:val="lowerLetter"/>
      <w:start w:val="35"/>
    </w:lvl>
    <w:lvl w:ilvl="1">
      <w:lvlJc w:val="left"/>
      <w:lvlText w:val="(%2)"/>
      <w:numFmt w:val="lowerLetter"/>
      <w:start w:val="5"/>
    </w:lvl>
  </w:abstractNum>
  <w:abstractNum w:abstractNumId="63">
    <w:nsid w:val="5F5E7FD0"/>
    <w:multiLevelType w:val="hybridMultilevel"/>
    <w:lvl w:ilvl="0">
      <w:lvlJc w:val="left"/>
      <w:lvlText w:val="(%1)"/>
      <w:numFmt w:val="lowerLetter"/>
      <w:start w:val="8"/>
    </w:lvl>
  </w:abstractNum>
  <w:abstractNum w:abstractNumId="64">
    <w:nsid w:val="98A3148"/>
    <w:multiLevelType w:val="hybridMultilevel"/>
    <w:lvl w:ilvl="0">
      <w:lvlJc w:val="left"/>
      <w:lvlText w:val="(%1)"/>
      <w:numFmt w:val="lowerRoman"/>
      <w:start w:val="1"/>
    </w:lvl>
  </w:abstractNum>
  <w:abstractNum w:abstractNumId="65">
    <w:nsid w:val="799D0247"/>
    <w:multiLevelType w:val="hybridMultilevel"/>
    <w:lvl w:ilvl="0">
      <w:lvlJc w:val="left"/>
      <w:lvlText w:val="(%1)"/>
      <w:numFmt w:val="lowerLetter"/>
      <w:start w:val="1"/>
    </w:lvl>
  </w:abstractNum>
  <w:abstractNum w:abstractNumId="66">
    <w:nsid w:val="6B94764"/>
    <w:multiLevelType w:val="hybridMultilevel"/>
    <w:lvl w:ilvl="0">
      <w:lvlJc w:val="left"/>
      <w:lvlText w:val="(%1)"/>
      <w:numFmt w:val="lowerLetter"/>
      <w:start w:val="1"/>
    </w:lvl>
  </w:abstractNum>
  <w:abstractNum w:abstractNumId="67">
    <w:nsid w:val="42C296BD"/>
    <w:multiLevelType w:val="hybridMultilevel"/>
    <w:lvl w:ilvl="0">
      <w:lvlJc w:val="left"/>
      <w:lvlText w:val="%1"/>
      <w:numFmt w:val="lowerLetter"/>
      <w:start w:val="1"/>
    </w:lvl>
    <w:lvl w:ilvl="1">
      <w:lvlJc w:val="left"/>
      <w:lvlText w:val="(%2)"/>
      <w:numFmt w:val="lowerLetter"/>
      <w:start w:val="3"/>
    </w:lvl>
  </w:abstractNum>
  <w:abstractNum w:abstractNumId="68">
    <w:nsid w:val="168E121F"/>
    <w:multiLevelType w:val="hybridMultilevel"/>
    <w:lvl w:ilvl="0">
      <w:lvlJc w:val="left"/>
      <w:lvlText w:val="(%1)"/>
      <w:numFmt w:val="lowerLetter"/>
      <w:start w:val="35"/>
    </w:lvl>
    <w:lvl w:ilvl="1">
      <w:lvlJc w:val="left"/>
      <w:lvlText w:val="(%2)"/>
      <w:numFmt w:val="lowerLetter"/>
      <w:start w:val="4"/>
    </w:lvl>
  </w:abstractNum>
  <w:abstractNum w:abstractNumId="69">
    <w:nsid w:val="1EBA5D23"/>
    <w:multiLevelType w:val="hybridMultilevel"/>
    <w:lvl w:ilvl="0">
      <w:lvlJc w:val="left"/>
      <w:lvlText w:val="(%1)"/>
      <w:numFmt w:val="lowerLetter"/>
      <w:start w:val="1"/>
    </w:lvl>
  </w:abstractNum>
  <w:abstractNum w:abstractNumId="70">
    <w:nsid w:val="661E3F1E"/>
    <w:multiLevelType w:val="hybridMultilevel"/>
    <w:lvl w:ilvl="0">
      <w:lvlJc w:val="left"/>
      <w:lvlText w:val="(%1)"/>
      <w:numFmt w:val="lowerLetter"/>
      <w:start w:val="3"/>
    </w:lvl>
  </w:abstractNum>
  <w:abstractNum w:abstractNumId="71">
    <w:nsid w:val="5DC79EA8"/>
    <w:multiLevelType w:val="hybridMultilevel"/>
    <w:lvl w:ilvl="0">
      <w:lvlJc w:val="left"/>
      <w:lvlText w:val="(%1)"/>
      <w:numFmt w:val="lowerLetter"/>
      <w:start w:val="1"/>
    </w:lvl>
  </w:abstractNum>
  <w:abstractNum w:abstractNumId="72">
    <w:nsid w:val="540A471C"/>
    <w:multiLevelType w:val="hybridMultilevel"/>
    <w:lvl w:ilvl="0">
      <w:lvlJc w:val="left"/>
      <w:lvlText w:val="(%1)"/>
      <w:numFmt w:val="lowerLetter"/>
      <w:start w:val="3"/>
    </w:lvl>
  </w:abstractNum>
  <w:abstractNum w:abstractNumId="73">
    <w:nsid w:val="7BD3EE7B"/>
    <w:multiLevelType w:val="hybridMultilevel"/>
    <w:lvl w:ilvl="0">
      <w:lvlJc w:val="left"/>
      <w:lvlText w:val="(%1)"/>
      <w:numFmt w:val="lowerLetter"/>
      <w:start w:val="2"/>
    </w:lvl>
  </w:abstractNum>
  <w:abstractNum w:abstractNumId="74">
    <w:nsid w:val="51D9C564"/>
    <w:multiLevelType w:val="hybridMultilevel"/>
    <w:lvl w:ilvl="0">
      <w:lvlJc w:val="left"/>
      <w:lvlText w:val="%1"/>
      <w:numFmt w:val="upperLetter"/>
      <w:start w:val="1"/>
    </w:lvl>
    <w:lvl w:ilvl="1">
      <w:lvlJc w:val="left"/>
      <w:lvlText w:val="(%2)"/>
      <w:numFmt w:val="lowerLetter"/>
      <w:start w:val="4"/>
    </w:lvl>
  </w:abstractNum>
  <w:abstractNum w:abstractNumId="75">
    <w:nsid w:val="613EFDC5"/>
    <w:multiLevelType w:val="hybridMultilevel"/>
    <w:lvl w:ilvl="0">
      <w:lvlJc w:val="left"/>
      <w:lvlText w:val="(%1)"/>
      <w:numFmt w:val="upp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2020-02-22T13:27:47Z</dcterms:created>
  <dcterms:modified xsi:type="dcterms:W3CDTF">2020-02-22T13:27:47Z</dcterms:modified>
</cp:coreProperties>
</file>