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March 10,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Tamar Rapaport-Dagim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Amdocs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Hirzel House, Smith Street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St. Peter Port, Guernsey, GY1 2NG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Amdocs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Form 20-F for the Fiscal Year Ended September 30,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001-14840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Tamar Rapaport-Dagim: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limited our review of your filing to the 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related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 and have the following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respond to this letter within ten business days by providing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or advise us as soon as possible when you will respond. If you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believe a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 applies to your facts and circumstances, please tell us why 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After reviewing your response to this letter, we may have additional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Form 20-F for the Fiscal Year Ended September 30,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>Operating and Financial Review and Prospects, page 27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We note you quantify and discuss managed service backlog and renewals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earnings releases and investor presentations. In addition, in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99.1 of the Form 6-K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furnished on December 16, 2025, you refer to near 100% renewal rates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strategic pillars and include 12-month backlog in your list of key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financial highlights.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tell us whether these metrics are key performance indicators used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managing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your business and if so, revise to include a quantified discussion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these metrics for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period presented. Refer to SEC Release No. 33-10751.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March 10,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Notes to Consolidated 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 4. Revenue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Remaining Performance Obligations from Contracts with Customers, page F-19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We note your disclosure where you state given the profile of contract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terms, the majority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of the $6.4 billion of remaining performance obligations at September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30, 2025,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expected to be recognized as revenue over the next three years.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revise to disclose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when you expect to recognize such amounts as revenue on a quantitative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basis using time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bands that would be most appropriate for the duration of the remaining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performance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obligations (e.g. within one year, within two years, within three years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three years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beyond), or by providing qualitative information. Refer to ASC</w:t>
      </w:r>
    </w:p>
    <w:p>
      <w:pPr>
        <w:pStyle w:val="PreformattedText"/>
        <w:bidi w:val="0"/>
        <w:spacing w:before="0" w:after="0"/>
        <w:jc w:val="left"/>
        <w:rPr/>
      </w:pPr>
      <w:r>
        <w:rPr/>
        <w:t>606-10-50-13.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 22. Segment Information and Revenue from Significant Customers, page F-34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   You state the CODM evaluates the company's operating results on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consolidated net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income basis. Please revise to discuss how the CODM uses this measure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assessing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segment performance and deciding how to allocate resources. Refer to ASC</w:t>
      </w:r>
    </w:p>
    <w:p>
      <w:pPr>
        <w:pStyle w:val="PreformattedText"/>
        <w:bidi w:val="0"/>
        <w:spacing w:before="0" w:after="0"/>
        <w:jc w:val="left"/>
        <w:rPr/>
      </w:pPr>
      <w:r>
        <w:rPr/>
        <w:t>280-10-50-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29(f) and the example at ASC 280-10-55-54(c).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 closing, we remind you that the company and its management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responsible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accuracy and adequacy of their disclosures, notwithstanding any review,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comments, action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Megan Masterson at 202-551-3407 or Kathleen Collins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202-551-3499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Technology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Michael Kaplan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463</Words>
  <Characters>2481</Characters>
  <CharactersWithSpaces>3291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