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1089d6k.htm"/>
      <w:bookmarkStart w:id="1" w:name="ksd10108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March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1-14840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AMDOCS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Hirzel House, Smith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St. Peter Port, Island of Guernsey, GY1 2NG </w:t>
      </w:r>
    </w:p>
    <w:p>
      <w:pPr>
        <w:pStyle w:val="TextBody"/>
        <w:bidi w:val="0"/>
        <w:spacing w:before="0" w:after="0"/>
        <w:jc w:val="center"/>
        <w:rPr>
          <w:rFonts w:ascii="Times New Roman" w:hAnsi="Times New Roman"/>
          <w:b/>
          <w:sz w:val="20"/>
        </w:rPr>
      </w:pPr>
      <w:r>
        <w:rPr>
          <w:rFonts w:ascii="Times New Roman" w:hAnsi="Times New Roman"/>
          <w:b/>
          <w:sz w:val="20"/>
        </w:rPr>
        <w:t xml:space="preserve">Amdocs, Inc. </w:t>
      </w:r>
    </w:p>
    <w:p>
      <w:pPr>
        <w:pStyle w:val="TextBody"/>
        <w:bidi w:val="0"/>
        <w:spacing w:before="0" w:after="0"/>
        <w:jc w:val="center"/>
        <w:rPr>
          <w:rFonts w:ascii="Times New Roman" w:hAnsi="Times New Roman"/>
          <w:b/>
          <w:sz w:val="20"/>
        </w:rPr>
      </w:pPr>
      <w:r>
        <w:rPr>
          <w:rFonts w:ascii="Times New Roman" w:hAnsi="Times New Roman"/>
          <w:b/>
          <w:sz w:val="20"/>
        </w:rPr>
        <w:t xml:space="preserve">625 Maryville Centre Drive, Suite 200, Saint Louis, Missouri 63141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On March 23, 2026, Amdocs Limited (“Amdocs”) issued a press release announcing that, concurrent with his retirement as President and Chief Executive Officer of Amdocs Management Limited, Shuky Sheffer is also retiring from Amdocs’ Board of Directors (the “Board”). Shimie Hortig has been appointed to the Board, effective concurrently with Mr. Hortigs’ replacement of Mr. Sheffer as President and Chief Executive Officer of Amdocs Management Limited. </w:t>
      </w:r>
    </w:p>
    <w:p>
      <w:pPr>
        <w:pStyle w:val="TextBody"/>
        <w:bidi w:val="0"/>
        <w:spacing w:before="480" w:after="0"/>
        <w:jc w:val="center"/>
        <w:rPr>
          <w:rFonts w:ascii="Times New Roman" w:hAnsi="Times New Roman"/>
          <w:b/>
          <w:sz w:val="20"/>
        </w:rPr>
      </w:pPr>
      <w:r>
        <w:rPr>
          <w:rFonts w:ascii="Times New Roman" w:hAnsi="Times New Roman"/>
          <w:b/>
          <w:sz w:val="20"/>
        </w:rPr>
        <w:t xml:space="preserve">INCORPORATION BY REFERENCE </w:t>
      </w:r>
    </w:p>
    <w:p>
      <w:pPr>
        <w:pStyle w:val="TextBody"/>
        <w:bidi w:val="0"/>
        <w:spacing w:before="240" w:after="0"/>
        <w:jc w:val="left"/>
        <w:rPr/>
      </w:pPr>
      <w:r>
        <w:rPr>
          <w:rFonts w:ascii="Times New Roman" w:hAnsi="Times New Roman"/>
          <w:sz w:val="20"/>
        </w:rPr>
        <w:t xml:space="preserve">This Report on Form 6-K (other than the information contained in the press release furnished as Exhibit 99.1 to this Report on Form 6-K) shall be deemed to be incorporated by reference into the registration statements on Form S-8 (File Nos. </w:t>
      </w:r>
      <w:hyperlink r:id="rId2">
        <w:r>
          <w:rPr>
            <w:rStyle w:val="InternetLink"/>
            <w:rFonts w:ascii="Times New Roman" w:hAnsi="Times New Roman"/>
            <w:sz w:val="20"/>
          </w:rPr>
          <w:t>333-91847</w:t>
        </w:r>
      </w:hyperlink>
      <w:r>
        <w:rPr>
          <w:rFonts w:ascii="Times New Roman" w:hAnsi="Times New Roman"/>
          <w:sz w:val="20"/>
        </w:rPr>
        <w:t xml:space="preserve">, </w:t>
      </w:r>
      <w:hyperlink r:id="rId3">
        <w:r>
          <w:rPr>
            <w:rStyle w:val="InternetLink"/>
            <w:rFonts w:ascii="Times New Roman" w:hAnsi="Times New Roman"/>
            <w:sz w:val="20"/>
          </w:rPr>
          <w:t>333-92705</w:t>
        </w:r>
      </w:hyperlink>
      <w:r>
        <w:rPr>
          <w:rFonts w:ascii="Times New Roman" w:hAnsi="Times New Roman"/>
          <w:sz w:val="20"/>
        </w:rPr>
        <w:t xml:space="preserve">, </w:t>
      </w:r>
      <w:hyperlink r:id="rId4">
        <w:r>
          <w:rPr>
            <w:rStyle w:val="InternetLink"/>
            <w:rFonts w:ascii="Times New Roman" w:hAnsi="Times New Roman"/>
            <w:sz w:val="20"/>
          </w:rPr>
          <w:t>333-31506</w:t>
        </w:r>
      </w:hyperlink>
      <w:r>
        <w:rPr>
          <w:rFonts w:ascii="Times New Roman" w:hAnsi="Times New Roman"/>
          <w:sz w:val="20"/>
        </w:rPr>
        <w:t xml:space="preserve">, </w:t>
      </w:r>
      <w:hyperlink r:id="rId5">
        <w:r>
          <w:rPr>
            <w:rStyle w:val="InternetLink"/>
            <w:rFonts w:ascii="Times New Roman" w:hAnsi="Times New Roman"/>
            <w:sz w:val="20"/>
          </w:rPr>
          <w:t>333-34104</w:t>
        </w:r>
      </w:hyperlink>
      <w:r>
        <w:rPr>
          <w:rFonts w:ascii="Times New Roman" w:hAnsi="Times New Roman"/>
          <w:sz w:val="20"/>
        </w:rPr>
        <w:t xml:space="preserve">, </w:t>
      </w:r>
      <w:hyperlink r:id="rId6">
        <w:r>
          <w:rPr>
            <w:rStyle w:val="InternetLink"/>
            <w:rFonts w:ascii="Times New Roman" w:hAnsi="Times New Roman"/>
            <w:sz w:val="20"/>
          </w:rPr>
          <w:t>333-58454</w:t>
        </w:r>
      </w:hyperlink>
      <w:r>
        <w:rPr>
          <w:rFonts w:ascii="Times New Roman" w:hAnsi="Times New Roman"/>
          <w:sz w:val="20"/>
        </w:rPr>
        <w:t xml:space="preserve">, </w:t>
      </w:r>
      <w:hyperlink r:id="rId7">
        <w:r>
          <w:rPr>
            <w:rStyle w:val="InternetLink"/>
            <w:rFonts w:ascii="Times New Roman" w:hAnsi="Times New Roman"/>
            <w:sz w:val="20"/>
          </w:rPr>
          <w:t>333-114077</w:t>
        </w:r>
      </w:hyperlink>
      <w:r>
        <w:rPr>
          <w:rFonts w:ascii="Times New Roman" w:hAnsi="Times New Roman"/>
          <w:sz w:val="20"/>
        </w:rPr>
        <w:t xml:space="preserve">, </w:t>
      </w:r>
      <w:hyperlink r:id="rId8">
        <w:r>
          <w:rPr>
            <w:rStyle w:val="InternetLink"/>
            <w:rFonts w:ascii="Times New Roman" w:hAnsi="Times New Roman"/>
            <w:sz w:val="20"/>
          </w:rPr>
          <w:t>333-132968</w:t>
        </w:r>
      </w:hyperlink>
      <w:r>
        <w:rPr>
          <w:rFonts w:ascii="Times New Roman" w:hAnsi="Times New Roman"/>
          <w:sz w:val="20"/>
        </w:rPr>
        <w:t xml:space="preserve">, </w:t>
      </w:r>
      <w:hyperlink r:id="rId9">
        <w:r>
          <w:rPr>
            <w:rStyle w:val="InternetLink"/>
            <w:rFonts w:ascii="Times New Roman" w:hAnsi="Times New Roman"/>
            <w:sz w:val="20"/>
          </w:rPr>
          <w:t>333-135320</w:t>
        </w:r>
      </w:hyperlink>
      <w:r>
        <w:rPr>
          <w:rFonts w:ascii="Times New Roman" w:hAnsi="Times New Roman"/>
          <w:sz w:val="20"/>
        </w:rPr>
        <w:t xml:space="preserve">, </w:t>
      </w:r>
      <w:hyperlink r:id="rId10">
        <w:r>
          <w:rPr>
            <w:rStyle w:val="InternetLink"/>
            <w:rFonts w:ascii="Times New Roman" w:hAnsi="Times New Roman"/>
            <w:sz w:val="20"/>
          </w:rPr>
          <w:t>333-137617</w:t>
        </w:r>
      </w:hyperlink>
      <w:r>
        <w:rPr>
          <w:rFonts w:ascii="Times New Roman" w:hAnsi="Times New Roman"/>
          <w:sz w:val="20"/>
        </w:rPr>
        <w:t xml:space="preserve">, </w:t>
      </w:r>
      <w:hyperlink r:id="rId11">
        <w:r>
          <w:rPr>
            <w:rStyle w:val="InternetLink"/>
            <w:rFonts w:ascii="Times New Roman" w:hAnsi="Times New Roman"/>
            <w:sz w:val="20"/>
          </w:rPr>
          <w:t>333-139310</w:t>
        </w:r>
      </w:hyperlink>
      <w:r>
        <w:rPr>
          <w:rFonts w:ascii="Times New Roman" w:hAnsi="Times New Roman"/>
          <w:sz w:val="20"/>
        </w:rPr>
        <w:t xml:space="preserve">, </w:t>
      </w:r>
      <w:hyperlink r:id="rId12">
        <w:r>
          <w:rPr>
            <w:rStyle w:val="InternetLink"/>
            <w:rFonts w:ascii="Times New Roman" w:hAnsi="Times New Roman"/>
            <w:sz w:val="20"/>
          </w:rPr>
          <w:t>333-140728</w:t>
        </w:r>
      </w:hyperlink>
      <w:r>
        <w:rPr>
          <w:rFonts w:ascii="Times New Roman" w:hAnsi="Times New Roman"/>
          <w:sz w:val="20"/>
        </w:rPr>
        <w:t xml:space="preserve">, </w:t>
      </w:r>
      <w:hyperlink r:id="rId13">
        <w:r>
          <w:rPr>
            <w:rStyle w:val="InternetLink"/>
            <w:rFonts w:ascii="Times New Roman" w:hAnsi="Times New Roman"/>
            <w:sz w:val="20"/>
          </w:rPr>
          <w:t>333-159163</w:t>
        </w:r>
      </w:hyperlink>
      <w:r>
        <w:rPr>
          <w:rFonts w:ascii="Times New Roman" w:hAnsi="Times New Roman"/>
          <w:sz w:val="20"/>
        </w:rPr>
        <w:t xml:space="preserve">, </w:t>
      </w:r>
      <w:hyperlink r:id="rId14">
        <w:r>
          <w:rPr>
            <w:rStyle w:val="InternetLink"/>
            <w:rFonts w:ascii="Times New Roman" w:hAnsi="Times New Roman"/>
            <w:sz w:val="20"/>
          </w:rPr>
          <w:t>333-193659</w:t>
        </w:r>
      </w:hyperlink>
      <w:r>
        <w:rPr>
          <w:rFonts w:ascii="Times New Roman" w:hAnsi="Times New Roman"/>
          <w:sz w:val="20"/>
        </w:rPr>
        <w:t xml:space="preserve">, </w:t>
      </w:r>
      <w:hyperlink r:id="rId15">
        <w:r>
          <w:rPr>
            <w:rStyle w:val="InternetLink"/>
            <w:rFonts w:ascii="Times New Roman" w:hAnsi="Times New Roman"/>
            <w:sz w:val="20"/>
          </w:rPr>
          <w:t>333-222992</w:t>
        </w:r>
      </w:hyperlink>
      <w:r>
        <w:rPr>
          <w:rFonts w:ascii="Times New Roman" w:hAnsi="Times New Roman"/>
          <w:sz w:val="20"/>
        </w:rPr>
        <w:t xml:space="preserve">, </w:t>
      </w:r>
      <w:hyperlink r:id="rId16">
        <w:r>
          <w:rPr>
            <w:rStyle w:val="InternetLink"/>
            <w:rFonts w:ascii="Times New Roman" w:hAnsi="Times New Roman"/>
            <w:sz w:val="20"/>
          </w:rPr>
          <w:t>333-248075</w:t>
        </w:r>
      </w:hyperlink>
      <w:r>
        <w:rPr>
          <w:rFonts w:ascii="Times New Roman" w:hAnsi="Times New Roman"/>
          <w:sz w:val="20"/>
        </w:rPr>
        <w:t xml:space="preserve">, </w:t>
      </w:r>
      <w:hyperlink r:id="rId17">
        <w:r>
          <w:rPr>
            <w:rStyle w:val="InternetLink"/>
            <w:rFonts w:ascii="Times New Roman" w:hAnsi="Times New Roman"/>
            <w:sz w:val="20"/>
          </w:rPr>
          <w:t>333-269728</w:t>
        </w:r>
      </w:hyperlink>
      <w:r>
        <w:rPr>
          <w:rFonts w:ascii="Times New Roman" w:hAnsi="Times New Roman"/>
          <w:sz w:val="20"/>
        </w:rPr>
        <w:t xml:space="preserve"> and </w:t>
      </w:r>
      <w:hyperlink r:id="rId18">
        <w:r>
          <w:rPr>
            <w:rStyle w:val="InternetLink"/>
            <w:rFonts w:ascii="Times New Roman" w:hAnsi="Times New Roman"/>
            <w:sz w:val="20"/>
          </w:rPr>
          <w:t>333-277197</w:t>
        </w:r>
      </w:hyperlink>
      <w:r>
        <w:rPr>
          <w:rFonts w:ascii="Times New Roman" w:hAnsi="Times New Roman"/>
          <w:sz w:val="20"/>
        </w:rPr>
        <w:t xml:space="preserve">) of Amdocs and to be a part thereof from the date on which this report is filed to the extent not superseded by documents or reports subsequently filed or furnished.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the press release furnished as Exhibit 99.1 to the Report on Form 6-K shall not be deemed “filed” for the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whether made before or after the date hereof, except as shall be expressly set forth by specific reference to any such filing.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9"/>
        <w:gridCol w:w="602"/>
        <w:gridCol w:w="8584"/>
      </w:tblGrid>
      <w:tr>
        <w:trPr/>
        <w:tc>
          <w:tcPr>
            <w:tcW w:w="1019" w:type="dxa"/>
            <w:tcBorders/>
            <w:vAlign w:val="center"/>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8584" w:type="dxa"/>
            <w:tcBorders/>
            <w:vAlign w:val="center"/>
          </w:tcPr>
          <w:p>
            <w:pPr>
              <w:pStyle w:val="TableContents"/>
              <w:bidi w:val="0"/>
              <w:spacing w:before="0" w:after="283"/>
              <w:jc w:val="left"/>
              <w:rPr>
                <w:sz w:val="4"/>
                <w:szCs w:val="4"/>
              </w:rPr>
            </w:pPr>
            <w:r>
              <w:rPr>
                <w:sz w:val="4"/>
                <w:szCs w:val="4"/>
              </w:rPr>
            </w:r>
          </w:p>
        </w:tc>
      </w:tr>
      <w:tr>
        <w:trPr/>
        <w:tc>
          <w:tcPr>
            <w:tcW w:w="1019" w:type="dxa"/>
            <w:tcBorders>
              <w:bottom w:val="single" w:sz="8" w:space="0" w:color="000000"/>
            </w:tcBorders>
            <w:tcMar>
              <w:bottom w:w="28" w:type="dxa"/>
            </w:tcMar>
            <w:vAlign w:val="bottom"/>
          </w:tcPr>
          <w:p>
            <w:pPr>
              <w:pStyle w:val="TableContents"/>
              <w:bidi w:val="0"/>
              <w:spacing w:before="0" w:after="283"/>
              <w:jc w:val="left"/>
              <w:rPr/>
            </w:pPr>
            <w:r>
              <w:rPr/>
              <w:t>EXHIBIT</w:t>
              <w:br/>
              <w:t>NO.</w:t>
            </w:r>
          </w:p>
        </w:tc>
        <w:tc>
          <w:tcPr>
            <w:tcW w:w="602" w:type="dxa"/>
            <w:tcBorders/>
            <w:vAlign w:val="bottom"/>
          </w:tcPr>
          <w:p>
            <w:pPr>
              <w:pStyle w:val="TableContents"/>
              <w:bidi w:val="0"/>
              <w:spacing w:before="0" w:after="283"/>
              <w:jc w:val="left"/>
              <w:rPr/>
            </w:pPr>
            <w:r>
              <w:rPr/>
              <w:t>  </w:t>
            </w:r>
          </w:p>
        </w:tc>
        <w:tc>
          <w:tcPr>
            <w:tcW w:w="858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rHeight w:val="120" w:hRule="atLeast"/>
        </w:trPr>
        <w:tc>
          <w:tcPr>
            <w:tcW w:w="1019"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r>
      <w:tr>
        <w:trPr/>
        <w:tc>
          <w:tcPr>
            <w:tcW w:w="1019" w:type="dxa"/>
            <w:tcBorders/>
          </w:tcPr>
          <w:p>
            <w:pPr>
              <w:pStyle w:val="TableContents"/>
              <w:bidi w:val="0"/>
              <w:spacing w:before="0" w:after="283"/>
              <w:jc w:val="left"/>
              <w:rPr/>
            </w:pPr>
            <w:r>
              <w:rPr/>
              <w:t>99.1</w:t>
            </w:r>
          </w:p>
        </w:tc>
        <w:tc>
          <w:tcPr>
            <w:tcW w:w="602" w:type="dxa"/>
            <w:tcBorders/>
            <w:vAlign w:val="bottom"/>
          </w:tcPr>
          <w:p>
            <w:pPr>
              <w:pStyle w:val="TableContents"/>
              <w:bidi w:val="0"/>
              <w:spacing w:before="0" w:after="283"/>
              <w:jc w:val="left"/>
              <w:rPr/>
            </w:pPr>
            <w:r>
              <w:rPr/>
              <w:t>  </w:t>
            </w:r>
          </w:p>
        </w:tc>
        <w:tc>
          <w:tcPr>
            <w:tcW w:w="8584" w:type="dxa"/>
            <w:tcBorders/>
          </w:tcPr>
          <w:p>
            <w:pPr>
              <w:pStyle w:val="TableContents"/>
              <w:bidi w:val="0"/>
              <w:spacing w:before="0" w:after="283"/>
              <w:jc w:val="left"/>
              <w:rPr/>
            </w:pPr>
            <w:hyperlink w:anchor="d101089dex991.htm">
              <w:r>
                <w:rPr>
                  <w:rStyle w:val="InternetLink"/>
                </w:rPr>
                <w:t xml:space="preserve">Amdocs Limited Press Release, dated March 23, 2026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AMDOCS LIMITED</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Matthew E. Smith</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i/>
              </w:rPr>
            </w:pPr>
            <w:r>
              <w:rPr>
                <w:i/>
              </w:rPr>
              <w:t>Secretary and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March 23, 2026 </w:t>
      </w:r>
    </w:p>
    <w:p>
      <w:pPr>
        <w:pStyle w:val="TextBody"/>
        <w:bidi w:val="0"/>
        <w:spacing w:before="0" w:after="0"/>
        <w:jc w:val="right"/>
        <w:rPr>
          <w:rFonts w:ascii="Times New Roman" w:hAnsi="Times New Roman"/>
          <w:b/>
          <w:sz w:val="20"/>
        </w:rPr>
      </w:pPr>
      <w:bookmarkStart w:id="2" w:name="d101089dex991.htm"/>
      <w:bookmarkStart w:id="3" w:name="ksd10108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6"/>
        <w:gridCol w:w="120"/>
        <w:gridCol w:w="4859"/>
      </w:tblGrid>
      <w:tr>
        <w:trPr/>
        <w:tc>
          <w:tcPr>
            <w:tcW w:w="52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9" w:type="dxa"/>
            <w:tcBorders/>
            <w:vAlign w:val="center"/>
          </w:tcPr>
          <w:p>
            <w:pPr>
              <w:pStyle w:val="TableContents"/>
              <w:bidi w:val="0"/>
              <w:spacing w:before="0" w:after="283"/>
              <w:jc w:val="left"/>
              <w:rPr>
                <w:sz w:val="4"/>
                <w:szCs w:val="4"/>
              </w:rPr>
            </w:pPr>
            <w:r>
              <w:rPr>
                <w:sz w:val="4"/>
                <w:szCs w:val="4"/>
              </w:rPr>
            </w:r>
          </w:p>
        </w:tc>
      </w:tr>
      <w:tr>
        <w:trPr/>
        <w:tc>
          <w:tcPr>
            <w:tcW w:w="5226" w:type="dxa"/>
            <w:tcBorders/>
          </w:tcPr>
          <w:p>
            <w:pPr>
              <w:pStyle w:val="TableContents"/>
              <w:bidi w:val="0"/>
              <w:spacing w:before="0" w:after="283"/>
              <w:jc w:val="left"/>
              <w:rPr/>
            </w:pPr>
            <w:r>
              <w:rPr/>
              <w:drawing>
                <wp:inline distT="0" distB="0" distL="0" distR="0">
                  <wp:extent cx="1819275"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9"/>
                          <a:stretch>
                            <a:fillRect/>
                          </a:stretch>
                        </pic:blipFill>
                        <pic:spPr bwMode="auto">
                          <a:xfrm>
                            <a:off x="0" y="0"/>
                            <a:ext cx="1819275" cy="2857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283"/>
              <w:jc w:val="right"/>
              <w:rPr/>
            </w:pPr>
            <w:r>
              <w:rPr/>
              <w:drawing>
                <wp:inline distT="0" distB="0" distL="0" distR="0">
                  <wp:extent cx="157162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0"/>
                          <a:stretch>
                            <a:fillRect/>
                          </a:stretch>
                        </pic:blipFill>
                        <pic:spPr bwMode="auto">
                          <a:xfrm>
                            <a:off x="0" y="0"/>
                            <a:ext cx="1571625" cy="342900"/>
                          </a:xfrm>
                          <a:prstGeom prst="rect">
                            <a:avLst/>
                          </a:prstGeom>
                        </pic:spPr>
                      </pic:pic>
                    </a:graphicData>
                  </a:graphic>
                </wp:inline>
              </w:drawing>
            </w:r>
            <w:r>
              <w:rPr/>
              <w:t xml:space="preserv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Amdocs Announces Appointment of Shimie Hortig to the Board of Directors Upon Shuky Sheffer’s </w:t>
      </w:r>
    </w:p>
    <w:p>
      <w:pPr>
        <w:pStyle w:val="TextBody"/>
        <w:bidi w:val="0"/>
        <w:spacing w:before="0" w:after="0"/>
        <w:jc w:val="center"/>
        <w:rPr>
          <w:rFonts w:ascii="Times New Roman" w:hAnsi="Times New Roman"/>
          <w:b/>
          <w:sz w:val="20"/>
        </w:rPr>
      </w:pPr>
      <w:r>
        <w:rPr>
          <w:rFonts w:ascii="Times New Roman" w:hAnsi="Times New Roman"/>
          <w:b/>
          <w:sz w:val="20"/>
        </w:rPr>
        <w:t xml:space="preserve">Retirement as Director and Chief Executive Officer </w:t>
      </w:r>
    </w:p>
    <w:p>
      <w:pPr>
        <w:pStyle w:val="TextBody"/>
        <w:bidi w:val="0"/>
        <w:spacing w:before="240" w:after="0"/>
        <w:jc w:val="left"/>
        <w:rPr>
          <w:rFonts w:ascii="Times New Roman" w:hAnsi="Times New Roman"/>
          <w:sz w:val="20"/>
        </w:rPr>
      </w:pPr>
      <w:r>
        <w:rPr>
          <w:rFonts w:ascii="Times New Roman" w:hAnsi="Times New Roman"/>
          <w:b/>
          <w:sz w:val="20"/>
        </w:rPr>
        <w:t>Jersey City, NJ – March</w:t>
      </w:r>
      <w:r>
        <w:rPr>
          <w:rFonts w:ascii="Times New Roman" w:hAnsi="Times New Roman"/>
          <w:sz w:val="20"/>
        </w:rPr>
        <w:t> </w:t>
      </w:r>
      <w:r>
        <w:rPr>
          <w:rFonts w:ascii="Times New Roman" w:hAnsi="Times New Roman"/>
          <w:b/>
          <w:sz w:val="20"/>
        </w:rPr>
        <w:t>23, 2026</w:t>
      </w:r>
      <w:r>
        <w:rPr>
          <w:rFonts w:ascii="Times New Roman" w:hAnsi="Times New Roman"/>
          <w:sz w:val="20"/>
        </w:rPr>
        <w:t xml:space="preserve"> – Amdocs (NASDAQ: DOX) (“Amdocs” or the “Company”), a leading provider of software and services to communications and media companies, today announced that, in connection with his retirement from Amdocs’ management team, Shuky Sheffer has also retired from Amdocs’ Board of Directors (the “Board”) and the Board has appointed Shimie Hortig as a new member of the Board, effective concurrently with Mr. Hortigs’ replacement of Mr. Sheffer as President and Chief Executive Officer of Amdocs Management Limited. </w:t>
      </w:r>
    </w:p>
    <w:p>
      <w:pPr>
        <w:pStyle w:val="TextBody"/>
        <w:bidi w:val="0"/>
        <w:spacing w:before="360" w:after="0"/>
        <w:jc w:val="left"/>
        <w:rPr>
          <w:rFonts w:ascii="Times New Roman" w:hAnsi="Times New Roman"/>
          <w:b/>
          <w:sz w:val="20"/>
        </w:rPr>
      </w:pPr>
      <w:r>
        <w:rPr>
          <w:rFonts w:ascii="Times New Roman" w:hAnsi="Times New Roman"/>
          <w:b/>
          <w:sz w:val="20"/>
        </w:rPr>
        <w:t xml:space="preserve">Supporting Resources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Keep up with Amdocs news by visiting the company’s </w:t>
            </w:r>
            <w:r>
              <w:rPr>
                <w:rFonts w:ascii="Times New Roman" w:hAnsi="Times New Roman"/>
                <w:sz w:val="20"/>
                <w:u w:val="single"/>
              </w:rPr>
              <w:t>website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Follow us on</w:t>
            </w:r>
            <w:r>
              <w:rPr>
                <w:rFonts w:ascii="Times New Roman" w:hAnsi="Times New Roman"/>
                <w:sz w:val="20"/>
                <w:u w:val="single"/>
              </w:rPr>
              <w:t> X</w:t>
            </w:r>
            <w:r>
              <w:rPr>
                <w:rFonts w:ascii="Times New Roman" w:hAnsi="Times New Roman"/>
                <w:sz w:val="20"/>
              </w:rPr>
              <w:t>,</w:t>
            </w:r>
            <w:r>
              <w:rPr>
                <w:rFonts w:ascii="Times New Roman" w:hAnsi="Times New Roman"/>
                <w:sz w:val="20"/>
                <w:u w:val="single"/>
              </w:rPr>
              <w:t> Facebook</w:t>
            </w:r>
            <w:r>
              <w:rPr>
                <w:rFonts w:ascii="Times New Roman" w:hAnsi="Times New Roman"/>
                <w:sz w:val="20"/>
              </w:rPr>
              <w:t>,</w:t>
            </w:r>
            <w:r>
              <w:rPr>
                <w:rFonts w:ascii="Times New Roman" w:hAnsi="Times New Roman"/>
                <w:sz w:val="20"/>
                <w:u w:val="single"/>
              </w:rPr>
              <w:t> LinkedIn</w:t>
            </w:r>
            <w:r>
              <w:rPr>
                <w:rFonts w:ascii="Times New Roman" w:hAnsi="Times New Roman"/>
                <w:sz w:val="20"/>
              </w:rPr>
              <w:t>, and</w:t>
            </w:r>
            <w:r>
              <w:rPr>
                <w:rFonts w:ascii="Times New Roman" w:hAnsi="Times New Roman"/>
                <w:sz w:val="20"/>
                <w:u w:val="single"/>
              </w:rPr>
              <w:t> YouTube</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Amdocs </w:t>
      </w:r>
    </w:p>
    <w:p>
      <w:pPr>
        <w:pStyle w:val="TextBody"/>
        <w:bidi w:val="0"/>
        <w:spacing w:before="120" w:after="0"/>
        <w:jc w:val="left"/>
        <w:rPr>
          <w:rFonts w:ascii="Times New Roman" w:hAnsi="Times New Roman"/>
          <w:sz w:val="20"/>
        </w:rPr>
      </w:pPr>
      <w:r>
        <w:rPr>
          <w:rFonts w:ascii="Times New Roman" w:hAnsi="Times New Roman"/>
          <w:sz w:val="20"/>
        </w:rPr>
        <w:t xml:space="preserve">Amdocs helps the world’s leading communications and media companies deliver exceptional customer experiences through reliable, efficient, and secure operations at scale. We provide software products and services that embed intelligence into how work runs across business, IT, and network domains – delivering measurable outcomes in customer experience, network performance, cloud modernization, and revenue growth. With our talented people, and more than 40 years of experience running mission-critical systems around the globe, Amdocs runs billions of transactions daily. Our technology is relied on every day, connecting people worldwide and advancing a more inclusive, connected world. Together, we help those who shape the future to make it amazing. Amdocs is listed on the NASDAQ Global Select Market (NASDAQ: DOX) and reported revenue of $4.53 billion in fiscal 2025. For more information, visit </w:t>
      </w:r>
      <w:r>
        <w:rPr>
          <w:rFonts w:ascii="Times New Roman" w:hAnsi="Times New Roman"/>
          <w:sz w:val="20"/>
          <w:u w:val="single"/>
        </w:rPr>
        <w:t>www.amdocs.com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Amdocs’ Forward-Looking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the Company’s customers’ businesses and levels of business activity, including the effect of the current economic uncertainty and industry pressure on the spending decisions of the Company’s customers. Amdocs’ ability to grow in the business markets that it serves, Amdocs’ ability to successfully integrate acquired businesses, adverse effects of market competition, rapid technological shifts that may render the Company’s products and services obsolete, security incidents, including breaches and cyberattacks to our systems and networks and those of our partners or customers, potential loss of a major customer, our ability to develop long-term relationships with our customers, our ability to successfully and effectively implement artificial intelligence and Generative AI in the Company’s offerings and operations,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2025, filed on December 15, 2025 and our Form 6-K furnished for the first quarter of fiscal 2026 on February 17, 2026.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6"/>
        <w:gridCol w:w="120"/>
        <w:gridCol w:w="4859"/>
      </w:tblGrid>
      <w:tr>
        <w:trPr/>
        <w:tc>
          <w:tcPr>
            <w:tcW w:w="52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9" w:type="dxa"/>
            <w:tcBorders/>
            <w:vAlign w:val="center"/>
          </w:tcPr>
          <w:p>
            <w:pPr>
              <w:pStyle w:val="TableContents"/>
              <w:bidi w:val="0"/>
              <w:spacing w:before="0" w:after="283"/>
              <w:jc w:val="left"/>
              <w:rPr>
                <w:sz w:val="4"/>
                <w:szCs w:val="4"/>
              </w:rPr>
            </w:pPr>
            <w:r>
              <w:rPr>
                <w:sz w:val="4"/>
                <w:szCs w:val="4"/>
              </w:rPr>
            </w:r>
          </w:p>
        </w:tc>
      </w:tr>
      <w:tr>
        <w:trPr/>
        <w:tc>
          <w:tcPr>
            <w:tcW w:w="5226" w:type="dxa"/>
            <w:tcBorders/>
          </w:tcPr>
          <w:p>
            <w:pPr>
              <w:pStyle w:val="TableContents"/>
              <w:bidi w:val="0"/>
              <w:spacing w:before="0" w:after="283"/>
              <w:jc w:val="left"/>
              <w:rPr/>
            </w:pPr>
            <w:r>
              <w:rPr/>
              <w:drawing>
                <wp:inline distT="0" distB="0" distL="0" distR="0">
                  <wp:extent cx="1845945" cy="2908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1845945" cy="29083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59" w:type="dxa"/>
            <w:tcBorders/>
          </w:tcPr>
          <w:p>
            <w:pPr>
              <w:pStyle w:val="TableContents"/>
              <w:bidi w:val="0"/>
              <w:spacing w:before="0" w:after="283"/>
              <w:jc w:val="right"/>
              <w:rPr/>
            </w:pPr>
            <w:r>
              <w:rPr/>
              <w:drawing>
                <wp:inline distT="0" distB="0" distL="0" distR="0">
                  <wp:extent cx="1594485" cy="3486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2"/>
                          <a:stretch>
                            <a:fillRect/>
                          </a:stretch>
                        </pic:blipFill>
                        <pic:spPr bwMode="auto">
                          <a:xfrm>
                            <a:off x="0" y="0"/>
                            <a:ext cx="1594485" cy="34861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Matthew Smith </w:t>
      </w:r>
    </w:p>
    <w:p>
      <w:pPr>
        <w:pStyle w:val="TextBody"/>
        <w:bidi w:val="0"/>
        <w:spacing w:before="240" w:after="0"/>
        <w:jc w:val="left"/>
        <w:rPr>
          <w:rFonts w:ascii="Times New Roman" w:hAnsi="Times New Roman"/>
          <w:sz w:val="20"/>
        </w:rPr>
      </w:pPr>
      <w:r>
        <w:rPr>
          <w:rFonts w:ascii="Times New Roman" w:hAnsi="Times New Roman"/>
          <w:sz w:val="20"/>
        </w:rPr>
        <w:t xml:space="preserve">Head of Investor Relations </w:t>
      </w:r>
    </w:p>
    <w:p>
      <w:pPr>
        <w:pStyle w:val="TextBody"/>
        <w:bidi w:val="0"/>
        <w:spacing w:before="240" w:after="0"/>
        <w:jc w:val="left"/>
        <w:rPr>
          <w:rFonts w:ascii="Times New Roman" w:hAnsi="Times New Roman"/>
          <w:sz w:val="20"/>
        </w:rPr>
      </w:pPr>
      <w:r>
        <w:rPr>
          <w:rFonts w:ascii="Times New Roman" w:hAnsi="Times New Roman"/>
          <w:sz w:val="20"/>
        </w:rPr>
        <w:t xml:space="preserve">Amdocs </w:t>
      </w:r>
    </w:p>
    <w:p>
      <w:pPr>
        <w:pStyle w:val="TextBody"/>
        <w:bidi w:val="0"/>
        <w:spacing w:before="240" w:after="0"/>
        <w:jc w:val="left"/>
        <w:rPr>
          <w:rFonts w:ascii="Times New Roman" w:hAnsi="Times New Roman"/>
          <w:sz w:val="20"/>
        </w:rPr>
      </w:pPr>
      <w:r>
        <w:rPr>
          <w:rFonts w:ascii="Times New Roman" w:hAnsi="Times New Roman"/>
          <w:sz w:val="20"/>
        </w:rPr>
        <w:t xml:space="preserve">314-212-8328 </w:t>
      </w:r>
    </w:p>
    <w:p>
      <w:pPr>
        <w:pStyle w:val="TextBody"/>
        <w:bidi w:val="0"/>
        <w:spacing w:before="240" w:after="0"/>
        <w:jc w:val="left"/>
        <w:rPr>
          <w:rFonts w:ascii="Times New Roman" w:hAnsi="Times New Roman"/>
          <w:sz w:val="20"/>
        </w:rPr>
      </w:pPr>
      <w:r>
        <w:rPr>
          <w:rFonts w:ascii="Times New Roman" w:hAnsi="Times New Roman"/>
          <w:sz w:val="20"/>
        </w:rPr>
        <w:t xml:space="preserve">E-mail: dox_info@amdocs.com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62579/000090445499000182/0000904454-99-000182.txt" TargetMode="External"/><Relationship Id="rId3" Type="http://schemas.openxmlformats.org/officeDocument/2006/relationships/hyperlink" Target="http://www.sec.gov/Archives/edgar/data/1062579/000090445499000192/0000904454-99-000192.txt" TargetMode="External"/><Relationship Id="rId4" Type="http://schemas.openxmlformats.org/officeDocument/2006/relationships/hyperlink" Target="http://www.sec.gov/Archives/edgar/data/1062579/000090445400000035/0000904454-00-000035.txt" TargetMode="External"/><Relationship Id="rId5" Type="http://schemas.openxmlformats.org/officeDocument/2006/relationships/hyperlink" Target="http://www.sec.gov/Archives/edgar/data/1062579/000090445400000062/0000904454-00-000062.txt" TargetMode="External"/><Relationship Id="rId6" Type="http://schemas.openxmlformats.org/officeDocument/2006/relationships/hyperlink" Target="http://www.sec.gov/Archives/edgar/data/1062579/000090445401500018/file001.txt" TargetMode="External"/><Relationship Id="rId7" Type="http://schemas.openxmlformats.org/officeDocument/2006/relationships/hyperlink" Target="http://www.sec.gov/Archives/edgar/data/1062579/000095012304004065/y95221sv8.txt" TargetMode="External"/><Relationship Id="rId8" Type="http://schemas.openxmlformats.org/officeDocument/2006/relationships/hyperlink" Target="http://www.sec.gov/Archives/edgar/data/1062579/000095012306004177/y19406sv8.txt" TargetMode="External"/><Relationship Id="rId9" Type="http://schemas.openxmlformats.org/officeDocument/2006/relationships/hyperlink" Target="http://www.sec.gov/Archives/edgar/data/1062579/000095012306008097/y22558sv8.txt" TargetMode="External"/><Relationship Id="rId10" Type="http://schemas.openxmlformats.org/officeDocument/2006/relationships/hyperlink" Target="http://www.sec.gov/Archives/edgar/data/1062579/000095012306012020/y25477sv8.txt" TargetMode="External"/><Relationship Id="rId11" Type="http://schemas.openxmlformats.org/officeDocument/2006/relationships/hyperlink" Target="http://www.sec.gov/Archives/edgar/data/1062579/000095012306015143/y27993sv8.txt" TargetMode="External"/><Relationship Id="rId12" Type="http://schemas.openxmlformats.org/officeDocument/2006/relationships/hyperlink" Target="http://www.sec.gov/Archives/edgar/data/1062579/000095012307002296/y30457sv8.txt" TargetMode="External"/><Relationship Id="rId13" Type="http://schemas.openxmlformats.org/officeDocument/2006/relationships/hyperlink" Target="http://www.sec.gov/Archives/edgar/data/1062579/000095012309008662/y77133sv8.htm" TargetMode="External"/><Relationship Id="rId14" Type="http://schemas.openxmlformats.org/officeDocument/2006/relationships/hyperlink" Target="http://www.sec.gov/Archives/edgar/data/1062579/000119312514028446/d665440ds8.htm" TargetMode="External"/><Relationship Id="rId15" Type="http://schemas.openxmlformats.org/officeDocument/2006/relationships/hyperlink" Target="http://www.sec.gov/Archives/edgar/data/1062579/000119312518040404/d532355ds8.htm" TargetMode="External"/><Relationship Id="rId16" Type="http://schemas.openxmlformats.org/officeDocument/2006/relationships/hyperlink" Target="http://www.sec.gov/Archives/edgar/data/1062579/000095010320015946/dp134364_s8.htm" TargetMode="External"/><Relationship Id="rId17" Type="http://schemas.openxmlformats.org/officeDocument/2006/relationships/hyperlink" Target="http://www.sec.gov/Archives/edgar/data/1062579/000119312523035823/d267508ds8.htm" TargetMode="External"/><Relationship Id="rId18" Type="http://schemas.openxmlformats.org/officeDocument/2006/relationships/hyperlink" Target="http://www.sec.gov/Archives/edgar/data/901832/000110465924025610/tm246444d1_s8.htm" TargetMode="External"/><Relationship Id="rId19" Type="http://schemas.openxmlformats.org/officeDocument/2006/relationships/image" Target="media/image1.jpeg"/><Relationship Id="rId20" Type="http://schemas.openxmlformats.org/officeDocument/2006/relationships/image" Target="media/image2.jpeg"/><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1038</Words>
  <Characters>5921</Characters>
  <CharactersWithSpaces>6996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