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5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979170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996315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w:t>
      </w:r>
      <w:r>
        <w:rPr>
          <w:rFonts w:ascii="Times New Roman" w:cs="Times New Roman" w:eastAsia="Times New Roman" w:hAnsi="Times New Roman"/>
          <w:sz w:val="10"/>
          <w:szCs w:val="10"/>
          <w:color w:val="auto"/>
        </w:rPr>
        <w:t>,</w:t>
      </w:r>
      <w:r>
        <w:rPr>
          <w:rFonts w:ascii="Times New Roman" w:cs="Times New Roman" w:eastAsia="Times New Roman" w:hAnsi="Times New Roman"/>
          <w:sz w:val="22"/>
          <w:szCs w:val="22"/>
          <w:b w:val="1"/>
          <w:bCs w:val="1"/>
          <w:color w:val="auto"/>
        </w:rPr>
        <w:t xml:space="preserve">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RULE 13a-16 OR 15d-16 OF</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 Ended June 30, 2024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1-14840</w:t>
      </w:r>
    </w:p>
    <w:p>
      <w:pPr>
        <w:spacing w:after="0" w:line="1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AMDOCS LIMITED</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Hirzel House, Smith Street,</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St. Peter Port, Island of Guernsey, GY1 2NG</w:t>
      </w:r>
    </w:p>
    <w:p>
      <w:pPr>
        <w:spacing w:after="0" w:line="2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Amdocs, Inc.</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625 Maryville Centre Drive, Suite 200 Saint Louis, Missouri 63141</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jc w:val="center"/>
        <w:ind w:right="-19"/>
        <w:spacing w:after="0" w:line="207" w:lineRule="exact"/>
        <w:tabs>
          <w:tab w:leader="none" w:pos="3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6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by furnishing the information contained in this form is also thereby furnishing the information to the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 pursuant to Rule 12g3-2(b) under the Securities Exchange Act of 1934:</w:t>
      </w:r>
    </w:p>
    <w:p>
      <w:pPr>
        <w:spacing w:after="0" w:line="165" w:lineRule="exact"/>
        <w:rPr>
          <w:sz w:val="24"/>
          <w:szCs w:val="24"/>
          <w:color w:val="auto"/>
        </w:rPr>
      </w:pPr>
    </w:p>
    <w:p>
      <w:pPr>
        <w:jc w:val="center"/>
        <w:ind w:right="-19"/>
        <w:spacing w:after="0" w:line="207" w:lineRule="exact"/>
        <w:tabs>
          <w:tab w:leader="none" w:pos="42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26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“Yes” is marked, indicate below the file number assigned to the registrant in connection with Rule 12g3-2(b): 82- 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1075055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tbl>
      <w:tblPr>
        <w:tblLayout w:type="fixed"/>
        <w:tblInd w:w="6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60" w:type="dxa"/>
            <w:vAlign w:val="bottom"/>
            <w:gridSpan w:val="2"/>
          </w:tcPr>
          <w:p>
            <w:pPr>
              <w:jc w:val="center"/>
              <w:ind w:right="2260"/>
              <w:spacing w:after="0"/>
              <w:rPr>
                <w:sz w:val="20"/>
                <w:szCs w:val="20"/>
                <w:color w:val="auto"/>
              </w:rPr>
            </w:pPr>
            <w:r>
              <w:rPr>
                <w:rFonts w:ascii="Times New Roman" w:cs="Times New Roman" w:eastAsia="Times New Roman" w:hAnsi="Times New Roman"/>
                <w:sz w:val="18"/>
                <w:szCs w:val="18"/>
                <w:color w:val="auto"/>
              </w:rPr>
              <w:t>AMDOCS LIMITED</w:t>
            </w:r>
          </w:p>
        </w:tc>
        <w:tc>
          <w:tcPr>
            <w:tcW w:w="1920" w:type="dxa"/>
            <w:vAlign w:val="bottom"/>
          </w:tcPr>
          <w:p>
            <w:pPr>
              <w:spacing w:after="0"/>
              <w:rPr>
                <w:sz w:val="20"/>
                <w:szCs w:val="20"/>
                <w:color w:val="auto"/>
              </w:rPr>
            </w:pPr>
          </w:p>
        </w:tc>
      </w:tr>
      <w:tr>
        <w:trPr>
          <w:trHeight w:val="431"/>
        </w:trPr>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60" w:type="dxa"/>
            <w:vAlign w:val="bottom"/>
            <w:gridSpan w:val="2"/>
          </w:tcPr>
          <w:p>
            <w:pPr>
              <w:jc w:val="center"/>
              <w:ind w:right="2260"/>
              <w:spacing w:after="0"/>
              <w:rPr>
                <w:sz w:val="20"/>
                <w:szCs w:val="20"/>
                <w:color w:val="auto"/>
              </w:rPr>
            </w:pPr>
            <w:r>
              <w:rPr>
                <w:rFonts w:ascii="Times New Roman" w:cs="Times New Roman" w:eastAsia="Times New Roman" w:hAnsi="Times New Roman"/>
                <w:sz w:val="18"/>
                <w:szCs w:val="18"/>
                <w:color w:val="auto"/>
              </w:rPr>
              <w:t>FORM 6-K</w:t>
            </w:r>
          </w:p>
        </w:tc>
        <w:tc>
          <w:tcPr>
            <w:tcW w:w="1920" w:type="dxa"/>
            <w:vAlign w:val="bottom"/>
          </w:tcPr>
          <w:p>
            <w:pPr>
              <w:spacing w:after="0"/>
              <w:rPr>
                <w:sz w:val="24"/>
                <w:szCs w:val="24"/>
                <w:color w:val="auto"/>
              </w:rPr>
            </w:pPr>
          </w:p>
        </w:tc>
      </w:tr>
      <w:tr>
        <w:trPr>
          <w:trHeight w:val="431"/>
        </w:trPr>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40" w:type="dxa"/>
            <w:vAlign w:val="bottom"/>
            <w:gridSpan w:val="5"/>
          </w:tcPr>
          <w:p>
            <w:pPr>
              <w:jc w:val="center"/>
              <w:ind w:right="1680"/>
              <w:spacing w:after="0"/>
              <w:rPr>
                <w:sz w:val="20"/>
                <w:szCs w:val="20"/>
                <w:color w:val="auto"/>
              </w:rPr>
            </w:pPr>
            <w:r>
              <w:rPr>
                <w:rFonts w:ascii="Times New Roman" w:cs="Times New Roman" w:eastAsia="Times New Roman" w:hAnsi="Times New Roman"/>
                <w:sz w:val="18"/>
                <w:szCs w:val="18"/>
                <w:color w:val="auto"/>
                <w:w w:val="98"/>
              </w:rPr>
              <w:t>REPORT OF FOREIGN PRIVATE ISSUER</w:t>
            </w:r>
          </w:p>
        </w:tc>
        <w:tc>
          <w:tcPr>
            <w:tcW w:w="1920" w:type="dxa"/>
            <w:vAlign w:val="bottom"/>
          </w:tcPr>
          <w:p>
            <w:pPr>
              <w:spacing w:after="0"/>
              <w:rPr>
                <w:sz w:val="24"/>
                <w:szCs w:val="24"/>
                <w:color w:val="auto"/>
              </w:rPr>
            </w:pPr>
          </w:p>
        </w:tc>
      </w:tr>
      <w:tr>
        <w:trPr>
          <w:trHeight w:val="413"/>
        </w:trPr>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40" w:type="dxa"/>
            <w:vAlign w:val="bottom"/>
            <w:gridSpan w:val="5"/>
          </w:tcPr>
          <w:p>
            <w:pPr>
              <w:jc w:val="center"/>
              <w:ind w:right="1680"/>
              <w:spacing w:after="0"/>
              <w:rPr>
                <w:sz w:val="20"/>
                <w:szCs w:val="20"/>
                <w:color w:val="auto"/>
              </w:rPr>
            </w:pPr>
            <w:r>
              <w:rPr>
                <w:rFonts w:ascii="Times New Roman" w:cs="Times New Roman" w:eastAsia="Times New Roman" w:hAnsi="Times New Roman"/>
                <w:sz w:val="18"/>
                <w:szCs w:val="18"/>
                <w:color w:val="auto"/>
              </w:rPr>
              <w:t>FOR THE QUARTER ENDED JUNE 30,</w:t>
            </w:r>
          </w:p>
        </w:tc>
        <w:tc>
          <w:tcPr>
            <w:tcW w:w="1920" w:type="dxa"/>
            <w:vAlign w:val="bottom"/>
          </w:tcPr>
          <w:p>
            <w:pPr>
              <w:spacing w:after="0"/>
              <w:rPr>
                <w:sz w:val="24"/>
                <w:szCs w:val="24"/>
                <w:color w:val="auto"/>
              </w:rPr>
            </w:pPr>
          </w:p>
        </w:tc>
      </w:tr>
      <w:tr>
        <w:trPr>
          <w:trHeight w:val="216"/>
        </w:trPr>
        <w:tc>
          <w:tcPr>
            <w:tcW w:w="6540" w:type="dxa"/>
            <w:vAlign w:val="bottom"/>
            <w:gridSpan w:val="15"/>
          </w:tcPr>
          <w:p>
            <w:pPr>
              <w:jc w:val="center"/>
              <w:ind w:left="4490"/>
              <w:spacing w:after="0"/>
              <w:rPr>
                <w:sz w:val="20"/>
                <w:szCs w:val="20"/>
                <w:color w:val="auto"/>
              </w:rPr>
            </w:pPr>
            <w:r>
              <w:rPr>
                <w:rFonts w:ascii="Times New Roman" w:cs="Times New Roman" w:eastAsia="Times New Roman" w:hAnsi="Times New Roman"/>
                <w:sz w:val="18"/>
                <w:szCs w:val="18"/>
                <w:color w:val="auto"/>
                <w:w w:val="99"/>
              </w:rPr>
              <w:t>2024</w:t>
            </w:r>
          </w:p>
        </w:tc>
        <w:tc>
          <w:tcPr>
            <w:tcW w:w="238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34"/>
        </w:trPr>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60" w:type="dxa"/>
            <w:vAlign w:val="bottom"/>
            <w:gridSpan w:val="2"/>
          </w:tcPr>
          <w:p>
            <w:pPr>
              <w:jc w:val="center"/>
              <w:ind w:right="2260"/>
              <w:spacing w:after="0"/>
              <w:rPr>
                <w:sz w:val="20"/>
                <w:szCs w:val="20"/>
                <w:color w:val="auto"/>
              </w:rPr>
            </w:pPr>
            <w:r>
              <w:rPr>
                <w:rFonts w:ascii="Times New Roman" w:cs="Times New Roman" w:eastAsia="Times New Roman" w:hAnsi="Times New Roman"/>
                <w:sz w:val="18"/>
                <w:szCs w:val="18"/>
                <w:color w:val="auto"/>
                <w:w w:val="99"/>
              </w:rPr>
              <w:t>INDEX</w:t>
            </w:r>
          </w:p>
        </w:tc>
        <w:tc>
          <w:tcPr>
            <w:tcW w:w="1920" w:type="dxa"/>
            <w:vAlign w:val="bottom"/>
          </w:tcPr>
          <w:p>
            <w:pPr>
              <w:spacing w:after="0"/>
              <w:rPr>
                <w:sz w:val="20"/>
                <w:szCs w:val="20"/>
                <w:color w:val="auto"/>
              </w:rPr>
            </w:pPr>
          </w:p>
        </w:tc>
      </w:tr>
      <w:tr>
        <w:trPr>
          <w:trHeight w:val="404"/>
        </w:trPr>
        <w:tc>
          <w:tcPr>
            <w:tcW w:w="89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PART I FINANCIAL INFORMATION</w:t>
            </w:r>
          </w:p>
        </w:tc>
        <w:tc>
          <w:tcPr>
            <w:tcW w:w="192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160" w:type="dxa"/>
            <w:vAlign w:val="bottom"/>
            <w:tcBorders>
              <w:top w:val="single" w:sz="8" w:color="0000FF"/>
            </w:tcBorders>
          </w:tcPr>
          <w:p>
            <w:pPr>
              <w:spacing w:after="0"/>
              <w:rPr>
                <w:sz w:val="19"/>
                <w:szCs w:val="19"/>
                <w:color w:val="auto"/>
              </w:rPr>
            </w:pPr>
          </w:p>
        </w:tc>
        <w:tc>
          <w:tcPr>
            <w:tcW w:w="266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Item 1. Financial Statements</w:t>
            </w:r>
          </w:p>
        </w:tc>
        <w:tc>
          <w:tcPr>
            <w:tcW w:w="6100" w:type="dxa"/>
            <w:vAlign w:val="bottom"/>
            <w:gridSpan w:val="8"/>
          </w:tcPr>
          <w:p>
            <w:pPr>
              <w:spacing w:after="0"/>
              <w:rPr>
                <w:sz w:val="19"/>
                <w:szCs w:val="19"/>
                <w:color w:val="auto"/>
              </w:rPr>
            </w:pPr>
          </w:p>
        </w:tc>
        <w:tc>
          <w:tcPr>
            <w:tcW w:w="192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1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263"/>
        </w:trPr>
        <w:tc>
          <w:tcPr>
            <w:tcW w:w="160" w:type="dxa"/>
            <w:vAlign w:val="bottom"/>
          </w:tcPr>
          <w:p>
            <w:pPr>
              <w:spacing w:after="0"/>
              <w:rPr>
                <w:sz w:val="22"/>
                <w:szCs w:val="22"/>
                <w:color w:val="auto"/>
              </w:rPr>
            </w:pPr>
          </w:p>
        </w:tc>
        <w:tc>
          <w:tcPr>
            <w:tcW w:w="8760" w:type="dxa"/>
            <w:vAlign w:val="bottom"/>
            <w:gridSpan w:val="15"/>
          </w:tcPr>
          <w:p>
            <w:pPr>
              <w:ind w:left="180"/>
              <w:spacing w:after="0"/>
              <w:rPr>
                <w:sz w:val="20"/>
                <w:szCs w:val="20"/>
                <w:color w:val="auto"/>
              </w:rPr>
            </w:pPr>
            <w:r>
              <w:rPr>
                <w:rFonts w:ascii="Times New Roman" w:cs="Times New Roman" w:eastAsia="Times New Roman" w:hAnsi="Times New Roman"/>
                <w:sz w:val="18"/>
                <w:szCs w:val="18"/>
                <w:color w:val="auto"/>
              </w:rPr>
              <w:t>Unaudited Consolidated Financial Statements</w:t>
            </w:r>
          </w:p>
        </w:tc>
        <w:tc>
          <w:tcPr>
            <w:tcW w:w="1920" w:type="dxa"/>
            <w:vAlign w:val="bottom"/>
          </w:tcPr>
          <w:p>
            <w:pPr>
              <w:spacing w:after="0"/>
              <w:rPr>
                <w:sz w:val="22"/>
                <w:szCs w:val="22"/>
                <w:color w:val="auto"/>
              </w:rPr>
            </w:pPr>
          </w:p>
        </w:tc>
      </w:tr>
      <w:tr>
        <w:trPr>
          <w:trHeight w:val="202"/>
        </w:trPr>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100" w:type="dxa"/>
            <w:vAlign w:val="bottom"/>
            <w:tcBorders>
              <w:bottom w:val="single" w:sz="8" w:color="0000FF"/>
            </w:tcBorders>
            <w:gridSpan w:val="5"/>
          </w:tcPr>
          <w:p>
            <w:pPr>
              <w:spacing w:after="0" w:line="202" w:lineRule="exact"/>
              <w:rPr>
                <w:sz w:val="20"/>
                <w:szCs w:val="20"/>
                <w:color w:val="auto"/>
              </w:rPr>
            </w:pPr>
            <w:r>
              <w:rPr>
                <w:rFonts w:ascii="Times New Roman" w:cs="Times New Roman" w:eastAsia="Times New Roman" w:hAnsi="Times New Roman"/>
                <w:sz w:val="18"/>
                <w:szCs w:val="18"/>
                <w:color w:val="0000FF"/>
                <w:w w:val="99"/>
              </w:rPr>
              <w:t>Consolidated Balance Sheets</w:t>
            </w:r>
          </w:p>
        </w:tc>
        <w:tc>
          <w:tcPr>
            <w:tcW w:w="6300" w:type="dxa"/>
            <w:vAlign w:val="bottom"/>
            <w:gridSpan w:val="9"/>
          </w:tcPr>
          <w:p>
            <w:pPr>
              <w:spacing w:after="0"/>
              <w:rPr>
                <w:sz w:val="17"/>
                <w:szCs w:val="17"/>
                <w:color w:val="auto"/>
              </w:rPr>
            </w:pPr>
          </w:p>
        </w:tc>
        <w:tc>
          <w:tcPr>
            <w:tcW w:w="1920" w:type="dxa"/>
            <w:vAlign w:val="bottom"/>
          </w:tcPr>
          <w:p>
            <w:pPr>
              <w:ind w:left="1740"/>
              <w:spacing w:after="0" w:line="202" w:lineRule="exact"/>
              <w:rPr>
                <w:sz w:val="20"/>
                <w:szCs w:val="20"/>
                <w:color w:val="auto"/>
              </w:rPr>
            </w:pPr>
            <w:r>
              <w:rPr>
                <w:rFonts w:ascii="Times New Roman" w:cs="Times New Roman" w:eastAsia="Times New Roman" w:hAnsi="Times New Roman"/>
                <w:sz w:val="18"/>
                <w:szCs w:val="18"/>
                <w:color w:val="auto"/>
              </w:rPr>
              <w:t>3</w:t>
            </w:r>
          </w:p>
        </w:tc>
      </w:tr>
      <w:tr>
        <w:trPr>
          <w:trHeight w:val="223"/>
        </w:trPr>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5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Consolidated Statements of Income</w:t>
            </w:r>
          </w:p>
        </w:tc>
        <w:tc>
          <w:tcPr>
            <w:tcW w:w="5820" w:type="dxa"/>
            <w:vAlign w:val="bottom"/>
            <w:gridSpan w:val="7"/>
          </w:tcPr>
          <w:p>
            <w:pPr>
              <w:spacing w:after="0"/>
              <w:rPr>
                <w:sz w:val="19"/>
                <w:szCs w:val="19"/>
                <w:color w:val="auto"/>
              </w:rPr>
            </w:pPr>
          </w:p>
        </w:tc>
        <w:tc>
          <w:tcPr>
            <w:tcW w:w="192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7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w:t>
            </w:r>
          </w:p>
        </w:tc>
        <w:tc>
          <w:tcPr>
            <w:tcW w:w="4620" w:type="dxa"/>
            <w:vAlign w:val="bottom"/>
            <w:gridSpan w:val="3"/>
          </w:tcPr>
          <w:p>
            <w:pPr>
              <w:spacing w:after="0"/>
              <w:rPr>
                <w:sz w:val="19"/>
                <w:szCs w:val="19"/>
                <w:color w:val="auto"/>
              </w:rPr>
            </w:pPr>
          </w:p>
        </w:tc>
        <w:tc>
          <w:tcPr>
            <w:tcW w:w="192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3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Consolidated Statements of Changes in Equity</w:t>
            </w:r>
          </w:p>
        </w:tc>
        <w:tc>
          <w:tcPr>
            <w:tcW w:w="5040" w:type="dxa"/>
            <w:vAlign w:val="bottom"/>
            <w:gridSpan w:val="5"/>
          </w:tcPr>
          <w:p>
            <w:pPr>
              <w:spacing w:after="0"/>
              <w:rPr>
                <w:sz w:val="19"/>
                <w:szCs w:val="19"/>
                <w:color w:val="auto"/>
              </w:rPr>
            </w:pPr>
          </w:p>
        </w:tc>
        <w:tc>
          <w:tcPr>
            <w:tcW w:w="192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5520" w:type="dxa"/>
            <w:vAlign w:val="bottom"/>
            <w:gridSpan w:val="6"/>
          </w:tcPr>
          <w:p>
            <w:pPr>
              <w:spacing w:after="0"/>
              <w:rPr>
                <w:sz w:val="19"/>
                <w:szCs w:val="19"/>
                <w:color w:val="auto"/>
              </w:rPr>
            </w:pPr>
          </w:p>
        </w:tc>
        <w:tc>
          <w:tcPr>
            <w:tcW w:w="192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Notes to Unaudited Consolidated Financial Statements</w:t>
            </w:r>
          </w:p>
        </w:tc>
        <w:tc>
          <w:tcPr>
            <w:tcW w:w="192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560" w:type="dxa"/>
            <w:vAlign w:val="bottom"/>
            <w:gridSpan w:val="6"/>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223"/>
        </w:trPr>
        <w:tc>
          <w:tcPr>
            <w:tcW w:w="160" w:type="dxa"/>
            <w:vAlign w:val="bottom"/>
          </w:tcPr>
          <w:p>
            <w:pPr>
              <w:spacing w:after="0"/>
              <w:rPr>
                <w:sz w:val="19"/>
                <w:szCs w:val="19"/>
                <w:color w:val="auto"/>
              </w:rPr>
            </w:pPr>
          </w:p>
        </w:tc>
        <w:tc>
          <w:tcPr>
            <w:tcW w:w="87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Item 2. Operating and Financial Review and Prospects</w:t>
            </w:r>
          </w:p>
        </w:tc>
        <w:tc>
          <w:tcPr>
            <w:tcW w:w="1920" w:type="dxa"/>
            <w:vAlign w:val="bottom"/>
          </w:tcPr>
          <w:p>
            <w:pPr>
              <w:ind w:left="1740"/>
              <w:spacing w:after="0"/>
              <w:rPr>
                <w:sz w:val="20"/>
                <w:szCs w:val="20"/>
                <w:color w:val="auto"/>
              </w:rPr>
            </w:pPr>
            <w:r>
              <w:rPr>
                <w:rFonts w:ascii="Times New Roman" w:cs="Times New Roman" w:eastAsia="Times New Roman" w:hAnsi="Times New Roman"/>
                <w:sz w:val="18"/>
                <w:szCs w:val="18"/>
                <w:color w:val="auto"/>
                <w:w w:val="88"/>
              </w:rPr>
              <w:t>22</w:t>
            </w:r>
          </w:p>
        </w:tc>
      </w:tr>
      <w:tr>
        <w:trPr>
          <w:trHeight w:val="20"/>
        </w:trPr>
        <w:tc>
          <w:tcPr>
            <w:tcW w:w="16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560" w:type="dxa"/>
            <w:vAlign w:val="bottom"/>
            <w:gridSpan w:val="6"/>
            <w:shd w:val="clear" w:color="auto" w:fill="0000FF"/>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223"/>
        </w:trPr>
        <w:tc>
          <w:tcPr>
            <w:tcW w:w="25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7"/>
              </w:rPr>
              <w:t>PART II OTHER INFORMATION</w:t>
            </w:r>
          </w:p>
        </w:tc>
        <w:tc>
          <w:tcPr>
            <w:tcW w:w="6400" w:type="dxa"/>
            <w:vAlign w:val="bottom"/>
            <w:gridSpan w:val="10"/>
          </w:tcPr>
          <w:p>
            <w:pPr>
              <w:spacing w:after="0"/>
              <w:rPr>
                <w:sz w:val="19"/>
                <w:szCs w:val="19"/>
                <w:color w:val="auto"/>
              </w:rPr>
            </w:pPr>
          </w:p>
        </w:tc>
        <w:tc>
          <w:tcPr>
            <w:tcW w:w="1920" w:type="dxa"/>
            <w:vAlign w:val="bottom"/>
          </w:tcPr>
          <w:p>
            <w:pPr>
              <w:ind w:left="1740"/>
              <w:spacing w:after="0"/>
              <w:rPr>
                <w:sz w:val="20"/>
                <w:szCs w:val="20"/>
                <w:color w:val="auto"/>
              </w:rPr>
            </w:pPr>
            <w:r>
              <w:rPr>
                <w:rFonts w:ascii="Times New Roman" w:cs="Times New Roman" w:eastAsia="Times New Roman" w:hAnsi="Times New Roman"/>
                <w:sz w:val="18"/>
                <w:szCs w:val="18"/>
                <w:color w:val="auto"/>
                <w:w w:val="88"/>
              </w:rPr>
              <w:t>31</w:t>
            </w:r>
          </w:p>
        </w:tc>
      </w:tr>
      <w:tr>
        <w:trPr>
          <w:trHeight w:val="223"/>
        </w:trPr>
        <w:tc>
          <w:tcPr>
            <w:tcW w:w="160" w:type="dxa"/>
            <w:vAlign w:val="bottom"/>
          </w:tcPr>
          <w:p>
            <w:pPr>
              <w:spacing w:after="0"/>
              <w:rPr>
                <w:sz w:val="19"/>
                <w:szCs w:val="19"/>
                <w:color w:val="auto"/>
              </w:rPr>
            </w:pPr>
          </w:p>
        </w:tc>
        <w:tc>
          <w:tcPr>
            <w:tcW w:w="87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Item 1. Changes in Securities, Use of Proceeds and Issuer Purchases of Equity Securities</w:t>
            </w:r>
          </w:p>
        </w:tc>
        <w:tc>
          <w:tcPr>
            <w:tcW w:w="1920" w:type="dxa"/>
            <w:vAlign w:val="bottom"/>
          </w:tcPr>
          <w:p>
            <w:pPr>
              <w:ind w:left="1740"/>
              <w:spacing w:after="0"/>
              <w:rPr>
                <w:sz w:val="20"/>
                <w:szCs w:val="20"/>
                <w:color w:val="auto"/>
              </w:rPr>
            </w:pPr>
            <w:r>
              <w:rPr>
                <w:rFonts w:ascii="Times New Roman" w:cs="Times New Roman" w:eastAsia="Times New Roman" w:hAnsi="Times New Roman"/>
                <w:sz w:val="18"/>
                <w:szCs w:val="18"/>
                <w:color w:val="auto"/>
                <w:w w:val="88"/>
              </w:rPr>
              <w:t>31</w:t>
            </w:r>
          </w:p>
        </w:tc>
      </w:tr>
      <w:tr>
        <w:trPr>
          <w:trHeight w:val="223"/>
        </w:trPr>
        <w:tc>
          <w:tcPr>
            <w:tcW w:w="160" w:type="dxa"/>
            <w:vAlign w:val="bottom"/>
          </w:tcPr>
          <w:p>
            <w:pPr>
              <w:spacing w:after="0"/>
              <w:rPr>
                <w:sz w:val="19"/>
                <w:szCs w:val="19"/>
                <w:color w:val="auto"/>
              </w:rPr>
            </w:pPr>
          </w:p>
        </w:tc>
        <w:tc>
          <w:tcPr>
            <w:tcW w:w="638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Item 2. Reports on Form 6-K</w:t>
            </w:r>
          </w:p>
        </w:tc>
        <w:tc>
          <w:tcPr>
            <w:tcW w:w="2380" w:type="dxa"/>
            <w:vAlign w:val="bottom"/>
          </w:tcPr>
          <w:p>
            <w:pPr>
              <w:spacing w:after="0"/>
              <w:rPr>
                <w:sz w:val="19"/>
                <w:szCs w:val="19"/>
                <w:color w:val="auto"/>
              </w:rPr>
            </w:pPr>
          </w:p>
        </w:tc>
        <w:tc>
          <w:tcPr>
            <w:tcW w:w="1920" w:type="dxa"/>
            <w:vAlign w:val="bottom"/>
          </w:tcPr>
          <w:p>
            <w:pPr>
              <w:ind w:left="1740"/>
              <w:spacing w:after="0"/>
              <w:rPr>
                <w:sz w:val="20"/>
                <w:szCs w:val="20"/>
                <w:color w:val="auto"/>
              </w:rPr>
            </w:pPr>
            <w:r>
              <w:rPr>
                <w:rFonts w:ascii="Times New Roman" w:cs="Times New Roman" w:eastAsia="Times New Roman" w:hAnsi="Times New Roman"/>
                <w:sz w:val="18"/>
                <w:szCs w:val="18"/>
                <w:color w:val="auto"/>
                <w:w w:val="88"/>
              </w:rPr>
              <w:t>31</w:t>
            </w:r>
          </w:p>
        </w:tc>
      </w:tr>
      <w:tr>
        <w:trPr>
          <w:trHeight w:val="20"/>
        </w:trPr>
        <w:tc>
          <w:tcPr>
            <w:tcW w:w="16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6660" w:type="dxa"/>
            <w:vAlign w:val="bottom"/>
            <w:gridSpan w:val="11"/>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223"/>
        </w:trPr>
        <w:tc>
          <w:tcPr>
            <w:tcW w:w="89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920" w:type="dxa"/>
            <w:vAlign w:val="bottom"/>
          </w:tcPr>
          <w:p>
            <w:pPr>
              <w:ind w:left="1740"/>
              <w:spacing w:after="0"/>
              <w:rPr>
                <w:sz w:val="20"/>
                <w:szCs w:val="20"/>
                <w:color w:val="auto"/>
              </w:rPr>
            </w:pPr>
            <w:r>
              <w:rPr>
                <w:rFonts w:ascii="Times New Roman" w:cs="Times New Roman" w:eastAsia="Times New Roman" w:hAnsi="Times New Roman"/>
                <w:sz w:val="18"/>
                <w:szCs w:val="18"/>
                <w:color w:val="auto"/>
                <w:w w:val="88"/>
              </w:rPr>
              <w:t>32</w:t>
            </w:r>
          </w:p>
        </w:tc>
      </w:tr>
      <w:tr>
        <w:trPr>
          <w:trHeight w:val="20"/>
        </w:trPr>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This report on Form 6-K shall be incorporated by reference into any Registration Statement filed by the Registrant that by its terms automatically incorporates the Registrant's filings and submissions with the SEC under Sections 13(a), 13(c) or 15(d) of the Securities Exchange Act of 1934.</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509905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6"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ind w:left="128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1"/>
        </w:trPr>
        <w:tc>
          <w:tcPr>
            <w:tcW w:w="7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0" w:type="dxa"/>
            <w:vAlign w:val="bottom"/>
            <w:gridSpan w:val="3"/>
          </w:tcPr>
          <w:p>
            <w:pPr>
              <w:jc w:val="center"/>
              <w:ind w:right="560"/>
              <w:spacing w:after="0" w:line="131"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1"/>
                <w:szCs w:val="11"/>
                <w:color w:val="auto"/>
              </w:rPr>
            </w:pPr>
          </w:p>
        </w:tc>
        <w:tc>
          <w:tcPr>
            <w:tcW w:w="1340" w:type="dxa"/>
            <w:vAlign w:val="bottom"/>
          </w:tcPr>
          <w:p>
            <w:pPr>
              <w:jc w:val="right"/>
              <w:ind w:right="251"/>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1"/>
                <w:szCs w:val="11"/>
                <w:color w:val="auto"/>
              </w:rPr>
            </w:pPr>
          </w:p>
        </w:tc>
      </w:tr>
      <w:tr>
        <w:trPr>
          <w:trHeight w:val="187"/>
        </w:trPr>
        <w:tc>
          <w:tcPr>
            <w:tcW w:w="7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169"/>
        </w:trPr>
        <w:tc>
          <w:tcPr>
            <w:tcW w:w="7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317,989</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520,080</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interest-bearing investments</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184,182</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222,451</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1,018,801</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944,477</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242,797</w:t>
            </w:r>
          </w:p>
        </w:tc>
        <w:tc>
          <w:tcPr>
            <w:tcW w:w="2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224,622</w:t>
            </w:r>
          </w:p>
        </w:tc>
        <w:tc>
          <w:tcPr>
            <w:tcW w:w="100" w:type="dxa"/>
            <w:vAlign w:val="bottom"/>
          </w:tcPr>
          <w:p>
            <w:pPr>
              <w:spacing w:after="0"/>
              <w:rPr>
                <w:sz w:val="20"/>
                <w:szCs w:val="20"/>
                <w:color w:val="auto"/>
              </w:rPr>
            </w:pPr>
          </w:p>
        </w:tc>
      </w:tr>
      <w:tr>
        <w:trPr>
          <w:trHeight w:val="240"/>
        </w:trPr>
        <w:tc>
          <w:tcPr>
            <w:tcW w:w="77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6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1,763,769</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1,911,630</w:t>
            </w: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758,435</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790,923</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 assets</w:t>
            </w: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162,573</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160,938</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2,844,908</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2,749,041</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Intangible assets, net</w:t>
            </w: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174,862</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181,539</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noncurrent assets</w:t>
            </w: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691,695</w:t>
            </w:r>
          </w:p>
        </w:tc>
        <w:tc>
          <w:tcPr>
            <w:tcW w:w="2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631,582</w:t>
            </w:r>
          </w:p>
        </w:tc>
        <w:tc>
          <w:tcPr>
            <w:tcW w:w="100" w:type="dxa"/>
            <w:vAlign w:val="bottom"/>
          </w:tcPr>
          <w:p>
            <w:pPr>
              <w:spacing w:after="0"/>
              <w:rPr>
                <w:sz w:val="20"/>
                <w:szCs w:val="20"/>
                <w:color w:val="auto"/>
              </w:rPr>
            </w:pPr>
          </w:p>
        </w:tc>
      </w:tr>
      <w:tr>
        <w:trPr>
          <w:trHeight w:val="238"/>
        </w:trPr>
        <w:tc>
          <w:tcPr>
            <w:tcW w:w="774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6,396,242</w:t>
            </w:r>
          </w:p>
        </w:tc>
        <w:tc>
          <w:tcPr>
            <w:tcW w:w="28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6,425,653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338,214</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293,344</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735,713</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634,742</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personnel costs</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175,034</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214,695</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 liabilities</w:t>
            </w: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40,077</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39,960</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133,236</w:t>
            </w:r>
          </w:p>
        </w:tc>
        <w:tc>
          <w:tcPr>
            <w:tcW w:w="2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170,634</w:t>
            </w:r>
          </w:p>
        </w:tc>
        <w:tc>
          <w:tcPr>
            <w:tcW w:w="100" w:type="dxa"/>
            <w:vAlign w:val="bottom"/>
          </w:tcPr>
          <w:p>
            <w:pPr>
              <w:spacing w:after="0"/>
              <w:rPr>
                <w:sz w:val="20"/>
                <w:szCs w:val="20"/>
                <w:color w:val="auto"/>
              </w:rPr>
            </w:pPr>
          </w:p>
        </w:tc>
      </w:tr>
      <w:tr>
        <w:trPr>
          <w:trHeight w:val="240"/>
        </w:trPr>
        <w:tc>
          <w:tcPr>
            <w:tcW w:w="77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6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1,422,274</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1,353,375</w:t>
            </w: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income taxes and taxes payable</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192,265</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252,609</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 liabilities</w:t>
            </w: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112,732</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121,654</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debt, net of unamortized debt issuance costs</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646,140</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645,696</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6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476,011</w:t>
            </w:r>
          </w:p>
        </w:tc>
        <w:tc>
          <w:tcPr>
            <w:tcW w:w="2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485,387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774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2,849,422</w:t>
            </w:r>
          </w:p>
        </w:tc>
        <w:tc>
          <w:tcPr>
            <w:tcW w:w="2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2,858,721</w:t>
            </w:r>
          </w:p>
        </w:tc>
        <w:tc>
          <w:tcPr>
            <w:tcW w:w="100" w:type="dxa"/>
            <w:vAlign w:val="bottom"/>
          </w:tcPr>
          <w:p>
            <w:pPr>
              <w:spacing w:after="0"/>
              <w:rPr>
                <w:sz w:val="20"/>
                <w:szCs w:val="20"/>
                <w:color w:val="auto"/>
              </w:rPr>
            </w:pPr>
          </w:p>
        </w:tc>
      </w:tr>
      <w:tr>
        <w:trPr>
          <w:trHeight w:val="238"/>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6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Amdocs Limited Shareholders' equity:</w:t>
            </w: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3"/>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Preferred Shares — Authorized 25,000 shares; £0.01 par value; 0 shares issued</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and outstanding</w:t>
            </w:r>
          </w:p>
        </w:tc>
        <w:tc>
          <w:tcPr>
            <w:tcW w:w="260" w:type="dxa"/>
            <w:vAlign w:val="bottom"/>
            <w:shd w:val="clear" w:color="auto" w:fill="CFF0FC"/>
          </w:tcPr>
          <w:p>
            <w:pPr>
              <w:spacing w:after="0"/>
              <w:rPr>
                <w:sz w:val="21"/>
                <w:szCs w:val="21"/>
                <w:color w:val="auto"/>
              </w:rPr>
            </w:pPr>
          </w:p>
        </w:tc>
        <w:tc>
          <w:tcPr>
            <w:tcW w:w="160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Ordinary Shares — Authorized 700,000 shares; £0.01 par value; 288,385 and</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286,330 issued and 114,191 and117,348 outstanding, respectively</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4,597</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4,571</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4,379,745</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4,244,256</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Treasury stock, at cost 174,194 and 168,982 ordinary shares, respectively</w:t>
            </w:r>
          </w:p>
        </w:tc>
        <w:tc>
          <w:tcPr>
            <w:tcW w:w="260" w:type="dxa"/>
            <w:vAlign w:val="bottom"/>
          </w:tcPr>
          <w:p>
            <w:pPr>
              <w:spacing w:after="0"/>
              <w:rPr>
                <w:sz w:val="20"/>
                <w:szCs w:val="20"/>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(7,664,629 )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(7,221,313 )</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(10,610 )</w:t>
            </w: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(53,272 )</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Retained earnings</w:t>
            </w: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6,795,359</w:t>
            </w:r>
          </w:p>
        </w:tc>
        <w:tc>
          <w:tcPr>
            <w:tcW w:w="2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6,549,517</w:t>
            </w:r>
          </w:p>
        </w:tc>
        <w:tc>
          <w:tcPr>
            <w:tcW w:w="100" w:type="dxa"/>
            <w:vAlign w:val="bottom"/>
          </w:tcPr>
          <w:p>
            <w:pPr>
              <w:spacing w:after="0"/>
              <w:rPr>
                <w:sz w:val="20"/>
                <w:szCs w:val="20"/>
                <w:color w:val="auto"/>
              </w:rPr>
            </w:pPr>
          </w:p>
        </w:tc>
      </w:tr>
      <w:tr>
        <w:trPr>
          <w:trHeight w:val="240"/>
        </w:trPr>
        <w:tc>
          <w:tcPr>
            <w:tcW w:w="77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b w:val="1"/>
                <w:bCs w:val="1"/>
                <w:color w:val="auto"/>
              </w:rPr>
              <w:t>Total Amdocs Limited Shareholders' equity</w:t>
            </w:r>
          </w:p>
        </w:tc>
        <w:tc>
          <w:tcPr>
            <w:tcW w:w="26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3,504,462</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3,523,759</w:t>
            </w: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42,358</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43,173</w:t>
            </w:r>
          </w:p>
        </w:tc>
        <w:tc>
          <w:tcPr>
            <w:tcW w:w="100" w:type="dxa"/>
            <w:vAlign w:val="bottom"/>
          </w:tcPr>
          <w:p>
            <w:pPr>
              <w:spacing w:after="0"/>
              <w:rPr>
                <w:sz w:val="20"/>
                <w:szCs w:val="20"/>
                <w:color w:val="auto"/>
              </w:rPr>
            </w:pPr>
          </w:p>
        </w:tc>
      </w:tr>
      <w:tr>
        <w:trPr>
          <w:trHeight w:val="245"/>
        </w:trPr>
        <w:tc>
          <w:tcPr>
            <w:tcW w:w="774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6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3,546,820</w:t>
            </w:r>
          </w:p>
        </w:tc>
        <w:tc>
          <w:tcPr>
            <w:tcW w:w="2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3,566,932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6,396,242</w:t>
            </w:r>
          </w:p>
        </w:tc>
        <w:tc>
          <w:tcPr>
            <w:tcW w:w="2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6,425,653</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-4186555</wp:posOffset>
            </wp:positionV>
            <wp:extent cx="685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-4186555</wp:posOffset>
            </wp:positionV>
            <wp:extent cx="685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-2319655</wp:posOffset>
            </wp:positionV>
            <wp:extent cx="68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-2319655</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-170815</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509905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540" w:type="dxa"/>
            <w:vAlign w:val="bottom"/>
            <w:gridSpan w:val="5"/>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36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5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1,250,059</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1,235,962</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3,741,107</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3,644,986</w:t>
            </w:r>
          </w:p>
        </w:tc>
        <w:tc>
          <w:tcPr>
            <w:tcW w:w="100" w:type="dxa"/>
            <w:vAlign w:val="bottom"/>
            <w:shd w:val="clear" w:color="auto" w:fill="CFF0FC"/>
          </w:tcPr>
          <w:p>
            <w:pPr>
              <w:spacing w:after="0"/>
              <w:rPr>
                <w:sz w:val="20"/>
                <w:szCs w:val="20"/>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809,970</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804,007</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2,424,710</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2,356,341</w:t>
            </w:r>
          </w:p>
        </w:tc>
        <w:tc>
          <w:tcPr>
            <w:tcW w:w="100" w:type="dxa"/>
            <w:vAlign w:val="bottom"/>
            <w:shd w:val="clear" w:color="auto" w:fill="CFF0FC"/>
          </w:tcPr>
          <w:p>
            <w:pPr>
              <w:spacing w:after="0"/>
              <w:rPr>
                <w:sz w:val="21"/>
                <w:szCs w:val="21"/>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90,368</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92,162</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270,729</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277,162</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144,027</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143,777</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434,140</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430,327</w:t>
            </w:r>
          </w:p>
        </w:tc>
        <w:tc>
          <w:tcPr>
            <w:tcW w:w="100" w:type="dxa"/>
            <w:vAlign w:val="bottom"/>
            <w:shd w:val="clear" w:color="auto" w:fill="CFF0FC"/>
          </w:tcPr>
          <w:p>
            <w:pPr>
              <w:spacing w:after="0"/>
              <w:rPr>
                <w:sz w:val="21"/>
                <w:szCs w:val="21"/>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purchased intangible assets and other</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15,111</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13,302</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47,719</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41,555</w:t>
            </w:r>
          </w:p>
        </w:tc>
        <w:tc>
          <w:tcPr>
            <w:tcW w:w="100" w:type="dxa"/>
            <w:vAlign w:val="bottom"/>
          </w:tcPr>
          <w:p>
            <w:pPr>
              <w:spacing w:after="0"/>
              <w:rPr>
                <w:sz w:val="20"/>
                <w:szCs w:val="20"/>
                <w:color w:val="auto"/>
              </w:rPr>
            </w:pPr>
          </w:p>
        </w:tc>
      </w:tr>
      <w:tr>
        <w:trPr>
          <w:trHeight w:val="243"/>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Restructuring charges</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14,715</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47,875</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24,536</w:t>
            </w:r>
          </w:p>
        </w:tc>
        <w:tc>
          <w:tcPr>
            <w:tcW w:w="100" w:type="dxa"/>
            <w:vAlign w:val="bottom"/>
            <w:shd w:val="clear" w:color="auto" w:fill="CFF0FC"/>
          </w:tcPr>
          <w:p>
            <w:pPr>
              <w:spacing w:after="0"/>
              <w:rPr>
                <w:sz w:val="21"/>
                <w:szCs w:val="21"/>
                <w:color w:val="auto"/>
              </w:rPr>
            </w:pPr>
          </w:p>
        </w:tc>
      </w:tr>
      <w:tr>
        <w:trPr>
          <w:trHeight w:val="236"/>
        </w:trPr>
        <w:tc>
          <w:tcPr>
            <w:tcW w:w="582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1,074,191</w:t>
            </w:r>
          </w:p>
        </w:tc>
        <w:tc>
          <w:tcPr>
            <w:tcW w:w="26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1,053,248</w:t>
            </w:r>
          </w:p>
        </w:tc>
        <w:tc>
          <w:tcPr>
            <w:tcW w:w="24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3,225,173</w:t>
            </w:r>
          </w:p>
        </w:tc>
        <w:tc>
          <w:tcPr>
            <w:tcW w:w="24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3,129,921</w:t>
            </w:r>
          </w:p>
        </w:tc>
        <w:tc>
          <w:tcPr>
            <w:tcW w:w="100" w:type="dxa"/>
            <w:vAlign w:val="bottom"/>
            <w:tcBorders>
              <w:top w:val="single" w:sz="8" w:color="CFF0FC"/>
            </w:tcBorders>
          </w:tcPr>
          <w:p>
            <w:pPr>
              <w:spacing w:after="0"/>
              <w:rPr>
                <w:sz w:val="20"/>
                <w:szCs w:val="20"/>
                <w:color w:val="auto"/>
              </w:rPr>
            </w:pPr>
          </w:p>
        </w:tc>
      </w:tr>
      <w:tr>
        <w:trPr>
          <w:trHeight w:val="240"/>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175,868</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182,714</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515,934</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515,065</w:t>
            </w:r>
          </w:p>
        </w:tc>
        <w:tc>
          <w:tcPr>
            <w:tcW w:w="100" w:type="dxa"/>
            <w:vAlign w:val="bottom"/>
            <w:shd w:val="clear" w:color="auto" w:fill="CFF0FC"/>
          </w:tcPr>
          <w:p>
            <w:pPr>
              <w:spacing w:after="0"/>
              <w:rPr>
                <w:sz w:val="20"/>
                <w:szCs w:val="20"/>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26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(6,872 )</w:t>
            </w:r>
          </w:p>
        </w:tc>
        <w:tc>
          <w:tcPr>
            <w:tcW w:w="26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(4,421 )</w:t>
            </w:r>
          </w:p>
        </w:tc>
        <w:tc>
          <w:tcPr>
            <w:tcW w:w="26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(28,300 )</w:t>
            </w:r>
          </w:p>
        </w:tc>
        <w:tc>
          <w:tcPr>
            <w:tcW w:w="26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(12,322 )</w:t>
            </w:r>
          </w:p>
        </w:tc>
      </w:tr>
      <w:tr>
        <w:trPr>
          <w:trHeight w:val="240"/>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168,996</w:t>
            </w:r>
          </w:p>
        </w:tc>
        <w:tc>
          <w:tcPr>
            <w:tcW w:w="26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178,293</w:t>
            </w:r>
          </w:p>
        </w:tc>
        <w:tc>
          <w:tcPr>
            <w:tcW w:w="24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487,634</w:t>
            </w:r>
          </w:p>
        </w:tc>
        <w:tc>
          <w:tcPr>
            <w:tcW w:w="24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502,743</w:t>
            </w:r>
          </w:p>
        </w:tc>
        <w:tc>
          <w:tcPr>
            <w:tcW w:w="100" w:type="dxa"/>
            <w:vAlign w:val="bottom"/>
            <w:shd w:val="clear" w:color="auto" w:fill="CFF0FC"/>
          </w:tcPr>
          <w:p>
            <w:pPr>
              <w:spacing w:after="0"/>
              <w:rPr>
                <w:sz w:val="20"/>
                <w:szCs w:val="20"/>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27,998</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18,178</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78,489</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62,447</w:t>
            </w:r>
          </w:p>
        </w:tc>
        <w:tc>
          <w:tcPr>
            <w:tcW w:w="100" w:type="dxa"/>
            <w:vAlign w:val="bottom"/>
          </w:tcPr>
          <w:p>
            <w:pPr>
              <w:spacing w:after="0"/>
              <w:rPr>
                <w:sz w:val="20"/>
                <w:szCs w:val="20"/>
                <w:color w:val="auto"/>
              </w:rPr>
            </w:pPr>
          </w:p>
        </w:tc>
      </w:tr>
      <w:tr>
        <w:trPr>
          <w:trHeight w:val="276"/>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140,998</w:t>
            </w:r>
          </w:p>
        </w:tc>
        <w:tc>
          <w:tcPr>
            <w:tcW w:w="2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160,115</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409,145</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440,296</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2,389</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100" w:type="dxa"/>
            <w:vAlign w:val="bottom"/>
          </w:tcPr>
          <w:p>
            <w:pPr>
              <w:spacing w:after="0"/>
              <w:rPr>
                <w:sz w:val="19"/>
                <w:szCs w:val="19"/>
                <w:color w:val="auto"/>
              </w:rPr>
            </w:pPr>
          </w:p>
        </w:tc>
      </w:tr>
      <w:tr>
        <w:trPr>
          <w:trHeight w:val="276"/>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attributable to Amdocs Limited</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140,289</w:t>
            </w:r>
          </w:p>
        </w:tc>
        <w:tc>
          <w:tcPr>
            <w:tcW w:w="2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159,428</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406,756</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438,698</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per share attributable to Amdocs Limited</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6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Pr>
          <w:p>
            <w:pPr>
              <w:spacing w:after="0"/>
              <w:rPr>
                <w:sz w:val="19"/>
                <w:szCs w:val="19"/>
                <w:color w:val="auto"/>
              </w:rPr>
            </w:pPr>
          </w:p>
        </w:tc>
      </w:tr>
      <w:tr>
        <w:trPr>
          <w:trHeight w:val="236"/>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 earnings per share attributable to Amdocs Limited</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 declared per ordinary share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0.479</w:t>
            </w:r>
          </w:p>
        </w:tc>
        <w:tc>
          <w:tcPr>
            <w:tcW w:w="260" w:type="dxa"/>
            <w:vAlign w:val="bottom"/>
          </w:tcPr>
          <w:p>
            <w:pPr>
              <w:spacing w:after="0"/>
              <w:rPr>
                <w:sz w:val="20"/>
                <w:szCs w:val="20"/>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0.435</w:t>
            </w:r>
          </w:p>
        </w:tc>
        <w:tc>
          <w:tcPr>
            <w:tcW w:w="24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24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-1814830</wp:posOffset>
            </wp:positionV>
            <wp:extent cx="768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-1814830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-1814830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-1814830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-855345</wp:posOffset>
            </wp:positionV>
            <wp:extent cx="768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-838200</wp:posOffset>
            </wp:positionV>
            <wp:extent cx="768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-855345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-838200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-855345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-838200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-855345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-838200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-513080</wp:posOffset>
            </wp:positionV>
            <wp:extent cx="768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-495935</wp:posOffset>
            </wp:positionV>
            <wp:extent cx="768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-513080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-495935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-513080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-495935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-513080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-495935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-170815</wp:posOffset>
            </wp:positionV>
            <wp:extent cx="768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-170815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-170815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509905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amounts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540" w:type="dxa"/>
            <w:vAlign w:val="bottom"/>
            <w:gridSpan w:val="5"/>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36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150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15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58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140,998</w:t>
            </w: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160,115</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409,145</w:t>
            </w:r>
          </w:p>
        </w:tc>
        <w:tc>
          <w:tcPr>
            <w:tcW w:w="5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440,296</w:t>
            </w:r>
          </w:p>
        </w:tc>
        <w:tc>
          <w:tcPr>
            <w:tcW w:w="100" w:type="dxa"/>
            <w:vAlign w:val="bottom"/>
            <w:shd w:val="clear" w:color="auto" w:fill="CFF0FC"/>
          </w:tcPr>
          <w:p>
            <w:pPr>
              <w:spacing w:after="0"/>
              <w:rPr>
                <w:sz w:val="20"/>
                <w:szCs w:val="20"/>
                <w:color w:val="auto"/>
              </w:rPr>
            </w:pPr>
          </w:p>
        </w:tc>
      </w:tr>
      <w:tr>
        <w:trPr>
          <w:trHeight w:val="238"/>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8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change in fair value of cash flow hedges(1)</w:t>
            </w: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(4,907 )</w:t>
            </w: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8,774</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35,264</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21,971</w:t>
            </w:r>
          </w:p>
        </w:tc>
        <w:tc>
          <w:tcPr>
            <w:tcW w:w="100" w:type="dxa"/>
            <w:vAlign w:val="bottom"/>
            <w:shd w:val="clear" w:color="auto" w:fill="CFF0FC"/>
          </w:tcPr>
          <w:p>
            <w:pPr>
              <w:spacing w:after="0"/>
              <w:rPr>
                <w:sz w:val="21"/>
                <w:szCs w:val="21"/>
                <w:color w:val="auto"/>
              </w:rPr>
            </w:pPr>
          </w:p>
        </w:tc>
      </w:tr>
      <w:tr>
        <w:trPr>
          <w:trHeight w:val="238"/>
        </w:trPr>
        <w:tc>
          <w:tcPr>
            <w:tcW w:w="58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Net change in fair value of available-for-sale securities(2)</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(552 )</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7,398</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4,993</w:t>
            </w:r>
          </w:p>
        </w:tc>
        <w:tc>
          <w:tcPr>
            <w:tcW w:w="100" w:type="dxa"/>
            <w:vAlign w:val="bottom"/>
          </w:tcPr>
          <w:p>
            <w:pPr>
              <w:spacing w:after="0"/>
              <w:rPr>
                <w:sz w:val="20"/>
                <w:szCs w:val="20"/>
                <w:color w:val="auto"/>
              </w:rPr>
            </w:pPr>
          </w:p>
        </w:tc>
      </w:tr>
      <w:tr>
        <w:trPr>
          <w:trHeight w:val="20"/>
        </w:trPr>
        <w:tc>
          <w:tcPr>
            <w:tcW w:w="15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58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2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(3,220 )</w:t>
            </w:r>
          </w:p>
        </w:tc>
        <w:tc>
          <w:tcPr>
            <w:tcW w:w="28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8,222</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42,662</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26,964</w:t>
            </w:r>
          </w:p>
        </w:tc>
        <w:tc>
          <w:tcPr>
            <w:tcW w:w="100" w:type="dxa"/>
            <w:vAlign w:val="bottom"/>
            <w:shd w:val="clear" w:color="auto" w:fill="CFF0FC"/>
          </w:tcPr>
          <w:p>
            <w:pPr>
              <w:spacing w:after="0"/>
              <w:rPr>
                <w:sz w:val="20"/>
                <w:szCs w:val="20"/>
                <w:color w:val="auto"/>
              </w:rPr>
            </w:pPr>
          </w:p>
        </w:tc>
      </w:tr>
      <w:tr>
        <w:trPr>
          <w:trHeight w:val="236"/>
        </w:trPr>
        <w:tc>
          <w:tcPr>
            <w:tcW w:w="582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137,778</w:t>
            </w:r>
          </w:p>
        </w:tc>
        <w:tc>
          <w:tcPr>
            <w:tcW w:w="260" w:type="dxa"/>
            <w:vAlign w:val="bottom"/>
            <w:tcBorders>
              <w:top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168,337</w:t>
            </w:r>
          </w:p>
        </w:tc>
        <w:tc>
          <w:tcPr>
            <w:tcW w:w="24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451,807</w:t>
            </w:r>
          </w:p>
        </w:tc>
        <w:tc>
          <w:tcPr>
            <w:tcW w:w="240" w:type="dxa"/>
            <w:vAlign w:val="bottom"/>
            <w:tcBorders>
              <w:top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467,260</w:t>
            </w:r>
          </w:p>
        </w:tc>
        <w:tc>
          <w:tcPr>
            <w:tcW w:w="100" w:type="dxa"/>
            <w:vAlign w:val="bottom"/>
            <w:tcBorders>
              <w:top w:val="single" w:sz="8" w:color="CFF0FC"/>
            </w:tcBorders>
          </w:tcPr>
          <w:p>
            <w:pPr>
              <w:spacing w:after="0"/>
              <w:rPr>
                <w:sz w:val="20"/>
                <w:szCs w:val="20"/>
                <w:color w:val="auto"/>
              </w:rPr>
            </w:pPr>
          </w:p>
        </w:tc>
      </w:tr>
      <w:tr>
        <w:trPr>
          <w:trHeight w:val="20"/>
        </w:trPr>
        <w:tc>
          <w:tcPr>
            <w:tcW w:w="15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2"/>
        </w:trPr>
        <w:tc>
          <w:tcPr>
            <w:tcW w:w="58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260" w:type="dxa"/>
            <w:vAlign w:val="bottom"/>
            <w:tcBorders>
              <w:bottom w:val="single" w:sz="8" w:color="auto"/>
            </w:tcBorders>
            <w:shd w:val="clear" w:color="auto" w:fill="CFF0FC"/>
          </w:tcPr>
          <w:p>
            <w:pPr>
              <w:spacing w:after="0"/>
              <w:rPr>
                <w:sz w:val="23"/>
                <w:szCs w:val="23"/>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26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CFF0FC"/>
            </w:tcBorders>
            <w:shd w:val="clear" w:color="auto" w:fill="CFF0FC"/>
          </w:tcPr>
          <w:p>
            <w:pPr>
              <w:spacing w:after="0"/>
              <w:rPr>
                <w:sz w:val="23"/>
                <w:szCs w:val="23"/>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24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auto"/>
            </w:tcBorders>
            <w:shd w:val="clear" w:color="auto" w:fill="CFF0FC"/>
          </w:tcPr>
          <w:p>
            <w:pPr>
              <w:spacing w:after="0"/>
              <w:rPr>
                <w:sz w:val="23"/>
                <w:szCs w:val="23"/>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2,389</w:t>
            </w:r>
          </w:p>
        </w:tc>
        <w:tc>
          <w:tcPr>
            <w:tcW w:w="24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CFF0FC"/>
            </w:tcBorders>
            <w:shd w:val="clear" w:color="auto" w:fill="CFF0FC"/>
          </w:tcPr>
          <w:p>
            <w:pPr>
              <w:spacing w:after="0"/>
              <w:rPr>
                <w:sz w:val="23"/>
                <w:szCs w:val="23"/>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19"/>
        </w:trPr>
        <w:tc>
          <w:tcPr>
            <w:tcW w:w="582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Amdocs Limited</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137,069</w:t>
            </w:r>
          </w:p>
        </w:tc>
        <w:tc>
          <w:tcPr>
            <w:tcW w:w="260" w:type="dxa"/>
            <w:vAlign w:val="bottom"/>
            <w:tcBorders>
              <w:top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167,650</w:t>
            </w:r>
          </w:p>
        </w:tc>
        <w:tc>
          <w:tcPr>
            <w:tcW w:w="240" w:type="dxa"/>
            <w:vAlign w:val="bottom"/>
            <w:tcBorders>
              <w:top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449,418</w:t>
            </w:r>
          </w:p>
        </w:tc>
        <w:tc>
          <w:tcPr>
            <w:tcW w:w="240" w:type="dxa"/>
            <w:vAlign w:val="bottom"/>
            <w:tcBorders>
              <w:top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465,662</w:t>
            </w:r>
          </w:p>
        </w:tc>
        <w:tc>
          <w:tcPr>
            <w:tcW w:w="100" w:type="dxa"/>
            <w:vAlign w:val="bottom"/>
            <w:tcBorders>
              <w:top w:val="single" w:sz="8" w:color="CFF0FC"/>
            </w:tcBorders>
          </w:tcPr>
          <w:p>
            <w:pPr>
              <w:spacing w:after="0"/>
              <w:rPr>
                <w:sz w:val="19"/>
                <w:szCs w:val="19"/>
                <w:color w:val="auto"/>
              </w:rPr>
            </w:pPr>
          </w:p>
        </w:tc>
      </w:tr>
      <w:tr>
        <w:trPr>
          <w:trHeight w:val="20"/>
        </w:trPr>
        <w:tc>
          <w:tcPr>
            <w:tcW w:w="15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0"/>
        </w:trPr>
        <w:tc>
          <w:tcPr>
            <w:tcW w:w="1500" w:type="dxa"/>
            <w:vAlign w:val="bottom"/>
            <w:tcBorders>
              <w:bottom w:val="single" w:sz="8" w:color="auto"/>
            </w:tcBorders>
          </w:tcPr>
          <w:p>
            <w:pPr>
              <w:spacing w:after="0"/>
              <w:rPr>
                <w:sz w:val="10"/>
                <w:szCs w:val="10"/>
                <w:color w:val="auto"/>
              </w:rPr>
            </w:pPr>
          </w:p>
        </w:tc>
        <w:tc>
          <w:tcPr>
            <w:tcW w:w="4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-641350</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-641350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-641350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-641350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-299085</wp:posOffset>
            </wp:positionV>
            <wp:extent cx="768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-281940</wp:posOffset>
            </wp:positionV>
            <wp:extent cx="76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-281940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-299085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-281940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 w:lineRule="exact"/>
        <w:rPr>
          <w:sz w:val="20"/>
          <w:szCs w:val="20"/>
          <w:color w:val="auto"/>
        </w:rPr>
      </w:pPr>
    </w:p>
    <w:p>
      <w:pPr>
        <w:ind w:left="380" w:right="20" w:hanging="372"/>
        <w:spacing w:after="0" w:line="260" w:lineRule="auto"/>
        <w:tabs>
          <w:tab w:leader="none" w:pos="3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tax of $622 and $14 for the three months ended June 30, 2024 and 2023, respectively, and of $1,844 and $271 for the nine months ended June 30, 2024 and 2023, respectively.</w:t>
      </w:r>
    </w:p>
    <w:p>
      <w:pPr>
        <w:spacing w:after="0" w:line="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tax impact for the three and nine months ended June 30, 2024 and 2023.</w:t>
      </w:r>
    </w:p>
    <w:p>
      <w:pPr>
        <w:spacing w:after="0" w:line="16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509905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320" w:type="dxa"/>
            <w:vAlign w:val="bottom"/>
          </w:tcPr>
          <w:p>
            <w:pPr>
              <w:spacing w:after="0"/>
              <w:rPr>
                <w:sz w:val="12"/>
                <w:szCs w:val="12"/>
                <w:color w:val="auto"/>
              </w:rPr>
            </w:pPr>
          </w:p>
        </w:tc>
        <w:tc>
          <w:tcPr>
            <w:tcW w:w="1440" w:type="dxa"/>
            <w:vAlign w:val="bottom"/>
            <w:tcBorders>
              <w:bottom w:val="single" w:sz="8" w:color="auto"/>
            </w:tcBorders>
            <w:gridSpan w:val="4"/>
          </w:tcPr>
          <w:p>
            <w:pPr>
              <w:jc w:val="right"/>
              <w:ind w:right="286"/>
              <w:spacing w:after="0"/>
              <w:rPr>
                <w:sz w:val="20"/>
                <w:szCs w:val="20"/>
                <w:color w:val="auto"/>
              </w:rPr>
            </w:pPr>
            <w:r>
              <w:rPr>
                <w:rFonts w:ascii="Times New Roman" w:cs="Times New Roman" w:eastAsia="Times New Roman" w:hAnsi="Times New Roman"/>
                <w:sz w:val="11"/>
                <w:szCs w:val="11"/>
                <w:b w:val="1"/>
                <w:bCs w:val="1"/>
                <w:color w:val="auto"/>
              </w:rPr>
              <w:t>Ordinary Shares</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19"/>
        </w:trPr>
        <w:tc>
          <w:tcPr>
            <w:tcW w:w="3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tcPr>
          <w:p>
            <w:pPr>
              <w:jc w:val="center"/>
              <w:ind w:right="360"/>
              <w:spacing w:after="0" w:line="120"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1"/>
        </w:trPr>
        <w:tc>
          <w:tcPr>
            <w:tcW w:w="3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1"/>
                <w:szCs w:val="11"/>
                <w:b w:val="1"/>
                <w:bCs w:val="1"/>
                <w:color w:val="auto"/>
                <w:w w:val="99"/>
              </w:rPr>
              <w:t>Accumulated</w:t>
            </w: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tcPr>
          <w:p>
            <w:pPr>
              <w:jc w:val="center"/>
              <w:ind w:right="340"/>
              <w:spacing w:after="0" w:line="122" w:lineRule="exact"/>
              <w:rPr>
                <w:sz w:val="20"/>
                <w:szCs w:val="20"/>
                <w:color w:val="auto"/>
              </w:rPr>
            </w:pPr>
            <w:r>
              <w:rPr>
                <w:rFonts w:ascii="Times New Roman" w:cs="Times New Roman" w:eastAsia="Times New Roman" w:hAnsi="Times New Roman"/>
                <w:sz w:val="11"/>
                <w:szCs w:val="11"/>
                <w:b w:val="1"/>
                <w:bCs w:val="1"/>
                <w:color w:val="auto"/>
              </w:rPr>
              <w:t>Amdocs</w:t>
            </w: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1"/>
        </w:trPr>
        <w:tc>
          <w:tcPr>
            <w:tcW w:w="3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jc w:val="center"/>
              <w:ind w:right="26"/>
              <w:spacing w:after="0" w:line="122" w:lineRule="exact"/>
              <w:rPr>
                <w:sz w:val="20"/>
                <w:szCs w:val="20"/>
                <w:color w:val="auto"/>
              </w:rPr>
            </w:pPr>
            <w:r>
              <w:rPr>
                <w:rFonts w:ascii="Times New Roman" w:cs="Times New Roman" w:eastAsia="Times New Roman" w:hAnsi="Times New Roman"/>
                <w:sz w:val="11"/>
                <w:szCs w:val="11"/>
                <w:b w:val="1"/>
                <w:bCs w:val="1"/>
                <w:color w:val="auto"/>
                <w:w w:val="99"/>
              </w:rPr>
              <w:t>Additional</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1"/>
                <w:szCs w:val="11"/>
                <w:b w:val="1"/>
                <w:bCs w:val="1"/>
                <w:color w:val="auto"/>
                <w:w w:val="92"/>
              </w:rPr>
              <w:t>Other</w:t>
            </w: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tcPr>
          <w:p>
            <w:pPr>
              <w:jc w:val="center"/>
              <w:ind w:right="340"/>
              <w:spacing w:after="0" w:line="122" w:lineRule="exact"/>
              <w:rPr>
                <w:sz w:val="20"/>
                <w:szCs w:val="20"/>
                <w:color w:val="auto"/>
              </w:rPr>
            </w:pPr>
            <w:r>
              <w:rPr>
                <w:rFonts w:ascii="Times New Roman" w:cs="Times New Roman" w:eastAsia="Times New Roman" w:hAnsi="Times New Roman"/>
                <w:sz w:val="11"/>
                <w:szCs w:val="11"/>
                <w:b w:val="1"/>
                <w:bCs w:val="1"/>
                <w:color w:val="auto"/>
              </w:rPr>
              <w:t>Limited</w:t>
            </w:r>
          </w:p>
        </w:tc>
        <w:tc>
          <w:tcPr>
            <w:tcW w:w="80" w:type="dxa"/>
            <w:vAlign w:val="bottom"/>
          </w:tcPr>
          <w:p>
            <w:pPr>
              <w:spacing w:after="0"/>
              <w:rPr>
                <w:sz w:val="10"/>
                <w:szCs w:val="10"/>
                <w:color w:val="auto"/>
              </w:rPr>
            </w:pPr>
          </w:p>
        </w:tc>
        <w:tc>
          <w:tcPr>
            <w:tcW w:w="900" w:type="dxa"/>
            <w:vAlign w:val="bottom"/>
            <w:gridSpan w:val="2"/>
          </w:tcPr>
          <w:p>
            <w:pPr>
              <w:jc w:val="center"/>
              <w:ind w:right="300"/>
              <w:spacing w:after="0" w:line="122" w:lineRule="exact"/>
              <w:rPr>
                <w:sz w:val="20"/>
                <w:szCs w:val="20"/>
                <w:color w:val="auto"/>
              </w:rPr>
            </w:pPr>
            <w:r>
              <w:rPr>
                <w:rFonts w:ascii="Times New Roman" w:cs="Times New Roman" w:eastAsia="Times New Roman" w:hAnsi="Times New Roman"/>
                <w:sz w:val="11"/>
                <w:szCs w:val="11"/>
                <w:b w:val="1"/>
                <w:bCs w:val="1"/>
                <w:color w:val="auto"/>
              </w:rPr>
              <w:t>Non-</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1"/>
        </w:trPr>
        <w:tc>
          <w:tcPr>
            <w:tcW w:w="3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jc w:val="center"/>
              <w:ind w:right="26"/>
              <w:spacing w:after="0" w:line="122" w:lineRule="exact"/>
              <w:rPr>
                <w:sz w:val="20"/>
                <w:szCs w:val="20"/>
                <w:color w:val="auto"/>
              </w:rPr>
            </w:pPr>
            <w:r>
              <w:rPr>
                <w:rFonts w:ascii="Times New Roman" w:cs="Times New Roman" w:eastAsia="Times New Roman" w:hAnsi="Times New Roman"/>
                <w:sz w:val="11"/>
                <w:szCs w:val="11"/>
                <w:b w:val="1"/>
                <w:bCs w:val="1"/>
                <w:color w:val="auto"/>
                <w:w w:val="99"/>
              </w:rPr>
              <w:t>Paid-in</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center"/>
              <w:ind w:right="340"/>
              <w:spacing w:after="0" w:line="122" w:lineRule="exact"/>
              <w:rPr>
                <w:sz w:val="20"/>
                <w:szCs w:val="20"/>
                <w:color w:val="auto"/>
              </w:rPr>
            </w:pPr>
            <w:r>
              <w:rPr>
                <w:rFonts w:ascii="Times New Roman" w:cs="Times New Roman" w:eastAsia="Times New Roman" w:hAnsi="Times New Roman"/>
                <w:sz w:val="11"/>
                <w:szCs w:val="11"/>
                <w:b w:val="1"/>
                <w:bCs w:val="1"/>
                <w:color w:val="auto"/>
                <w:w w:val="96"/>
              </w:rPr>
              <w:t>Treasury</w:t>
            </w:r>
          </w:p>
        </w:tc>
        <w:tc>
          <w:tcPr>
            <w:tcW w:w="960" w:type="dxa"/>
            <w:vAlign w:val="bottom"/>
            <w:gridSpan w:val="3"/>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60" w:type="dxa"/>
            <w:vAlign w:val="bottom"/>
          </w:tcPr>
          <w:p>
            <w:pPr>
              <w:spacing w:after="0"/>
              <w:rPr>
                <w:sz w:val="10"/>
                <w:szCs w:val="10"/>
                <w:color w:val="auto"/>
              </w:rPr>
            </w:pPr>
          </w:p>
        </w:tc>
        <w:tc>
          <w:tcPr>
            <w:tcW w:w="700" w:type="dxa"/>
            <w:vAlign w:val="bottom"/>
            <w:gridSpan w:val="2"/>
          </w:tcPr>
          <w:p>
            <w:pPr>
              <w:jc w:val="right"/>
              <w:ind w:right="280"/>
              <w:spacing w:after="0" w:line="122" w:lineRule="exact"/>
              <w:rPr>
                <w:sz w:val="20"/>
                <w:szCs w:val="20"/>
                <w:color w:val="auto"/>
              </w:rPr>
            </w:pPr>
            <w:r>
              <w:rPr>
                <w:rFonts w:ascii="Times New Roman" w:cs="Times New Roman" w:eastAsia="Times New Roman" w:hAnsi="Times New Roman"/>
                <w:sz w:val="11"/>
                <w:szCs w:val="11"/>
                <w:b w:val="1"/>
                <w:bCs w:val="1"/>
                <w:color w:val="auto"/>
                <w:w w:val="94"/>
              </w:rPr>
              <w:t>Retained</w:t>
            </w:r>
          </w:p>
        </w:tc>
        <w:tc>
          <w:tcPr>
            <w:tcW w:w="980" w:type="dxa"/>
            <w:vAlign w:val="bottom"/>
            <w:gridSpan w:val="3"/>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9"/>
              </w:rPr>
              <w:t>Shareholders’</w:t>
            </w:r>
          </w:p>
        </w:tc>
        <w:tc>
          <w:tcPr>
            <w:tcW w:w="80" w:type="dxa"/>
            <w:vAlign w:val="bottom"/>
          </w:tcPr>
          <w:p>
            <w:pPr>
              <w:spacing w:after="0"/>
              <w:rPr>
                <w:sz w:val="10"/>
                <w:szCs w:val="10"/>
                <w:color w:val="auto"/>
              </w:rPr>
            </w:pPr>
          </w:p>
        </w:tc>
        <w:tc>
          <w:tcPr>
            <w:tcW w:w="900" w:type="dxa"/>
            <w:vAlign w:val="bottom"/>
            <w:gridSpan w:val="2"/>
          </w:tcPr>
          <w:p>
            <w:pPr>
              <w:jc w:val="center"/>
              <w:ind w:right="320"/>
              <w:spacing w:after="0" w:line="122" w:lineRule="exact"/>
              <w:rPr>
                <w:sz w:val="20"/>
                <w:szCs w:val="20"/>
                <w:color w:val="auto"/>
              </w:rPr>
            </w:pPr>
            <w:r>
              <w:rPr>
                <w:rFonts w:ascii="Times New Roman" w:cs="Times New Roman" w:eastAsia="Times New Roman" w:hAnsi="Times New Roman"/>
                <w:sz w:val="11"/>
                <w:szCs w:val="11"/>
                <w:b w:val="1"/>
                <w:bCs w:val="1"/>
                <w:color w:val="auto"/>
                <w:w w:val="97"/>
              </w:rPr>
              <w:t>controlling</w:t>
            </w:r>
          </w:p>
        </w:tc>
        <w:tc>
          <w:tcPr>
            <w:tcW w:w="120" w:type="dxa"/>
            <w:vAlign w:val="bottom"/>
          </w:tcPr>
          <w:p>
            <w:pPr>
              <w:spacing w:after="0"/>
              <w:rPr>
                <w:sz w:val="10"/>
                <w:szCs w:val="10"/>
                <w:color w:val="auto"/>
              </w:rPr>
            </w:pPr>
          </w:p>
        </w:tc>
        <w:tc>
          <w:tcPr>
            <w:tcW w:w="64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5"/>
              </w:rPr>
              <w:t>Total</w:t>
            </w:r>
          </w:p>
        </w:tc>
      </w:tr>
      <w:tr>
        <w:trPr>
          <w:trHeight w:val="146"/>
        </w:trPr>
        <w:tc>
          <w:tcPr>
            <w:tcW w:w="3320" w:type="dxa"/>
            <w:vAlign w:val="bottom"/>
          </w:tcPr>
          <w:p>
            <w:pPr>
              <w:spacing w:after="0"/>
              <w:rPr>
                <w:sz w:val="12"/>
                <w:szCs w:val="12"/>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tcPr>
          <w:p>
            <w:pPr>
              <w:spacing w:after="0"/>
              <w:rPr>
                <w:sz w:val="12"/>
                <w:szCs w:val="12"/>
                <w:color w:val="auto"/>
              </w:rPr>
            </w:pPr>
          </w:p>
        </w:tc>
        <w:tc>
          <w:tcPr>
            <w:tcW w:w="50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60" w:type="dxa"/>
            <w:vAlign w:val="bottom"/>
          </w:tcPr>
          <w:p>
            <w:pPr>
              <w:spacing w:after="0"/>
              <w:rPr>
                <w:sz w:val="12"/>
                <w:szCs w:val="12"/>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7"/>
              </w:rPr>
              <w:t>Loss (1)</w:t>
            </w:r>
          </w:p>
        </w:tc>
        <w:tc>
          <w:tcPr>
            <w:tcW w:w="60" w:type="dxa"/>
            <w:vAlign w:val="bottom"/>
          </w:tcPr>
          <w:p>
            <w:pPr>
              <w:spacing w:after="0"/>
              <w:rPr>
                <w:sz w:val="12"/>
                <w:szCs w:val="12"/>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w w:val="93"/>
              </w:rPr>
              <w:t>Earnings</w:t>
            </w:r>
          </w:p>
        </w:tc>
        <w:tc>
          <w:tcPr>
            <w:tcW w:w="140" w:type="dxa"/>
            <w:vAlign w:val="bottom"/>
          </w:tcPr>
          <w:p>
            <w:pPr>
              <w:spacing w:after="0"/>
              <w:rPr>
                <w:sz w:val="12"/>
                <w:szCs w:val="12"/>
                <w:color w:val="auto"/>
              </w:rPr>
            </w:pPr>
          </w:p>
        </w:tc>
        <w:tc>
          <w:tcPr>
            <w:tcW w:w="84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4"/>
              </w:rPr>
              <w:t>Equity</w:t>
            </w:r>
          </w:p>
        </w:tc>
        <w:tc>
          <w:tcPr>
            <w:tcW w:w="80" w:type="dxa"/>
            <w:vAlign w:val="bottom"/>
          </w:tcPr>
          <w:p>
            <w:pPr>
              <w:spacing w:after="0"/>
              <w:rPr>
                <w:sz w:val="12"/>
                <w:szCs w:val="12"/>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9"/>
              </w:rPr>
              <w:t>Interests (2)</w:t>
            </w:r>
          </w:p>
        </w:tc>
        <w:tc>
          <w:tcPr>
            <w:tcW w:w="120" w:type="dxa"/>
            <w:vAlign w:val="bottom"/>
          </w:tcPr>
          <w:p>
            <w:pPr>
              <w:spacing w:after="0"/>
              <w:rPr>
                <w:sz w:val="12"/>
                <w:szCs w:val="12"/>
                <w:color w:val="auto"/>
              </w:rPr>
            </w:pPr>
          </w:p>
        </w:tc>
        <w:tc>
          <w:tcPr>
            <w:tcW w:w="64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Equity</w:t>
            </w:r>
          </w:p>
        </w:tc>
      </w:tr>
      <w:tr>
        <w:trPr>
          <w:trHeight w:val="119"/>
        </w:trPr>
        <w:tc>
          <w:tcPr>
            <w:tcW w:w="3320" w:type="dxa"/>
            <w:vAlign w:val="bottom"/>
            <w:shd w:val="clear" w:color="auto" w:fill="CFF0FC"/>
          </w:tcPr>
          <w:p>
            <w:pPr>
              <w:ind w:left="20"/>
              <w:spacing w:after="0" w:line="119" w:lineRule="exact"/>
              <w:rPr>
                <w:sz w:val="20"/>
                <w:szCs w:val="20"/>
                <w:color w:val="auto"/>
              </w:rPr>
            </w:pPr>
            <w:r>
              <w:rPr>
                <w:rFonts w:ascii="Times New Roman" w:cs="Times New Roman" w:eastAsia="Times New Roman" w:hAnsi="Times New Roman"/>
                <w:sz w:val="11"/>
                <w:szCs w:val="11"/>
                <w:b w:val="1"/>
                <w:bCs w:val="1"/>
                <w:color w:val="auto"/>
              </w:rPr>
              <w:t>Balance as of March 31,2024</w:t>
            </w:r>
          </w:p>
        </w:tc>
        <w:tc>
          <w:tcPr>
            <w:tcW w:w="620" w:type="dxa"/>
            <w:vAlign w:val="bottom"/>
            <w:tcBorders>
              <w:top w:val="single" w:sz="8" w:color="auto"/>
            </w:tcBorders>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6,709,77</w:t>
            </w:r>
          </w:p>
        </w:tc>
        <w:tc>
          <w:tcPr>
            <w:tcW w:w="20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49"/>
        </w:trPr>
        <w:tc>
          <w:tcPr>
            <w:tcW w:w="33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115,917</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4,593</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4,332,690</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(7,495,254 )</w:t>
            </w:r>
          </w:p>
        </w:tc>
        <w:tc>
          <w:tcPr>
            <w:tcW w:w="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(7,390 )</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3,544,412</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43,109</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3,587,521</w:t>
            </w:r>
          </w:p>
        </w:tc>
        <w:tc>
          <w:tcPr>
            <w:tcW w:w="100" w:type="dxa"/>
            <w:vAlign w:val="bottom"/>
            <w:shd w:val="clear" w:color="auto" w:fill="CFF0FC"/>
          </w:tcPr>
          <w:p>
            <w:pPr>
              <w:spacing w:after="0"/>
              <w:rPr>
                <w:sz w:val="12"/>
                <w:szCs w:val="12"/>
                <w:color w:val="auto"/>
              </w:rPr>
            </w:pPr>
          </w:p>
        </w:tc>
      </w:tr>
      <w:tr>
        <w:trPr>
          <w:trHeight w:val="144"/>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Comprehensive income:</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2"/>
        </w:trPr>
        <w:tc>
          <w:tcPr>
            <w:tcW w:w="33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Net income</w:t>
            </w:r>
          </w:p>
        </w:tc>
        <w:tc>
          <w:tcPr>
            <w:tcW w:w="8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140,289</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140,289</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709</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140,998</w:t>
            </w:r>
          </w:p>
        </w:tc>
        <w:tc>
          <w:tcPr>
            <w:tcW w:w="100" w:type="dxa"/>
            <w:vAlign w:val="bottom"/>
            <w:shd w:val="clear" w:color="auto" w:fill="CFF0FC"/>
          </w:tcPr>
          <w:p>
            <w:pPr>
              <w:spacing w:after="0"/>
              <w:rPr>
                <w:sz w:val="13"/>
                <w:szCs w:val="13"/>
                <w:color w:val="auto"/>
              </w:rPr>
            </w:pPr>
          </w:p>
        </w:tc>
      </w:tr>
      <w:tr>
        <w:trPr>
          <w:trHeight w:val="148"/>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comprehensive loss</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(3,220 )</w:t>
            </w:r>
          </w:p>
        </w:tc>
        <w:tc>
          <w:tcPr>
            <w:tcW w:w="6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(3,220 )</w:t>
            </w:r>
          </w:p>
        </w:tc>
        <w:tc>
          <w:tcPr>
            <w:tcW w:w="8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(3,220 )</w:t>
            </w:r>
          </w:p>
        </w:tc>
      </w:tr>
      <w:tr>
        <w:trPr>
          <w:trHeight w:val="142"/>
        </w:trPr>
        <w:tc>
          <w:tcPr>
            <w:tcW w:w="33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Comprehensive income</w:t>
            </w:r>
          </w:p>
        </w:tc>
        <w:tc>
          <w:tcPr>
            <w:tcW w:w="8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137,069</w:t>
            </w:r>
          </w:p>
        </w:tc>
        <w:tc>
          <w:tcPr>
            <w:tcW w:w="22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709</w:t>
            </w:r>
          </w:p>
        </w:tc>
        <w:tc>
          <w:tcPr>
            <w:tcW w:w="22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137,778</w:t>
            </w:r>
          </w:p>
        </w:tc>
        <w:tc>
          <w:tcPr>
            <w:tcW w:w="100" w:type="dxa"/>
            <w:vAlign w:val="bottom"/>
            <w:shd w:val="clear" w:color="auto" w:fill="CFF0FC"/>
          </w:tcPr>
          <w:p>
            <w:pPr>
              <w:spacing w:after="0"/>
              <w:rPr>
                <w:sz w:val="12"/>
                <w:szCs w:val="12"/>
                <w:color w:val="auto"/>
              </w:rPr>
            </w:pPr>
          </w:p>
        </w:tc>
      </w:tr>
      <w:tr>
        <w:trPr>
          <w:trHeight w:val="144"/>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Employee stock options exercised</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3,131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3,132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3,132</w:t>
            </w:r>
          </w:p>
        </w:tc>
        <w:tc>
          <w:tcPr>
            <w:tcW w:w="100" w:type="dxa"/>
            <w:vAlign w:val="bottom"/>
          </w:tcPr>
          <w:p>
            <w:pPr>
              <w:spacing w:after="0"/>
              <w:rPr>
                <w:sz w:val="12"/>
                <w:szCs w:val="12"/>
                <w:color w:val="auto"/>
              </w:rPr>
            </w:pPr>
          </w:p>
        </w:tc>
      </w:tr>
      <w:tr>
        <w:trPr>
          <w:trHeight w:val="152"/>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Repurchase of shares</w:t>
            </w: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(2,053 )</w:t>
            </w:r>
          </w:p>
        </w:tc>
        <w:tc>
          <w:tcPr>
            <w:tcW w:w="8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(169,375 )</w:t>
            </w:r>
          </w:p>
        </w:tc>
        <w:tc>
          <w:tcPr>
            <w:tcW w:w="6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(169,375 )</w:t>
            </w:r>
          </w:p>
        </w:tc>
        <w:tc>
          <w:tcPr>
            <w:tcW w:w="8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(169,375 )</w:t>
            </w:r>
          </w:p>
        </w:tc>
      </w:tr>
      <w:tr>
        <w:trPr>
          <w:trHeight w:val="144"/>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Cash dividends declared ($0.479 per ordinary share)</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(54,703 )</w:t>
            </w:r>
          </w:p>
        </w:tc>
        <w:tc>
          <w:tcPr>
            <w:tcW w:w="14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(54,703 )</w:t>
            </w:r>
          </w:p>
        </w:tc>
        <w:tc>
          <w:tcPr>
            <w:tcW w:w="8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(54,703 )</w:t>
            </w:r>
          </w:p>
        </w:tc>
      </w:tr>
      <w:tr>
        <w:trPr>
          <w:trHeight w:val="152"/>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Issuance of restricted stock, net of forfeitures</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Employee share purchase plan</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17,812</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17,815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17,815</w:t>
            </w:r>
          </w:p>
        </w:tc>
        <w:tc>
          <w:tcPr>
            <w:tcW w:w="100" w:type="dxa"/>
            <w:vAlign w:val="bottom"/>
          </w:tcPr>
          <w:p>
            <w:pPr>
              <w:spacing w:after="0"/>
              <w:rPr>
                <w:sz w:val="12"/>
                <w:szCs w:val="12"/>
                <w:color w:val="auto"/>
              </w:rPr>
            </w:pPr>
          </w:p>
        </w:tc>
      </w:tr>
      <w:tr>
        <w:trPr>
          <w:trHeight w:val="152"/>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Equity-based compensation expense related to employees</w:t>
            </w:r>
          </w:p>
        </w:tc>
        <w:tc>
          <w:tcPr>
            <w:tcW w:w="8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26,112</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26,112</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26,112</w:t>
            </w:r>
          </w:p>
        </w:tc>
        <w:tc>
          <w:tcPr>
            <w:tcW w:w="100" w:type="dxa"/>
            <w:vAlign w:val="bottom"/>
            <w:shd w:val="clear" w:color="auto" w:fill="CFF0FC"/>
          </w:tcPr>
          <w:p>
            <w:pPr>
              <w:spacing w:after="0"/>
              <w:rPr>
                <w:sz w:val="13"/>
                <w:szCs w:val="13"/>
                <w:color w:val="auto"/>
              </w:rPr>
            </w:pPr>
          </w:p>
        </w:tc>
      </w:tr>
      <w:tr>
        <w:trPr>
          <w:trHeight w:val="144"/>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Distribution to noncontrolling interests (2)</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(1,460 )</w:t>
            </w:r>
          </w:p>
        </w:tc>
        <w:tc>
          <w:tcPr>
            <w:tcW w:w="12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(1,460 )</w:t>
            </w:r>
          </w:p>
        </w:tc>
      </w:tr>
      <w:tr>
        <w:trPr>
          <w:trHeight w:val="119"/>
        </w:trPr>
        <w:tc>
          <w:tcPr>
            <w:tcW w:w="3320" w:type="dxa"/>
            <w:vAlign w:val="bottom"/>
            <w:shd w:val="clear" w:color="auto" w:fill="CFF0FC"/>
          </w:tcPr>
          <w:p>
            <w:pPr>
              <w:ind w:left="20"/>
              <w:spacing w:after="0" w:line="119" w:lineRule="exact"/>
              <w:rPr>
                <w:sz w:val="20"/>
                <w:szCs w:val="20"/>
                <w:color w:val="auto"/>
              </w:rPr>
            </w:pPr>
            <w:r>
              <w:rPr>
                <w:rFonts w:ascii="Times New Roman" w:cs="Times New Roman" w:eastAsia="Times New Roman" w:hAnsi="Times New Roman"/>
                <w:sz w:val="11"/>
                <w:szCs w:val="11"/>
                <w:b w:val="1"/>
                <w:bCs w:val="1"/>
                <w:color w:val="auto"/>
              </w:rPr>
              <w:t>Balance as of June 30,2024</w:t>
            </w:r>
          </w:p>
        </w:tc>
        <w:tc>
          <w:tcPr>
            <w:tcW w:w="620" w:type="dxa"/>
            <w:vAlign w:val="bottom"/>
            <w:tcBorders>
              <w:top w:val="single" w:sz="8" w:color="auto"/>
            </w:tcBorders>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6,795,35</w:t>
            </w:r>
          </w:p>
        </w:tc>
        <w:tc>
          <w:tcPr>
            <w:tcW w:w="20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64"/>
        </w:trPr>
        <w:tc>
          <w:tcPr>
            <w:tcW w:w="33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114,191</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4,597</w:t>
            </w:r>
          </w:p>
        </w:tc>
        <w:tc>
          <w:tcPr>
            <w:tcW w:w="240" w:type="dxa"/>
            <w:vAlign w:val="bottom"/>
            <w:shd w:val="clear" w:color="auto" w:fill="CFF0FC"/>
          </w:tcPr>
          <w:p>
            <w:pPr>
              <w:spacing w:after="0"/>
              <w:rPr>
                <w:sz w:val="14"/>
                <w:szCs w:val="14"/>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4,379,745</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(7,664,629 )</w:t>
            </w:r>
          </w:p>
        </w:tc>
        <w:tc>
          <w:tcPr>
            <w:tcW w:w="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(10,610 )</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3,504,462</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42,358</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3,546,820</w:t>
            </w:r>
          </w:p>
        </w:tc>
        <w:tc>
          <w:tcPr>
            <w:tcW w:w="100" w:type="dxa"/>
            <w:vAlign w:val="bottom"/>
            <w:shd w:val="clear" w:color="auto" w:fill="CFF0FC"/>
          </w:tcPr>
          <w:p>
            <w:pPr>
              <w:spacing w:after="0"/>
              <w:rPr>
                <w:sz w:val="14"/>
                <w:szCs w:val="14"/>
                <w:color w:val="auto"/>
              </w:rPr>
            </w:pPr>
          </w:p>
        </w:tc>
      </w:tr>
      <w:tr>
        <w:trPr>
          <w:trHeight w:val="20"/>
        </w:trPr>
        <w:tc>
          <w:tcPr>
            <w:tcW w:w="332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75"/>
        </w:trPr>
        <w:tc>
          <w:tcPr>
            <w:tcW w:w="3320" w:type="dxa"/>
            <w:vAlign w:val="bottom"/>
          </w:tcPr>
          <w:p>
            <w:pPr>
              <w:spacing w:after="0"/>
              <w:rPr>
                <w:sz w:val="23"/>
                <w:szCs w:val="23"/>
                <w:color w:val="auto"/>
              </w:rPr>
            </w:pPr>
          </w:p>
        </w:tc>
        <w:tc>
          <w:tcPr>
            <w:tcW w:w="1440" w:type="dxa"/>
            <w:vAlign w:val="bottom"/>
            <w:tcBorders>
              <w:bottom w:val="single" w:sz="8" w:color="auto"/>
            </w:tcBorders>
            <w:gridSpan w:val="4"/>
          </w:tcPr>
          <w:p>
            <w:pPr>
              <w:jc w:val="right"/>
              <w:ind w:right="286"/>
              <w:spacing w:after="0"/>
              <w:rPr>
                <w:sz w:val="20"/>
                <w:szCs w:val="20"/>
                <w:color w:val="auto"/>
              </w:rPr>
            </w:pPr>
            <w:r>
              <w:rPr>
                <w:rFonts w:ascii="Times New Roman" w:cs="Times New Roman" w:eastAsia="Times New Roman" w:hAnsi="Times New Roman"/>
                <w:sz w:val="11"/>
                <w:szCs w:val="11"/>
                <w:b w:val="1"/>
                <w:bCs w:val="1"/>
                <w:color w:val="auto"/>
              </w:rPr>
              <w:t>Ordinary Shares</w:t>
            </w: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19"/>
        </w:trPr>
        <w:tc>
          <w:tcPr>
            <w:tcW w:w="3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tcPr>
          <w:p>
            <w:pPr>
              <w:jc w:val="center"/>
              <w:ind w:right="360"/>
              <w:spacing w:after="0" w:line="120"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1"/>
        </w:trPr>
        <w:tc>
          <w:tcPr>
            <w:tcW w:w="3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1"/>
                <w:szCs w:val="11"/>
                <w:b w:val="1"/>
                <w:bCs w:val="1"/>
                <w:color w:val="auto"/>
                <w:w w:val="99"/>
              </w:rPr>
              <w:t>Accumulated</w:t>
            </w: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tcPr>
          <w:p>
            <w:pPr>
              <w:jc w:val="center"/>
              <w:ind w:right="340"/>
              <w:spacing w:after="0" w:line="122" w:lineRule="exact"/>
              <w:rPr>
                <w:sz w:val="20"/>
                <w:szCs w:val="20"/>
                <w:color w:val="auto"/>
              </w:rPr>
            </w:pPr>
            <w:r>
              <w:rPr>
                <w:rFonts w:ascii="Times New Roman" w:cs="Times New Roman" w:eastAsia="Times New Roman" w:hAnsi="Times New Roman"/>
                <w:sz w:val="11"/>
                <w:szCs w:val="11"/>
                <w:b w:val="1"/>
                <w:bCs w:val="1"/>
                <w:color w:val="auto"/>
              </w:rPr>
              <w:t>Amdocs</w:t>
            </w: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1"/>
        </w:trPr>
        <w:tc>
          <w:tcPr>
            <w:tcW w:w="3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jc w:val="center"/>
              <w:ind w:right="26"/>
              <w:spacing w:after="0" w:line="122" w:lineRule="exact"/>
              <w:rPr>
                <w:sz w:val="20"/>
                <w:szCs w:val="20"/>
                <w:color w:val="auto"/>
              </w:rPr>
            </w:pPr>
            <w:r>
              <w:rPr>
                <w:rFonts w:ascii="Times New Roman" w:cs="Times New Roman" w:eastAsia="Times New Roman" w:hAnsi="Times New Roman"/>
                <w:sz w:val="11"/>
                <w:szCs w:val="11"/>
                <w:b w:val="1"/>
                <w:bCs w:val="1"/>
                <w:color w:val="auto"/>
                <w:w w:val="99"/>
              </w:rPr>
              <w:t>Additional</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1"/>
                <w:szCs w:val="11"/>
                <w:b w:val="1"/>
                <w:bCs w:val="1"/>
                <w:color w:val="auto"/>
                <w:w w:val="92"/>
              </w:rPr>
              <w:t>Other</w:t>
            </w: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tcPr>
          <w:p>
            <w:pPr>
              <w:jc w:val="center"/>
              <w:ind w:right="340"/>
              <w:spacing w:after="0" w:line="122" w:lineRule="exact"/>
              <w:rPr>
                <w:sz w:val="20"/>
                <w:szCs w:val="20"/>
                <w:color w:val="auto"/>
              </w:rPr>
            </w:pPr>
            <w:r>
              <w:rPr>
                <w:rFonts w:ascii="Times New Roman" w:cs="Times New Roman" w:eastAsia="Times New Roman" w:hAnsi="Times New Roman"/>
                <w:sz w:val="11"/>
                <w:szCs w:val="11"/>
                <w:b w:val="1"/>
                <w:bCs w:val="1"/>
                <w:color w:val="auto"/>
              </w:rPr>
              <w:t>Limited</w:t>
            </w:r>
          </w:p>
        </w:tc>
        <w:tc>
          <w:tcPr>
            <w:tcW w:w="80" w:type="dxa"/>
            <w:vAlign w:val="bottom"/>
          </w:tcPr>
          <w:p>
            <w:pPr>
              <w:spacing w:after="0"/>
              <w:rPr>
                <w:sz w:val="10"/>
                <w:szCs w:val="10"/>
                <w:color w:val="auto"/>
              </w:rPr>
            </w:pPr>
          </w:p>
        </w:tc>
        <w:tc>
          <w:tcPr>
            <w:tcW w:w="900" w:type="dxa"/>
            <w:vAlign w:val="bottom"/>
            <w:gridSpan w:val="2"/>
          </w:tcPr>
          <w:p>
            <w:pPr>
              <w:jc w:val="center"/>
              <w:ind w:right="300"/>
              <w:spacing w:after="0" w:line="122" w:lineRule="exact"/>
              <w:rPr>
                <w:sz w:val="20"/>
                <w:szCs w:val="20"/>
                <w:color w:val="auto"/>
              </w:rPr>
            </w:pPr>
            <w:r>
              <w:rPr>
                <w:rFonts w:ascii="Times New Roman" w:cs="Times New Roman" w:eastAsia="Times New Roman" w:hAnsi="Times New Roman"/>
                <w:sz w:val="11"/>
                <w:szCs w:val="11"/>
                <w:b w:val="1"/>
                <w:bCs w:val="1"/>
                <w:color w:val="auto"/>
              </w:rPr>
              <w:t>Non-</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1"/>
        </w:trPr>
        <w:tc>
          <w:tcPr>
            <w:tcW w:w="3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jc w:val="center"/>
              <w:ind w:right="26"/>
              <w:spacing w:after="0" w:line="122" w:lineRule="exact"/>
              <w:rPr>
                <w:sz w:val="20"/>
                <w:szCs w:val="20"/>
                <w:color w:val="auto"/>
              </w:rPr>
            </w:pPr>
            <w:r>
              <w:rPr>
                <w:rFonts w:ascii="Times New Roman" w:cs="Times New Roman" w:eastAsia="Times New Roman" w:hAnsi="Times New Roman"/>
                <w:sz w:val="11"/>
                <w:szCs w:val="11"/>
                <w:b w:val="1"/>
                <w:bCs w:val="1"/>
                <w:color w:val="auto"/>
                <w:w w:val="99"/>
              </w:rPr>
              <w:t>Paid-in</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center"/>
              <w:ind w:right="340"/>
              <w:spacing w:after="0" w:line="122" w:lineRule="exact"/>
              <w:rPr>
                <w:sz w:val="20"/>
                <w:szCs w:val="20"/>
                <w:color w:val="auto"/>
              </w:rPr>
            </w:pPr>
            <w:r>
              <w:rPr>
                <w:rFonts w:ascii="Times New Roman" w:cs="Times New Roman" w:eastAsia="Times New Roman" w:hAnsi="Times New Roman"/>
                <w:sz w:val="11"/>
                <w:szCs w:val="11"/>
                <w:b w:val="1"/>
                <w:bCs w:val="1"/>
                <w:color w:val="auto"/>
                <w:w w:val="96"/>
              </w:rPr>
              <w:t>Treasury</w:t>
            </w:r>
          </w:p>
        </w:tc>
        <w:tc>
          <w:tcPr>
            <w:tcW w:w="960" w:type="dxa"/>
            <w:vAlign w:val="bottom"/>
            <w:gridSpan w:val="3"/>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60" w:type="dxa"/>
            <w:vAlign w:val="bottom"/>
          </w:tcPr>
          <w:p>
            <w:pPr>
              <w:spacing w:after="0"/>
              <w:rPr>
                <w:sz w:val="10"/>
                <w:szCs w:val="10"/>
                <w:color w:val="auto"/>
              </w:rPr>
            </w:pPr>
          </w:p>
        </w:tc>
        <w:tc>
          <w:tcPr>
            <w:tcW w:w="700" w:type="dxa"/>
            <w:vAlign w:val="bottom"/>
            <w:gridSpan w:val="2"/>
          </w:tcPr>
          <w:p>
            <w:pPr>
              <w:jc w:val="right"/>
              <w:ind w:right="280"/>
              <w:spacing w:after="0" w:line="122" w:lineRule="exact"/>
              <w:rPr>
                <w:sz w:val="20"/>
                <w:szCs w:val="20"/>
                <w:color w:val="auto"/>
              </w:rPr>
            </w:pPr>
            <w:r>
              <w:rPr>
                <w:rFonts w:ascii="Times New Roman" w:cs="Times New Roman" w:eastAsia="Times New Roman" w:hAnsi="Times New Roman"/>
                <w:sz w:val="11"/>
                <w:szCs w:val="11"/>
                <w:b w:val="1"/>
                <w:bCs w:val="1"/>
                <w:color w:val="auto"/>
                <w:w w:val="94"/>
              </w:rPr>
              <w:t>Retained</w:t>
            </w:r>
          </w:p>
        </w:tc>
        <w:tc>
          <w:tcPr>
            <w:tcW w:w="980" w:type="dxa"/>
            <w:vAlign w:val="bottom"/>
            <w:gridSpan w:val="3"/>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9"/>
              </w:rPr>
              <w:t>Shareholders’</w:t>
            </w:r>
          </w:p>
        </w:tc>
        <w:tc>
          <w:tcPr>
            <w:tcW w:w="80" w:type="dxa"/>
            <w:vAlign w:val="bottom"/>
          </w:tcPr>
          <w:p>
            <w:pPr>
              <w:spacing w:after="0"/>
              <w:rPr>
                <w:sz w:val="10"/>
                <w:szCs w:val="10"/>
                <w:color w:val="auto"/>
              </w:rPr>
            </w:pPr>
          </w:p>
        </w:tc>
        <w:tc>
          <w:tcPr>
            <w:tcW w:w="900" w:type="dxa"/>
            <w:vAlign w:val="bottom"/>
            <w:gridSpan w:val="2"/>
          </w:tcPr>
          <w:p>
            <w:pPr>
              <w:jc w:val="center"/>
              <w:ind w:right="320"/>
              <w:spacing w:after="0" w:line="122" w:lineRule="exact"/>
              <w:rPr>
                <w:sz w:val="20"/>
                <w:szCs w:val="20"/>
                <w:color w:val="auto"/>
              </w:rPr>
            </w:pPr>
            <w:r>
              <w:rPr>
                <w:rFonts w:ascii="Times New Roman" w:cs="Times New Roman" w:eastAsia="Times New Roman" w:hAnsi="Times New Roman"/>
                <w:sz w:val="11"/>
                <w:szCs w:val="11"/>
                <w:b w:val="1"/>
                <w:bCs w:val="1"/>
                <w:color w:val="auto"/>
                <w:w w:val="97"/>
              </w:rPr>
              <w:t>controlling</w:t>
            </w:r>
          </w:p>
        </w:tc>
        <w:tc>
          <w:tcPr>
            <w:tcW w:w="120" w:type="dxa"/>
            <w:vAlign w:val="bottom"/>
          </w:tcPr>
          <w:p>
            <w:pPr>
              <w:spacing w:after="0"/>
              <w:rPr>
                <w:sz w:val="10"/>
                <w:szCs w:val="10"/>
                <w:color w:val="auto"/>
              </w:rPr>
            </w:pPr>
          </w:p>
        </w:tc>
        <w:tc>
          <w:tcPr>
            <w:tcW w:w="64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5"/>
              </w:rPr>
              <w:t>Total</w:t>
            </w:r>
          </w:p>
        </w:tc>
      </w:tr>
      <w:tr>
        <w:trPr>
          <w:trHeight w:val="146"/>
        </w:trPr>
        <w:tc>
          <w:tcPr>
            <w:tcW w:w="3320" w:type="dxa"/>
            <w:vAlign w:val="bottom"/>
          </w:tcPr>
          <w:p>
            <w:pPr>
              <w:spacing w:after="0"/>
              <w:rPr>
                <w:sz w:val="12"/>
                <w:szCs w:val="12"/>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tcPr>
          <w:p>
            <w:pPr>
              <w:spacing w:after="0"/>
              <w:rPr>
                <w:sz w:val="12"/>
                <w:szCs w:val="12"/>
                <w:color w:val="auto"/>
              </w:rPr>
            </w:pPr>
          </w:p>
        </w:tc>
        <w:tc>
          <w:tcPr>
            <w:tcW w:w="50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60" w:type="dxa"/>
            <w:vAlign w:val="bottom"/>
          </w:tcPr>
          <w:p>
            <w:pPr>
              <w:spacing w:after="0"/>
              <w:rPr>
                <w:sz w:val="12"/>
                <w:szCs w:val="12"/>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7"/>
              </w:rPr>
              <w:t>Loss (1)</w:t>
            </w:r>
          </w:p>
        </w:tc>
        <w:tc>
          <w:tcPr>
            <w:tcW w:w="60" w:type="dxa"/>
            <w:vAlign w:val="bottom"/>
          </w:tcPr>
          <w:p>
            <w:pPr>
              <w:spacing w:after="0"/>
              <w:rPr>
                <w:sz w:val="12"/>
                <w:szCs w:val="12"/>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w w:val="93"/>
              </w:rPr>
              <w:t>Earnings</w:t>
            </w:r>
          </w:p>
        </w:tc>
        <w:tc>
          <w:tcPr>
            <w:tcW w:w="140" w:type="dxa"/>
            <w:vAlign w:val="bottom"/>
          </w:tcPr>
          <w:p>
            <w:pPr>
              <w:spacing w:after="0"/>
              <w:rPr>
                <w:sz w:val="12"/>
                <w:szCs w:val="12"/>
                <w:color w:val="auto"/>
              </w:rPr>
            </w:pPr>
          </w:p>
        </w:tc>
        <w:tc>
          <w:tcPr>
            <w:tcW w:w="84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4"/>
              </w:rPr>
              <w:t>Equity</w:t>
            </w:r>
          </w:p>
        </w:tc>
        <w:tc>
          <w:tcPr>
            <w:tcW w:w="80" w:type="dxa"/>
            <w:vAlign w:val="bottom"/>
          </w:tcPr>
          <w:p>
            <w:pPr>
              <w:spacing w:after="0"/>
              <w:rPr>
                <w:sz w:val="12"/>
                <w:szCs w:val="12"/>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9"/>
              </w:rPr>
              <w:t>Interests (2)</w:t>
            </w:r>
          </w:p>
        </w:tc>
        <w:tc>
          <w:tcPr>
            <w:tcW w:w="120" w:type="dxa"/>
            <w:vAlign w:val="bottom"/>
          </w:tcPr>
          <w:p>
            <w:pPr>
              <w:spacing w:after="0"/>
              <w:rPr>
                <w:sz w:val="12"/>
                <w:szCs w:val="12"/>
                <w:color w:val="auto"/>
              </w:rPr>
            </w:pPr>
          </w:p>
        </w:tc>
        <w:tc>
          <w:tcPr>
            <w:tcW w:w="64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Equity</w:t>
            </w:r>
          </w:p>
        </w:tc>
      </w:tr>
      <w:tr>
        <w:trPr>
          <w:trHeight w:val="119"/>
        </w:trPr>
        <w:tc>
          <w:tcPr>
            <w:tcW w:w="3320" w:type="dxa"/>
            <w:vAlign w:val="bottom"/>
            <w:shd w:val="clear" w:color="auto" w:fill="CFF0FC"/>
          </w:tcPr>
          <w:p>
            <w:pPr>
              <w:ind w:left="20"/>
              <w:spacing w:after="0" w:line="119" w:lineRule="exact"/>
              <w:rPr>
                <w:sz w:val="20"/>
                <w:szCs w:val="20"/>
                <w:color w:val="auto"/>
              </w:rPr>
            </w:pPr>
            <w:r>
              <w:rPr>
                <w:rFonts w:ascii="Times New Roman" w:cs="Times New Roman" w:eastAsia="Times New Roman" w:hAnsi="Times New Roman"/>
                <w:sz w:val="11"/>
                <w:szCs w:val="11"/>
                <w:b w:val="1"/>
                <w:bCs w:val="1"/>
                <w:color w:val="auto"/>
              </w:rPr>
              <w:t>Balance as of March 31,2023</w:t>
            </w:r>
          </w:p>
        </w:tc>
        <w:tc>
          <w:tcPr>
            <w:tcW w:w="620" w:type="dxa"/>
            <w:vAlign w:val="bottom"/>
            <w:tcBorders>
              <w:top w:val="single" w:sz="8" w:color="auto"/>
            </w:tcBorders>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6,390,91</w:t>
            </w:r>
          </w:p>
        </w:tc>
        <w:tc>
          <w:tcPr>
            <w:tcW w:w="20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49"/>
        </w:trPr>
        <w:tc>
          <w:tcPr>
            <w:tcW w:w="33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120,244</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4,569</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4,181,820</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(6,937,426 )</w:t>
            </w:r>
          </w:p>
        </w:tc>
        <w:tc>
          <w:tcPr>
            <w:tcW w:w="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(53,734 )</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3,586,141</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43,420</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3,629,561</w:t>
            </w:r>
          </w:p>
        </w:tc>
        <w:tc>
          <w:tcPr>
            <w:tcW w:w="100" w:type="dxa"/>
            <w:vAlign w:val="bottom"/>
            <w:shd w:val="clear" w:color="auto" w:fill="CFF0FC"/>
          </w:tcPr>
          <w:p>
            <w:pPr>
              <w:spacing w:after="0"/>
              <w:rPr>
                <w:sz w:val="12"/>
                <w:szCs w:val="12"/>
                <w:color w:val="auto"/>
              </w:rPr>
            </w:pPr>
          </w:p>
        </w:tc>
      </w:tr>
      <w:tr>
        <w:trPr>
          <w:trHeight w:val="144"/>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Comprehensive income:</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2"/>
        </w:trPr>
        <w:tc>
          <w:tcPr>
            <w:tcW w:w="33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Net income</w:t>
            </w:r>
          </w:p>
        </w:tc>
        <w:tc>
          <w:tcPr>
            <w:tcW w:w="8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159,428</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159,428</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687</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160,115</w:t>
            </w:r>
          </w:p>
        </w:tc>
        <w:tc>
          <w:tcPr>
            <w:tcW w:w="100" w:type="dxa"/>
            <w:vAlign w:val="bottom"/>
            <w:shd w:val="clear" w:color="auto" w:fill="CFF0FC"/>
          </w:tcPr>
          <w:p>
            <w:pPr>
              <w:spacing w:after="0"/>
              <w:rPr>
                <w:sz w:val="13"/>
                <w:szCs w:val="13"/>
                <w:color w:val="auto"/>
              </w:rPr>
            </w:pPr>
          </w:p>
        </w:tc>
      </w:tr>
      <w:tr>
        <w:trPr>
          <w:trHeight w:val="148"/>
        </w:trPr>
        <w:tc>
          <w:tcPr>
            <w:tcW w:w="332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Other comprehensive income</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8,222</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8,222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8,222</w:t>
            </w:r>
          </w:p>
        </w:tc>
        <w:tc>
          <w:tcPr>
            <w:tcW w:w="100" w:type="dxa"/>
            <w:vAlign w:val="bottom"/>
          </w:tcPr>
          <w:p>
            <w:pPr>
              <w:spacing w:after="0"/>
              <w:rPr>
                <w:sz w:val="12"/>
                <w:szCs w:val="12"/>
                <w:color w:val="auto"/>
              </w:rPr>
            </w:pPr>
          </w:p>
        </w:tc>
      </w:tr>
      <w:tr>
        <w:trPr>
          <w:trHeight w:val="142"/>
        </w:trPr>
        <w:tc>
          <w:tcPr>
            <w:tcW w:w="33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Comprehensive income</w:t>
            </w:r>
          </w:p>
        </w:tc>
        <w:tc>
          <w:tcPr>
            <w:tcW w:w="8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167,650</w:t>
            </w:r>
          </w:p>
        </w:tc>
        <w:tc>
          <w:tcPr>
            <w:tcW w:w="22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687</w:t>
            </w:r>
          </w:p>
        </w:tc>
        <w:tc>
          <w:tcPr>
            <w:tcW w:w="22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168,337</w:t>
            </w:r>
          </w:p>
        </w:tc>
        <w:tc>
          <w:tcPr>
            <w:tcW w:w="100" w:type="dxa"/>
            <w:vAlign w:val="bottom"/>
            <w:shd w:val="clear" w:color="auto" w:fill="CFF0FC"/>
          </w:tcPr>
          <w:p>
            <w:pPr>
              <w:spacing w:after="0"/>
              <w:rPr>
                <w:sz w:val="12"/>
                <w:szCs w:val="12"/>
                <w:color w:val="auto"/>
              </w:rPr>
            </w:pPr>
          </w:p>
        </w:tc>
      </w:tr>
      <w:tr>
        <w:trPr>
          <w:trHeight w:val="144"/>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Employee stock options exercised</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11,174</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11,176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11,176</w:t>
            </w:r>
          </w:p>
        </w:tc>
        <w:tc>
          <w:tcPr>
            <w:tcW w:w="100" w:type="dxa"/>
            <w:vAlign w:val="bottom"/>
          </w:tcPr>
          <w:p>
            <w:pPr>
              <w:spacing w:after="0"/>
              <w:rPr>
                <w:sz w:val="12"/>
                <w:szCs w:val="12"/>
                <w:color w:val="auto"/>
              </w:rPr>
            </w:pPr>
          </w:p>
        </w:tc>
      </w:tr>
      <w:tr>
        <w:trPr>
          <w:trHeight w:val="152"/>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Repurchase of shares</w:t>
            </w: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(1,391 )</w:t>
            </w:r>
          </w:p>
        </w:tc>
        <w:tc>
          <w:tcPr>
            <w:tcW w:w="8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(128,862 )</w:t>
            </w:r>
          </w:p>
        </w:tc>
        <w:tc>
          <w:tcPr>
            <w:tcW w:w="6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(128,862 )</w:t>
            </w:r>
          </w:p>
        </w:tc>
        <w:tc>
          <w:tcPr>
            <w:tcW w:w="8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(128,862 )</w:t>
            </w:r>
          </w:p>
        </w:tc>
      </w:tr>
      <w:tr>
        <w:trPr>
          <w:trHeight w:val="144"/>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Cash dividends declared ($0.435 per ordinary share)</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(51,781 )</w:t>
            </w:r>
          </w:p>
        </w:tc>
        <w:tc>
          <w:tcPr>
            <w:tcW w:w="14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(51,781 )</w:t>
            </w:r>
          </w:p>
        </w:tc>
        <w:tc>
          <w:tcPr>
            <w:tcW w:w="8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(51,781 )</w:t>
            </w:r>
          </w:p>
        </w:tc>
      </w:tr>
      <w:tr>
        <w:trPr>
          <w:trHeight w:val="152"/>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Issuance of restricted stock, net of forfeitures</w:t>
            </w: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(2 )</w:t>
            </w:r>
          </w:p>
        </w:tc>
        <w:tc>
          <w:tcPr>
            <w:tcW w:w="8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Equity-based compensation expense related to employees</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24,054</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24,054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24,054</w:t>
            </w:r>
          </w:p>
        </w:tc>
        <w:tc>
          <w:tcPr>
            <w:tcW w:w="100" w:type="dxa"/>
            <w:vAlign w:val="bottom"/>
          </w:tcPr>
          <w:p>
            <w:pPr>
              <w:spacing w:after="0"/>
              <w:rPr>
                <w:sz w:val="12"/>
                <w:szCs w:val="12"/>
                <w:color w:val="auto"/>
              </w:rPr>
            </w:pPr>
          </w:p>
        </w:tc>
      </w:tr>
      <w:tr>
        <w:trPr>
          <w:trHeight w:val="148"/>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Distribution to noncontrolling interests (2)</w:t>
            </w:r>
          </w:p>
        </w:tc>
        <w:tc>
          <w:tcPr>
            <w:tcW w:w="8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(209 )</w:t>
            </w:r>
          </w:p>
        </w:tc>
        <w:tc>
          <w:tcPr>
            <w:tcW w:w="12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(209 )</w:t>
            </w:r>
          </w:p>
        </w:tc>
      </w:tr>
      <w:tr>
        <w:trPr>
          <w:trHeight w:val="119"/>
        </w:trPr>
        <w:tc>
          <w:tcPr>
            <w:tcW w:w="3320" w:type="dxa"/>
            <w:vAlign w:val="bottom"/>
            <w:tcBorders>
              <w:top w:val="single" w:sz="8" w:color="CFF0FC"/>
            </w:tcBorders>
          </w:tcPr>
          <w:p>
            <w:pPr>
              <w:ind w:left="20"/>
              <w:spacing w:after="0" w:line="119" w:lineRule="exact"/>
              <w:rPr>
                <w:sz w:val="20"/>
                <w:szCs w:val="20"/>
                <w:color w:val="auto"/>
              </w:rPr>
            </w:pPr>
            <w:r>
              <w:rPr>
                <w:rFonts w:ascii="Times New Roman" w:cs="Times New Roman" w:eastAsia="Times New Roman" w:hAnsi="Times New Roman"/>
                <w:sz w:val="11"/>
                <w:szCs w:val="11"/>
                <w:b w:val="1"/>
                <w:bCs w:val="1"/>
                <w:color w:val="auto"/>
              </w:rPr>
              <w:t>Balance as of June 30,2023</w:t>
            </w:r>
          </w:p>
        </w:tc>
        <w:tc>
          <w:tcPr>
            <w:tcW w:w="62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6,498,55</w:t>
            </w:r>
          </w:p>
        </w:tc>
        <w:tc>
          <w:tcPr>
            <w:tcW w:w="20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r>
      <w:tr>
        <w:trPr>
          <w:trHeight w:val="140"/>
        </w:trPr>
        <w:tc>
          <w:tcPr>
            <w:tcW w:w="33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119,026</w:t>
            </w:r>
          </w:p>
        </w:tc>
        <w:tc>
          <w:tcPr>
            <w:tcW w:w="2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4,571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4,217,048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(7,066,288 )</w:t>
            </w: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(45,512 )</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200" w:type="dxa"/>
            <w:vAlign w:val="bottom"/>
          </w:tcPr>
          <w:p>
            <w:pPr>
              <w:spacing w:after="0"/>
              <w:rPr>
                <w:sz w:val="12"/>
                <w:szCs w:val="12"/>
                <w:color w:val="auto"/>
              </w:rPr>
            </w:pPr>
          </w:p>
        </w:tc>
        <w:tc>
          <w:tcPr>
            <w:tcW w:w="1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3,608,378</w:t>
            </w:r>
          </w:p>
        </w:tc>
        <w:tc>
          <w:tcPr>
            <w:tcW w:w="2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43,898</w:t>
            </w:r>
          </w:p>
        </w:tc>
        <w:tc>
          <w:tcPr>
            <w:tcW w:w="220" w:type="dxa"/>
            <w:vAlign w:val="bottom"/>
          </w:tcPr>
          <w:p>
            <w:pPr>
              <w:spacing w:after="0"/>
              <w:rPr>
                <w:sz w:val="12"/>
                <w:szCs w:val="12"/>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3,652,276</w:t>
            </w:r>
          </w:p>
        </w:tc>
        <w:tc>
          <w:tcPr>
            <w:tcW w:w="10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2496820</wp:posOffset>
            </wp:positionH>
            <wp:positionV relativeFrom="paragraph">
              <wp:posOffset>-1929130</wp:posOffset>
            </wp:positionV>
            <wp:extent cx="768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2496820</wp:posOffset>
            </wp:positionH>
            <wp:positionV relativeFrom="paragraph">
              <wp:posOffset>-1911985</wp:posOffset>
            </wp:positionV>
            <wp:extent cx="768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3018790</wp:posOffset>
            </wp:positionH>
            <wp:positionV relativeFrom="paragraph">
              <wp:posOffset>-1929130</wp:posOffset>
            </wp:positionV>
            <wp:extent cx="768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3018790</wp:posOffset>
            </wp:positionH>
            <wp:positionV relativeFrom="paragraph">
              <wp:posOffset>-1911985</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-1929130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-1911985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4175125</wp:posOffset>
            </wp:positionH>
            <wp:positionV relativeFrom="paragraph">
              <wp:posOffset>-1929130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4175125</wp:posOffset>
            </wp:positionH>
            <wp:positionV relativeFrom="paragraph">
              <wp:posOffset>-1911985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4791075</wp:posOffset>
            </wp:positionH>
            <wp:positionV relativeFrom="paragraph">
              <wp:posOffset>-1929130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4791075</wp:posOffset>
            </wp:positionH>
            <wp:positionV relativeFrom="paragraph">
              <wp:posOffset>-1911985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5279390</wp:posOffset>
            </wp:positionH>
            <wp:positionV relativeFrom="paragraph">
              <wp:posOffset>-1929130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5279390</wp:posOffset>
            </wp:positionH>
            <wp:positionV relativeFrom="paragraph">
              <wp:posOffset>-1911985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-1929130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-1911985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6512560</wp:posOffset>
            </wp:positionH>
            <wp:positionV relativeFrom="paragraph">
              <wp:posOffset>-1929130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6512560</wp:posOffset>
            </wp:positionH>
            <wp:positionV relativeFrom="paragraph">
              <wp:posOffset>-1911985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-1929130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-1911985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2496820</wp:posOffset>
            </wp:positionH>
            <wp:positionV relativeFrom="paragraph">
              <wp:posOffset>-173990</wp:posOffset>
            </wp:positionV>
            <wp:extent cx="768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3018790</wp:posOffset>
            </wp:positionH>
            <wp:positionV relativeFrom="paragraph">
              <wp:posOffset>-173990</wp:posOffset>
            </wp:positionV>
            <wp:extent cx="768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-173990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4175125</wp:posOffset>
            </wp:positionH>
            <wp:positionV relativeFrom="paragraph">
              <wp:posOffset>-173990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4791075</wp:posOffset>
            </wp:positionH>
            <wp:positionV relativeFrom="paragraph">
              <wp:posOffset>-173990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5279390</wp:posOffset>
            </wp:positionH>
            <wp:positionV relativeFrom="paragraph">
              <wp:posOffset>-173990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-173990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6512560</wp:posOffset>
            </wp:positionH>
            <wp:positionV relativeFrom="paragraph">
              <wp:posOffset>-173990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-173990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5080</wp:posOffset>
            </wp:positionV>
            <wp:extent cx="49663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966335" cy="825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-95885</wp:posOffset>
            </wp:positionV>
            <wp:extent cx="49663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966335" cy="8255"/>
                    </a:xfrm>
                    <a:prstGeom prst="rect">
                      <a:avLst/>
                    </a:prstGeom>
                    <a:noFill/>
                  </pic:spPr>
                </pic:pic>
              </a:graphicData>
            </a:graphic>
          </wp:anchor>
        </w:drawing>
      </w:r>
    </w:p>
    <w:p>
      <w:pPr>
        <w:spacing w:after="0" w:line="13" w:lineRule="exact"/>
        <w:rPr>
          <w:sz w:val="20"/>
          <w:szCs w:val="20"/>
          <w:color w:val="auto"/>
        </w:rPr>
      </w:pPr>
    </w:p>
    <w:p>
      <w:pPr>
        <w:ind w:left="380" w:hanging="372"/>
        <w:spacing w:after="0" w:line="253" w:lineRule="auto"/>
        <w:tabs>
          <w:tab w:leader="none" w:pos="380" w:val="left"/>
        </w:tabs>
        <w:numPr>
          <w:ilvl w:val="0"/>
          <w:numId w:val="2"/>
        </w:numPr>
        <w:rPr>
          <w:rFonts w:ascii="Times New Roman" w:cs="Times New Roman" w:eastAsia="Times New Roman" w:hAnsi="Times New Roman"/>
          <w:sz w:val="15"/>
          <w:szCs w:val="15"/>
          <w:color w:val="404040"/>
        </w:rPr>
      </w:pPr>
      <w:r>
        <w:rPr>
          <w:rFonts w:ascii="Times New Roman" w:cs="Times New Roman" w:eastAsia="Times New Roman" w:hAnsi="Times New Roman"/>
          <w:sz w:val="15"/>
          <w:szCs w:val="15"/>
          <w:color w:val="404040"/>
        </w:rPr>
        <w:t xml:space="preserve">As of June 30, 2024 and 2023, accumulated other comprehensive loss </w:t>
      </w:r>
      <w:r>
        <w:rPr>
          <w:rFonts w:ascii="Times New Roman" w:cs="Times New Roman" w:eastAsia="Times New Roman" w:hAnsi="Times New Roman"/>
          <w:sz w:val="15"/>
          <w:szCs w:val="15"/>
          <w:color w:val="000000"/>
        </w:rPr>
        <w:t>is comprised of unrealized gain (loss) on derivatives, net of tax, of $587 and $(24,609) unrealized loss on</w:t>
      </w:r>
      <w:r>
        <w:rPr>
          <w:rFonts w:ascii="Times New Roman" w:cs="Times New Roman" w:eastAsia="Times New Roman" w:hAnsi="Times New Roman"/>
          <w:sz w:val="15"/>
          <w:szCs w:val="15"/>
          <w:color w:val="404040"/>
        </w:rPr>
        <w:t xml:space="preserve"> </w:t>
      </w:r>
      <w:r>
        <w:rPr>
          <w:rFonts w:ascii="Times New Roman" w:cs="Times New Roman" w:eastAsia="Times New Roman" w:hAnsi="Times New Roman"/>
          <w:sz w:val="15"/>
          <w:szCs w:val="15"/>
          <w:color w:val="000000"/>
        </w:rPr>
        <w:t>short-term interest-bearing investments, net of tax, of $(8,805) and $(17,804), and unrealized loss on defined benefit plan, net of tax, of $(2,392) and $(3,099), respectively.</w:t>
      </w:r>
    </w:p>
    <w:p>
      <w:pPr>
        <w:ind w:left="380" w:hanging="372"/>
        <w:spacing w:after="0" w:line="260" w:lineRule="auto"/>
        <w:tabs>
          <w:tab w:leader="none" w:pos="38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Starting fiscal year 2023, the Company distributes earnings to the noncontrolling interests, for further details please refer to Note 2, “A summary of Significant Accounting Policies, ” in the Company’s Annual Report on Form 20-F for the fiscal year 2023.</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060" w:type="dxa"/>
            <w:vAlign w:val="bottom"/>
          </w:tcPr>
          <w:p>
            <w:pPr>
              <w:spacing w:after="0"/>
              <w:rPr>
                <w:sz w:val="12"/>
                <w:szCs w:val="12"/>
                <w:color w:val="auto"/>
              </w:rPr>
            </w:pPr>
          </w:p>
        </w:tc>
        <w:tc>
          <w:tcPr>
            <w:tcW w:w="1500" w:type="dxa"/>
            <w:vAlign w:val="bottom"/>
            <w:tcBorders>
              <w:bottom w:val="single" w:sz="8" w:color="auto"/>
            </w:tcBorders>
            <w:gridSpan w:val="4"/>
          </w:tcPr>
          <w:p>
            <w:pPr>
              <w:jc w:val="right"/>
              <w:ind w:right="306"/>
              <w:spacing w:after="0"/>
              <w:rPr>
                <w:sz w:val="20"/>
                <w:szCs w:val="20"/>
                <w:color w:val="auto"/>
              </w:rPr>
            </w:pPr>
            <w:r>
              <w:rPr>
                <w:rFonts w:ascii="Times New Roman" w:cs="Times New Roman" w:eastAsia="Times New Roman" w:hAnsi="Times New Roman"/>
                <w:sz w:val="11"/>
                <w:szCs w:val="11"/>
                <w:b w:val="1"/>
                <w:bCs w:val="1"/>
                <w:color w:val="auto"/>
              </w:rPr>
              <w:t>Ordinary Shares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19"/>
        </w:trPr>
        <w:tc>
          <w:tcPr>
            <w:tcW w:w="30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center"/>
              <w:ind w:right="320"/>
              <w:spacing w:after="0" w:line="120"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1"/>
        </w:trPr>
        <w:tc>
          <w:tcPr>
            <w:tcW w:w="30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300"/>
              <w:spacing w:after="0" w:line="122" w:lineRule="exact"/>
              <w:rPr>
                <w:sz w:val="20"/>
                <w:szCs w:val="20"/>
                <w:color w:val="auto"/>
              </w:rPr>
            </w:pPr>
            <w:r>
              <w:rPr>
                <w:rFonts w:ascii="Times New Roman" w:cs="Times New Roman" w:eastAsia="Times New Roman" w:hAnsi="Times New Roman"/>
                <w:sz w:val="11"/>
                <w:szCs w:val="11"/>
                <w:b w:val="1"/>
                <w:bCs w:val="1"/>
                <w:color w:val="auto"/>
                <w:w w:val="96"/>
              </w:rPr>
              <w:t>Accumulated</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center"/>
              <w:ind w:right="320"/>
              <w:spacing w:after="0" w:line="122" w:lineRule="exact"/>
              <w:rPr>
                <w:sz w:val="20"/>
                <w:szCs w:val="20"/>
                <w:color w:val="auto"/>
              </w:rPr>
            </w:pPr>
            <w:r>
              <w:rPr>
                <w:rFonts w:ascii="Times New Roman" w:cs="Times New Roman" w:eastAsia="Times New Roman" w:hAnsi="Times New Roman"/>
                <w:sz w:val="11"/>
                <w:szCs w:val="11"/>
                <w:b w:val="1"/>
                <w:bCs w:val="1"/>
                <w:color w:val="auto"/>
                <w:w w:val="94"/>
              </w:rPr>
              <w:t>Amdocs</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1"/>
        </w:trPr>
        <w:tc>
          <w:tcPr>
            <w:tcW w:w="30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center"/>
              <w:ind w:right="46"/>
              <w:spacing w:after="0" w:line="122" w:lineRule="exact"/>
              <w:rPr>
                <w:sz w:val="20"/>
                <w:szCs w:val="20"/>
                <w:color w:val="auto"/>
              </w:rPr>
            </w:pPr>
            <w:r>
              <w:rPr>
                <w:rFonts w:ascii="Times New Roman" w:cs="Times New Roman" w:eastAsia="Times New Roman" w:hAnsi="Times New Roman"/>
                <w:sz w:val="11"/>
                <w:szCs w:val="11"/>
                <w:b w:val="1"/>
                <w:bCs w:val="1"/>
                <w:color w:val="auto"/>
                <w:w w:val="99"/>
              </w:rPr>
              <w:t>Additional</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300"/>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center"/>
              <w:ind w:right="320"/>
              <w:spacing w:after="0" w:line="122" w:lineRule="exact"/>
              <w:rPr>
                <w:sz w:val="20"/>
                <w:szCs w:val="20"/>
                <w:color w:val="auto"/>
              </w:rPr>
            </w:pPr>
            <w:r>
              <w:rPr>
                <w:rFonts w:ascii="Times New Roman" w:cs="Times New Roman" w:eastAsia="Times New Roman" w:hAnsi="Times New Roman"/>
                <w:sz w:val="11"/>
                <w:szCs w:val="11"/>
                <w:b w:val="1"/>
                <w:bCs w:val="1"/>
                <w:color w:val="auto"/>
                <w:w w:val="96"/>
              </w:rPr>
              <w:t>Limited</w:t>
            </w:r>
          </w:p>
        </w:tc>
        <w:tc>
          <w:tcPr>
            <w:tcW w:w="80" w:type="dxa"/>
            <w:vAlign w:val="bottom"/>
          </w:tcPr>
          <w:p>
            <w:pPr>
              <w:spacing w:after="0"/>
              <w:rPr>
                <w:sz w:val="10"/>
                <w:szCs w:val="10"/>
                <w:color w:val="auto"/>
              </w:rPr>
            </w:pPr>
          </w:p>
        </w:tc>
        <w:tc>
          <w:tcPr>
            <w:tcW w:w="78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1"/>
                <w:szCs w:val="11"/>
                <w:b w:val="1"/>
                <w:bCs w:val="1"/>
                <w:color w:val="auto"/>
                <w:w w:val="94"/>
              </w:rPr>
              <w:t>Non-</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1"/>
        </w:trPr>
        <w:tc>
          <w:tcPr>
            <w:tcW w:w="30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center"/>
              <w:ind w:right="46"/>
              <w:spacing w:after="0" w:line="122" w:lineRule="exact"/>
              <w:rPr>
                <w:sz w:val="20"/>
                <w:szCs w:val="20"/>
                <w:color w:val="auto"/>
              </w:rPr>
            </w:pPr>
            <w:r>
              <w:rPr>
                <w:rFonts w:ascii="Times New Roman" w:cs="Times New Roman" w:eastAsia="Times New Roman" w:hAnsi="Times New Roman"/>
                <w:sz w:val="11"/>
                <w:szCs w:val="11"/>
                <w:b w:val="1"/>
                <w:bCs w:val="1"/>
                <w:color w:val="auto"/>
                <w:w w:val="99"/>
              </w:rPr>
              <w:t>Paid-in</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300"/>
              <w:spacing w:after="0" w:line="122" w:lineRule="exact"/>
              <w:rPr>
                <w:sz w:val="20"/>
                <w:szCs w:val="20"/>
                <w:color w:val="auto"/>
              </w:rPr>
            </w:pPr>
            <w:r>
              <w:rPr>
                <w:rFonts w:ascii="Times New Roman" w:cs="Times New Roman" w:eastAsia="Times New Roman" w:hAnsi="Times New Roman"/>
                <w:sz w:val="11"/>
                <w:szCs w:val="11"/>
                <w:b w:val="1"/>
                <w:bCs w:val="1"/>
                <w:color w:val="auto"/>
                <w:w w:val="96"/>
              </w:rPr>
              <w:t>Treasury</w:t>
            </w:r>
          </w:p>
        </w:tc>
        <w:tc>
          <w:tcPr>
            <w:tcW w:w="100" w:type="dxa"/>
            <w:vAlign w:val="bottom"/>
          </w:tcPr>
          <w:p>
            <w:pPr>
              <w:spacing w:after="0"/>
              <w:rPr>
                <w:sz w:val="10"/>
                <w:szCs w:val="10"/>
                <w:color w:val="auto"/>
              </w:rPr>
            </w:pPr>
          </w:p>
        </w:tc>
        <w:tc>
          <w:tcPr>
            <w:tcW w:w="1020" w:type="dxa"/>
            <w:vAlign w:val="bottom"/>
            <w:gridSpan w:val="2"/>
          </w:tcPr>
          <w:p>
            <w:pPr>
              <w:jc w:val="center"/>
              <w:ind w:right="300"/>
              <w:spacing w:after="0" w:line="122"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100" w:type="dxa"/>
            <w:vAlign w:val="bottom"/>
          </w:tcPr>
          <w:p>
            <w:pPr>
              <w:spacing w:after="0"/>
              <w:rPr>
                <w:sz w:val="10"/>
                <w:szCs w:val="10"/>
                <w:color w:val="auto"/>
              </w:rPr>
            </w:pPr>
          </w:p>
        </w:tc>
        <w:tc>
          <w:tcPr>
            <w:tcW w:w="760" w:type="dxa"/>
            <w:vAlign w:val="bottom"/>
            <w:gridSpan w:val="2"/>
          </w:tcPr>
          <w:p>
            <w:pPr>
              <w:jc w:val="right"/>
              <w:ind w:right="3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Retained</w:t>
            </w:r>
          </w:p>
        </w:tc>
        <w:tc>
          <w:tcPr>
            <w:tcW w:w="920" w:type="dxa"/>
            <w:vAlign w:val="bottom"/>
            <w:gridSpan w:val="3"/>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6"/>
              </w:rPr>
              <w:t>Shareholders’</w:t>
            </w:r>
          </w:p>
        </w:tc>
        <w:tc>
          <w:tcPr>
            <w:tcW w:w="80" w:type="dxa"/>
            <w:vAlign w:val="bottom"/>
          </w:tcPr>
          <w:p>
            <w:pPr>
              <w:spacing w:after="0"/>
              <w:rPr>
                <w:sz w:val="10"/>
                <w:szCs w:val="10"/>
                <w:color w:val="auto"/>
              </w:rPr>
            </w:pPr>
          </w:p>
        </w:tc>
        <w:tc>
          <w:tcPr>
            <w:tcW w:w="78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1"/>
                <w:szCs w:val="11"/>
                <w:b w:val="1"/>
                <w:bCs w:val="1"/>
                <w:color w:val="auto"/>
                <w:w w:val="97"/>
              </w:rPr>
              <w:t>controlling</w:t>
            </w:r>
          </w:p>
        </w:tc>
        <w:tc>
          <w:tcPr>
            <w:tcW w:w="120" w:type="dxa"/>
            <w:vAlign w:val="bottom"/>
          </w:tcPr>
          <w:p>
            <w:pPr>
              <w:spacing w:after="0"/>
              <w:rPr>
                <w:sz w:val="10"/>
                <w:szCs w:val="10"/>
                <w:color w:val="auto"/>
              </w:rPr>
            </w:pPr>
          </w:p>
        </w:tc>
        <w:tc>
          <w:tcPr>
            <w:tcW w:w="62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5"/>
              </w:rPr>
              <w:t>Total</w:t>
            </w:r>
          </w:p>
        </w:tc>
      </w:tr>
      <w:tr>
        <w:trPr>
          <w:trHeight w:val="146"/>
        </w:trPr>
        <w:tc>
          <w:tcPr>
            <w:tcW w:w="3060" w:type="dxa"/>
            <w:vAlign w:val="bottom"/>
          </w:tcPr>
          <w:p>
            <w:pPr>
              <w:spacing w:after="0"/>
              <w:rPr>
                <w:sz w:val="12"/>
                <w:szCs w:val="12"/>
                <w:color w:val="auto"/>
              </w:rPr>
            </w:pPr>
          </w:p>
        </w:tc>
        <w:tc>
          <w:tcPr>
            <w:tcW w:w="58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7"/>
              </w:rPr>
              <w:t>Loss (1)</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98"/>
              </w:rPr>
              <w:t>Earnings</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200" w:type="dxa"/>
            <w:vAlign w:val="bottom"/>
          </w:tcPr>
          <w:p>
            <w:pPr>
              <w:spacing w:after="0"/>
              <w:rPr>
                <w:sz w:val="12"/>
                <w:szCs w:val="12"/>
                <w:color w:val="auto"/>
              </w:rPr>
            </w:pPr>
          </w:p>
        </w:tc>
        <w:tc>
          <w:tcPr>
            <w:tcW w:w="6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Interests (2)</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00" w:type="dxa"/>
            <w:vAlign w:val="bottom"/>
          </w:tcPr>
          <w:p>
            <w:pPr>
              <w:spacing w:after="0"/>
              <w:rPr>
                <w:sz w:val="12"/>
                <w:szCs w:val="12"/>
                <w:color w:val="auto"/>
              </w:rPr>
            </w:pPr>
          </w:p>
        </w:tc>
      </w:tr>
      <w:tr>
        <w:trPr>
          <w:trHeight w:val="146"/>
        </w:trPr>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as of September 30, 2023</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117,348</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4,571</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4,244,256</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(7,221,313 )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(53,272 )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6,549,517</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3,523,759</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43,173</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3,566,932</w:t>
            </w:r>
          </w:p>
        </w:tc>
        <w:tc>
          <w:tcPr>
            <w:tcW w:w="100" w:type="dxa"/>
            <w:vAlign w:val="bottom"/>
            <w:shd w:val="clear" w:color="auto" w:fill="CFF0FC"/>
          </w:tcPr>
          <w:p>
            <w:pPr>
              <w:spacing w:after="0"/>
              <w:rPr>
                <w:sz w:val="12"/>
                <w:szCs w:val="12"/>
                <w:color w:val="auto"/>
              </w:rPr>
            </w:pPr>
          </w:p>
        </w:tc>
      </w:tr>
      <w:tr>
        <w:trPr>
          <w:trHeight w:val="144"/>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Comprehensive income:</w:t>
            </w: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2"/>
        </w:trPr>
        <w:tc>
          <w:tcPr>
            <w:tcW w:w="30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Net income</w:t>
            </w:r>
          </w:p>
        </w:tc>
        <w:tc>
          <w:tcPr>
            <w:tcW w:w="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406,756</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406,756</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2,389</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409,145</w:t>
            </w:r>
          </w:p>
        </w:tc>
        <w:tc>
          <w:tcPr>
            <w:tcW w:w="100" w:type="dxa"/>
            <w:vAlign w:val="bottom"/>
            <w:shd w:val="clear" w:color="auto" w:fill="CFF0FC"/>
          </w:tcPr>
          <w:p>
            <w:pPr>
              <w:spacing w:after="0"/>
              <w:rPr>
                <w:sz w:val="13"/>
                <w:szCs w:val="13"/>
                <w:color w:val="auto"/>
              </w:rPr>
            </w:pPr>
          </w:p>
        </w:tc>
      </w:tr>
      <w:tr>
        <w:trPr>
          <w:trHeight w:val="148"/>
        </w:trPr>
        <w:tc>
          <w:tcPr>
            <w:tcW w:w="306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Other comprehensive income</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42,662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42,662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42,662</w:t>
            </w:r>
          </w:p>
        </w:tc>
        <w:tc>
          <w:tcPr>
            <w:tcW w:w="100" w:type="dxa"/>
            <w:vAlign w:val="bottom"/>
          </w:tcPr>
          <w:p>
            <w:pPr>
              <w:spacing w:after="0"/>
              <w:rPr>
                <w:sz w:val="12"/>
                <w:szCs w:val="12"/>
                <w:color w:val="auto"/>
              </w:rPr>
            </w:pPr>
          </w:p>
        </w:tc>
      </w:tr>
      <w:tr>
        <w:trPr>
          <w:trHeight w:val="142"/>
        </w:trPr>
        <w:tc>
          <w:tcPr>
            <w:tcW w:w="30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Comprehensive income</w:t>
            </w:r>
          </w:p>
        </w:tc>
        <w:tc>
          <w:tcPr>
            <w:tcW w:w="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449,418</w:t>
            </w:r>
          </w:p>
        </w:tc>
        <w:tc>
          <w:tcPr>
            <w:tcW w:w="20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2,389</w:t>
            </w:r>
          </w:p>
        </w:tc>
        <w:tc>
          <w:tcPr>
            <w:tcW w:w="22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451,807</w:t>
            </w:r>
          </w:p>
        </w:tc>
        <w:tc>
          <w:tcPr>
            <w:tcW w:w="100" w:type="dxa"/>
            <w:vAlign w:val="bottom"/>
            <w:shd w:val="clear" w:color="auto" w:fill="CFF0FC"/>
          </w:tcPr>
          <w:p>
            <w:pPr>
              <w:spacing w:after="0"/>
              <w:rPr>
                <w:sz w:val="12"/>
                <w:szCs w:val="12"/>
                <w:color w:val="auto"/>
              </w:rPr>
            </w:pPr>
          </w:p>
        </w:tc>
      </w:tr>
      <w:tr>
        <w:trPr>
          <w:trHeight w:val="144"/>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Employee stock options exercised</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19,173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19,178</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19,178</w:t>
            </w:r>
          </w:p>
        </w:tc>
        <w:tc>
          <w:tcPr>
            <w:tcW w:w="100" w:type="dxa"/>
            <w:vAlign w:val="bottom"/>
          </w:tcPr>
          <w:p>
            <w:pPr>
              <w:spacing w:after="0"/>
              <w:rPr>
                <w:sz w:val="12"/>
                <w:szCs w:val="12"/>
                <w:color w:val="auto"/>
              </w:rPr>
            </w:pPr>
          </w:p>
        </w:tc>
      </w:tr>
      <w:tr>
        <w:trPr>
          <w:trHeight w:val="152"/>
        </w:trPr>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Repurchase of shares</w:t>
            </w: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(5,212 )</w:t>
            </w: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(443,316 )</w:t>
            </w:r>
          </w:p>
        </w:tc>
        <w:tc>
          <w:tcPr>
            <w:tcW w:w="10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(443,316 )</w:t>
            </w:r>
          </w:p>
        </w:tc>
        <w:tc>
          <w:tcPr>
            <w:tcW w:w="8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(443,316 )</w:t>
            </w:r>
          </w:p>
        </w:tc>
      </w:tr>
      <w:tr>
        <w:trPr>
          <w:trHeight w:val="144"/>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Cash dividends declared ($1.393 per ordinary share)</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(160,914 )</w:t>
            </w:r>
          </w:p>
        </w:tc>
        <w:tc>
          <w:tcPr>
            <w:tcW w:w="12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(160,914 )</w:t>
            </w:r>
          </w:p>
        </w:tc>
        <w:tc>
          <w:tcPr>
            <w:tcW w:w="8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(160,914 )</w:t>
            </w:r>
          </w:p>
        </w:tc>
      </w:tr>
      <w:tr>
        <w:trPr>
          <w:trHeight w:val="152"/>
        </w:trPr>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Issuance of restricted stock, net of forfeitures</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1,195</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100" w:type="dxa"/>
            <w:vAlign w:val="bottom"/>
            <w:shd w:val="clear" w:color="auto" w:fill="CFF0FC"/>
          </w:tcPr>
          <w:p>
            <w:pPr>
              <w:spacing w:after="0"/>
              <w:rPr>
                <w:sz w:val="13"/>
                <w:szCs w:val="13"/>
                <w:color w:val="auto"/>
              </w:rPr>
            </w:pPr>
          </w:p>
        </w:tc>
      </w:tr>
      <w:tr>
        <w:trPr>
          <w:trHeight w:val="144"/>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Employee share purchase plan</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548</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37,779</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37,785</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37,785</w:t>
            </w:r>
          </w:p>
        </w:tc>
        <w:tc>
          <w:tcPr>
            <w:tcW w:w="100" w:type="dxa"/>
            <w:vAlign w:val="bottom"/>
          </w:tcPr>
          <w:p>
            <w:pPr>
              <w:spacing w:after="0"/>
              <w:rPr>
                <w:sz w:val="12"/>
                <w:szCs w:val="12"/>
                <w:color w:val="auto"/>
              </w:rPr>
            </w:pPr>
          </w:p>
        </w:tc>
      </w:tr>
      <w:tr>
        <w:trPr>
          <w:trHeight w:val="152"/>
        </w:trPr>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Equity-based compensation expense related to employees</w:t>
            </w:r>
          </w:p>
        </w:tc>
        <w:tc>
          <w:tcPr>
            <w:tcW w:w="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78,537</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78,537</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78,537</w:t>
            </w:r>
          </w:p>
        </w:tc>
        <w:tc>
          <w:tcPr>
            <w:tcW w:w="100" w:type="dxa"/>
            <w:vAlign w:val="bottom"/>
            <w:shd w:val="clear" w:color="auto" w:fill="CFF0FC"/>
          </w:tcPr>
          <w:p>
            <w:pPr>
              <w:spacing w:after="0"/>
              <w:rPr>
                <w:sz w:val="13"/>
                <w:szCs w:val="13"/>
                <w:color w:val="auto"/>
              </w:rPr>
            </w:pPr>
          </w:p>
        </w:tc>
      </w:tr>
      <w:tr>
        <w:trPr>
          <w:trHeight w:val="144"/>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Distribution to noncontrolling interests (2)</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(3,204 )</w:t>
            </w:r>
          </w:p>
        </w:tc>
        <w:tc>
          <w:tcPr>
            <w:tcW w:w="12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(3,204 )</w:t>
            </w:r>
          </w:p>
        </w:tc>
      </w:tr>
      <w:tr>
        <w:trPr>
          <w:trHeight w:val="20"/>
        </w:trPr>
        <w:tc>
          <w:tcPr>
            <w:tcW w:w="30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3"/>
        </w:trPr>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as of June 30, 2024</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114,191</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4,597</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4,379,745</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(7,664,629 )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(10,610 )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6,795,359</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3,504,462</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42,358</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3,546,820</w:t>
            </w:r>
          </w:p>
        </w:tc>
        <w:tc>
          <w:tcPr>
            <w:tcW w:w="100" w:type="dxa"/>
            <w:vAlign w:val="bottom"/>
            <w:shd w:val="clear" w:color="auto" w:fill="CFF0FC"/>
          </w:tcPr>
          <w:p>
            <w:pPr>
              <w:spacing w:after="0"/>
              <w:rPr>
                <w:sz w:val="14"/>
                <w:szCs w:val="14"/>
                <w:color w:val="auto"/>
              </w:rPr>
            </w:pPr>
          </w:p>
        </w:tc>
      </w:tr>
      <w:tr>
        <w:trPr>
          <w:trHeight w:val="20"/>
        </w:trPr>
        <w:tc>
          <w:tcPr>
            <w:tcW w:w="306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74"/>
        </w:trPr>
        <w:tc>
          <w:tcPr>
            <w:tcW w:w="3060" w:type="dxa"/>
            <w:vAlign w:val="bottom"/>
          </w:tcPr>
          <w:p>
            <w:pPr>
              <w:spacing w:after="0"/>
              <w:rPr>
                <w:sz w:val="23"/>
                <w:szCs w:val="23"/>
                <w:color w:val="auto"/>
              </w:rPr>
            </w:pPr>
          </w:p>
        </w:tc>
        <w:tc>
          <w:tcPr>
            <w:tcW w:w="1500" w:type="dxa"/>
            <w:vAlign w:val="bottom"/>
            <w:tcBorders>
              <w:bottom w:val="single" w:sz="8" w:color="auto"/>
            </w:tcBorders>
            <w:gridSpan w:val="4"/>
          </w:tcPr>
          <w:p>
            <w:pPr>
              <w:jc w:val="right"/>
              <w:ind w:right="306"/>
              <w:spacing w:after="0"/>
              <w:rPr>
                <w:sz w:val="20"/>
                <w:szCs w:val="20"/>
                <w:color w:val="auto"/>
              </w:rPr>
            </w:pPr>
            <w:r>
              <w:rPr>
                <w:rFonts w:ascii="Times New Roman" w:cs="Times New Roman" w:eastAsia="Times New Roman" w:hAnsi="Times New Roman"/>
                <w:sz w:val="11"/>
                <w:szCs w:val="11"/>
                <w:b w:val="1"/>
                <w:bCs w:val="1"/>
                <w:color w:val="auto"/>
              </w:rPr>
              <w:t>Ordinary Shares</w:t>
            </w: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19"/>
        </w:trPr>
        <w:tc>
          <w:tcPr>
            <w:tcW w:w="30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center"/>
              <w:ind w:right="320"/>
              <w:spacing w:after="0" w:line="120"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1"/>
        </w:trPr>
        <w:tc>
          <w:tcPr>
            <w:tcW w:w="30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300"/>
              <w:spacing w:after="0" w:line="122" w:lineRule="exact"/>
              <w:rPr>
                <w:sz w:val="20"/>
                <w:szCs w:val="20"/>
                <w:color w:val="auto"/>
              </w:rPr>
            </w:pPr>
            <w:r>
              <w:rPr>
                <w:rFonts w:ascii="Times New Roman" w:cs="Times New Roman" w:eastAsia="Times New Roman" w:hAnsi="Times New Roman"/>
                <w:sz w:val="11"/>
                <w:szCs w:val="11"/>
                <w:b w:val="1"/>
                <w:bCs w:val="1"/>
                <w:color w:val="auto"/>
                <w:w w:val="96"/>
              </w:rPr>
              <w:t>Accumulated</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center"/>
              <w:ind w:right="320"/>
              <w:spacing w:after="0" w:line="122" w:lineRule="exact"/>
              <w:rPr>
                <w:sz w:val="20"/>
                <w:szCs w:val="20"/>
                <w:color w:val="auto"/>
              </w:rPr>
            </w:pPr>
            <w:r>
              <w:rPr>
                <w:rFonts w:ascii="Times New Roman" w:cs="Times New Roman" w:eastAsia="Times New Roman" w:hAnsi="Times New Roman"/>
                <w:sz w:val="11"/>
                <w:szCs w:val="11"/>
                <w:b w:val="1"/>
                <w:bCs w:val="1"/>
                <w:color w:val="auto"/>
                <w:w w:val="94"/>
              </w:rPr>
              <w:t>Amdocs</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1"/>
        </w:trPr>
        <w:tc>
          <w:tcPr>
            <w:tcW w:w="30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center"/>
              <w:ind w:right="46"/>
              <w:spacing w:after="0" w:line="122" w:lineRule="exact"/>
              <w:rPr>
                <w:sz w:val="20"/>
                <w:szCs w:val="20"/>
                <w:color w:val="auto"/>
              </w:rPr>
            </w:pPr>
            <w:r>
              <w:rPr>
                <w:rFonts w:ascii="Times New Roman" w:cs="Times New Roman" w:eastAsia="Times New Roman" w:hAnsi="Times New Roman"/>
                <w:sz w:val="11"/>
                <w:szCs w:val="11"/>
                <w:b w:val="1"/>
                <w:bCs w:val="1"/>
                <w:color w:val="auto"/>
                <w:w w:val="99"/>
              </w:rPr>
              <w:t>Additional</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300"/>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center"/>
              <w:ind w:right="320"/>
              <w:spacing w:after="0" w:line="122" w:lineRule="exact"/>
              <w:rPr>
                <w:sz w:val="20"/>
                <w:szCs w:val="20"/>
                <w:color w:val="auto"/>
              </w:rPr>
            </w:pPr>
            <w:r>
              <w:rPr>
                <w:rFonts w:ascii="Times New Roman" w:cs="Times New Roman" w:eastAsia="Times New Roman" w:hAnsi="Times New Roman"/>
                <w:sz w:val="11"/>
                <w:szCs w:val="11"/>
                <w:b w:val="1"/>
                <w:bCs w:val="1"/>
                <w:color w:val="auto"/>
                <w:w w:val="96"/>
              </w:rPr>
              <w:t>Limited</w:t>
            </w:r>
          </w:p>
        </w:tc>
        <w:tc>
          <w:tcPr>
            <w:tcW w:w="80" w:type="dxa"/>
            <w:vAlign w:val="bottom"/>
          </w:tcPr>
          <w:p>
            <w:pPr>
              <w:spacing w:after="0"/>
              <w:rPr>
                <w:sz w:val="10"/>
                <w:szCs w:val="10"/>
                <w:color w:val="auto"/>
              </w:rPr>
            </w:pPr>
          </w:p>
        </w:tc>
        <w:tc>
          <w:tcPr>
            <w:tcW w:w="78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1"/>
                <w:szCs w:val="11"/>
                <w:b w:val="1"/>
                <w:bCs w:val="1"/>
                <w:color w:val="auto"/>
                <w:w w:val="94"/>
              </w:rPr>
              <w:t>Non-</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1"/>
        </w:trPr>
        <w:tc>
          <w:tcPr>
            <w:tcW w:w="30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center"/>
              <w:ind w:right="46"/>
              <w:spacing w:after="0" w:line="122" w:lineRule="exact"/>
              <w:rPr>
                <w:sz w:val="20"/>
                <w:szCs w:val="20"/>
                <w:color w:val="auto"/>
              </w:rPr>
            </w:pPr>
            <w:r>
              <w:rPr>
                <w:rFonts w:ascii="Times New Roman" w:cs="Times New Roman" w:eastAsia="Times New Roman" w:hAnsi="Times New Roman"/>
                <w:sz w:val="11"/>
                <w:szCs w:val="11"/>
                <w:b w:val="1"/>
                <w:bCs w:val="1"/>
                <w:color w:val="auto"/>
                <w:w w:val="99"/>
              </w:rPr>
              <w:t>Paid-in</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300"/>
              <w:spacing w:after="0" w:line="122" w:lineRule="exact"/>
              <w:rPr>
                <w:sz w:val="20"/>
                <w:szCs w:val="20"/>
                <w:color w:val="auto"/>
              </w:rPr>
            </w:pPr>
            <w:r>
              <w:rPr>
                <w:rFonts w:ascii="Times New Roman" w:cs="Times New Roman" w:eastAsia="Times New Roman" w:hAnsi="Times New Roman"/>
                <w:sz w:val="11"/>
                <w:szCs w:val="11"/>
                <w:b w:val="1"/>
                <w:bCs w:val="1"/>
                <w:color w:val="auto"/>
                <w:w w:val="96"/>
              </w:rPr>
              <w:t>Treasury</w:t>
            </w:r>
          </w:p>
        </w:tc>
        <w:tc>
          <w:tcPr>
            <w:tcW w:w="100" w:type="dxa"/>
            <w:vAlign w:val="bottom"/>
          </w:tcPr>
          <w:p>
            <w:pPr>
              <w:spacing w:after="0"/>
              <w:rPr>
                <w:sz w:val="10"/>
                <w:szCs w:val="10"/>
                <w:color w:val="auto"/>
              </w:rPr>
            </w:pPr>
          </w:p>
        </w:tc>
        <w:tc>
          <w:tcPr>
            <w:tcW w:w="1020" w:type="dxa"/>
            <w:vAlign w:val="bottom"/>
            <w:gridSpan w:val="2"/>
          </w:tcPr>
          <w:p>
            <w:pPr>
              <w:jc w:val="center"/>
              <w:ind w:right="300"/>
              <w:spacing w:after="0" w:line="122"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100" w:type="dxa"/>
            <w:vAlign w:val="bottom"/>
          </w:tcPr>
          <w:p>
            <w:pPr>
              <w:spacing w:after="0"/>
              <w:rPr>
                <w:sz w:val="10"/>
                <w:szCs w:val="10"/>
                <w:color w:val="auto"/>
              </w:rPr>
            </w:pPr>
          </w:p>
        </w:tc>
        <w:tc>
          <w:tcPr>
            <w:tcW w:w="760" w:type="dxa"/>
            <w:vAlign w:val="bottom"/>
            <w:gridSpan w:val="2"/>
          </w:tcPr>
          <w:p>
            <w:pPr>
              <w:jc w:val="right"/>
              <w:ind w:right="3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Retained</w:t>
            </w:r>
          </w:p>
        </w:tc>
        <w:tc>
          <w:tcPr>
            <w:tcW w:w="920" w:type="dxa"/>
            <w:vAlign w:val="bottom"/>
            <w:gridSpan w:val="3"/>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6"/>
              </w:rPr>
              <w:t>Shareholders’</w:t>
            </w:r>
          </w:p>
        </w:tc>
        <w:tc>
          <w:tcPr>
            <w:tcW w:w="80" w:type="dxa"/>
            <w:vAlign w:val="bottom"/>
          </w:tcPr>
          <w:p>
            <w:pPr>
              <w:spacing w:after="0"/>
              <w:rPr>
                <w:sz w:val="10"/>
                <w:szCs w:val="10"/>
                <w:color w:val="auto"/>
              </w:rPr>
            </w:pPr>
          </w:p>
        </w:tc>
        <w:tc>
          <w:tcPr>
            <w:tcW w:w="78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1"/>
                <w:szCs w:val="11"/>
                <w:b w:val="1"/>
                <w:bCs w:val="1"/>
                <w:color w:val="auto"/>
                <w:w w:val="97"/>
              </w:rPr>
              <w:t>controlling</w:t>
            </w:r>
          </w:p>
        </w:tc>
        <w:tc>
          <w:tcPr>
            <w:tcW w:w="120" w:type="dxa"/>
            <w:vAlign w:val="bottom"/>
          </w:tcPr>
          <w:p>
            <w:pPr>
              <w:spacing w:after="0"/>
              <w:rPr>
                <w:sz w:val="10"/>
                <w:szCs w:val="10"/>
                <w:color w:val="auto"/>
              </w:rPr>
            </w:pPr>
          </w:p>
        </w:tc>
        <w:tc>
          <w:tcPr>
            <w:tcW w:w="62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5"/>
              </w:rPr>
              <w:t>Total</w:t>
            </w:r>
          </w:p>
        </w:tc>
      </w:tr>
      <w:tr>
        <w:trPr>
          <w:trHeight w:val="146"/>
        </w:trPr>
        <w:tc>
          <w:tcPr>
            <w:tcW w:w="3060" w:type="dxa"/>
            <w:vAlign w:val="bottom"/>
          </w:tcPr>
          <w:p>
            <w:pPr>
              <w:spacing w:after="0"/>
              <w:rPr>
                <w:sz w:val="12"/>
                <w:szCs w:val="12"/>
                <w:color w:val="auto"/>
              </w:rPr>
            </w:pPr>
          </w:p>
        </w:tc>
        <w:tc>
          <w:tcPr>
            <w:tcW w:w="58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7"/>
              </w:rPr>
              <w:t>Loss (1)</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98"/>
              </w:rPr>
              <w:t>Earnings</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200" w:type="dxa"/>
            <w:vAlign w:val="bottom"/>
          </w:tcPr>
          <w:p>
            <w:pPr>
              <w:spacing w:after="0"/>
              <w:rPr>
                <w:sz w:val="12"/>
                <w:szCs w:val="12"/>
                <w:color w:val="auto"/>
              </w:rPr>
            </w:pPr>
          </w:p>
        </w:tc>
        <w:tc>
          <w:tcPr>
            <w:tcW w:w="6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Interests (2)</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00" w:type="dxa"/>
            <w:vAlign w:val="bottom"/>
          </w:tcPr>
          <w:p>
            <w:pPr>
              <w:spacing w:after="0"/>
              <w:rPr>
                <w:sz w:val="12"/>
                <w:szCs w:val="12"/>
                <w:color w:val="auto"/>
              </w:rPr>
            </w:pPr>
          </w:p>
        </w:tc>
      </w:tr>
      <w:tr>
        <w:trPr>
          <w:trHeight w:val="146"/>
        </w:trPr>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as of September 30, 2022</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120,842</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4,548</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4,105,900</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(6,731,789 )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(72,476 )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6,211,586</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3,517,769</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42,509</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3,560,278</w:t>
            </w:r>
          </w:p>
        </w:tc>
        <w:tc>
          <w:tcPr>
            <w:tcW w:w="100" w:type="dxa"/>
            <w:vAlign w:val="bottom"/>
            <w:shd w:val="clear" w:color="auto" w:fill="CFF0FC"/>
          </w:tcPr>
          <w:p>
            <w:pPr>
              <w:spacing w:after="0"/>
              <w:rPr>
                <w:sz w:val="12"/>
                <w:szCs w:val="12"/>
                <w:color w:val="auto"/>
              </w:rPr>
            </w:pPr>
          </w:p>
        </w:tc>
      </w:tr>
      <w:tr>
        <w:trPr>
          <w:trHeight w:val="144"/>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Comprehensive income:</w:t>
            </w: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2"/>
        </w:trPr>
        <w:tc>
          <w:tcPr>
            <w:tcW w:w="30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Net income</w:t>
            </w:r>
          </w:p>
        </w:tc>
        <w:tc>
          <w:tcPr>
            <w:tcW w:w="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438,698</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438,698</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1,598</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440,296</w:t>
            </w:r>
          </w:p>
        </w:tc>
        <w:tc>
          <w:tcPr>
            <w:tcW w:w="100" w:type="dxa"/>
            <w:vAlign w:val="bottom"/>
            <w:shd w:val="clear" w:color="auto" w:fill="CFF0FC"/>
          </w:tcPr>
          <w:p>
            <w:pPr>
              <w:spacing w:after="0"/>
              <w:rPr>
                <w:sz w:val="13"/>
                <w:szCs w:val="13"/>
                <w:color w:val="auto"/>
              </w:rPr>
            </w:pPr>
          </w:p>
        </w:tc>
      </w:tr>
      <w:tr>
        <w:trPr>
          <w:trHeight w:val="148"/>
        </w:trPr>
        <w:tc>
          <w:tcPr>
            <w:tcW w:w="306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Other comprehensive income</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26,964</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26,964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26,964</w:t>
            </w:r>
          </w:p>
        </w:tc>
        <w:tc>
          <w:tcPr>
            <w:tcW w:w="100" w:type="dxa"/>
            <w:vAlign w:val="bottom"/>
          </w:tcPr>
          <w:p>
            <w:pPr>
              <w:spacing w:after="0"/>
              <w:rPr>
                <w:sz w:val="12"/>
                <w:szCs w:val="12"/>
                <w:color w:val="auto"/>
              </w:rPr>
            </w:pPr>
          </w:p>
        </w:tc>
      </w:tr>
      <w:tr>
        <w:trPr>
          <w:trHeight w:val="142"/>
        </w:trPr>
        <w:tc>
          <w:tcPr>
            <w:tcW w:w="30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Comprehensive income</w:t>
            </w:r>
          </w:p>
        </w:tc>
        <w:tc>
          <w:tcPr>
            <w:tcW w:w="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465,662</w:t>
            </w:r>
          </w:p>
        </w:tc>
        <w:tc>
          <w:tcPr>
            <w:tcW w:w="20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1,598</w:t>
            </w:r>
          </w:p>
        </w:tc>
        <w:tc>
          <w:tcPr>
            <w:tcW w:w="22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467,260</w:t>
            </w:r>
          </w:p>
        </w:tc>
        <w:tc>
          <w:tcPr>
            <w:tcW w:w="100" w:type="dxa"/>
            <w:vAlign w:val="bottom"/>
            <w:shd w:val="clear" w:color="auto" w:fill="CFF0FC"/>
          </w:tcPr>
          <w:p>
            <w:pPr>
              <w:spacing w:after="0"/>
              <w:rPr>
                <w:sz w:val="12"/>
                <w:szCs w:val="12"/>
                <w:color w:val="auto"/>
              </w:rPr>
            </w:pPr>
          </w:p>
        </w:tc>
      </w:tr>
      <w:tr>
        <w:trPr>
          <w:trHeight w:val="144"/>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Employee stock options exercised</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758</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46,243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46,252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46,252</w:t>
            </w:r>
          </w:p>
        </w:tc>
        <w:tc>
          <w:tcPr>
            <w:tcW w:w="100" w:type="dxa"/>
            <w:vAlign w:val="bottom"/>
          </w:tcPr>
          <w:p>
            <w:pPr>
              <w:spacing w:after="0"/>
              <w:rPr>
                <w:sz w:val="12"/>
                <w:szCs w:val="12"/>
                <w:color w:val="auto"/>
              </w:rPr>
            </w:pPr>
          </w:p>
        </w:tc>
      </w:tr>
      <w:tr>
        <w:trPr>
          <w:trHeight w:val="152"/>
        </w:trPr>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Repurchase of shares</w:t>
            </w: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(3,721 )</w:t>
            </w: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(334,499 )</w:t>
            </w:r>
          </w:p>
        </w:tc>
        <w:tc>
          <w:tcPr>
            <w:tcW w:w="10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(334,499 )</w:t>
            </w:r>
          </w:p>
        </w:tc>
        <w:tc>
          <w:tcPr>
            <w:tcW w:w="8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(334,499 )</w:t>
            </w:r>
          </w:p>
        </w:tc>
      </w:tr>
      <w:tr>
        <w:trPr>
          <w:trHeight w:val="144"/>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Cash dividends declared ($1.265 per ordinary share)</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(151,725 )</w:t>
            </w:r>
          </w:p>
        </w:tc>
        <w:tc>
          <w:tcPr>
            <w:tcW w:w="12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(151,725 )</w:t>
            </w:r>
          </w:p>
        </w:tc>
        <w:tc>
          <w:tcPr>
            <w:tcW w:w="8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(151,725 )</w:t>
            </w:r>
          </w:p>
        </w:tc>
      </w:tr>
      <w:tr>
        <w:trPr>
          <w:trHeight w:val="152"/>
        </w:trPr>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Issuance of restricted stock, net of forfeitures</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1,147</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100" w:type="dxa"/>
            <w:vAlign w:val="bottom"/>
            <w:shd w:val="clear" w:color="auto" w:fill="CFF0FC"/>
          </w:tcPr>
          <w:p>
            <w:pPr>
              <w:spacing w:after="0"/>
              <w:rPr>
                <w:sz w:val="13"/>
                <w:szCs w:val="13"/>
                <w:color w:val="auto"/>
              </w:rPr>
            </w:pPr>
          </w:p>
        </w:tc>
      </w:tr>
      <w:tr>
        <w:trPr>
          <w:trHeight w:val="144"/>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Equity-based compensation expense related to employees</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64,905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64,905</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64,905</w:t>
            </w:r>
          </w:p>
        </w:tc>
        <w:tc>
          <w:tcPr>
            <w:tcW w:w="100" w:type="dxa"/>
            <w:vAlign w:val="bottom"/>
          </w:tcPr>
          <w:p>
            <w:pPr>
              <w:spacing w:after="0"/>
              <w:rPr>
                <w:sz w:val="12"/>
                <w:szCs w:val="12"/>
                <w:color w:val="auto"/>
              </w:rPr>
            </w:pPr>
          </w:p>
        </w:tc>
      </w:tr>
      <w:tr>
        <w:trPr>
          <w:trHeight w:val="148"/>
        </w:trPr>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Distribution to noncontrolling interests (2)</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(209 )</w:t>
            </w:r>
          </w:p>
        </w:tc>
        <w:tc>
          <w:tcPr>
            <w:tcW w:w="12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(209 )</w:t>
            </w:r>
          </w:p>
        </w:tc>
      </w:tr>
      <w:tr>
        <w:trPr>
          <w:trHeight w:val="20"/>
        </w:trPr>
        <w:tc>
          <w:tcPr>
            <w:tcW w:w="306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3"/>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as of June 30, 2023</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119,026</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4,571</w:t>
            </w:r>
          </w:p>
        </w:tc>
        <w:tc>
          <w:tcPr>
            <w:tcW w:w="24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4,217,048</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(7,066,288 )</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(45,512 )</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6,498,559</w:t>
            </w:r>
          </w:p>
        </w:tc>
        <w:tc>
          <w:tcPr>
            <w:tcW w:w="220" w:type="dxa"/>
            <w:vAlign w:val="bottom"/>
          </w:tcPr>
          <w:p>
            <w:pPr>
              <w:spacing w:after="0"/>
              <w:rPr>
                <w:sz w:val="12"/>
                <w:szCs w:val="12"/>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3,608,378</w:t>
            </w:r>
          </w:p>
        </w:tc>
        <w:tc>
          <w:tcPr>
            <w:tcW w:w="2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43,898</w:t>
            </w:r>
          </w:p>
        </w:tc>
        <w:tc>
          <w:tcPr>
            <w:tcW w:w="220" w:type="dxa"/>
            <w:vAlign w:val="bottom"/>
          </w:tcPr>
          <w:p>
            <w:pPr>
              <w:spacing w:after="0"/>
              <w:rPr>
                <w:sz w:val="12"/>
                <w:szCs w:val="12"/>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3,652,276</w:t>
            </w:r>
          </w:p>
        </w:tc>
        <w:tc>
          <w:tcPr>
            <w:tcW w:w="100" w:type="dxa"/>
            <w:vAlign w:val="bottom"/>
          </w:tcPr>
          <w:p>
            <w:pPr>
              <w:spacing w:after="0"/>
              <w:rPr>
                <w:sz w:val="12"/>
                <w:szCs w:val="12"/>
                <w:color w:val="auto"/>
              </w:rPr>
            </w:pPr>
          </w:p>
        </w:tc>
      </w:tr>
      <w:tr>
        <w:trPr>
          <w:trHeight w:val="20"/>
        </w:trPr>
        <w:tc>
          <w:tcPr>
            <w:tcW w:w="30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2308225</wp:posOffset>
            </wp:positionH>
            <wp:positionV relativeFrom="paragraph">
              <wp:posOffset>-1805940</wp:posOffset>
            </wp:positionV>
            <wp:extent cx="768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2308225</wp:posOffset>
            </wp:positionH>
            <wp:positionV relativeFrom="paragraph">
              <wp:posOffset>-1788795</wp:posOffset>
            </wp:positionV>
            <wp:extent cx="768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2898775</wp:posOffset>
            </wp:positionH>
            <wp:positionV relativeFrom="paragraph">
              <wp:posOffset>-1805940</wp:posOffset>
            </wp:positionV>
            <wp:extent cx="768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2898775</wp:posOffset>
            </wp:positionH>
            <wp:positionV relativeFrom="paragraph">
              <wp:posOffset>-1788795</wp:posOffset>
            </wp:positionV>
            <wp:extent cx="768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3558540</wp:posOffset>
            </wp:positionH>
            <wp:positionV relativeFrom="paragraph">
              <wp:posOffset>-1805940</wp:posOffset>
            </wp:positionV>
            <wp:extent cx="768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3558540</wp:posOffset>
            </wp:positionH>
            <wp:positionV relativeFrom="paragraph">
              <wp:posOffset>-1788795</wp:posOffset>
            </wp:positionV>
            <wp:extent cx="768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4149090</wp:posOffset>
            </wp:positionH>
            <wp:positionV relativeFrom="paragraph">
              <wp:posOffset>-1805940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4149090</wp:posOffset>
            </wp:positionH>
            <wp:positionV relativeFrom="paragraph">
              <wp:posOffset>-1788795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4859655</wp:posOffset>
            </wp:positionH>
            <wp:positionV relativeFrom="paragraph">
              <wp:posOffset>-1805940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4859655</wp:posOffset>
            </wp:positionH>
            <wp:positionV relativeFrom="paragraph">
              <wp:posOffset>-1788795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5399405</wp:posOffset>
            </wp:positionH>
            <wp:positionV relativeFrom="paragraph">
              <wp:posOffset>-1805940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5399405</wp:posOffset>
            </wp:positionH>
            <wp:positionV relativeFrom="paragraph">
              <wp:posOffset>-1788795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-1805940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-1788795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6529705</wp:posOffset>
            </wp:positionH>
            <wp:positionV relativeFrom="paragraph">
              <wp:posOffset>-1805940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6529705</wp:posOffset>
            </wp:positionH>
            <wp:positionV relativeFrom="paragraph">
              <wp:posOffset>-1788795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-1805940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-1788795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2308225</wp:posOffset>
            </wp:positionH>
            <wp:positionV relativeFrom="paragraph">
              <wp:posOffset>-127635</wp:posOffset>
            </wp:positionV>
            <wp:extent cx="768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2898775</wp:posOffset>
            </wp:positionH>
            <wp:positionV relativeFrom="paragraph">
              <wp:posOffset>-127635</wp:posOffset>
            </wp:positionV>
            <wp:extent cx="768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3558540</wp:posOffset>
            </wp:positionH>
            <wp:positionV relativeFrom="paragraph">
              <wp:posOffset>-127635</wp:posOffset>
            </wp:positionV>
            <wp:extent cx="768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4149090</wp:posOffset>
            </wp:positionH>
            <wp:positionV relativeFrom="paragraph">
              <wp:posOffset>-127635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4859655</wp:posOffset>
            </wp:positionH>
            <wp:positionV relativeFrom="paragraph">
              <wp:posOffset>-127635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5399405</wp:posOffset>
            </wp:positionH>
            <wp:positionV relativeFrom="paragraph">
              <wp:posOffset>-127635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-127635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6529705</wp:posOffset>
            </wp:positionH>
            <wp:positionV relativeFrom="paragraph">
              <wp:posOffset>-127635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-127635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amounts in thousands)</w:t>
      </w:r>
    </w:p>
    <w:p>
      <w:pPr>
        <w:spacing w:after="0" w:line="213"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5"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50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7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 from Operating Activities:</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409,145</w:t>
            </w:r>
          </w:p>
        </w:tc>
        <w:tc>
          <w:tcPr>
            <w:tcW w:w="28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440,296</w:t>
            </w:r>
          </w:p>
        </w:tc>
        <w:tc>
          <w:tcPr>
            <w:tcW w:w="100" w:type="dxa"/>
            <w:vAlign w:val="bottom"/>
          </w:tcPr>
          <w:p>
            <w:pPr>
              <w:spacing w:after="0"/>
              <w:rPr>
                <w:sz w:val="20"/>
                <w:szCs w:val="20"/>
                <w:color w:val="auto"/>
              </w:rPr>
            </w:pPr>
          </w:p>
        </w:tc>
      </w:tr>
      <w:tr>
        <w:trPr>
          <w:trHeight w:val="247"/>
        </w:trPr>
        <w:tc>
          <w:tcPr>
            <w:tcW w:w="7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Reconciliation of net income to net cash provided by operating activities: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Depreciation, amortization and impairment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143,738</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148,412</w:t>
            </w:r>
          </w:p>
        </w:tc>
        <w:tc>
          <w:tcPr>
            <w:tcW w:w="100" w:type="dxa"/>
            <w:vAlign w:val="bottom"/>
          </w:tcPr>
          <w:p>
            <w:pPr>
              <w:spacing w:after="0"/>
              <w:rPr>
                <w:sz w:val="20"/>
                <w:szCs w:val="20"/>
                <w:color w:val="auto"/>
              </w:rPr>
            </w:pPr>
          </w:p>
        </w:tc>
      </w:tr>
      <w:tr>
        <w:trPr>
          <w:trHeight w:val="247"/>
        </w:trPr>
        <w:tc>
          <w:tcPr>
            <w:tcW w:w="77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debt issuance cost</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78,537</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64,905</w:t>
            </w:r>
          </w:p>
        </w:tc>
        <w:tc>
          <w:tcPr>
            <w:tcW w:w="100" w:type="dxa"/>
            <w:vAlign w:val="bottom"/>
          </w:tcPr>
          <w:p>
            <w:pPr>
              <w:spacing w:after="0"/>
              <w:rPr>
                <w:sz w:val="20"/>
                <w:szCs w:val="20"/>
                <w:color w:val="auto"/>
              </w:rPr>
            </w:pPr>
          </w:p>
        </w:tc>
      </w:tr>
      <w:tr>
        <w:trPr>
          <w:trHeight w:val="247"/>
        </w:trPr>
        <w:tc>
          <w:tcPr>
            <w:tcW w:w="77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income taxes</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(12,347 )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(45,906 )</w:t>
            </w:r>
          </w:p>
        </w:tc>
      </w:tr>
      <w:tr>
        <w:trPr>
          <w:trHeight w:val="238"/>
        </w:trPr>
        <w:tc>
          <w:tcPr>
            <w:tcW w:w="7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Loss from short-term interest-bearing investments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5,212</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w:t>
            </w:r>
          </w:p>
        </w:tc>
        <w:tc>
          <w:tcPr>
            <w:tcW w:w="100" w:type="dxa"/>
            <w:vAlign w:val="bottom"/>
          </w:tcPr>
          <w:p>
            <w:pPr>
              <w:spacing w:after="0"/>
              <w:rPr>
                <w:sz w:val="20"/>
                <w:szCs w:val="20"/>
                <w:color w:val="auto"/>
              </w:rPr>
            </w:pPr>
          </w:p>
        </w:tc>
      </w:tr>
      <w:tr>
        <w:trPr>
          <w:trHeight w:val="247"/>
        </w:trPr>
        <w:tc>
          <w:tcPr>
            <w:tcW w:w="7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changes in operating assets and liabilities, net of amounts acquired:</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36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(88,805 )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(128,371 )</w:t>
            </w:r>
          </w:p>
        </w:tc>
      </w:tr>
      <w:tr>
        <w:trPr>
          <w:trHeight w:val="247"/>
        </w:trPr>
        <w:tc>
          <w:tcPr>
            <w:tcW w:w="77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(9,276 )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(34,353 )</w:t>
            </w:r>
          </w:p>
        </w:tc>
      </w:tr>
      <w:tr>
        <w:trPr>
          <w:trHeight w:val="238"/>
        </w:trPr>
        <w:tc>
          <w:tcPr>
            <w:tcW w:w="7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Other noncurrent assets</w:t>
            </w:r>
          </w:p>
        </w:tc>
        <w:tc>
          <w:tcPr>
            <w:tcW w:w="36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(21,207 )</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3,410</w:t>
            </w:r>
          </w:p>
        </w:tc>
        <w:tc>
          <w:tcPr>
            <w:tcW w:w="100" w:type="dxa"/>
            <w:vAlign w:val="bottom"/>
          </w:tcPr>
          <w:p>
            <w:pPr>
              <w:spacing w:after="0"/>
              <w:rPr>
                <w:sz w:val="20"/>
                <w:szCs w:val="20"/>
                <w:color w:val="auto"/>
              </w:rPr>
            </w:pPr>
          </w:p>
        </w:tc>
      </w:tr>
      <w:tr>
        <w:trPr>
          <w:trHeight w:val="247"/>
        </w:trPr>
        <w:tc>
          <w:tcPr>
            <w:tcW w:w="77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 assets and liabilities, net</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(10,440 )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(2,937 )</w:t>
            </w:r>
          </w:p>
        </w:tc>
      </w:tr>
      <w:tr>
        <w:trPr>
          <w:trHeight w:val="238"/>
        </w:trPr>
        <w:tc>
          <w:tcPr>
            <w:tcW w:w="7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Accounts payable, accrued expenses and accrued personnel</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125,063</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108,922</w:t>
            </w:r>
          </w:p>
        </w:tc>
        <w:tc>
          <w:tcPr>
            <w:tcW w:w="100" w:type="dxa"/>
            <w:vAlign w:val="bottom"/>
          </w:tcPr>
          <w:p>
            <w:pPr>
              <w:spacing w:after="0"/>
              <w:rPr>
                <w:sz w:val="20"/>
                <w:szCs w:val="20"/>
                <w:color w:val="auto"/>
              </w:rPr>
            </w:pPr>
          </w:p>
        </w:tc>
      </w:tr>
      <w:tr>
        <w:trPr>
          <w:trHeight w:val="247"/>
        </w:trPr>
        <w:tc>
          <w:tcPr>
            <w:tcW w:w="77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(41,927 )</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Income taxes payable, net</w:t>
            </w:r>
          </w:p>
        </w:tc>
        <w:tc>
          <w:tcPr>
            <w:tcW w:w="36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(62,328 )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(42,744 )</w:t>
            </w:r>
          </w:p>
        </w:tc>
      </w:tr>
      <w:tr>
        <w:trPr>
          <w:trHeight w:val="243"/>
        </w:trPr>
        <w:tc>
          <w:tcPr>
            <w:tcW w:w="77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(9,304 )</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34,801</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506,506</w:t>
            </w:r>
          </w:p>
        </w:tc>
        <w:tc>
          <w:tcPr>
            <w:tcW w:w="28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550,259</w:t>
            </w:r>
          </w:p>
        </w:tc>
        <w:tc>
          <w:tcPr>
            <w:tcW w:w="100" w:type="dxa"/>
            <w:vAlign w:val="bottom"/>
            <w:tcBorders>
              <w:top w:val="single" w:sz="8" w:color="CFF0FC"/>
            </w:tcBorders>
          </w:tcPr>
          <w:p>
            <w:pPr>
              <w:spacing w:after="0"/>
              <w:rPr>
                <w:sz w:val="20"/>
                <w:szCs w:val="20"/>
                <w:color w:val="auto"/>
              </w:rPr>
            </w:pPr>
          </w:p>
        </w:tc>
      </w:tr>
      <w:tr>
        <w:trPr>
          <w:trHeight w:val="20"/>
        </w:trPr>
        <w:tc>
          <w:tcPr>
            <w:tcW w:w="150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7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 from Investing Activities: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Purchase of property and equipment, net (a)</w:t>
            </w:r>
          </w:p>
        </w:tc>
        <w:tc>
          <w:tcPr>
            <w:tcW w:w="36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(79,683 )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(97,805 )</w:t>
            </w:r>
          </w:p>
        </w:tc>
      </w:tr>
      <w:tr>
        <w:trPr>
          <w:trHeight w:val="247"/>
        </w:trPr>
        <w:tc>
          <w:tcPr>
            <w:tcW w:w="7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sale of short-term interest-bearing investments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49,516</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15,553</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Purchase of short-term interest-bearing investments</w:t>
            </w:r>
          </w:p>
        </w:tc>
        <w:tc>
          <w:tcPr>
            <w:tcW w:w="36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(9,061 )</w:t>
            </w:r>
          </w:p>
        </w:tc>
        <w:tc>
          <w:tcPr>
            <w:tcW w:w="36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paid for business acquisitions</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(86,824 )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(84,425 )</w:t>
            </w:r>
          </w:p>
        </w:tc>
      </w:tr>
      <w:tr>
        <w:trPr>
          <w:trHeight w:val="238"/>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4,182</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(2,438 )</w:t>
            </w:r>
          </w:p>
        </w:tc>
      </w:tr>
      <w:tr>
        <w:trPr>
          <w:trHeight w:val="20"/>
        </w:trPr>
        <w:tc>
          <w:tcPr>
            <w:tcW w:w="150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6"/>
        </w:trPr>
        <w:tc>
          <w:tcPr>
            <w:tcW w:w="7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(121,870 )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(169,115 )</w:t>
            </w:r>
          </w:p>
        </w:tc>
      </w:tr>
      <w:tr>
        <w:trPr>
          <w:trHeight w:val="225"/>
        </w:trPr>
        <w:tc>
          <w:tcPr>
            <w:tcW w:w="774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 from Financing Activities:</w:t>
            </w: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45"/>
        </w:trPr>
        <w:tc>
          <w:tcPr>
            <w:tcW w:w="7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Repurchase of shares</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(443,316 )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(334,499 )</w:t>
            </w:r>
          </w:p>
        </w:tc>
      </w:tr>
      <w:tr>
        <w:trPr>
          <w:trHeight w:val="238"/>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Proceeds from employee stock option exercises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19,120</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45,976</w:t>
            </w:r>
          </w:p>
        </w:tc>
        <w:tc>
          <w:tcPr>
            <w:tcW w:w="100" w:type="dxa"/>
            <w:vAlign w:val="bottom"/>
          </w:tcPr>
          <w:p>
            <w:pPr>
              <w:spacing w:after="0"/>
              <w:rPr>
                <w:sz w:val="20"/>
                <w:szCs w:val="20"/>
                <w:color w:val="auto"/>
              </w:rPr>
            </w:pPr>
          </w:p>
        </w:tc>
      </w:tr>
      <w:tr>
        <w:trPr>
          <w:trHeight w:val="247"/>
        </w:trPr>
        <w:tc>
          <w:tcPr>
            <w:tcW w:w="7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Payments of dividends</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(157,264 )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(147,679 )</w:t>
            </w:r>
          </w:p>
        </w:tc>
      </w:tr>
      <w:tr>
        <w:trPr>
          <w:trHeight w:val="238"/>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Distribution to noncontrolling interests</w:t>
            </w:r>
          </w:p>
        </w:tc>
        <w:tc>
          <w:tcPr>
            <w:tcW w:w="36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(3,204 )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(209 )</w:t>
            </w:r>
          </w:p>
        </w:tc>
      </w:tr>
      <w:tr>
        <w:trPr>
          <w:trHeight w:val="243"/>
        </w:trPr>
        <w:tc>
          <w:tcPr>
            <w:tcW w:w="7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Payment of contingent consideration from a business acquisition</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(2,063 )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(453 )</w:t>
            </w:r>
          </w:p>
        </w:tc>
      </w:tr>
      <w:tr>
        <w:trPr>
          <w:trHeight w:val="20"/>
        </w:trPr>
        <w:tc>
          <w:tcPr>
            <w:tcW w:w="1500" w:type="dxa"/>
            <w:vAlign w:val="bottom"/>
            <w:shd w:val="clear" w:color="auto" w:fill="CFF0FC"/>
          </w:tcPr>
          <w:p>
            <w:pPr>
              <w:spacing w:after="0" w:line="20" w:lineRule="exact"/>
              <w:rPr>
                <w:sz w:val="1"/>
                <w:szCs w:val="1"/>
                <w:color w:val="auto"/>
              </w:rPr>
            </w:pPr>
          </w:p>
        </w:tc>
        <w:tc>
          <w:tcPr>
            <w:tcW w:w="62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(586,727 )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(436,864 )</w:t>
            </w:r>
          </w:p>
        </w:tc>
      </w:tr>
      <w:tr>
        <w:trPr>
          <w:trHeight w:val="20"/>
        </w:trPr>
        <w:tc>
          <w:tcPr>
            <w:tcW w:w="150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0"/>
        </w:trPr>
        <w:tc>
          <w:tcPr>
            <w:tcW w:w="7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6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(202,091 )</w:t>
            </w:r>
          </w:p>
        </w:tc>
        <w:tc>
          <w:tcPr>
            <w:tcW w:w="3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(55,720 )</w:t>
            </w:r>
          </w:p>
        </w:tc>
      </w:tr>
      <w:tr>
        <w:trPr>
          <w:trHeight w:val="238"/>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520,080</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573,377</w:t>
            </w:r>
          </w:p>
        </w:tc>
        <w:tc>
          <w:tcPr>
            <w:tcW w:w="100" w:type="dxa"/>
            <w:vAlign w:val="bottom"/>
          </w:tcPr>
          <w:p>
            <w:pPr>
              <w:spacing w:after="0"/>
              <w:rPr>
                <w:sz w:val="20"/>
                <w:szCs w:val="20"/>
                <w:color w:val="auto"/>
              </w:rPr>
            </w:pPr>
          </w:p>
        </w:tc>
      </w:tr>
      <w:tr>
        <w:trPr>
          <w:trHeight w:val="276"/>
        </w:trPr>
        <w:tc>
          <w:tcPr>
            <w:tcW w:w="77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317,989</w:t>
            </w:r>
          </w:p>
        </w:tc>
        <w:tc>
          <w:tcPr>
            <w:tcW w:w="2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517,657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5"/>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Supplementary Cash Flow Information</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7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Income taxes, net of refunds (b)</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154,782</w:t>
            </w:r>
          </w:p>
        </w:tc>
        <w:tc>
          <w:tcPr>
            <w:tcW w:w="28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142,434</w:t>
            </w:r>
          </w:p>
        </w:tc>
        <w:tc>
          <w:tcPr>
            <w:tcW w:w="100" w:type="dxa"/>
            <w:vAlign w:val="bottom"/>
          </w:tcPr>
          <w:p>
            <w:pPr>
              <w:spacing w:after="0"/>
              <w:rPr>
                <w:sz w:val="20"/>
                <w:szCs w:val="20"/>
                <w:color w:val="auto"/>
              </w:rPr>
            </w:pPr>
          </w:p>
        </w:tc>
      </w:tr>
      <w:tr>
        <w:trPr>
          <w:trHeight w:val="247"/>
        </w:trPr>
        <w:tc>
          <w:tcPr>
            <w:tcW w:w="77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29,788</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17,342</w:t>
            </w:r>
          </w:p>
        </w:tc>
        <w:tc>
          <w:tcPr>
            <w:tcW w:w="100" w:type="dxa"/>
            <w:vAlign w:val="bottom"/>
            <w:shd w:val="clear" w:color="auto" w:fill="CFF0FC"/>
          </w:tcPr>
          <w:p>
            <w:pPr>
              <w:spacing w:after="0"/>
              <w:rPr>
                <w:sz w:val="21"/>
                <w:szCs w:val="21"/>
                <w:color w:val="auto"/>
              </w:rPr>
            </w:pPr>
          </w:p>
        </w:tc>
      </w:tr>
      <w:tr>
        <w:trPr>
          <w:trHeight w:val="121"/>
        </w:trPr>
        <w:tc>
          <w:tcPr>
            <w:tcW w:w="1500" w:type="dxa"/>
            <w:vAlign w:val="bottom"/>
            <w:tcBorders>
              <w:bottom w:val="single" w:sz="8" w:color="auto"/>
            </w:tcBorders>
          </w:tcPr>
          <w:p>
            <w:pPr>
              <w:spacing w:after="0"/>
              <w:rPr>
                <w:sz w:val="10"/>
                <w:szCs w:val="10"/>
                <w:color w:val="auto"/>
              </w:rPr>
            </w:pPr>
          </w:p>
        </w:tc>
        <w:tc>
          <w:tcPr>
            <w:tcW w:w="6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-3595370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-3595370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-2319655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-2302510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-2319655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-2302510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-1369060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-1369060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-727075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-709930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-727075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-709930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 w:lineRule="exact"/>
        <w:rPr>
          <w:sz w:val="20"/>
          <w:szCs w:val="20"/>
          <w:color w:val="auto"/>
        </w:rPr>
      </w:pPr>
    </w:p>
    <w:p>
      <w:pPr>
        <w:ind w:left="1020" w:hanging="504"/>
        <w:spacing w:after="0" w:line="268" w:lineRule="auto"/>
        <w:tabs>
          <w:tab w:leader="none" w:pos="10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under "Purchase of property and equipment, net”, include immaterial proceeds from sale of property and equipment for the nine months ended June 30, 2024, and 2023, respectively.</w:t>
      </w:r>
    </w:p>
    <w:p>
      <w:pPr>
        <w:spacing w:after="0" w:line="1" w:lineRule="exact"/>
        <w:rPr>
          <w:rFonts w:ascii="Times New Roman" w:cs="Times New Roman" w:eastAsia="Times New Roman" w:hAnsi="Times New Roman"/>
          <w:sz w:val="16"/>
          <w:szCs w:val="16"/>
          <w:color w:val="auto"/>
        </w:rPr>
      </w:pPr>
    </w:p>
    <w:p>
      <w:pPr>
        <w:ind w:left="1020" w:hanging="504"/>
        <w:spacing w:after="0"/>
        <w:tabs>
          <w:tab w:leader="none" w:pos="10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For Further details, </w:t>
      </w:r>
      <w:r>
        <w:rPr>
          <w:rFonts w:ascii="Times New Roman" w:cs="Times New Roman" w:eastAsia="Times New Roman" w:hAnsi="Times New Roman"/>
          <w:sz w:val="17"/>
          <w:szCs w:val="17"/>
          <w:color w:val="auto"/>
        </w:rPr>
        <w:t>see also Note 11.</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 or as otherwise disclosed)</w:t>
      </w:r>
    </w:p>
    <w:p>
      <w:pPr>
        <w:spacing w:after="0" w:line="377" w:lineRule="exact"/>
        <w:rPr>
          <w:sz w:val="20"/>
          <w:szCs w:val="20"/>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Entity and Basis of Presentation</w:t>
      </w:r>
    </w:p>
    <w:p>
      <w:pPr>
        <w:spacing w:after="0" w:line="229"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Amdocs Limited (the “Company”) is a leading provider of software and services to communications, entertainment and media service providers of all sizes throughout the world. The Company and its consolidated subsidiaries operate in one segment and design, develop, market, support, implement and operate its open and modular cloud portfolio.</w:t>
      </w:r>
    </w:p>
    <w:p>
      <w:pPr>
        <w:spacing w:after="0" w:line="177"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The Company is a Guernsey limited company, which directly or indirectly holds numerous subsidiaries around the world, the vast majority of which are wholly-owned. The majority of the Company’s customers are in North America, Europe, Asia-Pacific and the Latin America region. The Company’s main development facilities are located in Brazil, Canada, Cyprus, India, Ireland, Israel, Mexico, the Philippines, the United Kingdom and the United States.</w:t>
      </w:r>
    </w:p>
    <w:p>
      <w:pPr>
        <w:spacing w:after="0" w:line="182"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The unaudited consolidated financial statements of the Company have been prepared in accordance with U.S. generally accepted accounting principles, or GAAP and are denominated in U.S. dollars.</w:t>
      </w:r>
    </w:p>
    <w:p>
      <w:pPr>
        <w:spacing w:after="0" w:line="16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the opinion of the Company’s management, all adjustments considered necessary for a fair presentation of the unaudited interim consolidated financial statements have been included herein and are of a normal recurring nature. The preparation of financial statements during interim periods requires management to make numerous estimates and assumptions that impact the reported amounts of assets, liabilities, revenue and expenses. Estimates and assumptions are reviewed periodically and the effect of revisions is reflected in the results of operations for the interim periods in which changes are determined to be necessary.</w:t>
      </w:r>
    </w:p>
    <w:p>
      <w:pPr>
        <w:spacing w:after="0" w:line="18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results of operations for the interim periods presented herein are not necessarily indicative of the results to be expected for the full fiscal year. These statements do not include all information and footnotes necessary for a complete presentation of financial position, results of operations and cash flows in conformity with GAAP. These statements should be read in conjunction with the Company’s consolidated financial statements for the fiscal year ended September 30, 2023, set forth in the Company’s Annual Report on Form 20-F filed on December 13, 2023 with the U.S. Securities and Exchange Commission, or the SEC. There have been no material changes to the Company’s significant accounting policies from its Annual Report on Form 20-F for the fiscal year ended September 30, 2023.</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From time to time, certain immaterial amounts in prior year financial statements may be reclassified to conform to the current year presentation.</w:t>
      </w:r>
    </w:p>
    <w:p>
      <w:pPr>
        <w:spacing w:after="0" w:line="180" w:lineRule="exact"/>
        <w:rPr>
          <w:sz w:val="20"/>
          <w:szCs w:val="20"/>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 Accounting Standards</w:t>
      </w:r>
    </w:p>
    <w:p>
      <w:pPr>
        <w:spacing w:after="0" w:line="18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December 14, 2023, the Financial Accounting Standards Board (“FASB”) issued Accounting Standards Update (“ASU”) No.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xml:space="preserve"> which requires disclosure of disaggregated income taxes paid, prescribes standard categories for the components of the effective tax rate reconciliation, and modifies other income tax-related disclosures. This ASU will be effective for the Company's annual report for fiscal year 2026 and allows adoption on a prospective basis, with a retrospective option. This ASU will only have an impact on the Company's income tax disclosures. The Company is currently evaluating the impact of the adoption on its consolidated financial statements.</w:t>
      </w:r>
    </w:p>
    <w:p>
      <w:pPr>
        <w:spacing w:after="0" w:line="15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w:t>
      </w:r>
      <w:r>
        <w:rPr>
          <w:rFonts w:ascii="Times New Roman" w:cs="Times New Roman" w:eastAsia="Times New Roman" w:hAnsi="Times New Roman"/>
          <w:sz w:val="18"/>
          <w:szCs w:val="18"/>
          <w:i w:val="1"/>
          <w:iCs w:val="1"/>
          <w:color w:val="auto"/>
        </w:rPr>
        <w:t>Improvements to Reportable Segment Disclosures,”</w:t>
      </w:r>
      <w:r>
        <w:rPr>
          <w:rFonts w:ascii="Times New Roman" w:cs="Times New Roman" w:eastAsia="Times New Roman" w:hAnsi="Times New Roman"/>
          <w:sz w:val="18"/>
          <w:szCs w:val="18"/>
          <w:color w:val="auto"/>
        </w:rPr>
        <w:t xml:space="preserve"> which enhances the disclosures required for operating segments in the annual and interim consolidated financial statements. This ASU will be effective for the Company's annual report for fiscal year 2025 and for interim period reporting beginning in fiscal year 2026 on a retrospective basis with early adoption permitted. The Company is currently evaluating the impact of the adoption on its consolidated financial statements.</w:t>
      </w:r>
    </w:p>
    <w:p>
      <w:pPr>
        <w:spacing w:after="0" w:line="13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March 2020, the FASB, issued ASU No. 2020-04, “</w:t>
      </w:r>
      <w:r>
        <w:rPr>
          <w:rFonts w:ascii="Times New Roman" w:cs="Times New Roman" w:eastAsia="Times New Roman" w:hAnsi="Times New Roman"/>
          <w:sz w:val="18"/>
          <w:szCs w:val="18"/>
          <w:i w:val="1"/>
          <w:iCs w:val="1"/>
          <w:color w:val="auto"/>
        </w:rPr>
        <w:t>Reference Rate Reform: Facilitation of the Effects of Reference Rate Reform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Reporting.” </w:t>
      </w:r>
      <w:r>
        <w:rPr>
          <w:rFonts w:ascii="Times New Roman" w:cs="Times New Roman" w:eastAsia="Times New Roman" w:hAnsi="Times New Roman"/>
          <w:sz w:val="18"/>
          <w:szCs w:val="18"/>
          <w:color w:val="auto"/>
        </w:rPr>
        <w:t>The ASU provides temporary optional expedients and exceptions on certain contract modifications, hedge relationships and other transactions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reference London Inter-Bank Offered Rate (“LIBOR”) or other reference rates expected to be discontinued due to the reference rate reform. This ASU is effective as of March 12, 2020 through December 31, 2024. The Company expects that the adoption of this ASU will not have a material impact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509905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 or as otherwise disclosed)</w:t>
      </w:r>
    </w:p>
    <w:p>
      <w:pPr>
        <w:spacing w:after="0" w:line="162" w:lineRule="exact"/>
        <w:rPr>
          <w:sz w:val="20"/>
          <w:szCs w:val="20"/>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Adoption of New Accounting Standards</w:t>
      </w:r>
    </w:p>
    <w:p>
      <w:pPr>
        <w:spacing w:after="0" w:line="20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August 2021, the FASB, issued ASU No. 2021-08, “</w:t>
      </w:r>
      <w:r>
        <w:rPr>
          <w:rFonts w:ascii="Times New Roman" w:cs="Times New Roman" w:eastAsia="Times New Roman" w:hAnsi="Times New Roman"/>
          <w:sz w:val="18"/>
          <w:szCs w:val="18"/>
          <w:i w:val="1"/>
          <w:iCs w:val="1"/>
          <w:color w:val="auto"/>
        </w:rPr>
        <w:t>Business Combinations (Topic 805): Accounting for Contract Assets and Contract Liabilities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from Contracts with Customers.” </w:t>
      </w:r>
      <w:r>
        <w:rPr>
          <w:rFonts w:ascii="Times New Roman" w:cs="Times New Roman" w:eastAsia="Times New Roman" w:hAnsi="Times New Roman"/>
          <w:sz w:val="18"/>
          <w:szCs w:val="18"/>
          <w:color w:val="auto"/>
        </w:rPr>
        <w:t>The ASU requires companies to apply ASC 606 to recognize and measure contract assets and contract liabilities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contracts with customers acquired in a business combination. As of October 1, 2023, the Company prospectively adopted this ASU and there was immaterial impact on the Company’s consolidated financial statements.</w:t>
      </w:r>
    </w:p>
    <w:p>
      <w:pPr>
        <w:spacing w:after="0" w:line="176"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During the nine months ended June 30, 2024, the Company completed two business acquisitions for an aggregate net consideration of approximately $84,007 in cash, and a potential for additional consideration which may be paid later based on achievement of certain performance metrics. The vast majority of this amount was paid for the acquisition of Astadia, which specializes in mainframe-to-cloud migration and modernization. These acquisitions, individually and in the aggregate, were not material in the period presented. In allocating the total consideration based on the preliminary estimated fair values for Astadia, the Company recorded $86,381 of goodwill, $27,677 of customer relationships to be amortized over approximately six years, $8,001 of core technology to be amortized over approximately four years, and $1,784 of trademark to be amortized over approximately three years.</w:t>
      </w:r>
    </w:p>
    <w:p>
      <w:pPr>
        <w:spacing w:after="0" w:line="18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During the nine months ended June 30, 2023, the Company completed two business acquisitions for an aggregate net consideration of approximately $93,000 in cash, and a potential for additional consideration may be paid later based on achievement of certain performance metrics, among them the vast majority of this amount was paid for the service assurance business of TEOCO. These acquisitions, individually and in the aggregate, were not material in period presented. In allocating the total consideration based on the preliminary estimated fair values for service assurance business of TEOCO, the Company recorded $58,493 of goodwill, $41,119 of core technology to be amortized over approximately five years and $4,532 of customer relationships to be amortized over approximately seven years.</w:t>
      </w:r>
    </w:p>
    <w:p>
      <w:pPr>
        <w:spacing w:after="0" w:line="357" w:lineRule="exact"/>
        <w:rPr>
          <w:sz w:val="20"/>
          <w:szCs w:val="20"/>
          <w:color w:val="auto"/>
        </w:rPr>
      </w:pPr>
    </w:p>
    <w:p>
      <w:pPr>
        <w:ind w:left="520" w:right="9320" w:hanging="512"/>
        <w:spacing w:after="0" w:line="463" w:lineRule="auto"/>
        <w:tabs>
          <w:tab w:leader="none" w:pos="521"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Contract Balances</w:t>
      </w: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provides information about accounts receivable, both billed and unbilled and deferred revenue:</w:t>
      </w:r>
    </w:p>
    <w:p>
      <w:pPr>
        <w:spacing w:after="0" w:line="313"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9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1"/>
        </w:trPr>
        <w:tc>
          <w:tcPr>
            <w:tcW w:w="6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0" w:type="dxa"/>
            <w:vAlign w:val="bottom"/>
            <w:gridSpan w:val="2"/>
          </w:tcPr>
          <w:p>
            <w:pPr>
              <w:jc w:val="right"/>
              <w:ind w:right="720"/>
              <w:spacing w:after="0" w:line="131"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1"/>
                <w:szCs w:val="11"/>
                <w:color w:val="auto"/>
              </w:rPr>
            </w:pPr>
          </w:p>
        </w:tc>
        <w:tc>
          <w:tcPr>
            <w:tcW w:w="1200" w:type="dxa"/>
            <w:vAlign w:val="bottom"/>
          </w:tcPr>
          <w:p>
            <w:pPr>
              <w:jc w:val="right"/>
              <w:ind w:right="174"/>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1"/>
                <w:szCs w:val="11"/>
                <w:color w:val="auto"/>
              </w:rPr>
            </w:pPr>
          </w:p>
        </w:tc>
      </w:tr>
      <w:tr>
        <w:trPr>
          <w:trHeight w:val="187"/>
        </w:trPr>
        <w:tc>
          <w:tcPr>
            <w:tcW w:w="69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04"/>
        </w:trPr>
        <w:tc>
          <w:tcPr>
            <w:tcW w:w="6940" w:type="dxa"/>
            <w:vAlign w:val="bottom"/>
            <w:shd w:val="clear" w:color="auto" w:fill="CFF0FC"/>
          </w:tcPr>
          <w:p>
            <w:pPr>
              <w:spacing w:after="0" w:line="204" w:lineRule="exact"/>
              <w:rPr>
                <w:sz w:val="20"/>
                <w:szCs w:val="20"/>
                <w:color w:val="auto"/>
              </w:rPr>
            </w:pPr>
            <w:r>
              <w:rPr>
                <w:rFonts w:ascii="Times New Roman" w:cs="Times New Roman" w:eastAsia="Times New Roman" w:hAnsi="Times New Roman"/>
                <w:sz w:val="18"/>
                <w:szCs w:val="18"/>
                <w:color w:val="auto"/>
              </w:rPr>
              <w:t>Accounts receivable - billed (net of allowances for credit losses of $27,127 and $19,801 as of</w:t>
            </w: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48"/>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June 30, 2024 and September 30, 2023, respectively)</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680,195</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732,979</w:t>
            </w:r>
          </w:p>
        </w:tc>
        <w:tc>
          <w:tcPr>
            <w:tcW w:w="100" w:type="dxa"/>
            <w:vAlign w:val="bottom"/>
            <w:shd w:val="clear" w:color="auto" w:fill="CFF0FC"/>
          </w:tcPr>
          <w:p>
            <w:pPr>
              <w:spacing w:after="0"/>
              <w:rPr>
                <w:sz w:val="21"/>
                <w:szCs w:val="21"/>
                <w:color w:val="auto"/>
              </w:rPr>
            </w:pPr>
          </w:p>
        </w:tc>
      </w:tr>
      <w:tr>
        <w:trPr>
          <w:trHeight w:val="238"/>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 unbilled (current)</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338,606</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211,498</w:t>
            </w:r>
          </w:p>
        </w:tc>
        <w:tc>
          <w:tcPr>
            <w:tcW w:w="100" w:type="dxa"/>
            <w:vAlign w:val="bottom"/>
          </w:tcPr>
          <w:p>
            <w:pPr>
              <w:spacing w:after="0"/>
              <w:rPr>
                <w:sz w:val="20"/>
                <w:szCs w:val="20"/>
                <w:color w:val="auto"/>
              </w:rPr>
            </w:pPr>
          </w:p>
        </w:tc>
      </w:tr>
      <w:tr>
        <w:trPr>
          <w:trHeight w:val="243"/>
        </w:trPr>
        <w:tc>
          <w:tcPr>
            <w:tcW w:w="6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 unbilled (non-current)</w:t>
            </w:r>
          </w:p>
        </w:tc>
        <w:tc>
          <w:tcPr>
            <w:tcW w:w="28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68,999</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45,176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Total Accounts receivable - unbilled</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407,605</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256,674</w:t>
            </w:r>
          </w:p>
        </w:tc>
        <w:tc>
          <w:tcPr>
            <w:tcW w:w="100" w:type="dxa"/>
            <w:vAlign w:val="bottom"/>
          </w:tcPr>
          <w:p>
            <w:pPr>
              <w:spacing w:after="0"/>
              <w:rPr>
                <w:sz w:val="20"/>
                <w:szCs w:val="20"/>
                <w:color w:val="auto"/>
              </w:rPr>
            </w:pPr>
          </w:p>
        </w:tc>
      </w:tr>
      <w:tr>
        <w:trPr>
          <w:trHeight w:val="247"/>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 (current)</w:t>
            </w:r>
          </w:p>
        </w:tc>
        <w:tc>
          <w:tcPr>
            <w:tcW w:w="28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(133,236 )</w:t>
            </w:r>
          </w:p>
        </w:tc>
        <w:tc>
          <w:tcPr>
            <w:tcW w:w="1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(170,634 )</w:t>
            </w:r>
          </w:p>
        </w:tc>
      </w:tr>
      <w:tr>
        <w:trPr>
          <w:trHeight w:val="238"/>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28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(1,251 )</w:t>
            </w:r>
          </w:p>
        </w:tc>
        <w:tc>
          <w:tcPr>
            <w:tcW w:w="18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(805 )</w:t>
            </w:r>
          </w:p>
        </w:tc>
      </w:tr>
      <w:tr>
        <w:trPr>
          <w:trHeight w:val="20"/>
        </w:trPr>
        <w:tc>
          <w:tcPr>
            <w:tcW w:w="69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0"/>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Deferred revenue</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(134,487 )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(171,439 )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5673090</wp:posOffset>
            </wp:positionH>
            <wp:positionV relativeFrom="paragraph">
              <wp:posOffset>-633095</wp:posOffset>
            </wp:positionV>
            <wp:extent cx="5969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-633095</wp:posOffset>
            </wp:positionV>
            <wp:extent cx="5969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7"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Revenue recognized during the three and nine months ended June 30, 2024, which was included in deferred revenue (current) as of September 30, 2023 was $10,173 and $152,595. Revenue recognized during the three and nine months ended June 30, 2023, which was included in deferred revenue (current) as of September 30, 2022 was $12,146 and $238,221, respectively.</w:t>
      </w:r>
    </w:p>
    <w:p>
      <w:pPr>
        <w:spacing w:after="0" w:line="137"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As of June 30, 2024, the aggregate amount of the transaction price allocated to remaining performance obligations that are unsatisfied or partially unsatisfied was approximately $6.2 billion. Remaining performance obligations include the remaining non-cancelable, committed and fixed portion of these contracts for their entire duration and therefore it is not comparable to what the Company considers to be next 12 months backlog. Given the profile of contract terms, the majority of this amount is expected to be recognized as revenue over the next three years.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 or as otherwise disclosed)</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202"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8"/>
          <w:szCs w:val="18"/>
          <w:color w:val="auto"/>
        </w:rPr>
        <w:t>The Company considers information that is regularly reviewed by its chief operating decision makers in evaluating financial performance to disaggregate revenue.</w:t>
      </w:r>
    </w:p>
    <w:p>
      <w:pPr>
        <w:spacing w:after="0" w:line="1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provide details of revenue by nature of activities and by geography:</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 by nature of activities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00" w:type="dxa"/>
            <w:vAlign w:val="bottom"/>
            <w:gridSpan w:val="4"/>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6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5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left="53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50"/>
        </w:trPr>
        <w:tc>
          <w:tcPr>
            <w:tcW w:w="58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1"/>
                <w:szCs w:val="21"/>
                <w:color w:val="auto"/>
              </w:rPr>
            </w:pPr>
          </w:p>
        </w:tc>
      </w:tr>
      <w:tr>
        <w:trPr>
          <w:trHeight w:val="23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Managed services arrangements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740,765</w:t>
            </w: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719,836</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2,183,509</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2,138,566</w:t>
            </w:r>
          </w:p>
        </w:tc>
        <w:tc>
          <w:tcPr>
            <w:tcW w:w="100" w:type="dxa"/>
            <w:vAlign w:val="bottom"/>
            <w:shd w:val="clear" w:color="auto" w:fill="CFF0FC"/>
          </w:tcPr>
          <w:p>
            <w:pPr>
              <w:spacing w:after="0"/>
              <w:rPr>
                <w:sz w:val="20"/>
                <w:szCs w:val="20"/>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509,294</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516,126</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1,557,598</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1,506,420</w:t>
            </w:r>
          </w:p>
        </w:tc>
        <w:tc>
          <w:tcPr>
            <w:tcW w:w="100" w:type="dxa"/>
            <w:vAlign w:val="bottom"/>
          </w:tcPr>
          <w:p>
            <w:pPr>
              <w:spacing w:after="0"/>
              <w:rPr>
                <w:sz w:val="20"/>
                <w:szCs w:val="20"/>
                <w:color w:val="auto"/>
              </w:rPr>
            </w:pPr>
          </w:p>
        </w:tc>
      </w:tr>
      <w:tr>
        <w:trPr>
          <w:trHeight w:val="27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1,250,059</w:t>
            </w: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1,235,962</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3,741,107</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3,644,986</w:t>
            </w:r>
          </w:p>
        </w:tc>
        <w:tc>
          <w:tcPr>
            <w:tcW w:w="100" w:type="dxa"/>
            <w:vAlign w:val="bottom"/>
            <w:shd w:val="clear" w:color="auto" w:fill="CFF0FC"/>
          </w:tcPr>
          <w:p>
            <w:pPr>
              <w:spacing w:after="0"/>
              <w:rPr>
                <w:sz w:val="24"/>
                <w:szCs w:val="24"/>
                <w:color w:val="auto"/>
              </w:rPr>
            </w:pPr>
          </w:p>
        </w:tc>
      </w:tr>
      <w:tr>
        <w:trPr>
          <w:trHeight w:val="416"/>
        </w:trPr>
        <w:tc>
          <w:tcPr>
            <w:tcW w:w="5820" w:type="dxa"/>
            <w:vAlign w:val="bottom"/>
            <w:tcBorders>
              <w:top w:val="single" w:sz="8" w:color="CFF0FC"/>
            </w:tcBorders>
          </w:tcPr>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Geographic Information</w:t>
            </w: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353"/>
        </w:trPr>
        <w:tc>
          <w:tcPr>
            <w:tcW w:w="5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00" w:type="dxa"/>
            <w:vAlign w:val="bottom"/>
            <w:gridSpan w:val="4"/>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6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5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left="53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North America (mainly United States)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828,845</w:t>
            </w: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830,868</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2,490,186</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2,472,587</w:t>
            </w:r>
          </w:p>
        </w:tc>
        <w:tc>
          <w:tcPr>
            <w:tcW w:w="100" w:type="dxa"/>
            <w:vAlign w:val="bottom"/>
            <w:shd w:val="clear" w:color="auto" w:fill="CFF0FC"/>
          </w:tcPr>
          <w:p>
            <w:pPr>
              <w:spacing w:after="0"/>
              <w:rPr>
                <w:sz w:val="20"/>
                <w:szCs w:val="20"/>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175,874</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187,293</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542,142</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527,618</w:t>
            </w:r>
          </w:p>
        </w:tc>
        <w:tc>
          <w:tcPr>
            <w:tcW w:w="100" w:type="dxa"/>
            <w:vAlign w:val="bottom"/>
          </w:tcPr>
          <w:p>
            <w:pPr>
              <w:spacing w:after="0"/>
              <w:rPr>
                <w:sz w:val="20"/>
                <w:szCs w:val="20"/>
                <w:color w:val="auto"/>
              </w:rPr>
            </w:pPr>
          </w:p>
        </w:tc>
      </w:tr>
      <w:tr>
        <w:trPr>
          <w:trHeight w:val="243"/>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 of the world</w:t>
            </w: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245,340</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217,801</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708,779</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644,781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1,250,059</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1,235,962</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3,741,107</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3,644,986</w:t>
            </w:r>
          </w:p>
        </w:tc>
        <w:tc>
          <w:tcPr>
            <w:tcW w:w="100" w:type="dxa"/>
            <w:vAlign w:val="bottom"/>
          </w:tcPr>
          <w:p>
            <w:pPr>
              <w:spacing w:after="0"/>
              <w:rPr>
                <w:sz w:val="20"/>
                <w:szCs w:val="20"/>
                <w:color w:val="auto"/>
              </w:rPr>
            </w:pPr>
          </w:p>
        </w:tc>
      </w:tr>
      <w:tr>
        <w:trPr>
          <w:trHeight w:val="20"/>
        </w:trPr>
        <w:tc>
          <w:tcPr>
            <w:tcW w:w="5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-1420495</wp:posOffset>
            </wp:positionV>
            <wp:extent cx="768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-1403350</wp:posOffset>
            </wp:positionV>
            <wp:extent cx="768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-1420495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-1403350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-1420495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-1403350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-1420495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-1403350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-187960</wp:posOffset>
            </wp:positionV>
            <wp:extent cx="768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-187960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-187960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w:t>
      </w:r>
    </w:p>
    <w:p>
      <w:pPr>
        <w:spacing w:after="0" w:line="202"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The Company accounts for certain assets and liabilities at fair value. Fair value is the price that would be received from selling an asset or that would be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it considers assumptions that market participants would use when pricing the asset or liability.</w:t>
      </w:r>
    </w:p>
    <w:p>
      <w:pPr>
        <w:spacing w:after="0" w:line="141" w:lineRule="exact"/>
        <w:rPr>
          <w:sz w:val="20"/>
          <w:szCs w:val="20"/>
          <w:color w:val="auto"/>
        </w:rPr>
      </w:pPr>
    </w:p>
    <w:p>
      <w:pPr>
        <w:jc w:val="both"/>
        <w:ind w:right="20" w:firstLine="509"/>
        <w:spacing w:after="0" w:line="265" w:lineRule="auto"/>
        <w:rPr>
          <w:sz w:val="20"/>
          <w:szCs w:val="20"/>
          <w:color w:val="auto"/>
        </w:rPr>
      </w:pPr>
      <w:r>
        <w:rPr>
          <w:rFonts w:ascii="Times New Roman" w:cs="Times New Roman" w:eastAsia="Times New Roman" w:hAnsi="Times New Roman"/>
          <w:sz w:val="18"/>
          <w:szCs w:val="18"/>
          <w:color w:val="auto"/>
        </w:rPr>
        <w:t>The hierarchy below lists three levels of fair value based on the extent to which inputs used in measuring fair value are observable in the market. The Company categorizes each of its fair value measurements in one of these three levels based on the lowest level input that is significant to the fair value measurement in its entirety.</w:t>
      </w:r>
    </w:p>
    <w:p>
      <w:pPr>
        <w:spacing w:after="0" w:line="1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three levels of inputs that may be used to measure fair value are as follows:</w:t>
      </w:r>
    </w:p>
    <w:p>
      <w:pPr>
        <w:spacing w:after="0" w:line="6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Quoted prices in active markets for identical assets or liabilities;</w:t>
      </w:r>
    </w:p>
    <w:p>
      <w:pPr>
        <w:spacing w:after="0" w:line="63" w:lineRule="exact"/>
        <w:rPr>
          <w:sz w:val="20"/>
          <w:szCs w:val="20"/>
          <w:color w:val="auto"/>
        </w:rPr>
      </w:pPr>
    </w:p>
    <w:p>
      <w:pPr>
        <w:jc w:val="both"/>
        <w:ind w:left="28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Observable inputs other than quoted prices included in Level 1, such as quoted prices for similar assets or liabilities in active markets,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quoted prices for identical or similar assets or liabilities in markets with insufficient volume or infrequent transactions (less active markets), or other inputs that are observable (model-derived valuations in which significant inputs are observable) or can be derived principally from, or corroborated by, observable market data; and</w:t>
      </w:r>
    </w:p>
    <w:p>
      <w:pPr>
        <w:spacing w:after="0" w:line="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Unobservable inputs that are supported by little or no market activity that is significant to the fair value of the assets or liabilities.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 or as otherwise disclosed)</w:t>
      </w:r>
    </w:p>
    <w:p>
      <w:pPr>
        <w:spacing w:after="0" w:line="1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present the Company's assets and liabilities measured at fair value on a recurring basis as of June 30, 2024 and September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w:t>
      </w:r>
    </w:p>
    <w:p>
      <w:pPr>
        <w:spacing w:after="0" w:line="213"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As of June 30,2024</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4"/>
                <w:szCs w:val="14"/>
                <w:color w:val="auto"/>
              </w:rPr>
            </w:pPr>
          </w:p>
        </w:tc>
        <w:tc>
          <w:tcPr>
            <w:tcW w:w="10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Pr>
          <w:p>
            <w:pPr>
              <w:spacing w:after="0"/>
              <w:rPr>
                <w:sz w:val="14"/>
                <w:szCs w:val="14"/>
                <w:color w:val="auto"/>
              </w:rPr>
            </w:pPr>
          </w:p>
        </w:tc>
        <w:tc>
          <w:tcPr>
            <w:tcW w:w="78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23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0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124,277</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124,277</w:t>
            </w:r>
          </w:p>
        </w:tc>
        <w:tc>
          <w:tcPr>
            <w:tcW w:w="100" w:type="dxa"/>
            <w:vAlign w:val="bottom"/>
          </w:tcPr>
          <w:p>
            <w:pPr>
              <w:spacing w:after="0"/>
              <w:rPr>
                <w:sz w:val="20"/>
                <w:szCs w:val="20"/>
                <w:color w:val="auto"/>
              </w:rPr>
            </w:pPr>
          </w:p>
        </w:tc>
      </w:tr>
      <w:tr>
        <w:trPr>
          <w:trHeight w:val="247"/>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113,794</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113,794</w:t>
            </w:r>
          </w:p>
        </w:tc>
        <w:tc>
          <w:tcPr>
            <w:tcW w:w="100" w:type="dxa"/>
            <w:vAlign w:val="bottom"/>
            <w:shd w:val="clear" w:color="auto" w:fill="CFF0FC"/>
          </w:tcPr>
          <w:p>
            <w:pPr>
              <w:spacing w:after="0"/>
              <w:rPr>
                <w:sz w:val="21"/>
                <w:szCs w:val="21"/>
                <w:color w:val="auto"/>
              </w:rPr>
            </w:pPr>
          </w:p>
        </w:tc>
      </w:tr>
      <w:tr>
        <w:trPr>
          <w:trHeight w:val="238"/>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treasuries</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42,643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42,643</w:t>
            </w:r>
          </w:p>
        </w:tc>
        <w:tc>
          <w:tcPr>
            <w:tcW w:w="100" w:type="dxa"/>
            <w:vAlign w:val="bottom"/>
          </w:tcPr>
          <w:p>
            <w:pPr>
              <w:spacing w:after="0"/>
              <w:rPr>
                <w:sz w:val="20"/>
                <w:szCs w:val="20"/>
                <w:color w:val="auto"/>
              </w:rPr>
            </w:pPr>
          </w:p>
        </w:tc>
      </w:tr>
      <w:tr>
        <w:trPr>
          <w:trHeight w:val="247"/>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Supranational and sovereign debt</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17,367</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17,367</w:t>
            </w:r>
          </w:p>
        </w:tc>
        <w:tc>
          <w:tcPr>
            <w:tcW w:w="100" w:type="dxa"/>
            <w:vAlign w:val="bottom"/>
            <w:shd w:val="clear" w:color="auto" w:fill="CFF0FC"/>
          </w:tcPr>
          <w:p>
            <w:pPr>
              <w:spacing w:after="0"/>
              <w:rPr>
                <w:sz w:val="21"/>
                <w:szCs w:val="21"/>
                <w:color w:val="auto"/>
              </w:rPr>
            </w:pPr>
          </w:p>
        </w:tc>
      </w:tr>
      <w:tr>
        <w:trPr>
          <w:trHeight w:val="238"/>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Municipal bonds</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5,727</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5,727</w:t>
            </w:r>
          </w:p>
        </w:tc>
        <w:tc>
          <w:tcPr>
            <w:tcW w:w="100" w:type="dxa"/>
            <w:vAlign w:val="bottom"/>
          </w:tcPr>
          <w:p>
            <w:pPr>
              <w:spacing w:after="0"/>
              <w:rPr>
                <w:sz w:val="20"/>
                <w:szCs w:val="20"/>
                <w:color w:val="auto"/>
              </w:rPr>
            </w:pPr>
          </w:p>
        </w:tc>
      </w:tr>
      <w:tr>
        <w:trPr>
          <w:trHeight w:val="243"/>
        </w:trPr>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Asset backed obligations</w:t>
            </w:r>
          </w:p>
        </w:tc>
        <w:tc>
          <w:tcPr>
            <w:tcW w:w="2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4,651</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166,920</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141,539</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308,459</w:t>
            </w:r>
          </w:p>
        </w:tc>
        <w:tc>
          <w:tcPr>
            <w:tcW w:w="100" w:type="dxa"/>
            <w:vAlign w:val="bottom"/>
          </w:tcPr>
          <w:p>
            <w:pPr>
              <w:spacing w:after="0"/>
              <w:rPr>
                <w:sz w:val="20"/>
                <w:szCs w:val="20"/>
                <w:color w:val="auto"/>
              </w:rPr>
            </w:pPr>
          </w:p>
        </w:tc>
      </w:tr>
      <w:tr>
        <w:trPr>
          <w:trHeight w:val="240"/>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43,384</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43,384</w:t>
            </w:r>
          </w:p>
        </w:tc>
        <w:tc>
          <w:tcPr>
            <w:tcW w:w="100" w:type="dxa"/>
            <w:vAlign w:val="bottom"/>
            <w:shd w:val="clear" w:color="auto" w:fill="CFF0FC"/>
          </w:tcPr>
          <w:p>
            <w:pPr>
              <w:spacing w:after="0"/>
              <w:rPr>
                <w:sz w:val="20"/>
                <w:szCs w:val="20"/>
                <w:color w:val="auto"/>
              </w:rPr>
            </w:pPr>
          </w:p>
        </w:tc>
      </w:tr>
      <w:tr>
        <w:trPr>
          <w:trHeight w:val="238"/>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Derivative financial instruments, net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00" w:type="dxa"/>
            <w:vAlign w:val="bottom"/>
          </w:tcPr>
          <w:p>
            <w:pPr>
              <w:spacing w:after="0"/>
              <w:rPr>
                <w:sz w:val="20"/>
                <w:szCs w:val="20"/>
                <w:color w:val="auto"/>
              </w:rPr>
            </w:pPr>
          </w:p>
        </w:tc>
      </w:tr>
      <w:tr>
        <w:trPr>
          <w:trHeight w:val="243"/>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(71,442 )</w:t>
            </w:r>
          </w:p>
        </w:tc>
        <w:tc>
          <w:tcPr>
            <w:tcW w:w="24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(71,442 )</w:t>
            </w:r>
          </w:p>
        </w:tc>
      </w:tr>
      <w:tr>
        <w:trPr>
          <w:trHeight w:val="20"/>
        </w:trPr>
        <w:tc>
          <w:tcPr>
            <w:tcW w:w="5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166,920</w:t>
            </w:r>
          </w:p>
        </w:tc>
        <w:tc>
          <w:tcPr>
            <w:tcW w:w="2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142,492</w:t>
            </w:r>
          </w:p>
        </w:tc>
        <w:tc>
          <w:tcPr>
            <w:tcW w:w="2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(28,058 )</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281,354</w:t>
            </w:r>
          </w:p>
        </w:tc>
        <w:tc>
          <w:tcPr>
            <w:tcW w:w="100" w:type="dxa"/>
            <w:vAlign w:val="bottom"/>
          </w:tcPr>
          <w:p>
            <w:pPr>
              <w:spacing w:after="0"/>
              <w:rPr>
                <w:sz w:val="20"/>
                <w:szCs w:val="20"/>
                <w:color w:val="auto"/>
              </w:rPr>
            </w:pPr>
          </w:p>
        </w:tc>
      </w:tr>
      <w:tr>
        <w:trPr>
          <w:trHeight w:val="20"/>
        </w:trPr>
        <w:tc>
          <w:tcPr>
            <w:tcW w:w="5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6"/>
        </w:trPr>
        <w:tc>
          <w:tcPr>
            <w:tcW w:w="5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As of September 30, 2023</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5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4"/>
                <w:szCs w:val="14"/>
                <w:color w:val="auto"/>
              </w:rPr>
            </w:pPr>
          </w:p>
        </w:tc>
        <w:tc>
          <w:tcPr>
            <w:tcW w:w="10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Pr>
          <w:p>
            <w:pPr>
              <w:spacing w:after="0"/>
              <w:rPr>
                <w:sz w:val="14"/>
                <w:szCs w:val="14"/>
                <w:color w:val="auto"/>
              </w:rPr>
            </w:pPr>
          </w:p>
        </w:tc>
        <w:tc>
          <w:tcPr>
            <w:tcW w:w="78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23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0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308,354</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308,354</w:t>
            </w:r>
          </w:p>
        </w:tc>
        <w:tc>
          <w:tcPr>
            <w:tcW w:w="100" w:type="dxa"/>
            <w:vAlign w:val="bottom"/>
          </w:tcPr>
          <w:p>
            <w:pPr>
              <w:spacing w:after="0"/>
              <w:rPr>
                <w:sz w:val="20"/>
                <w:szCs w:val="20"/>
                <w:color w:val="auto"/>
              </w:rPr>
            </w:pPr>
          </w:p>
        </w:tc>
      </w:tr>
      <w:tr>
        <w:trPr>
          <w:trHeight w:val="247"/>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150,310</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150,310</w:t>
            </w:r>
          </w:p>
        </w:tc>
        <w:tc>
          <w:tcPr>
            <w:tcW w:w="100" w:type="dxa"/>
            <w:vAlign w:val="bottom"/>
            <w:shd w:val="clear" w:color="auto" w:fill="CFF0FC"/>
          </w:tcPr>
          <w:p>
            <w:pPr>
              <w:spacing w:after="0"/>
              <w:rPr>
                <w:sz w:val="21"/>
                <w:szCs w:val="21"/>
                <w:color w:val="auto"/>
              </w:rPr>
            </w:pPr>
          </w:p>
        </w:tc>
      </w:tr>
      <w:tr>
        <w:trPr>
          <w:trHeight w:val="238"/>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treasuries</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41,138</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41,138</w:t>
            </w:r>
          </w:p>
        </w:tc>
        <w:tc>
          <w:tcPr>
            <w:tcW w:w="100" w:type="dxa"/>
            <w:vAlign w:val="bottom"/>
          </w:tcPr>
          <w:p>
            <w:pPr>
              <w:spacing w:after="0"/>
              <w:rPr>
                <w:sz w:val="20"/>
                <w:szCs w:val="20"/>
                <w:color w:val="auto"/>
              </w:rPr>
            </w:pPr>
          </w:p>
        </w:tc>
      </w:tr>
      <w:tr>
        <w:trPr>
          <w:trHeight w:val="247"/>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Supranational and sovereign debt</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16,792</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16,792</w:t>
            </w:r>
          </w:p>
        </w:tc>
        <w:tc>
          <w:tcPr>
            <w:tcW w:w="100" w:type="dxa"/>
            <w:vAlign w:val="bottom"/>
            <w:shd w:val="clear" w:color="auto" w:fill="CFF0FC"/>
          </w:tcPr>
          <w:p>
            <w:pPr>
              <w:spacing w:after="0"/>
              <w:rPr>
                <w:sz w:val="21"/>
                <w:szCs w:val="21"/>
                <w:color w:val="auto"/>
              </w:rPr>
            </w:pPr>
          </w:p>
        </w:tc>
      </w:tr>
      <w:tr>
        <w:trPr>
          <w:trHeight w:val="238"/>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 backed obligations</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7,115</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7,115</w:t>
            </w:r>
          </w:p>
        </w:tc>
        <w:tc>
          <w:tcPr>
            <w:tcW w:w="100" w:type="dxa"/>
            <w:vAlign w:val="bottom"/>
          </w:tcPr>
          <w:p>
            <w:pPr>
              <w:spacing w:after="0"/>
              <w:rPr>
                <w:sz w:val="20"/>
                <w:szCs w:val="20"/>
                <w:color w:val="auto"/>
              </w:rPr>
            </w:pPr>
          </w:p>
        </w:tc>
      </w:tr>
      <w:tr>
        <w:trPr>
          <w:trHeight w:val="243"/>
        </w:trPr>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Municipal bonds</w:t>
            </w:r>
          </w:p>
        </w:tc>
        <w:tc>
          <w:tcPr>
            <w:tcW w:w="2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7,096</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349,492</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181,313</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530,805</w:t>
            </w:r>
          </w:p>
        </w:tc>
        <w:tc>
          <w:tcPr>
            <w:tcW w:w="100" w:type="dxa"/>
            <w:vAlign w:val="bottom"/>
          </w:tcPr>
          <w:p>
            <w:pPr>
              <w:spacing w:after="0"/>
              <w:rPr>
                <w:sz w:val="20"/>
                <w:szCs w:val="20"/>
                <w:color w:val="auto"/>
              </w:rPr>
            </w:pPr>
          </w:p>
        </w:tc>
      </w:tr>
      <w:tr>
        <w:trPr>
          <w:trHeight w:val="240"/>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47,985</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47,985</w:t>
            </w:r>
          </w:p>
        </w:tc>
        <w:tc>
          <w:tcPr>
            <w:tcW w:w="100" w:type="dxa"/>
            <w:vAlign w:val="bottom"/>
            <w:shd w:val="clear" w:color="auto" w:fill="CFF0FC"/>
          </w:tcPr>
          <w:p>
            <w:pPr>
              <w:spacing w:after="0"/>
              <w:rPr>
                <w:sz w:val="20"/>
                <w:szCs w:val="20"/>
                <w:color w:val="auto"/>
              </w:rPr>
            </w:pPr>
          </w:p>
        </w:tc>
      </w:tr>
      <w:tr>
        <w:trPr>
          <w:trHeight w:val="238"/>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Derivative financial instruments, net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(36,832 )</w:t>
            </w:r>
          </w:p>
        </w:tc>
        <w:tc>
          <w:tcPr>
            <w:tcW w:w="2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(36,832 )</w:t>
            </w:r>
          </w:p>
        </w:tc>
      </w:tr>
      <w:tr>
        <w:trPr>
          <w:trHeight w:val="243"/>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(24,627 )</w:t>
            </w:r>
          </w:p>
        </w:tc>
        <w:tc>
          <w:tcPr>
            <w:tcW w:w="24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(24,627 )</w:t>
            </w:r>
          </w:p>
        </w:tc>
      </w:tr>
      <w:tr>
        <w:trPr>
          <w:trHeight w:val="236"/>
        </w:trPr>
        <w:tc>
          <w:tcPr>
            <w:tcW w:w="52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349,492</w:t>
            </w:r>
          </w:p>
        </w:tc>
        <w:tc>
          <w:tcPr>
            <w:tcW w:w="24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144,481</w:t>
            </w:r>
          </w:p>
        </w:tc>
        <w:tc>
          <w:tcPr>
            <w:tcW w:w="22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23,358</w:t>
            </w:r>
          </w:p>
        </w:tc>
        <w:tc>
          <w:tcPr>
            <w:tcW w:w="20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517,331</w:t>
            </w:r>
          </w:p>
        </w:tc>
        <w:tc>
          <w:tcPr>
            <w:tcW w:w="100" w:type="dxa"/>
            <w:vAlign w:val="bottom"/>
            <w:tcBorders>
              <w:top w:val="single" w:sz="8" w:color="CFF0FC"/>
            </w:tcBorders>
          </w:tcPr>
          <w:p>
            <w:pPr>
              <w:spacing w:after="0"/>
              <w:rPr>
                <w:sz w:val="20"/>
                <w:szCs w:val="20"/>
                <w:color w:val="auto"/>
              </w:rPr>
            </w:pPr>
          </w:p>
        </w:tc>
      </w:tr>
      <w:tr>
        <w:trPr>
          <w:trHeight w:val="20"/>
        </w:trPr>
        <w:tc>
          <w:tcPr>
            <w:tcW w:w="5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4345940</wp:posOffset>
            </wp:positionH>
            <wp:positionV relativeFrom="paragraph">
              <wp:posOffset>-3098800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-3098800</wp:posOffset>
            </wp:positionV>
            <wp:extent cx="5969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-3098800</wp:posOffset>
            </wp:positionV>
            <wp:extent cx="5969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-3098800</wp:posOffset>
            </wp:positionV>
            <wp:extent cx="5969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4345940</wp:posOffset>
            </wp:positionH>
            <wp:positionV relativeFrom="paragraph">
              <wp:posOffset>-2465070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-2465070</wp:posOffset>
            </wp:positionV>
            <wp:extent cx="596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-2465070</wp:posOffset>
            </wp:positionV>
            <wp:extent cx="5969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-2465070</wp:posOffset>
            </wp:positionV>
            <wp:extent cx="5969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4345940</wp:posOffset>
            </wp:positionH>
            <wp:positionV relativeFrom="paragraph">
              <wp:posOffset>-821055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-821055</wp:posOffset>
            </wp:positionV>
            <wp:extent cx="596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-821055</wp:posOffset>
            </wp:positionV>
            <wp:extent cx="596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-821055</wp:posOffset>
            </wp:positionV>
            <wp:extent cx="5969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4345940</wp:posOffset>
            </wp:positionH>
            <wp:positionV relativeFrom="paragraph">
              <wp:posOffset>-187960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-187960</wp:posOffset>
            </wp:positionV>
            <wp:extent cx="5969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-187960</wp:posOffset>
            </wp:positionV>
            <wp:extent cx="596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-187960</wp:posOffset>
            </wp:positionV>
            <wp:extent cx="5969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Available-for-sale securities that are classified as Level 2 assets are priced using observable data that may include quoted market prices for similar instruments, market dealer quotes, market spreads, non-binding market prices that are corroborated by observable market data and other observable market information. The Company’s derivative instruments are classified as Level 2 as they represent foreign currency forward and option contracts valued primarily based on observable inputs including forward rates and yield curves. The Company did not have any transfers between Level 1 and Level 2 fair value measurements during the three and nine months ended June 30, 2024. Level 3 liabilities relate to certain acquisition-related liabilities, which were generally valued using a Monte-Carlo simulation model and based on estimates of potential pay-out scenarios, valued every quarter. These liabilities were included in both accrued expenses and other current liabilities and other noncurrent liabilities as of June 30, 2024 and September 30, 2023. The increase in Level 3 liabilities was primarily attributable to new acquisition-related liabilities recorded against goodwill in connection with recent acquisitions, partially offset by payments of certain acquisition-related liabilities and changes in the fair value recorded in the consolidated statement of income during the three and nine months ended June 30,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88" w:lineRule="exact"/>
        <w:rPr>
          <w:sz w:val="20"/>
          <w:szCs w:val="20"/>
          <w:color w:val="auto"/>
        </w:rPr>
      </w:pPr>
    </w:p>
    <w:p>
      <w:pPr>
        <w:jc w:val="both"/>
        <w:ind w:right="20" w:firstLine="509"/>
        <w:spacing w:after="0" w:line="281"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receivable, accounts payable, accrued expenses and other current liabilities, accrued personnel costs approximate their fair value because of the relatively short maturity of these items, for the fair value of the Senior Notes, see Note 14.</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 or as otherwise disclosed)</w:t>
      </w:r>
    </w:p>
    <w:p>
      <w:pPr>
        <w:spacing w:after="0" w:line="162"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Available-For-Sale Securities</w:t>
      </w:r>
    </w:p>
    <w:p>
      <w:pPr>
        <w:spacing w:after="0" w:line="20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Available-for-sale securities consist of the following interest-bearing investments: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As of June 30,2024</w:t>
            </w: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60" w:type="dxa"/>
            <w:vAlign w:val="bottom"/>
          </w:tcPr>
          <w:p>
            <w:pPr>
              <w:spacing w:after="0"/>
              <w:rPr>
                <w:sz w:val="11"/>
                <w:szCs w:val="11"/>
                <w:color w:val="auto"/>
              </w:rPr>
            </w:pPr>
          </w:p>
        </w:tc>
        <w:tc>
          <w:tcPr>
            <w:tcW w:w="920" w:type="dxa"/>
            <w:vAlign w:val="bottom"/>
          </w:tcPr>
          <w:p>
            <w:pPr>
              <w:jc w:val="center"/>
              <w:ind w:left="128"/>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jc w:val="center"/>
              <w:ind w:right="96"/>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center"/>
              <w:ind w:left="128"/>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76"/>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Pr>
          <w:p>
            <w:pPr>
              <w:spacing w:after="0"/>
              <w:rPr>
                <w:sz w:val="16"/>
                <w:szCs w:val="16"/>
                <w:color w:val="auto"/>
              </w:rPr>
            </w:pPr>
          </w:p>
        </w:tc>
        <w:tc>
          <w:tcPr>
            <w:tcW w:w="920" w:type="dxa"/>
            <w:vAlign w:val="bottom"/>
            <w:tcBorders>
              <w:bottom w:val="single" w:sz="8" w:color="auto"/>
            </w:tcBorders>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4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124,277</w:t>
            </w:r>
          </w:p>
        </w:tc>
        <w:tc>
          <w:tcPr>
            <w:tcW w:w="1180" w:type="dxa"/>
            <w:vAlign w:val="bottom"/>
            <w:gridSpan w:val="2"/>
            <w:shd w:val="clear" w:color="auto" w:fill="CFF0FC"/>
          </w:tcPr>
          <w:p>
            <w:pPr>
              <w:jc w:val="right"/>
              <w:ind w:right="74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124,277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118,833</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5,039</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4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treasuries</w:t>
            </w: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44,891</w:t>
            </w: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42,643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Supranational and sovereign debt</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18,582</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4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Municipal bonds</w:t>
            </w: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5,935</w:t>
            </w: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 backed obligations</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4,746</w:t>
            </w:r>
          </w:p>
        </w:tc>
        <w:tc>
          <w:tcPr>
            <w:tcW w:w="26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580" w:type="dxa"/>
            <w:vAlign w:val="bottom"/>
          </w:tcPr>
          <w:p>
            <w:pPr>
              <w:spacing w:after="0"/>
              <w:rPr>
                <w:sz w:val="24"/>
                <w:szCs w:val="24"/>
                <w:color w:val="auto"/>
              </w:rPr>
            </w:pPr>
          </w:p>
        </w:tc>
        <w:tc>
          <w:tcPr>
            <w:tcW w:w="4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Total(1)</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317,264</w:t>
            </w:r>
          </w:p>
        </w:tc>
        <w:tc>
          <w:tcPr>
            <w:tcW w:w="1180" w:type="dxa"/>
            <w:vAlign w:val="bottom"/>
            <w:gridSpan w:val="2"/>
            <w:shd w:val="clear" w:color="auto" w:fill="CFF0FC"/>
          </w:tcPr>
          <w:p>
            <w:pPr>
              <w:jc w:val="right"/>
              <w:ind w:right="74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8,805</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308,459</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580" w:type="dxa"/>
            <w:vAlign w:val="bottom"/>
            <w:tcBorders>
              <w:bottom w:val="single" w:sz="8" w:color="auto"/>
            </w:tcBorders>
          </w:tcPr>
          <w:p>
            <w:pPr>
              <w:spacing w:after="0"/>
              <w:rPr>
                <w:sz w:val="9"/>
                <w:szCs w:val="9"/>
                <w:color w:val="auto"/>
              </w:rPr>
            </w:pPr>
          </w:p>
        </w:tc>
        <w:tc>
          <w:tcPr>
            <w:tcW w:w="920" w:type="dxa"/>
            <w:vAlign w:val="bottom"/>
            <w:tcBorders>
              <w:top w:val="single" w:sz="8" w:color="CFF0FC"/>
              <w:bottom w:val="single" w:sz="8" w:color="auto"/>
            </w:tcBorders>
          </w:tcPr>
          <w:p>
            <w:pPr>
              <w:spacing w:after="0"/>
              <w:rPr>
                <w:sz w:val="9"/>
                <w:szCs w:val="9"/>
                <w:color w:val="auto"/>
              </w:rPr>
            </w:pPr>
          </w:p>
        </w:tc>
        <w:tc>
          <w:tcPr>
            <w:tcW w:w="392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260" w:type="dxa"/>
            <w:vAlign w:val="bottom"/>
            <w:tcBorders>
              <w:top w:val="single" w:sz="8" w:color="CFF0FC"/>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24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4157980</wp:posOffset>
            </wp:positionH>
            <wp:positionV relativeFrom="paragraph">
              <wp:posOffset>-110490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4157980</wp:posOffset>
            </wp:positionH>
            <wp:positionV relativeFrom="paragraph">
              <wp:posOffset>-93345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-110490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-93345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-110490</wp:posOffset>
            </wp:positionV>
            <wp:extent cx="5969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-93345</wp:posOffset>
            </wp:positionV>
            <wp:extent cx="5969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-110490</wp:posOffset>
            </wp:positionV>
            <wp:extent cx="5969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-93345</wp:posOffset>
            </wp:positionV>
            <wp:extent cx="5969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 w:lineRule="exact"/>
        <w:rPr>
          <w:sz w:val="20"/>
          <w:szCs w:val="20"/>
          <w:color w:val="auto"/>
        </w:rPr>
      </w:pPr>
    </w:p>
    <w:p>
      <w:pPr>
        <w:jc w:val="both"/>
        <w:ind w:left="380" w:hanging="372"/>
        <w:spacing w:after="0" w:line="260"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Available-for-sale securities with maturities longer than 90 days from the date of acquisition were classified as short-term interest-bearing investments and available-for-sale securities with maturities of 90 days or less from the date of acquisition were included in cash and cash equivalents on the Company’s balance sheet. As of June 30, 2024, $184,182 of securities were classified as short-term interest-bearing investments and $124,277 of securities were classified as cash and cash equivalents.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50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5"/>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As of September 30, 2023</w:t>
            </w: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150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80" w:type="dxa"/>
            <w:vAlign w:val="bottom"/>
          </w:tcPr>
          <w:p>
            <w:pPr>
              <w:spacing w:after="0"/>
              <w:rPr>
                <w:sz w:val="11"/>
                <w:szCs w:val="11"/>
                <w:color w:val="auto"/>
              </w:rPr>
            </w:pPr>
          </w:p>
        </w:tc>
        <w:tc>
          <w:tcPr>
            <w:tcW w:w="1000" w:type="dxa"/>
            <w:vAlign w:val="bottom"/>
          </w:tcPr>
          <w:p>
            <w:pPr>
              <w:jc w:val="center"/>
              <w:ind w:left="168"/>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jc w:val="center"/>
              <w:ind w:right="96"/>
              <w:spacing w:after="0" w:line="131"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center"/>
              <w:ind w:left="168"/>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ind w:right="96"/>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50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Cost</w:t>
            </w:r>
          </w:p>
        </w:tc>
        <w:tc>
          <w:tcPr>
            <w:tcW w:w="280" w:type="dxa"/>
            <w:vAlign w:val="bottom"/>
          </w:tcPr>
          <w:p>
            <w:pPr>
              <w:spacing w:after="0"/>
              <w:rPr>
                <w:sz w:val="16"/>
                <w:szCs w:val="16"/>
                <w:color w:val="auto"/>
              </w:rPr>
            </w:pPr>
          </w:p>
        </w:tc>
        <w:tc>
          <w:tcPr>
            <w:tcW w:w="1000" w:type="dxa"/>
            <w:vAlign w:val="bottom"/>
            <w:tcBorders>
              <w:bottom w:val="single" w:sz="8" w:color="auto"/>
            </w:tcBorders>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3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308,354</w:t>
            </w:r>
          </w:p>
        </w:tc>
        <w:tc>
          <w:tcPr>
            <w:tcW w:w="128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308,354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160,370</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3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government treasuries</w:t>
            </w: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44,782</w:t>
            </w: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3,644</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41,138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Supranational and sovereign debt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18,566</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3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 backed obligations</w:t>
            </w: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7,423</w:t>
            </w: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Municipal bonds</w:t>
            </w: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7,513</w:t>
            </w:r>
          </w:p>
        </w:tc>
        <w:tc>
          <w:tcPr>
            <w:tcW w:w="2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53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Total(1)</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547,008</w:t>
            </w:r>
          </w:p>
        </w:tc>
        <w:tc>
          <w:tcPr>
            <w:tcW w:w="128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16,203</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530,805</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1500" w:type="dxa"/>
            <w:vAlign w:val="bottom"/>
            <w:tcBorders>
              <w:top w:val="single" w:sz="8" w:color="CFF0FC"/>
              <w:bottom w:val="single" w:sz="8" w:color="auto"/>
            </w:tcBorders>
          </w:tcPr>
          <w:p>
            <w:pPr>
              <w:spacing w:after="0"/>
              <w:rPr>
                <w:sz w:val="9"/>
                <w:szCs w:val="9"/>
                <w:color w:val="auto"/>
              </w:rPr>
            </w:pPr>
          </w:p>
        </w:tc>
        <w:tc>
          <w:tcPr>
            <w:tcW w:w="3880" w:type="dxa"/>
            <w:vAlign w:val="bottom"/>
            <w:tcBorders>
              <w:top w:val="single" w:sz="8" w:color="CFF0FC"/>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tcPr>
          <w:p>
            <w:pPr>
              <w:spacing w:after="0"/>
              <w:rPr>
                <w:sz w:val="9"/>
                <w:szCs w:val="9"/>
                <w:color w:val="auto"/>
              </w:rPr>
            </w:pPr>
          </w:p>
        </w:tc>
        <w:tc>
          <w:tcPr>
            <w:tcW w:w="280" w:type="dxa"/>
            <w:vAlign w:val="bottom"/>
            <w:tcBorders>
              <w:top w:val="single" w:sz="8" w:color="CFF0FC"/>
            </w:tcBorders>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280" w:type="dxa"/>
            <w:vAlign w:val="bottom"/>
            <w:tcBorders>
              <w:top w:val="single" w:sz="8" w:color="CFF0FC"/>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040" w:type="dxa"/>
            <w:vAlign w:val="bottom"/>
            <w:tcBorders>
              <w:top w:val="single" w:sz="8" w:color="auto"/>
            </w:tcBorders>
          </w:tcPr>
          <w:p>
            <w:pPr>
              <w:spacing w:after="0"/>
              <w:rPr>
                <w:sz w:val="9"/>
                <w:szCs w:val="9"/>
                <w:color w:val="auto"/>
              </w:rPr>
            </w:pPr>
          </w:p>
        </w:tc>
        <w:tc>
          <w:tcPr>
            <w:tcW w:w="240" w:type="dxa"/>
            <w:vAlign w:val="bottom"/>
            <w:tcBorders>
              <w:top w:val="single" w:sz="8" w:color="CFF0FC"/>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04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4217670</wp:posOffset>
            </wp:positionH>
            <wp:positionV relativeFrom="paragraph">
              <wp:posOffset>-110490</wp:posOffset>
            </wp:positionV>
            <wp:extent cx="768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4217670</wp:posOffset>
            </wp:positionH>
            <wp:positionV relativeFrom="paragraph">
              <wp:posOffset>-93345</wp:posOffset>
            </wp:positionV>
            <wp:extent cx="768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5185410</wp:posOffset>
            </wp:positionH>
            <wp:positionV relativeFrom="paragraph">
              <wp:posOffset>-110490</wp:posOffset>
            </wp:positionV>
            <wp:extent cx="768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5185410</wp:posOffset>
            </wp:positionH>
            <wp:positionV relativeFrom="paragraph">
              <wp:posOffset>-93345</wp:posOffset>
            </wp:positionV>
            <wp:extent cx="768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-110490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-93345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-110490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 w:lineRule="exact"/>
        <w:rPr>
          <w:sz w:val="20"/>
          <w:szCs w:val="20"/>
          <w:color w:val="auto"/>
        </w:rPr>
      </w:pPr>
    </w:p>
    <w:p>
      <w:pPr>
        <w:jc w:val="both"/>
        <w:ind w:left="380" w:hanging="372"/>
        <w:spacing w:after="0" w:line="260"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Available-for-sale securities with maturities longer than 90 days from the date of acquisition were classified as short-term interest- bearing investments and available-for-sale securities with maturities of 90 days or less from the date of acquisition were included in cash and cash equivalents on the Company’s consolidated balance sheets. As of September 30, 2023, $222,451 of securities were classified as short-term interest-bearing investments and $308,354 of securities were classified as cash and cash equivalents.</w:t>
      </w:r>
    </w:p>
    <w:p>
      <w:pPr>
        <w:spacing w:after="0" w:line="14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As of June 30, 2024, the immaterial unrealized losses attributable to the Company’s available-for-sale securities were primarily due to credit spreads and interest rate movements. The securities that have unrealized losses as of June 30, 2024 also had unrealized losses as of June 30, 2023. The Company assessed whether such unrealized losses for the investments in its portfolio were caused by expected credit losses. Based on this assessment, the Company did not recognize any credit losses in the three and nine months ended June 30, 2024 and 2023. Realized gains and losses on short-term interest-bearing investments are included in earnings and are determined based on specific identification method. The Company does not intend to sell these investments. In addition, it is more likely than not that the Company will not be required to sell them before recovery of the amortized cost basis, which may be at maturity.</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June 30, 2024, the Company’s available-for-sale securities had the following maturity dates:</w:t>
      </w:r>
    </w:p>
    <w:p>
      <w:pPr>
        <w:spacing w:after="0" w:line="232" w:lineRule="exact"/>
        <w:rPr>
          <w:sz w:val="20"/>
          <w:szCs w:val="20"/>
          <w:color w:val="auto"/>
        </w:rPr>
      </w:pPr>
    </w:p>
    <w:tbl>
      <w:tblPr>
        <w:tblLayout w:type="fixed"/>
        <w:tblInd w:w="2260" w:type="dxa"/>
        <w:tblCellMar>
          <w:top w:w="0" w:type="dxa"/>
          <w:left w:w="0" w:type="dxa"/>
          <w:bottom w:w="0" w:type="dxa"/>
          <w:right w:w="0" w:type="dxa"/>
        </w:tblCellMar>
      </w:tblPr>
      <w:tr>
        <w:trPr>
          <w:trHeight w:val="187"/>
        </w:trPr>
        <w:tc>
          <w:tcPr>
            <w:tcW w:w="5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Market Value</w:t>
            </w:r>
          </w:p>
        </w:tc>
      </w:tr>
      <w:tr>
        <w:trPr>
          <w:trHeight w:val="236"/>
        </w:trPr>
        <w:tc>
          <w:tcPr>
            <w:tcW w:w="5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204,731</w:t>
            </w:r>
          </w:p>
        </w:tc>
        <w:tc>
          <w:tcPr>
            <w:tcW w:w="40" w:type="dxa"/>
            <w:vAlign w:val="bottom"/>
            <w:shd w:val="clear" w:color="auto" w:fill="CFF0FC"/>
          </w:tcPr>
          <w:p>
            <w:pPr>
              <w:spacing w:after="0"/>
              <w:rPr>
                <w:sz w:val="20"/>
                <w:szCs w:val="20"/>
                <w:color w:val="auto"/>
              </w:rPr>
            </w:pPr>
          </w:p>
        </w:tc>
      </w:tr>
      <w:tr>
        <w:trPr>
          <w:trHeight w:val="238"/>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 to 2 years</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75,800</w:t>
            </w:r>
          </w:p>
        </w:tc>
        <w:tc>
          <w:tcPr>
            <w:tcW w:w="40" w:type="dxa"/>
            <w:vAlign w:val="bottom"/>
          </w:tcPr>
          <w:p>
            <w:pPr>
              <w:spacing w:after="0"/>
              <w:rPr>
                <w:sz w:val="20"/>
                <w:szCs w:val="20"/>
                <w:color w:val="auto"/>
              </w:rPr>
            </w:pPr>
          </w:p>
        </w:tc>
      </w:tr>
      <w:tr>
        <w:trPr>
          <w:trHeight w:val="243"/>
        </w:trPr>
        <w:tc>
          <w:tcPr>
            <w:tcW w:w="5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 to 3 years</w:t>
            </w:r>
          </w:p>
        </w:tc>
        <w:tc>
          <w:tcPr>
            <w:tcW w:w="16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27,928</w:t>
            </w:r>
          </w:p>
        </w:tc>
        <w:tc>
          <w:tcPr>
            <w:tcW w:w="40" w:type="dxa"/>
            <w:vAlign w:val="bottom"/>
            <w:tcBorders>
              <w:bottom w:val="single" w:sz="8" w:color="CFF0FC"/>
            </w:tcBorders>
            <w:shd w:val="clear" w:color="auto" w:fill="CFF0FC"/>
          </w:tcPr>
          <w:p>
            <w:pPr>
              <w:spacing w:after="0"/>
              <w:rPr>
                <w:sz w:val="21"/>
                <w:szCs w:val="21"/>
                <w:color w:val="auto"/>
              </w:rPr>
            </w:pPr>
          </w:p>
        </w:tc>
      </w:tr>
      <w:tr>
        <w:trPr>
          <w:trHeight w:val="236"/>
        </w:trPr>
        <w:tc>
          <w:tcPr>
            <w:tcW w:w="53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308,459</w:t>
            </w:r>
          </w:p>
        </w:tc>
        <w:tc>
          <w:tcPr>
            <w:tcW w:w="40" w:type="dxa"/>
            <w:vAlign w:val="bottom"/>
          </w:tcPr>
          <w:p>
            <w:pPr>
              <w:spacing w:after="0"/>
              <w:rPr>
                <w:sz w:val="20"/>
                <w:szCs w:val="20"/>
                <w:color w:val="auto"/>
              </w:rPr>
            </w:pPr>
          </w:p>
        </w:tc>
      </w:tr>
      <w:tr>
        <w:trPr>
          <w:trHeight w:val="20"/>
        </w:trPr>
        <w:tc>
          <w:tcPr>
            <w:tcW w:w="5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5673090</wp:posOffset>
            </wp:positionH>
            <wp:positionV relativeFrom="paragraph">
              <wp:posOffset>-187960</wp:posOffset>
            </wp:positionV>
            <wp:extent cx="3429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type w:val="continuous"/>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 or as otherwise disclosed)</w:t>
      </w:r>
    </w:p>
    <w:p>
      <w:pPr>
        <w:spacing w:after="0" w:line="162" w:lineRule="exact"/>
        <w:rPr>
          <w:sz w:val="20"/>
          <w:szCs w:val="20"/>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 Financial Instruments</w:t>
      </w:r>
    </w:p>
    <w:p>
      <w:pPr>
        <w:spacing w:after="0" w:line="202"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The Company’s risk management strategy includes the use of derivative financial instruments to reduce the volatility of earnings and cash flows associated with changes in foreign currency exchange rates. The Company does not enter into derivative transactions for trading purposes.</w:t>
      </w:r>
    </w:p>
    <w:p>
      <w:pPr>
        <w:spacing w:after="0" w:line="12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Company’s derivatives expose it to credit risks from possible non-performance by counterparties. The Company utilizes standard counterparty master netting agreements that net certain foreign currency transactions in the event of the insolvency of one of the parties to the transaction. These master netting arrangements permit the Company to net amounts due from the Company to a counterparty with amounts due to the Company from the same counterparty. Although all of the Company’s recognized derivative assets and liabilities are subject to enforceable master netting arrangements, the Company has elected to present these assets and liabilities on a gross basis. Taking into account the Company’s right to net certain gains with losses, the maximum amount of loss due to credit risk that the Company would incur if all counterparties to the derivative financial instruments failed completely to perform, according to the terms of the contracts, based on the gross fair value of the Company’s derivative contracts that are favorable to the Company, was approximately $6,099 as of June 30, 2024. The Company has limited its credit risk by entering into derivative transactions exclusively with investment-grade rated financial institutions and monitors the creditworthiness of these financial institutions on an ongoing basis.</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classifies cash flows from its derivative transactions as cash flows from operating activities in the consolidated statements of cash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flows.</w:t>
      </w:r>
    </w:p>
    <w:p>
      <w:pPr>
        <w:spacing w:after="0" w:line="179"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The table below presents the total volume or notional amounts of the Company’s derivative instruments as of June 30, 2024. Notional values are in U.S. dollars and are translated and calculated based on forward rates as of June 30, 2024 for forward contracts.</w:t>
      </w:r>
    </w:p>
    <w:p>
      <w:pPr>
        <w:spacing w:after="0" w:line="170" w:lineRule="exact"/>
        <w:rPr>
          <w:sz w:val="20"/>
          <w:szCs w:val="20"/>
          <w:color w:val="auto"/>
        </w:rPr>
      </w:pPr>
    </w:p>
    <w:p>
      <w:pPr>
        <w:ind w:left="9700"/>
        <w:spacing w:after="0"/>
        <w:rPr>
          <w:sz w:val="20"/>
          <w:szCs w:val="20"/>
          <w:color w:val="auto"/>
        </w:rPr>
      </w:pPr>
      <w:r>
        <w:rPr>
          <w:rFonts w:ascii="Times New Roman" w:cs="Times New Roman" w:eastAsia="Times New Roman" w:hAnsi="Times New Roman"/>
          <w:sz w:val="14"/>
          <w:szCs w:val="14"/>
          <w:b w:val="1"/>
          <w:bCs w:val="1"/>
          <w:color w:val="auto"/>
        </w:rPr>
        <w:t>Notional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5878830</wp:posOffset>
            </wp:positionH>
            <wp:positionV relativeFrom="paragraph">
              <wp:posOffset>16510</wp:posOffset>
            </wp:positionV>
            <wp:extent cx="118999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189990" cy="8255"/>
                    </a:xfrm>
                    <a:prstGeom prst="rect">
                      <a:avLst/>
                    </a:prstGeom>
                    <a:noFill/>
                  </pic:spPr>
                </pic:pic>
              </a:graphicData>
            </a:graphic>
          </wp:anchor>
        </w:drawing>
      </w:r>
    </w:p>
    <w:p>
      <w:pPr>
        <w:spacing w:after="0" w:line="14" w:lineRule="exact"/>
        <w:rPr>
          <w:sz w:val="20"/>
          <w:szCs w:val="20"/>
          <w:color w:val="auto"/>
        </w:rPr>
      </w:pPr>
    </w:p>
    <w:p>
      <w:pPr>
        <w:ind w:left="20"/>
        <w:spacing w:after="0"/>
        <w:tabs>
          <w:tab w:leader="none" w:pos="9260" w:val="left"/>
          <w:tab w:leader="none" w:pos="10380" w:val="left"/>
        </w:tabs>
        <w:rPr>
          <w:sz w:val="20"/>
          <w:szCs w:val="20"/>
          <w:color w:val="auto"/>
        </w:rPr>
      </w:pPr>
      <w:r>
        <w:rPr>
          <w:rFonts w:ascii="Times New Roman" w:cs="Times New Roman" w:eastAsia="Times New Roman" w:hAnsi="Times New Roman"/>
          <w:sz w:val="18"/>
          <w:szCs w:val="18"/>
          <w:color w:val="auto"/>
        </w:rPr>
        <w:t>Foreign exchange contracts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1,788,614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95059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91" w:lineRule="exact"/>
        <w:rPr>
          <w:sz w:val="20"/>
          <w:szCs w:val="20"/>
          <w:color w:val="auto"/>
        </w:rPr>
      </w:pPr>
    </w:p>
    <w:p>
      <w:pPr>
        <w:ind w:left="340" w:right="20" w:hanging="332"/>
        <w:spacing w:after="0" w:line="281" w:lineRule="auto"/>
        <w:tabs>
          <w:tab w:leader="none" w:pos="16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notional amounts do not quantify risk or represent assets or liabilities of the Company but are used in the calculation of settlements under the contracts.</w:t>
      </w:r>
    </w:p>
    <w:p>
      <w:pPr>
        <w:spacing w:after="0" w:line="122"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The Company records all derivative instruments on the consolidated balance sheets at fair value. For further information, please see Note 6 to the consolidated financial statements. The fair value of the open foreign exchange contracts recorded as an asset or a liability by the Company on its consolidated balance sheets as of June 30, 2024 and September 30, 2023, is as follows:</w:t>
      </w:r>
    </w:p>
    <w:p>
      <w:pPr>
        <w:spacing w:after="0" w:line="184"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9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1"/>
        </w:trPr>
        <w:tc>
          <w:tcPr>
            <w:tcW w:w="6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0" w:type="dxa"/>
            <w:vAlign w:val="bottom"/>
            <w:gridSpan w:val="2"/>
          </w:tcPr>
          <w:p>
            <w:pPr>
              <w:jc w:val="right"/>
              <w:ind w:right="720"/>
              <w:spacing w:after="0" w:line="131"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1"/>
                <w:szCs w:val="11"/>
                <w:color w:val="auto"/>
              </w:rPr>
            </w:pPr>
          </w:p>
        </w:tc>
        <w:tc>
          <w:tcPr>
            <w:tcW w:w="1200" w:type="dxa"/>
            <w:vAlign w:val="bottom"/>
          </w:tcPr>
          <w:p>
            <w:pPr>
              <w:jc w:val="right"/>
              <w:ind w:right="173"/>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1"/>
                <w:szCs w:val="11"/>
                <w:color w:val="auto"/>
              </w:rPr>
            </w:pPr>
          </w:p>
        </w:tc>
      </w:tr>
      <w:tr>
        <w:trPr>
          <w:trHeight w:val="187"/>
        </w:trPr>
        <w:tc>
          <w:tcPr>
            <w:tcW w:w="69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6"/>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 designated as hedging instruments</w:t>
            </w:r>
          </w:p>
        </w:tc>
        <w:tc>
          <w:tcPr>
            <w:tcW w:w="28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100" w:type="dxa"/>
            <w:vAlign w:val="bottom"/>
          </w:tcPr>
          <w:p>
            <w:pPr>
              <w:spacing w:after="0"/>
              <w:rPr>
                <w:sz w:val="20"/>
                <w:szCs w:val="20"/>
                <w:color w:val="auto"/>
              </w:rPr>
            </w:pPr>
          </w:p>
        </w:tc>
      </w:tr>
      <w:tr>
        <w:trPr>
          <w:trHeight w:val="247"/>
        </w:trPr>
        <w:tc>
          <w:tcPr>
            <w:tcW w:w="6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2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5,568</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shd w:val="clear" w:color="auto" w:fill="CFF0FC"/>
          </w:tcPr>
          <w:p>
            <w:pPr>
              <w:spacing w:after="0"/>
              <w:rPr>
                <w:sz w:val="21"/>
                <w:szCs w:val="21"/>
                <w:color w:val="auto"/>
              </w:rPr>
            </w:pPr>
          </w:p>
        </w:tc>
      </w:tr>
      <w:tr>
        <w:trPr>
          <w:trHeight w:val="238"/>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8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(8,223 )</w:t>
            </w:r>
          </w:p>
        </w:tc>
        <w:tc>
          <w:tcPr>
            <w:tcW w:w="18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(32,295 )</w:t>
            </w:r>
          </w:p>
        </w:tc>
      </w:tr>
      <w:tr>
        <w:trPr>
          <w:trHeight w:val="243"/>
        </w:trPr>
        <w:tc>
          <w:tcPr>
            <w:tcW w:w="6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8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(663 )</w:t>
            </w:r>
          </w:p>
        </w:tc>
        <w:tc>
          <w:tcPr>
            <w:tcW w:w="1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(7,050 )</w:t>
            </w:r>
          </w:p>
        </w:tc>
      </w:tr>
      <w:tr>
        <w:trPr>
          <w:trHeight w:val="20"/>
        </w:trPr>
        <w:tc>
          <w:tcPr>
            <w:tcW w:w="69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6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(906 )</w:t>
            </w:r>
          </w:p>
        </w:tc>
        <w:tc>
          <w:tcPr>
            <w:tcW w:w="18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(38,046 )</w:t>
            </w:r>
          </w:p>
        </w:tc>
      </w:tr>
      <w:tr>
        <w:trPr>
          <w:trHeight w:val="247"/>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 not designated as hedging instruments</w:t>
            </w:r>
          </w:p>
        </w:tc>
        <w:tc>
          <w:tcPr>
            <w:tcW w:w="2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4,543</w:t>
            </w: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10,586</w:t>
            </w:r>
          </w:p>
        </w:tc>
        <w:tc>
          <w:tcPr>
            <w:tcW w:w="100" w:type="dxa"/>
            <w:vAlign w:val="bottom"/>
          </w:tcPr>
          <w:p>
            <w:pPr>
              <w:spacing w:after="0"/>
              <w:rPr>
                <w:sz w:val="20"/>
                <w:szCs w:val="20"/>
                <w:color w:val="auto"/>
              </w:rPr>
            </w:pPr>
          </w:p>
        </w:tc>
      </w:tr>
      <w:tr>
        <w:trPr>
          <w:trHeight w:val="247"/>
        </w:trPr>
        <w:tc>
          <w:tcPr>
            <w:tcW w:w="6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2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8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(3,899 )</w:t>
            </w:r>
          </w:p>
        </w:tc>
        <w:tc>
          <w:tcPr>
            <w:tcW w:w="18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(9,372 )</w:t>
            </w:r>
          </w:p>
        </w:tc>
      </w:tr>
      <w:tr>
        <w:trPr>
          <w:trHeight w:val="236"/>
        </w:trPr>
        <w:tc>
          <w:tcPr>
            <w:tcW w:w="69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2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Net fair value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(36,832 )</w:t>
            </w:r>
          </w:p>
        </w:tc>
      </w:tr>
      <w:tr>
        <w:trPr>
          <w:trHeight w:val="20"/>
        </w:trPr>
        <w:tc>
          <w:tcPr>
            <w:tcW w:w="69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5673090</wp:posOffset>
            </wp:positionH>
            <wp:positionV relativeFrom="paragraph">
              <wp:posOffset>-1129665</wp:posOffset>
            </wp:positionV>
            <wp:extent cx="5969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-1129665</wp:posOffset>
            </wp:positionV>
            <wp:extent cx="5969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-187960</wp:posOffset>
            </wp:positionV>
            <wp:extent cx="5969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-187960</wp:posOffset>
            </wp:positionV>
            <wp:extent cx="5969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Hedges</w:t>
      </w:r>
    </w:p>
    <w:p>
      <w:pPr>
        <w:spacing w:after="0" w:line="20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order to reduce the impact of changes in foreign currency exchange rates on its results, the Company enters into foreign currency exchange forward and option contracts to purchase and sell foreign currencies to hedge a significant portion of its foreign currency net exposure resulting from revenue and expense transactions denominated in currencies other than the U.S. dollar. The Company designates these contracts for accounting purposes as cash flow hedges. The Company currently hedges its exposure to the variability in future cash flows for a maximum period of approximately three years. A significant portion of the forward contracts outstanding as of June 30, 2024 is scheduled to mature within the next 12 months.</w:t>
      </w:r>
    </w:p>
    <w:p>
      <w:pPr>
        <w:sectPr>
          <w:pgSz w:w="11900" w:h="16838" w:orient="portrait"/>
          <w:cols w:equalWidth="0" w:num="1">
            <w:col w:w="11240"/>
          </w:cols>
          <w:pgMar w:left="320" w:top="764" w:right="339" w:bottom="1440"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type w:val="continuous"/>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 or as otherwise disclosed)</w:t>
      </w:r>
    </w:p>
    <w:p>
      <w:pPr>
        <w:spacing w:after="0" w:line="16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effective portion of the gain or loss on the derivative instruments is initially recorded as a component of other comprehensive (loss) income, net, a separate component of equity, and subsequently reclassified into earnings in the same line item as the related forecasted transaction and in the same period or periods during which the hedged exposure affects earnings. The cash flow hedges are evaluated for effectiveness quarterly. As the critical terms of the forward contract or option and the hedged transaction are matched at inception, the hedge effectiveness is assessed generally based on changes in the fair value for cash flow hedges, as compared to the changes in the fair value of the cash flows associated with the underlying hedged transactions. Hedge ineffectiveness, if any, is recognized immediately in interest and other expense, net.</w:t>
      </w:r>
    </w:p>
    <w:p>
      <w:pPr>
        <w:spacing w:after="0" w:line="159"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8"/>
          <w:szCs w:val="18"/>
          <w:color w:val="auto"/>
        </w:rPr>
        <w:t>The effect of the Company's cash flow hedging instruments in the consolidated statements of income for the three and nine months ended June 30, 2024 and 2023, respectively, which partially offsets the foreign currency impact from the underlying exposures, is summarized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8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Losses Reclassified from</w:t>
            </w: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5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320" w:type="dxa"/>
            <w:vAlign w:val="bottom"/>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rPr>
              <w:t>Accumulated Other Comprehensive Loss (Effective Portion)</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5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6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Pr>
          <w:p>
            <w:pPr>
              <w:spacing w:after="0"/>
              <w:rPr>
                <w:sz w:val="16"/>
                <w:szCs w:val="16"/>
                <w:color w:val="auto"/>
              </w:rPr>
            </w:pPr>
          </w:p>
        </w:tc>
        <w:tc>
          <w:tcPr>
            <w:tcW w:w="236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r>
      <w:tr>
        <w:trPr>
          <w:trHeight w:val="169"/>
        </w:trPr>
        <w:tc>
          <w:tcPr>
            <w:tcW w:w="58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Line item in consolidated statements of income:</w:t>
            </w: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6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24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(4,250 )</w:t>
            </w:r>
          </w:p>
        </w:tc>
        <w:tc>
          <w:tcPr>
            <w:tcW w:w="28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(7,605 )</w:t>
            </w: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(13,488 )</w:t>
            </w:r>
          </w:p>
        </w:tc>
        <w:tc>
          <w:tcPr>
            <w:tcW w:w="38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(22,658 )</w:t>
            </w: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(1,367 )</w:t>
            </w:r>
          </w:p>
        </w:tc>
        <w:tc>
          <w:tcPr>
            <w:tcW w:w="28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(2,300 )</w:t>
            </w:r>
          </w:p>
        </w:tc>
        <w:tc>
          <w:tcPr>
            <w:tcW w:w="26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(4,408 )</w:t>
            </w:r>
          </w:p>
        </w:tc>
        <w:tc>
          <w:tcPr>
            <w:tcW w:w="38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(6,553 )</w:t>
            </w:r>
          </w:p>
        </w:tc>
      </w:tr>
      <w:tr>
        <w:trPr>
          <w:trHeight w:val="243"/>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(1,315 )</w:t>
            </w:r>
          </w:p>
        </w:tc>
        <w:tc>
          <w:tcPr>
            <w:tcW w:w="28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(2,352 )</w:t>
            </w: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(4,383 )</w:t>
            </w:r>
          </w:p>
        </w:tc>
        <w:tc>
          <w:tcPr>
            <w:tcW w:w="38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(6,648 )</w:t>
            </w:r>
          </w:p>
        </w:tc>
      </w:tr>
      <w:tr>
        <w:trPr>
          <w:trHeight w:val="20"/>
        </w:trPr>
        <w:tc>
          <w:tcPr>
            <w:tcW w:w="58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(6,618 )</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(12,033 )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(21,508 )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(34,695 )</w:t>
            </w:r>
          </w:p>
        </w:tc>
      </w:tr>
      <w:tr>
        <w:trPr>
          <w:trHeight w:val="20"/>
        </w:trPr>
        <w:tc>
          <w:tcPr>
            <w:tcW w:w="5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-187960</wp:posOffset>
            </wp:positionV>
            <wp:extent cx="7683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-187960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-187960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The activity related to the changes in net unrealized gain (losses) on cash flow hedges recorded in accumulated other comprehensive loss, net of tax, is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2800" w:type="dxa"/>
            <w:vAlign w:val="bottom"/>
            <w:tcBorders>
              <w:bottom w:val="single" w:sz="8" w:color="auto"/>
            </w:tcBorders>
            <w:gridSpan w:val="4"/>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4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6"/>
        </w:trPr>
        <w:tc>
          <w:tcPr>
            <w:tcW w:w="7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unrealized losses on cash flow hedges, net of tax, beginning of period</w:t>
            </w:r>
          </w:p>
        </w:tc>
        <w:tc>
          <w:tcPr>
            <w:tcW w:w="96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99"/>
              </w:rPr>
              <w:t>(34,677 )</w:t>
            </w:r>
          </w:p>
        </w:tc>
        <w:tc>
          <w:tcPr>
            <w:tcW w:w="960" w:type="dxa"/>
            <w:vAlign w:val="bottom"/>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96"/>
              </w:rPr>
              <w:t>(46,580 )</w:t>
            </w: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fair value of cash flow hedges, net of tax</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15,076</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(10,809 )</w:t>
            </w:r>
          </w:p>
        </w:tc>
      </w:tr>
      <w:tr>
        <w:trPr>
          <w:trHeight w:val="243"/>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Reclassification of net losses into earnings, net of tax</w:t>
            </w:r>
          </w:p>
        </w:tc>
        <w:tc>
          <w:tcPr>
            <w:tcW w:w="96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20,188</w:t>
            </w:r>
          </w:p>
        </w:tc>
        <w:tc>
          <w:tcPr>
            <w:tcW w:w="28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32,780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unrealized gain (losses) on cash flow hedges, net of tax, end of period</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280" w:type="dxa"/>
            <w:vAlign w:val="bottom"/>
          </w:tcPr>
          <w:p>
            <w:pPr>
              <w:spacing w:after="0"/>
              <w:rPr>
                <w:sz w:val="20"/>
                <w:szCs w:val="20"/>
                <w:color w:val="auto"/>
              </w:rPr>
            </w:pPr>
          </w:p>
        </w:tc>
        <w:tc>
          <w:tcPr>
            <w:tcW w:w="96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(24,609 )</w:t>
            </w:r>
          </w:p>
        </w:tc>
      </w:tr>
      <w:tr>
        <w:trPr>
          <w:trHeight w:val="20"/>
        </w:trPr>
        <w:tc>
          <w:tcPr>
            <w:tcW w:w="77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-187960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Net gains (losses) from cash flow hedges recognized in other comprehensive (loss) income were $15,600 and $(12,453), or $15,076 and $(10,809) net of taxes, during the nine months ended June 30, 2024 and 2023, respectively.</w:t>
      </w:r>
    </w:p>
    <w:p>
      <w:pPr>
        <w:spacing w:after="0" w:line="122"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Of the net unrealized gain (losses) related to derivatives designated as cash flow hedges and recorded in accumulated other comprehensive loss as of June 30, 2024, a net loss of $5,399 will be reclassified into earnings within the next 12 months and will partially offset the foreign currency impact from the underlying exposures. The amount ultimately realized in earnings will likely differ due to future changes in foreign exchange rates.</w:t>
      </w:r>
    </w:p>
    <w:p>
      <w:pPr>
        <w:spacing w:after="0" w:line="137" w:lineRule="exact"/>
        <w:rPr>
          <w:sz w:val="20"/>
          <w:szCs w:val="20"/>
          <w:color w:val="auto"/>
        </w:rPr>
      </w:pPr>
    </w:p>
    <w:p>
      <w:pPr>
        <w:jc w:val="both"/>
        <w:ind w:right="20" w:firstLine="509"/>
        <w:spacing w:after="0" w:line="281" w:lineRule="auto"/>
        <w:rPr>
          <w:sz w:val="20"/>
          <w:szCs w:val="20"/>
          <w:color w:val="auto"/>
        </w:rPr>
      </w:pPr>
      <w:r>
        <w:rPr>
          <w:rFonts w:ascii="Times New Roman" w:cs="Times New Roman" w:eastAsia="Times New Roman" w:hAnsi="Times New Roman"/>
          <w:sz w:val="18"/>
          <w:szCs w:val="18"/>
          <w:color w:val="auto"/>
        </w:rPr>
        <w:t>The ineffective portion of the change in fair value of a cash flow hedge, including the time value portion excluded from effectiveness testing for the three and nine months ended June 30, 2024 and 2023, was not material.</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Risk Management Derivatives</w:t>
      </w:r>
    </w:p>
    <w:p>
      <w:pPr>
        <w:spacing w:after="0" w:line="188"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The Company also enters into foreign currency exchange forward and option contracts that are not designated as hedging instruments under hedge accounting and are used to reduce the impact of foreign currency on certain balance sheet exposures and certain revenue and expense transactions.</w:t>
      </w:r>
    </w:p>
    <w:p>
      <w:pPr>
        <w:spacing w:after="0" w:line="122"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These instruments are generally short-term in nature, with typical maturities of less than 12 months, and are subject to fluctuations in foreign exchange rates.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 or as otherwise disclosed)</w:t>
      </w:r>
    </w:p>
    <w:p>
      <w:pPr>
        <w:spacing w:after="0" w:line="166" w:lineRule="exact"/>
        <w:rPr>
          <w:sz w:val="20"/>
          <w:szCs w:val="20"/>
          <w:color w:val="auto"/>
        </w:rPr>
      </w:pPr>
    </w:p>
    <w:p>
      <w:pPr>
        <w:jc w:val="both"/>
        <w:ind w:firstLine="299"/>
        <w:spacing w:after="0" w:line="265" w:lineRule="auto"/>
        <w:rPr>
          <w:sz w:val="20"/>
          <w:szCs w:val="20"/>
          <w:color w:val="auto"/>
        </w:rPr>
      </w:pPr>
      <w:r>
        <w:rPr>
          <w:rFonts w:ascii="Times New Roman" w:cs="Times New Roman" w:eastAsia="Times New Roman" w:hAnsi="Times New Roman"/>
          <w:sz w:val="18"/>
          <w:szCs w:val="18"/>
          <w:color w:val="auto"/>
        </w:rPr>
        <w:t>The effect of the Company's derivative instruments not designated as hedging instruments in the consolidated statements of income for the three and nine months ended June 30, 2024 and 2023, respectively, which partially offsets the foreign currency impact from the underlying exposure, is summarized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4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Losses Recognized in Income</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5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6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Pr>
          <w:p>
            <w:pPr>
              <w:spacing w:after="0"/>
              <w:rPr>
                <w:sz w:val="16"/>
                <w:szCs w:val="16"/>
                <w:color w:val="auto"/>
              </w:rPr>
            </w:pPr>
          </w:p>
        </w:tc>
        <w:tc>
          <w:tcPr>
            <w:tcW w:w="236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r>
      <w:tr>
        <w:trPr>
          <w:trHeight w:val="169"/>
        </w:trPr>
        <w:tc>
          <w:tcPr>
            <w:tcW w:w="58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Line item in consolidated statements of income:</w:t>
            </w: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(1,311 )</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(1,009 )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2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(429 )</w:t>
            </w:r>
          </w:p>
        </w:tc>
        <w:tc>
          <w:tcPr>
            <w:tcW w:w="2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(396 )</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(338 )</w:t>
            </w: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(451 )</w:t>
            </w:r>
          </w:p>
        </w:tc>
        <w:tc>
          <w:tcPr>
            <w:tcW w:w="22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(428 )</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(286 )</w:t>
            </w: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(3,658 )</w:t>
            </w: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(2,422 )</w:t>
            </w:r>
          </w:p>
        </w:tc>
        <w:tc>
          <w:tcPr>
            <w:tcW w:w="26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(21,418 )</w:t>
            </w: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taxes</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(121 )</w:t>
            </w:r>
          </w:p>
        </w:tc>
        <w:tc>
          <w:tcPr>
            <w:tcW w:w="26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(353 )</w:t>
            </w:r>
          </w:p>
        </w:tc>
        <w:tc>
          <w:tcPr>
            <w:tcW w:w="26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(773 )</w:t>
            </w:r>
          </w:p>
        </w:tc>
      </w:tr>
      <w:tr>
        <w:trPr>
          <w:trHeight w:val="20"/>
        </w:trPr>
        <w:tc>
          <w:tcPr>
            <w:tcW w:w="58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(289 )</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(5,612 )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(2,194 )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(22,336 )</w:t>
            </w:r>
          </w:p>
        </w:tc>
      </w:tr>
      <w:tr>
        <w:trPr>
          <w:trHeight w:val="20"/>
        </w:trPr>
        <w:tc>
          <w:tcPr>
            <w:tcW w:w="58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-24765</wp:posOffset>
            </wp:positionV>
            <wp:extent cx="7683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-7620</wp:posOffset>
            </wp:positionV>
            <wp:extent cx="768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-24765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-7620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-24765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-7620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20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Accrued expenses and other current liabilities consist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500" w:type="dxa"/>
            <w:vAlign w:val="bottom"/>
          </w:tcPr>
          <w:p>
            <w:pPr>
              <w:spacing w:after="0"/>
              <w:rPr>
                <w:sz w:val="16"/>
                <w:szCs w:val="16"/>
                <w:color w:val="auto"/>
              </w:rPr>
            </w:pPr>
          </w:p>
        </w:tc>
        <w:tc>
          <w:tcPr>
            <w:tcW w:w="6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ind w:left="124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1"/>
        </w:trPr>
        <w:tc>
          <w:tcPr>
            <w:tcW w:w="1500" w:type="dxa"/>
            <w:vAlign w:val="bottom"/>
          </w:tcPr>
          <w:p>
            <w:pPr>
              <w:spacing w:after="0"/>
              <w:rPr>
                <w:sz w:val="11"/>
                <w:szCs w:val="11"/>
                <w:color w:val="auto"/>
              </w:rPr>
            </w:pPr>
          </w:p>
        </w:tc>
        <w:tc>
          <w:tcPr>
            <w:tcW w:w="6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60" w:type="dxa"/>
            <w:vAlign w:val="bottom"/>
            <w:gridSpan w:val="3"/>
          </w:tcPr>
          <w:p>
            <w:pPr>
              <w:ind w:left="220"/>
              <w:spacing w:after="0" w:line="131"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1"/>
                <w:szCs w:val="11"/>
                <w:color w:val="auto"/>
              </w:rPr>
            </w:pPr>
          </w:p>
        </w:tc>
        <w:tc>
          <w:tcPr>
            <w:tcW w:w="1340" w:type="dxa"/>
            <w:vAlign w:val="bottom"/>
          </w:tcPr>
          <w:p>
            <w:pPr>
              <w:jc w:val="right"/>
              <w:ind w:right="254"/>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1"/>
                <w:szCs w:val="11"/>
                <w:color w:val="auto"/>
              </w:rPr>
            </w:pPr>
          </w:p>
        </w:tc>
      </w:tr>
      <w:tr>
        <w:trPr>
          <w:trHeight w:val="187"/>
        </w:trPr>
        <w:tc>
          <w:tcPr>
            <w:tcW w:w="1500" w:type="dxa"/>
            <w:vAlign w:val="bottom"/>
          </w:tcPr>
          <w:p>
            <w:pPr>
              <w:spacing w:after="0"/>
              <w:rPr>
                <w:sz w:val="16"/>
                <w:szCs w:val="16"/>
                <w:color w:val="auto"/>
              </w:rPr>
            </w:pPr>
          </w:p>
        </w:tc>
        <w:tc>
          <w:tcPr>
            <w:tcW w:w="6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6"/>
        </w:trPr>
        <w:tc>
          <w:tcPr>
            <w:tcW w:w="7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Ongoing accrued expenses (1)</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375,796</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277,037</w:t>
            </w:r>
          </w:p>
        </w:tc>
        <w:tc>
          <w:tcPr>
            <w:tcW w:w="100" w:type="dxa"/>
            <w:vAlign w:val="bottom"/>
            <w:shd w:val="clear" w:color="auto" w:fill="CFF0FC"/>
          </w:tcPr>
          <w:p>
            <w:pPr>
              <w:spacing w:after="0"/>
              <w:rPr>
                <w:sz w:val="20"/>
                <w:szCs w:val="20"/>
                <w:color w:val="auto"/>
              </w:rPr>
            </w:pPr>
          </w:p>
        </w:tc>
      </w:tr>
      <w:tr>
        <w:trPr>
          <w:trHeight w:val="238"/>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Project-related provisions</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57,833</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55,569</w:t>
            </w:r>
          </w:p>
        </w:tc>
        <w:tc>
          <w:tcPr>
            <w:tcW w:w="100" w:type="dxa"/>
            <w:vAlign w:val="bottom"/>
          </w:tcPr>
          <w:p>
            <w:pPr>
              <w:spacing w:after="0"/>
              <w:rPr>
                <w:sz w:val="20"/>
                <w:szCs w:val="20"/>
                <w:color w:val="auto"/>
              </w:rPr>
            </w:pPr>
          </w:p>
        </w:tc>
      </w:tr>
      <w:tr>
        <w:trPr>
          <w:trHeight w:val="247"/>
        </w:trPr>
        <w:tc>
          <w:tcPr>
            <w:tcW w:w="7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Dividends payable</w:t>
            </w:r>
          </w:p>
        </w:tc>
        <w:tc>
          <w:tcPr>
            <w:tcW w:w="3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54,703</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51,053</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Taxes payable (2)</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56,118</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47,470</w:t>
            </w:r>
          </w:p>
        </w:tc>
        <w:tc>
          <w:tcPr>
            <w:tcW w:w="100" w:type="dxa"/>
            <w:vAlign w:val="bottom"/>
          </w:tcPr>
          <w:p>
            <w:pPr>
              <w:spacing w:after="0"/>
              <w:rPr>
                <w:sz w:val="20"/>
                <w:szCs w:val="20"/>
                <w:color w:val="auto"/>
              </w:rPr>
            </w:pPr>
          </w:p>
        </w:tc>
      </w:tr>
      <w:tr>
        <w:trPr>
          <w:trHeight w:val="247"/>
        </w:trPr>
        <w:tc>
          <w:tcPr>
            <w:tcW w:w="7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3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12,122</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41,667</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(1)</w:t>
            </w: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179,141</w:t>
            </w:r>
          </w:p>
        </w:tc>
        <w:tc>
          <w:tcPr>
            <w:tcW w:w="2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161,946</w:t>
            </w:r>
          </w:p>
        </w:tc>
        <w:tc>
          <w:tcPr>
            <w:tcW w:w="100" w:type="dxa"/>
            <w:vAlign w:val="bottom"/>
          </w:tcPr>
          <w:p>
            <w:pPr>
              <w:spacing w:after="0"/>
              <w:rPr>
                <w:sz w:val="20"/>
                <w:szCs w:val="20"/>
                <w:color w:val="auto"/>
              </w:rPr>
            </w:pPr>
          </w:p>
        </w:tc>
      </w:tr>
      <w:tr>
        <w:trPr>
          <w:trHeight w:val="276"/>
        </w:trPr>
        <w:tc>
          <w:tcPr>
            <w:tcW w:w="77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735,713</w:t>
            </w:r>
          </w:p>
        </w:tc>
        <w:tc>
          <w:tcPr>
            <w:tcW w:w="28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auto"/>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634,742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106"/>
        </w:trPr>
        <w:tc>
          <w:tcPr>
            <w:tcW w:w="1500" w:type="dxa"/>
            <w:vAlign w:val="bottom"/>
            <w:tcBorders>
              <w:bottom w:val="single" w:sz="8" w:color="auto"/>
            </w:tcBorders>
          </w:tcPr>
          <w:p>
            <w:pPr>
              <w:spacing w:after="0"/>
              <w:rPr>
                <w:sz w:val="9"/>
                <w:szCs w:val="9"/>
                <w:color w:val="auto"/>
              </w:rPr>
            </w:pPr>
          </w:p>
        </w:tc>
        <w:tc>
          <w:tcPr>
            <w:tcW w:w="6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-110490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-93345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-110490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 w:lineRule="exact"/>
        <w:rPr>
          <w:sz w:val="20"/>
          <w:szCs w:val="20"/>
          <w:color w:val="auto"/>
        </w:rPr>
      </w:pPr>
    </w:p>
    <w:p>
      <w:pPr>
        <w:ind w:left="260" w:hanging="252"/>
        <w:spacing w:after="0"/>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amounts were reclassified from "other" to "ongoing accrued expenses" to conform the prior period to the current year presentation.</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further details, please see Note 11 to the consolidated financial statements.</w:t>
      </w:r>
    </w:p>
    <w:p>
      <w:pPr>
        <w:spacing w:after="0" w:line="162" w:lineRule="exact"/>
        <w:rPr>
          <w:sz w:val="20"/>
          <w:szCs w:val="20"/>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 charges</w:t>
      </w:r>
    </w:p>
    <w:p>
      <w:pPr>
        <w:spacing w:after="0" w:line="229"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During fiscal year 2023, the Company conducted certain restructuring actions, primarily associated with alignment of the Company’s workforce around its global site strategy, the optimization of the Company’s hybrid work mod</w:t>
      </w:r>
      <w:r>
        <w:rPr>
          <w:rFonts w:ascii="Times New Roman" w:cs="Times New Roman" w:eastAsia="Times New Roman" w:hAnsi="Times New Roman"/>
          <w:sz w:val="18"/>
          <w:szCs w:val="18"/>
          <w:color w:val="404040"/>
        </w:rPr>
        <w:t>el, as well as</w:t>
      </w:r>
      <w:r>
        <w:rPr>
          <w:rFonts w:ascii="Times New Roman" w:cs="Times New Roman" w:eastAsia="Times New Roman" w:hAnsi="Times New Roman"/>
          <w:sz w:val="18"/>
          <w:szCs w:val="18"/>
          <w:color w:val="auto"/>
        </w:rPr>
        <w:t xml:space="preserve"> appropriate measures to optimize expenditures and resource allocation, as a result of which, the Company incurred restructuring charges of $70,901. The remaining liability, as of June 30, 2024, is expected to be paid during the remainder of fiscal year 2024.</w:t>
      </w:r>
    </w:p>
    <w:p>
      <w:pPr>
        <w:spacing w:after="0" w:line="1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restructuring activities for the fiscal year 2023 plan, as of June 30, 2024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Workforce</w:t>
            </w:r>
          </w:p>
        </w:tc>
        <w:tc>
          <w:tcPr>
            <w:tcW w:w="280" w:type="dxa"/>
            <w:vAlign w:val="bottom"/>
          </w:tcPr>
          <w:p>
            <w:pPr>
              <w:spacing w:after="0"/>
              <w:rPr>
                <w:sz w:val="16"/>
                <w:szCs w:val="16"/>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Premises and other</w:t>
            </w: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r>
      <w:tr>
        <w:trPr>
          <w:trHeight w:val="23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Liability as of October 1, 2022</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53,547</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17,354</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70,901</w:t>
            </w:r>
          </w:p>
        </w:tc>
        <w:tc>
          <w:tcPr>
            <w:tcW w:w="100" w:type="dxa"/>
            <w:vAlign w:val="bottom"/>
          </w:tcPr>
          <w:p>
            <w:pPr>
              <w:spacing w:after="0"/>
              <w:rPr>
                <w:sz w:val="20"/>
                <w:szCs w:val="20"/>
                <w:color w:val="auto"/>
              </w:rPr>
            </w:pPr>
          </w:p>
        </w:tc>
      </w:tr>
      <w:tr>
        <w:trPr>
          <w:trHeight w:val="247"/>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22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(25,870 )</w:t>
            </w:r>
          </w:p>
        </w:tc>
        <w:tc>
          <w:tcPr>
            <w:tcW w:w="4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(3,991 )</w:t>
            </w: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(29,861 )</w:t>
            </w:r>
          </w:p>
        </w:tc>
      </w:tr>
      <w:tr>
        <w:trPr>
          <w:trHeight w:val="24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items</w:t>
            </w:r>
          </w:p>
        </w:tc>
        <w:tc>
          <w:tcPr>
            <w:tcW w:w="22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(2,846 )</w:t>
            </w:r>
          </w:p>
        </w:tc>
        <w:tc>
          <w:tcPr>
            <w:tcW w:w="44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(10,998 )</w:t>
            </w:r>
          </w:p>
        </w:tc>
        <w:tc>
          <w:tcPr>
            <w:tcW w:w="30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(13,844 )</w:t>
            </w:r>
          </w:p>
        </w:tc>
      </w:tr>
      <w:tr>
        <w:trPr>
          <w:trHeight w:val="23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Liability as of September 30, 2023</w:t>
            </w: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24,831</w:t>
            </w:r>
          </w:p>
        </w:tc>
        <w:tc>
          <w:tcPr>
            <w:tcW w:w="280" w:type="dxa"/>
            <w:vAlign w:val="bottom"/>
            <w:shd w:val="clear" w:color="auto" w:fill="CFF0FC"/>
          </w:tcPr>
          <w:p>
            <w:pPr>
              <w:spacing w:after="0"/>
              <w:rPr>
                <w:sz w:val="20"/>
                <w:szCs w:val="20"/>
                <w:color w:val="auto"/>
              </w:rPr>
            </w:pPr>
          </w:p>
        </w:tc>
        <w:tc>
          <w:tcPr>
            <w:tcW w:w="440" w:type="dxa"/>
            <w:vAlign w:val="bottom"/>
            <w:tcBorders>
              <w:top w:val="single" w:sz="8" w:color="auto"/>
            </w:tcBorders>
            <w:shd w:val="clear" w:color="auto" w:fill="CFF0FC"/>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26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27,196</w:t>
            </w:r>
          </w:p>
        </w:tc>
        <w:tc>
          <w:tcPr>
            <w:tcW w:w="100" w:type="dxa"/>
            <w:vAlign w:val="bottom"/>
            <w:shd w:val="clear" w:color="auto" w:fill="CFF0FC"/>
          </w:tcPr>
          <w:p>
            <w:pPr>
              <w:spacing w:after="0"/>
              <w:rPr>
                <w:sz w:val="20"/>
                <w:szCs w:val="20"/>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22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(1,138 )</w:t>
            </w:r>
          </w:p>
        </w:tc>
        <w:tc>
          <w:tcPr>
            <w:tcW w:w="4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(1,138 )</w:t>
            </w:r>
          </w:p>
        </w:tc>
      </w:tr>
      <w:tr>
        <w:trPr>
          <w:trHeight w:val="247"/>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22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(19,369 )</w:t>
            </w:r>
          </w:p>
        </w:tc>
        <w:tc>
          <w:tcPr>
            <w:tcW w:w="4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(1,342 )</w:t>
            </w: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(20,711 )</w:t>
            </w:r>
          </w:p>
        </w:tc>
      </w:tr>
      <w:tr>
        <w:trPr>
          <w:trHeight w:val="24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items</w:t>
            </w:r>
          </w:p>
        </w:tc>
        <w:tc>
          <w:tcPr>
            <w:tcW w:w="22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(1,939 )</w:t>
            </w:r>
          </w:p>
        </w:tc>
        <w:tc>
          <w:tcPr>
            <w:tcW w:w="44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(578 )</w:t>
            </w:r>
          </w:p>
        </w:tc>
        <w:tc>
          <w:tcPr>
            <w:tcW w:w="30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(2,517 )</w:t>
            </w:r>
          </w:p>
        </w:tc>
      </w:tr>
      <w:tr>
        <w:trPr>
          <w:trHeight w:val="276"/>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Liability as of June 30, 2024</w:t>
            </w: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28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top w:val="single" w:sz="8" w:color="auto"/>
              <w:bottom w:val="single" w:sz="8" w:color="auto"/>
            </w:tcBorders>
            <w:shd w:val="clear" w:color="auto" w:fill="CFF0FC"/>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2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-24765</wp:posOffset>
            </wp:positionV>
            <wp:extent cx="7683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-7620</wp:posOffset>
            </wp:positionV>
            <wp:extent cx="7683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-24765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-7620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80" w:firstLine="509"/>
        <w:spacing w:after="0" w:line="271" w:lineRule="auto"/>
        <w:rPr>
          <w:sz w:val="20"/>
          <w:szCs w:val="20"/>
          <w:color w:val="auto"/>
        </w:rPr>
      </w:pPr>
      <w:r>
        <w:rPr>
          <w:rFonts w:ascii="Times New Roman" w:cs="Times New Roman" w:eastAsia="Times New Roman" w:hAnsi="Times New Roman"/>
          <w:sz w:val="18"/>
          <w:szCs w:val="18"/>
          <w:color w:val="auto"/>
        </w:rPr>
        <w:t>During the second quarter of fiscal year 2024, the Company took the first round of actions under a new restructuring plan and incurred restructuring charges of $34,045. In the three months ended June 30, 2024, the Company took additional actions under this plan and incurred restructuring charges of $14,968. The restructuring charges in fiscal 2024 were mainly comprised of employee severance expenses and benefits arrangements, which are expected to be paid over the coming several quarters. The Company expects to execute the remainder of this plan over the next several quarters.</w:t>
      </w:r>
    </w:p>
    <w:p>
      <w:pPr>
        <w:sectPr>
          <w:pgSz w:w="11900" w:h="16838" w:orient="portrait"/>
          <w:cols w:equalWidth="0" w:num="1">
            <w:col w:w="11240"/>
          </w:cols>
          <w:pgMar w:left="320" w:top="764" w:right="339" w:bottom="104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045" w:gutter="0" w:footer="0" w:header="0"/>
          <w:type w:val="continuous"/>
        </w:sectPr>
      </w:pPr>
    </w:p>
    <w:bookmarkStart w:id="16" w:name="page17"/>
    <w:bookmarkEnd w:id="1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 or as otherwise disclosed)</w:t>
      </w:r>
    </w:p>
    <w:p>
      <w:pPr>
        <w:spacing w:after="0" w:line="1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restructuring activities for the fiscal year 2024 plan as of June 30, 2024 were as follows:</w:t>
      </w:r>
    </w:p>
    <w:p>
      <w:pPr>
        <w:spacing w:after="0" w:line="232" w:lineRule="exact"/>
        <w:rPr>
          <w:sz w:val="20"/>
          <w:szCs w:val="20"/>
          <w:color w:val="auto"/>
        </w:rPr>
      </w:pPr>
    </w:p>
    <w:p>
      <w:pPr>
        <w:jc w:val="both"/>
        <w:ind w:left="6960"/>
        <w:spacing w:after="0"/>
        <w:tabs>
          <w:tab w:leader="none" w:pos="8300" w:val="left"/>
          <w:tab w:leader="none" w:pos="10300" w:val="left"/>
        </w:tabs>
        <w:rPr>
          <w:sz w:val="20"/>
          <w:szCs w:val="20"/>
          <w:color w:val="auto"/>
        </w:rPr>
      </w:pPr>
      <w:r>
        <w:rPr>
          <w:rFonts w:ascii="Times New Roman" w:cs="Times New Roman" w:eastAsia="Times New Roman" w:hAnsi="Times New Roman"/>
          <w:sz w:val="14"/>
          <w:szCs w:val="14"/>
          <w:b w:val="1"/>
          <w:bCs w:val="1"/>
          <w:color w:val="auto"/>
        </w:rPr>
        <w:t>Workforce</w:t>
      </w:r>
      <w:r>
        <w:rPr>
          <w:sz w:val="20"/>
          <w:szCs w:val="20"/>
          <w:color w:val="auto"/>
        </w:rPr>
        <w:tab/>
      </w:r>
      <w:r>
        <w:rPr>
          <w:rFonts w:ascii="Times New Roman" w:cs="Times New Roman" w:eastAsia="Times New Roman" w:hAnsi="Times New Roman"/>
          <w:sz w:val="14"/>
          <w:szCs w:val="14"/>
          <w:b w:val="1"/>
          <w:bCs w:val="1"/>
          <w:color w:val="auto"/>
        </w:rPr>
        <w:t>Premises and other</w:t>
      </w:r>
      <w:r>
        <w:rPr>
          <w:sz w:val="20"/>
          <w:szCs w:val="20"/>
          <w:color w:val="auto"/>
        </w:rPr>
        <w:tab/>
      </w:r>
      <w:r>
        <w:rPr>
          <w:rFonts w:ascii="Times New Roman" w:cs="Times New Roman" w:eastAsia="Times New Roman" w:hAnsi="Times New Roman"/>
          <w:sz w:val="14"/>
          <w:szCs w:val="14"/>
          <w:b w:val="1"/>
          <w:bCs w:val="1"/>
          <w:color w:val="auto"/>
        </w:rPr>
        <w:t>Total</w:t>
      </w:r>
    </w:p>
    <w:p>
      <w:pPr>
        <w:sectPr>
          <w:pgSz w:w="11900" w:h="16838" w:orient="portrait"/>
          <w:cols w:equalWidth="0" w:num="1">
            <w:col w:w="11300"/>
          </w:cols>
          <w:pgMar w:left="320" w:top="764" w:right="279" w:bottom="1440" w:gutter="0" w:footer="0" w:header="0"/>
        </w:sectPr>
      </w:pP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Liability as of October 1, 2023</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Restructuring charges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Payments</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Non-Cash items</w:t>
      </w:r>
    </w:p>
    <w:p>
      <w:pPr>
        <w:spacing w:after="0" w:line="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Liability as of March 31, 2024</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Restructuring charges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Payments</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Non-Cash items</w:t>
      </w:r>
    </w:p>
    <w:p>
      <w:pPr>
        <w:spacing w:after="0" w:line="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Liability as of June 30, 2024</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1"/>
        </w:trPr>
        <w:tc>
          <w:tcPr>
            <w:tcW w:w="4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42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r>
        <w:trPr>
          <w:trHeight w:val="234"/>
        </w:trPr>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26,947</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7,098</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34,045</w:t>
            </w:r>
          </w:p>
        </w:tc>
        <w:tc>
          <w:tcPr>
            <w:tcW w:w="60" w:type="dxa"/>
            <w:vAlign w:val="bottom"/>
          </w:tcPr>
          <w:p>
            <w:pPr>
              <w:spacing w:after="0"/>
              <w:rPr>
                <w:sz w:val="20"/>
                <w:szCs w:val="20"/>
                <w:color w:val="auto"/>
              </w:rPr>
            </w:pPr>
          </w:p>
        </w:tc>
      </w:tr>
      <w:tr>
        <w:trPr>
          <w:trHeight w:val="243"/>
        </w:trPr>
        <w:tc>
          <w:tcPr>
            <w:tcW w:w="44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(2,107 )</w:t>
            </w:r>
          </w:p>
        </w:tc>
        <w:tc>
          <w:tcPr>
            <w:tcW w:w="48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(2,107 )</w:t>
            </w:r>
          </w:p>
        </w:tc>
      </w:tr>
      <w:tr>
        <w:trPr>
          <w:trHeight w:val="250"/>
        </w:trPr>
        <w:tc>
          <w:tcPr>
            <w:tcW w:w="440" w:type="dxa"/>
            <w:vAlign w:val="bottom"/>
          </w:tcPr>
          <w:p>
            <w:pPr>
              <w:spacing w:after="0"/>
              <w:rPr>
                <w:sz w:val="21"/>
                <w:szCs w:val="21"/>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(5,937 )</w:t>
            </w:r>
          </w:p>
        </w:tc>
        <w:tc>
          <w:tcPr>
            <w:tcW w:w="42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(5,937 )</w:t>
            </w:r>
          </w:p>
        </w:tc>
      </w:tr>
      <w:tr>
        <w:trPr>
          <w:trHeight w:val="238"/>
        </w:trPr>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24,840</w:t>
            </w:r>
          </w:p>
        </w:tc>
        <w:tc>
          <w:tcPr>
            <w:tcW w:w="28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26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26,001</w:t>
            </w:r>
          </w:p>
        </w:tc>
        <w:tc>
          <w:tcPr>
            <w:tcW w:w="60" w:type="dxa"/>
            <w:vAlign w:val="bottom"/>
          </w:tcPr>
          <w:p>
            <w:pPr>
              <w:spacing w:after="0"/>
              <w:rPr>
                <w:sz w:val="20"/>
                <w:szCs w:val="20"/>
                <w:color w:val="auto"/>
              </w:rPr>
            </w:pP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9"/>
        </w:trPr>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14,517</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14,968</w:t>
            </w:r>
          </w:p>
        </w:tc>
        <w:tc>
          <w:tcPr>
            <w:tcW w:w="60" w:type="dxa"/>
            <w:vAlign w:val="bottom"/>
          </w:tcPr>
          <w:p>
            <w:pPr>
              <w:spacing w:after="0"/>
              <w:rPr>
                <w:sz w:val="19"/>
                <w:szCs w:val="19"/>
                <w:color w:val="auto"/>
              </w:rPr>
            </w:pPr>
          </w:p>
        </w:tc>
      </w:tr>
      <w:tr>
        <w:trPr>
          <w:trHeight w:val="238"/>
        </w:trPr>
        <w:tc>
          <w:tcPr>
            <w:tcW w:w="44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(14,394 )</w:t>
            </w:r>
          </w:p>
        </w:tc>
        <w:tc>
          <w:tcPr>
            <w:tcW w:w="48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(50 )</w:t>
            </w:r>
          </w:p>
        </w:tc>
        <w:tc>
          <w:tcPr>
            <w:tcW w:w="42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(14,444 )</w:t>
            </w:r>
          </w:p>
        </w:tc>
      </w:tr>
      <w:tr>
        <w:trPr>
          <w:trHeight w:val="250"/>
        </w:trPr>
        <w:tc>
          <w:tcPr>
            <w:tcW w:w="44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(161 )</w:t>
            </w:r>
          </w:p>
        </w:tc>
        <w:tc>
          <w:tcPr>
            <w:tcW w:w="48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(601 )</w:t>
            </w:r>
          </w:p>
        </w:tc>
        <w:tc>
          <w:tcPr>
            <w:tcW w:w="42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(762 )</w:t>
            </w:r>
          </w:p>
        </w:tc>
      </w:tr>
      <w:tr>
        <w:trPr>
          <w:trHeight w:val="238"/>
        </w:trPr>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24,802</w:t>
            </w:r>
          </w:p>
        </w:tc>
        <w:tc>
          <w:tcPr>
            <w:tcW w:w="28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26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25,763</w:t>
            </w:r>
          </w:p>
        </w:tc>
        <w:tc>
          <w:tcPr>
            <w:tcW w:w="60" w:type="dxa"/>
            <w:vAlign w:val="bottom"/>
          </w:tcPr>
          <w:p>
            <w:pPr>
              <w:spacing w:after="0"/>
              <w:rPr>
                <w:sz w:val="20"/>
                <w:szCs w:val="20"/>
                <w:color w:val="auto"/>
              </w:rPr>
            </w:pP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-1454785</wp:posOffset>
            </wp:positionV>
            <wp:extent cx="7132320" cy="1543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-1146810</wp:posOffset>
            </wp:positionV>
            <wp:extent cx="7132320" cy="1543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-495935</wp:posOffset>
            </wp:positionV>
            <wp:extent cx="7132320" cy="1543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-829945</wp:posOffset>
            </wp:positionV>
            <wp:extent cx="7132320" cy="1797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-179070</wp:posOffset>
            </wp:positionV>
            <wp:extent cx="7132320" cy="1797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900" w:space="720"/>
            <w:col w:w="4680"/>
          </w:cols>
          <w:pgMar w:left="320" w:top="764" w:right="279" w:bottom="1440" w:gutter="0" w:footer="0" w:header="0"/>
          <w:type w:val="continuous"/>
        </w:sectPr>
      </w:pPr>
    </w:p>
    <w:p>
      <w:pPr>
        <w:spacing w:after="0" w:line="182" w:lineRule="exact"/>
        <w:rPr>
          <w:sz w:val="20"/>
          <w:szCs w:val="20"/>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8"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provision for income taxes for the following periods consisted of:</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6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Pr>
          <w:p>
            <w:pPr>
              <w:spacing w:after="0"/>
              <w:rPr>
                <w:sz w:val="16"/>
                <w:szCs w:val="16"/>
                <w:color w:val="auto"/>
              </w:rPr>
            </w:pPr>
          </w:p>
        </w:tc>
        <w:tc>
          <w:tcPr>
            <w:tcW w:w="236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r>
      <w:tr>
        <w:trPr>
          <w:trHeight w:val="169"/>
        </w:trPr>
        <w:tc>
          <w:tcPr>
            <w:tcW w:w="58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40,904</w:t>
            </w: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36,727</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90,836</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108,353</w:t>
            </w:r>
          </w:p>
        </w:tc>
        <w:tc>
          <w:tcPr>
            <w:tcW w:w="100" w:type="dxa"/>
            <w:vAlign w:val="bottom"/>
            <w:shd w:val="clear" w:color="auto" w:fill="CFF0FC"/>
          </w:tcPr>
          <w:p>
            <w:pPr>
              <w:spacing w:after="0"/>
              <w:rPr>
                <w:sz w:val="20"/>
                <w:szCs w:val="20"/>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24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(12,906 )</w:t>
            </w:r>
          </w:p>
        </w:tc>
        <w:tc>
          <w:tcPr>
            <w:tcW w:w="28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(18,549 )</w:t>
            </w:r>
          </w:p>
        </w:tc>
        <w:tc>
          <w:tcPr>
            <w:tcW w:w="26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(12,347 )</w:t>
            </w:r>
          </w:p>
        </w:tc>
        <w:tc>
          <w:tcPr>
            <w:tcW w:w="26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(45,906 )</w:t>
            </w:r>
          </w:p>
        </w:tc>
      </w:tr>
      <w:tr>
        <w:trPr>
          <w:trHeight w:val="276"/>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27,998</w:t>
            </w:r>
          </w:p>
        </w:tc>
        <w:tc>
          <w:tcPr>
            <w:tcW w:w="2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18,178</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78,489</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62,447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-24765</wp:posOffset>
            </wp:positionV>
            <wp:extent cx="768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-7620</wp:posOffset>
            </wp:positionV>
            <wp:extent cx="768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-24765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-7620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-24765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-7620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effective income tax rate varied from the statutory Guernsey tax rate as follows for the following periods: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2220" w:type="dxa"/>
            <w:vAlign w:val="bottom"/>
            <w:gridSpan w:val="4"/>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720" w:type="dxa"/>
            <w:vAlign w:val="bottom"/>
            <w:gridSpan w:val="6"/>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576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right="34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tcBorders>
              <w:bottom w:val="single" w:sz="8" w:color="auto"/>
            </w:tcBorders>
            <w:gridSpan w:val="3"/>
          </w:tcPr>
          <w:p>
            <w:pPr>
              <w:jc w:val="center"/>
              <w:ind w:left="77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76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28"/>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Statutory Guernsey tax rate</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0 %</w:t>
            </w:r>
          </w:p>
        </w:tc>
        <w:tc>
          <w:tcPr>
            <w:tcW w:w="78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0 %</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0 %</w:t>
            </w:r>
          </w:p>
        </w:tc>
        <w:tc>
          <w:tcPr>
            <w:tcW w:w="32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45"/>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taxes (1)</w:t>
            </w:r>
          </w:p>
        </w:tc>
        <w:tc>
          <w:tcPr>
            <w:tcW w:w="8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4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16.6 %</w:t>
            </w:r>
          </w:p>
        </w:tc>
        <w:tc>
          <w:tcPr>
            <w:tcW w:w="780" w:type="dxa"/>
            <w:vAlign w:val="bottom"/>
          </w:tcPr>
          <w:p>
            <w:pPr>
              <w:spacing w:after="0"/>
              <w:rPr>
                <w:sz w:val="20"/>
                <w:szCs w:val="20"/>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10.2 %</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16.1 %</w:t>
            </w:r>
          </w:p>
        </w:tc>
        <w:tc>
          <w:tcPr>
            <w:tcW w:w="32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12.4 %</w:t>
            </w:r>
          </w:p>
        </w:tc>
      </w:tr>
      <w:tr>
        <w:trPr>
          <w:trHeight w:val="20"/>
        </w:trPr>
        <w:tc>
          <w:tcPr>
            <w:tcW w:w="57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-495935</wp:posOffset>
            </wp:positionV>
            <wp:extent cx="7132320" cy="1543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77" w:lineRule="exact"/>
        <w:rPr>
          <w:sz w:val="20"/>
          <w:szCs w:val="20"/>
          <w:color w:val="auto"/>
        </w:rPr>
      </w:pPr>
    </w:p>
    <w:p>
      <w:pPr>
        <w:jc w:val="both"/>
        <w:ind w:right="60" w:firstLine="509"/>
        <w:spacing w:after="0" w:line="281" w:lineRule="auto"/>
        <w:rPr>
          <w:sz w:val="20"/>
          <w:szCs w:val="20"/>
          <w:color w:val="auto"/>
        </w:rPr>
      </w:pPr>
      <w:r>
        <w:rPr>
          <w:rFonts w:ascii="Times New Roman" w:cs="Times New Roman" w:eastAsia="Times New Roman" w:hAnsi="Times New Roman"/>
          <w:sz w:val="18"/>
          <w:szCs w:val="18"/>
          <w:color w:val="auto"/>
        </w:rPr>
        <w:t>As a Guernsey company subject to a corporate tax rate of zero percent, the Company's overall effective tax rate is attributable to foreign taxes. The change in rate is primarily driven by discrete items in the respective period presented as outlined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95059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32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i w:val="1"/>
          <w:iCs w:val="1"/>
          <w:u w:val="single" w:color="auto"/>
          <w:color w:val="auto"/>
        </w:rPr>
        <w:t>(1)</w:t>
      </w:r>
      <w:r>
        <w:rPr>
          <w:sz w:val="20"/>
          <w:szCs w:val="20"/>
          <w:color w:val="auto"/>
        </w:rPr>
        <w:tab/>
      </w:r>
      <w:r>
        <w:rPr>
          <w:rFonts w:ascii="Times New Roman" w:cs="Times New Roman" w:eastAsia="Times New Roman" w:hAnsi="Times New Roman"/>
          <w:sz w:val="17"/>
          <w:szCs w:val="17"/>
          <w:b w:val="1"/>
          <w:bCs w:val="1"/>
          <w:i w:val="1"/>
          <w:iCs w:val="1"/>
          <w:u w:val="single" w:color="auto"/>
          <w:color w:val="auto"/>
        </w:rPr>
        <w:t>Foreign taxes for the nine months ended June 30, 2024:</w:t>
      </w:r>
    </w:p>
    <w:p>
      <w:pPr>
        <w:spacing w:after="0" w:line="229" w:lineRule="exact"/>
        <w:rPr>
          <w:sz w:val="20"/>
          <w:szCs w:val="20"/>
          <w:color w:val="auto"/>
        </w:rPr>
      </w:pPr>
    </w:p>
    <w:p>
      <w:pPr>
        <w:jc w:val="both"/>
        <w:ind w:right="60" w:firstLine="509"/>
        <w:spacing w:after="0" w:line="265" w:lineRule="auto"/>
        <w:rPr>
          <w:sz w:val="20"/>
          <w:szCs w:val="20"/>
          <w:color w:val="auto"/>
        </w:rPr>
      </w:pPr>
      <w:r>
        <w:rPr>
          <w:rFonts w:ascii="Times New Roman" w:cs="Times New Roman" w:eastAsia="Times New Roman" w:hAnsi="Times New Roman"/>
          <w:sz w:val="18"/>
          <w:szCs w:val="18"/>
          <w:color w:val="auto"/>
        </w:rPr>
        <w:t>Foreign taxes in the nine months ended June 30, 2024 included a benefit of $80,360 relating primarily to release of gross unrecognized tax benefits due to settlements of tax audits, and expiration of the periods set forth in statutes of limitations in certain jurisdictions. Part of the release was offset by an increase in taxes payable and tax payments, and, as a result, a net benefit of $46,573 was included within income tax expense for the period.</w:t>
      </w:r>
    </w:p>
    <w:p>
      <w:pPr>
        <w:spacing w:after="0" w:line="389"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i w:val="1"/>
          <w:iCs w:val="1"/>
          <w:u w:val="single" w:color="auto"/>
          <w:color w:val="auto"/>
        </w:rPr>
        <w:t>(1)</w:t>
      </w:r>
      <w:r>
        <w:rPr>
          <w:sz w:val="20"/>
          <w:szCs w:val="20"/>
          <w:color w:val="auto"/>
        </w:rPr>
        <w:tab/>
      </w:r>
      <w:r>
        <w:rPr>
          <w:rFonts w:ascii="Times New Roman" w:cs="Times New Roman" w:eastAsia="Times New Roman" w:hAnsi="Times New Roman"/>
          <w:sz w:val="17"/>
          <w:szCs w:val="17"/>
          <w:b w:val="1"/>
          <w:bCs w:val="1"/>
          <w:i w:val="1"/>
          <w:iCs w:val="1"/>
          <w:u w:val="single" w:color="auto"/>
          <w:color w:val="auto"/>
        </w:rPr>
        <w:t>Foreign taxes for the nine months ended June 30, 2023:</w:t>
      </w:r>
    </w:p>
    <w:p>
      <w:pPr>
        <w:spacing w:after="0" w:line="229" w:lineRule="exact"/>
        <w:rPr>
          <w:sz w:val="20"/>
          <w:szCs w:val="20"/>
          <w:color w:val="auto"/>
        </w:rPr>
      </w:pPr>
    </w:p>
    <w:p>
      <w:pPr>
        <w:ind w:right="340" w:firstLine="270"/>
        <w:spacing w:after="0" w:line="265" w:lineRule="auto"/>
        <w:rPr>
          <w:sz w:val="20"/>
          <w:szCs w:val="20"/>
          <w:color w:val="auto"/>
        </w:rPr>
      </w:pPr>
      <w:r>
        <w:rPr>
          <w:rFonts w:ascii="Times New Roman" w:cs="Times New Roman" w:eastAsia="Times New Roman" w:hAnsi="Times New Roman"/>
          <w:sz w:val="18"/>
          <w:szCs w:val="18"/>
          <w:color w:val="auto"/>
        </w:rPr>
        <w:t>During the nine months ended June 30, 2023, the Company recorded a tax benefit of $22,700 related to the release of accrued withholding taxes on unremitted earnings accumulated in Israel. The release of the accrued withholding taxes followed the Company’s funding of TEOCO Service Assurance acquisition and the construction of its new Israeli campus.</w:t>
      </w:r>
    </w:p>
    <w:p>
      <w:pPr>
        <w:spacing w:after="0" w:line="177" w:lineRule="exact"/>
        <w:rPr>
          <w:sz w:val="20"/>
          <w:szCs w:val="20"/>
          <w:color w:val="auto"/>
        </w:rPr>
      </w:pPr>
    </w:p>
    <w:p>
      <w:pPr>
        <w:jc w:val="both"/>
        <w:ind w:right="60" w:firstLine="509"/>
        <w:spacing w:after="0" w:line="265" w:lineRule="auto"/>
        <w:rPr>
          <w:sz w:val="20"/>
          <w:szCs w:val="20"/>
          <w:color w:val="auto"/>
        </w:rPr>
      </w:pPr>
      <w:r>
        <w:rPr>
          <w:rFonts w:ascii="Times New Roman" w:cs="Times New Roman" w:eastAsia="Times New Roman" w:hAnsi="Times New Roman"/>
          <w:sz w:val="18"/>
          <w:szCs w:val="18"/>
          <w:color w:val="auto"/>
        </w:rPr>
        <w:t>Foreign taxes in the nine months ended June 30, 2023 also included a benefit of $40,419 relating to release of gross unrecognized tax benefits due to settlements of tax audits and expiration of the periods set forth in statutes of limitations in certain jurisdictions. The majority of the release was offset by tax payments and, as a result, a net benefit of $16,007 was included within income tax expense for the nine months ended June 30, 2023.</w:t>
      </w:r>
    </w:p>
    <w:p>
      <w:pPr>
        <w:sectPr>
          <w:pgSz w:w="11900" w:h="16838" w:orient="portrait"/>
          <w:cols w:equalWidth="0" w:num="1">
            <w:col w:w="11300"/>
          </w:cols>
          <w:pgMar w:left="320" w:top="764" w:right="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764" w:right="279" w:bottom="1440" w:gutter="0" w:footer="0" w:header="0"/>
          <w:type w:val="continuous"/>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 or as otherwise disclosed)</w:t>
      </w:r>
    </w:p>
    <w:p>
      <w:pPr>
        <w:spacing w:after="0" w:line="166"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Foreign taxes in the nine months ended June 30, 2023 also included a recognition of tax benefit of $8,566 resulting from internal structural changes in certain jurisdictions in which the Company operates, a benefit of $9,236 due to a change in measurement of a deferred tax liability following a regulatory clarification, and a benefit of $3,142 relating to changes in tax regulations in certain jurisdictions.</w:t>
      </w:r>
    </w:p>
    <w:p>
      <w:pPr>
        <w:spacing w:after="0" w:line="150"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As previously disclosed in the Company’s Annual Report on Form 20-F for fiscal year 2022, our primary Israeli subsidiary has elected, during fiscal year 2022, to pay the reduced corporate tax on all of its “previously exempt earnings” based on a temporary order of the Israeli budget law. Following this election, payment of this tax, was made during the nine months ended June 30, 2023. The impact of this election on income taxes was already reflected in fiscal year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95059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351" w:lineRule="exact"/>
        <w:rPr>
          <w:sz w:val="20"/>
          <w:szCs w:val="20"/>
          <w:color w:val="auto"/>
        </w:rPr>
      </w:pPr>
    </w:p>
    <w:p>
      <w:pPr>
        <w:ind w:right="220" w:firstLine="180"/>
        <w:spacing w:after="0" w:line="281" w:lineRule="auto"/>
        <w:rPr>
          <w:sz w:val="20"/>
          <w:szCs w:val="20"/>
          <w:color w:val="auto"/>
        </w:rPr>
      </w:pPr>
      <w:r>
        <w:rPr>
          <w:rFonts w:ascii="Times New Roman" w:cs="Times New Roman" w:eastAsia="Times New Roman" w:hAnsi="Times New Roman"/>
          <w:sz w:val="18"/>
          <w:szCs w:val="18"/>
          <w:color w:val="auto"/>
        </w:rPr>
        <w:t>As of June 30, 2024, deferred tax assets of $68,615, derived primarily from tax credits, net capital and operating loss carry forwards related to some of the Company's subsidiaries, were offset by valuation allowances due to the uncertainty of realizing tax benefit for such credits and losses.</w:t>
      </w:r>
    </w:p>
    <w:p>
      <w:pPr>
        <w:spacing w:after="0" w:line="163" w:lineRule="exact"/>
        <w:rPr>
          <w:sz w:val="20"/>
          <w:szCs w:val="20"/>
          <w:color w:val="auto"/>
        </w:rPr>
      </w:pPr>
    </w:p>
    <w:p>
      <w:pPr>
        <w:jc w:val="both"/>
        <w:ind w:firstLine="207"/>
        <w:spacing w:after="0" w:line="281" w:lineRule="auto"/>
        <w:rPr>
          <w:sz w:val="20"/>
          <w:szCs w:val="20"/>
          <w:color w:val="auto"/>
        </w:rPr>
      </w:pPr>
      <w:r>
        <w:rPr>
          <w:rFonts w:ascii="Times New Roman" w:cs="Times New Roman" w:eastAsia="Times New Roman" w:hAnsi="Times New Roman"/>
          <w:sz w:val="18"/>
          <w:szCs w:val="18"/>
          <w:color w:val="auto"/>
        </w:rPr>
        <w:t>The total amount of gross unrecognized tax benefits, was $141,105 as of June 30, 2024, all of which would affect the effective tax rate if realized. This amount includes an accrual of $27,714 in income taxes payable for interest and penalties relating to unrecognized tax benefits.</w:t>
      </w:r>
    </w:p>
    <w:p>
      <w:pPr>
        <w:spacing w:after="0" w:line="163" w:lineRule="exact"/>
        <w:rPr>
          <w:sz w:val="20"/>
          <w:szCs w:val="20"/>
          <w:color w:val="auto"/>
        </w:rPr>
      </w:pPr>
    </w:p>
    <w:p>
      <w:pPr>
        <w:jc w:val="both"/>
        <w:ind w:firstLine="268"/>
        <w:spacing w:after="0" w:line="265" w:lineRule="auto"/>
        <w:rPr>
          <w:sz w:val="20"/>
          <w:szCs w:val="20"/>
          <w:color w:val="auto"/>
        </w:rPr>
      </w:pPr>
      <w:r>
        <w:rPr>
          <w:rFonts w:ascii="Times New Roman" w:cs="Times New Roman" w:eastAsia="Times New Roman" w:hAnsi="Times New Roman"/>
          <w:sz w:val="18"/>
          <w:szCs w:val="18"/>
          <w:color w:val="auto"/>
        </w:rPr>
        <w:t>The Company is currently under tax audit in several jurisdictions for the tax years 2007 and onwards. Timing of the resolution of audits is highly uncertain and therefore, as of June 30, 2024, the Company cannot estimate the change in unrecognized tax benefits resulting from these audits within the next 12 months.</w:t>
      </w:r>
    </w:p>
    <w:p>
      <w:pPr>
        <w:spacing w:after="0" w:line="133" w:lineRule="exact"/>
        <w:rPr>
          <w:sz w:val="20"/>
          <w:szCs w:val="20"/>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188"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sets forth the computation of basic and diluted earnings per share: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540" w:type="dxa"/>
            <w:vAlign w:val="bottom"/>
            <w:gridSpan w:val="5"/>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36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7"/>
        </w:trPr>
        <w:tc>
          <w:tcPr>
            <w:tcW w:w="5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attributable to Amdocs Limited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140,289</w:t>
            </w:r>
          </w:p>
        </w:tc>
        <w:tc>
          <w:tcPr>
            <w:tcW w:w="26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159,428</w:t>
            </w:r>
          </w:p>
        </w:tc>
        <w:tc>
          <w:tcPr>
            <w:tcW w:w="2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406,756</w:t>
            </w:r>
          </w:p>
        </w:tc>
        <w:tc>
          <w:tcPr>
            <w:tcW w:w="24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438,698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income attributable to Amdocs Limited and dividends</w:t>
            </w:r>
          </w:p>
        </w:tc>
        <w:tc>
          <w:tcPr>
            <w:tcW w:w="260" w:type="dxa"/>
            <w:vAlign w:val="bottom"/>
            <w:shd w:val="clear" w:color="auto" w:fill="CFF0FC"/>
          </w:tcPr>
          <w:p>
            <w:pPr>
              <w:spacing w:after="0"/>
              <w:rPr>
                <w:sz w:val="18"/>
                <w:szCs w:val="18"/>
                <w:color w:val="auto"/>
              </w:rPr>
            </w:pPr>
          </w:p>
        </w:tc>
        <w:tc>
          <w:tcPr>
            <w:tcW w:w="116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(2,708 )</w:t>
            </w:r>
          </w:p>
        </w:tc>
        <w:tc>
          <w:tcPr>
            <w:tcW w:w="280" w:type="dxa"/>
            <w:vAlign w:val="bottom"/>
            <w:shd w:val="clear" w:color="auto" w:fill="CFF0FC"/>
          </w:tcPr>
          <w:p>
            <w:pPr>
              <w:spacing w:after="0"/>
              <w:rPr>
                <w:sz w:val="18"/>
                <w:szCs w:val="18"/>
                <w:color w:val="auto"/>
              </w:rPr>
            </w:pPr>
          </w:p>
        </w:tc>
        <w:tc>
          <w:tcPr>
            <w:tcW w:w="110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(2,801 )</w:t>
            </w:r>
          </w:p>
        </w:tc>
        <w:tc>
          <w:tcPr>
            <w:tcW w:w="260" w:type="dxa"/>
            <w:vAlign w:val="bottom"/>
            <w:shd w:val="clear" w:color="auto" w:fill="CFF0FC"/>
          </w:tcPr>
          <w:p>
            <w:pPr>
              <w:spacing w:after="0"/>
              <w:rPr>
                <w:sz w:val="18"/>
                <w:szCs w:val="18"/>
                <w:color w:val="auto"/>
              </w:rPr>
            </w:pPr>
          </w:p>
        </w:tc>
        <w:tc>
          <w:tcPr>
            <w:tcW w:w="11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(7,654 )</w:t>
            </w:r>
          </w:p>
        </w:tc>
        <w:tc>
          <w:tcPr>
            <w:tcW w:w="280" w:type="dxa"/>
            <w:vAlign w:val="bottom"/>
            <w:shd w:val="clear" w:color="auto" w:fill="CFF0FC"/>
          </w:tcPr>
          <w:p>
            <w:pPr>
              <w:spacing w:after="0"/>
              <w:rPr>
                <w:sz w:val="18"/>
                <w:szCs w:val="18"/>
                <w:color w:val="auto"/>
              </w:rPr>
            </w:pPr>
          </w:p>
        </w:tc>
        <w:tc>
          <w:tcPr>
            <w:tcW w:w="9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(7,352 )</w:t>
            </w:r>
          </w:p>
        </w:tc>
        <w:tc>
          <w:tcPr>
            <w:tcW w:w="0" w:type="dxa"/>
            <w:vAlign w:val="bottom"/>
          </w:tcPr>
          <w:p>
            <w:pPr>
              <w:spacing w:after="0"/>
              <w:rPr>
                <w:sz w:val="1"/>
                <w:szCs w:val="1"/>
                <w:color w:val="auto"/>
              </w:rPr>
            </w:pPr>
          </w:p>
        </w:tc>
      </w:tr>
      <w:tr>
        <w:trPr>
          <w:trHeight w:val="234"/>
        </w:trPr>
        <w:tc>
          <w:tcPr>
            <w:tcW w:w="58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attributable to participating restricted stock</w:t>
            </w:r>
          </w:p>
        </w:tc>
        <w:tc>
          <w:tcPr>
            <w:tcW w:w="260" w:type="dxa"/>
            <w:vAlign w:val="bottom"/>
            <w:shd w:val="clear" w:color="auto" w:fill="CFF0FC"/>
          </w:tcPr>
          <w:p>
            <w:pPr>
              <w:spacing w:after="0"/>
              <w:rPr>
                <w:sz w:val="20"/>
                <w:szCs w:val="20"/>
                <w:color w:val="auto"/>
              </w:rPr>
            </w:pPr>
          </w:p>
        </w:tc>
        <w:tc>
          <w:tcPr>
            <w:tcW w:w="1160" w:type="dxa"/>
            <w:vAlign w:val="bottom"/>
            <w:gridSpan w:val="2"/>
            <w:vMerge w:val="continue"/>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00" w:type="dxa"/>
            <w:vAlign w:val="bottom"/>
            <w:gridSpan w:val="2"/>
            <w:vMerge w:val="continue"/>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20" w:type="dxa"/>
            <w:vAlign w:val="bottom"/>
            <w:gridSpan w:val="2"/>
            <w:vMerge w:val="continue"/>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82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Numerator for basic earnings per common share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137,581</w:t>
            </w:r>
          </w:p>
        </w:tc>
        <w:tc>
          <w:tcPr>
            <w:tcW w:w="260" w:type="dxa"/>
            <w:vAlign w:val="bottom"/>
            <w:tcBorders>
              <w:top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156,627</w:t>
            </w:r>
          </w:p>
        </w:tc>
        <w:tc>
          <w:tcPr>
            <w:tcW w:w="24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399,102</w:t>
            </w:r>
          </w:p>
        </w:tc>
        <w:tc>
          <w:tcPr>
            <w:tcW w:w="240" w:type="dxa"/>
            <w:vAlign w:val="bottom"/>
            <w:tcBorders>
              <w:top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431,346</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Undistributed income allocated to participating restricted stock</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4,612</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Undistributed income reallocated to participating restricted stock</w:t>
            </w:r>
          </w:p>
        </w:tc>
        <w:tc>
          <w:tcPr>
            <w:tcW w:w="26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(1,637 )</w:t>
            </w:r>
          </w:p>
        </w:tc>
        <w:tc>
          <w:tcPr>
            <w:tcW w:w="28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(1,874 )</w:t>
            </w:r>
          </w:p>
        </w:tc>
        <w:tc>
          <w:tcPr>
            <w:tcW w:w="26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(4,585 )</w:t>
            </w:r>
          </w:p>
        </w:tc>
        <w:tc>
          <w:tcPr>
            <w:tcW w:w="28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(4,770 )</w:t>
            </w:r>
          </w:p>
        </w:tc>
        <w:tc>
          <w:tcPr>
            <w:tcW w:w="0" w:type="dxa"/>
            <w:vAlign w:val="bottom"/>
          </w:tcPr>
          <w:p>
            <w:pPr>
              <w:spacing w:after="0"/>
              <w:rPr>
                <w:sz w:val="1"/>
                <w:szCs w:val="1"/>
                <w:color w:val="auto"/>
              </w:rPr>
            </w:pPr>
          </w:p>
        </w:tc>
      </w:tr>
      <w:tr>
        <w:trPr>
          <w:trHeight w:val="276"/>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Numerator for diluted earnings per common share</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137,589</w:t>
            </w:r>
          </w:p>
        </w:tc>
        <w:tc>
          <w:tcPr>
            <w:tcW w:w="2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156,640</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399,129</w:t>
            </w:r>
          </w:p>
        </w:tc>
        <w:tc>
          <w:tcPr>
            <w:tcW w:w="2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431,379</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Weighted average number of shares outstanding - basic</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114,973</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119,520</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116,075</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120,230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Weighted average number of participating restricted stock</w:t>
            </w:r>
          </w:p>
        </w:tc>
        <w:tc>
          <w:tcPr>
            <w:tcW w:w="26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(2,219 )</w:t>
            </w:r>
          </w:p>
        </w:tc>
        <w:tc>
          <w:tcPr>
            <w:tcW w:w="28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(2,100 )</w:t>
            </w:r>
          </w:p>
        </w:tc>
        <w:tc>
          <w:tcPr>
            <w:tcW w:w="26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(2,184 )</w:t>
            </w:r>
          </w:p>
        </w:tc>
        <w:tc>
          <w:tcPr>
            <w:tcW w:w="28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(2,015 )</w:t>
            </w:r>
          </w:p>
        </w:tc>
        <w:tc>
          <w:tcPr>
            <w:tcW w:w="0" w:type="dxa"/>
            <w:vAlign w:val="bottom"/>
          </w:tcPr>
          <w:p>
            <w:pPr>
              <w:spacing w:after="0"/>
              <w:rPr>
                <w:sz w:val="1"/>
                <w:szCs w:val="1"/>
                <w:color w:val="auto"/>
              </w:rPr>
            </w:pPr>
          </w:p>
        </w:tc>
      </w:tr>
      <w:tr>
        <w:trPr>
          <w:trHeight w:val="276"/>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Weighted average number of common shares - basic</w:t>
            </w:r>
          </w:p>
        </w:tc>
        <w:tc>
          <w:tcPr>
            <w:tcW w:w="260" w:type="dxa"/>
            <w:vAlign w:val="bottom"/>
            <w:tcBorders>
              <w:top w:val="single" w:sz="8" w:color="auto"/>
              <w:bottom w:val="single" w:sz="8" w:color="auto"/>
            </w:tcBorders>
            <w:shd w:val="clear" w:color="auto" w:fill="CFF0FC"/>
          </w:tcPr>
          <w:p>
            <w:pPr>
              <w:spacing w:after="0"/>
              <w:rPr>
                <w:sz w:val="24"/>
                <w:szCs w:val="24"/>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112,754</w:t>
            </w:r>
          </w:p>
        </w:tc>
        <w:tc>
          <w:tcPr>
            <w:tcW w:w="2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spacing w:after="0"/>
              <w:rPr>
                <w:sz w:val="24"/>
                <w:szCs w:val="24"/>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117,420</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spacing w:after="0"/>
              <w:rPr>
                <w:sz w:val="24"/>
                <w:szCs w:val="24"/>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113,891</w:t>
            </w:r>
          </w:p>
        </w:tc>
        <w:tc>
          <w:tcPr>
            <w:tcW w:w="2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spacing w:after="0"/>
              <w:rPr>
                <w:sz w:val="24"/>
                <w:szCs w:val="24"/>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118,215</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Effect of dilutive equity-based compensation awards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Weighted average number of common shares - diluted</w:t>
            </w:r>
          </w:p>
        </w:tc>
        <w:tc>
          <w:tcPr>
            <w:tcW w:w="260" w:type="dxa"/>
            <w:vAlign w:val="bottom"/>
            <w:tcBorders>
              <w:bottom w:val="single" w:sz="8" w:color="auto"/>
            </w:tcBorders>
            <w:shd w:val="clear" w:color="auto" w:fill="CFF0FC"/>
          </w:tcPr>
          <w:p>
            <w:pPr>
              <w:spacing w:after="0"/>
              <w:rPr>
                <w:sz w:val="24"/>
                <w:szCs w:val="2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113,329</w:t>
            </w:r>
          </w:p>
        </w:tc>
        <w:tc>
          <w:tcPr>
            <w:tcW w:w="2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spacing w:after="0"/>
              <w:rPr>
                <w:sz w:val="24"/>
                <w:szCs w:val="24"/>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118,251</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spacing w:after="0"/>
              <w:rPr>
                <w:sz w:val="24"/>
                <w:szCs w:val="24"/>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114,554</w:t>
            </w:r>
          </w:p>
        </w:tc>
        <w:tc>
          <w:tcPr>
            <w:tcW w:w="2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spacing w:after="0"/>
              <w:rPr>
                <w:sz w:val="24"/>
                <w:szCs w:val="24"/>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119,055</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 earnings per common share attributable to Amdocs Limited</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6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 earnings per common share attributable to Amdocs Limited</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6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4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-2037080</wp:posOffset>
            </wp:positionV>
            <wp:extent cx="7683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-2037080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-2037080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-2037080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-1377950</wp:posOffset>
            </wp:positionV>
            <wp:extent cx="7683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-1360805</wp:posOffset>
            </wp:positionV>
            <wp:extent cx="7683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-1377950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-1360805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-1377950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-1360805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-1377950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-1360805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-727075</wp:posOffset>
            </wp:positionV>
            <wp:extent cx="7683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-709930</wp:posOffset>
            </wp:positionV>
            <wp:extent cx="7683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-727075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-709930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-727075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-709930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-727075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-709930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-384810</wp:posOffset>
            </wp:positionV>
            <wp:extent cx="7683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-367665</wp:posOffset>
            </wp:positionV>
            <wp:extent cx="7683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-384810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-367665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-384810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-367665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-384810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-24765</wp:posOffset>
            </wp:positionV>
            <wp:extent cx="7683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-7620</wp:posOffset>
            </wp:positionV>
            <wp:extent cx="7683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-24765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-7620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-24765</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-7620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For the three and nine months ended June 30, 2024, 6 and 63 shares, respectively, on a weighted average basis, were attributable to antidilutive outstanding equity-based compensation awards. For the three and nine months ended June 30, 2023, 0 and 62, respectively, on a weighted average basis, were attributable to antidilutive outstanding stock options and restricted stock units. Shares attributable to antidilutive outstanding stock equity-based compensation awards were not included in the calculation of diluted earnings per share.</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 or as otherwise disclosed)</w:t>
      </w:r>
    </w:p>
    <w:p>
      <w:pPr>
        <w:spacing w:after="0" w:line="162" w:lineRule="exact"/>
        <w:rPr>
          <w:sz w:val="20"/>
          <w:szCs w:val="20"/>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Repurchase of Shares</w:t>
      </w:r>
    </w:p>
    <w:p>
      <w:pPr>
        <w:spacing w:after="0" w:line="20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From time to time, the Company’s Board of Directors can adopt share repurchase plans authorizing the repurchase of the Company’s outstanding ordinary shares. On May 12, 2021, the Company’s Board of Directors adopted a share repurchase plan for the repurchase of up to a $1.0 billion of the Company’s outstanding ordinary shares with no expiration date. The May 2021 plan permits the Company to purchase our ordinary shares in the open market or through privately negotiated transactions at times and prices that the Company considers appropriate. On August 2, 2023, the Company’s Board of Directors adopted a share repurchase plan for the repurchase of up to an additional $1.1 billion of the Company’s outstanding ordinary shares with no expiration date. The August 2023 plan permits the Company to purchase our ordinary shares in the open market or through privately negotiated transactions at times and prices that the Company considers appropriate. In the nine months ended June 30, 2024, </w:t>
      </w:r>
      <w:r>
        <w:rPr>
          <w:rFonts w:ascii="Times New Roman" w:cs="Times New Roman" w:eastAsia="Times New Roman" w:hAnsi="Times New Roman"/>
          <w:sz w:val="18"/>
          <w:szCs w:val="18"/>
          <w:color w:val="231F20"/>
        </w:rPr>
        <w:t>the Company completed the repurchase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remaining authorized amount of ordinary shares under the May 2021 plan and initiated repurchases of the Company’s outstanding ordinary shares pursuant to the August 2023 plan. In the nine months ended June 30, 2024, </w:t>
      </w:r>
      <w:r>
        <w:rPr>
          <w:rFonts w:ascii="Times New Roman" w:cs="Times New Roman" w:eastAsia="Times New Roman" w:hAnsi="Times New Roman"/>
          <w:sz w:val="18"/>
          <w:szCs w:val="18"/>
          <w:color w:val="000000"/>
        </w:rPr>
        <w:t>the Company repurchased 5,212 ordinary shares at an average price of $85.05 per share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(excluding broker and transaction fees). As of June 30, 2024, the Company had remaining authority to repurchase up to $657,428 of its outstanding ordinary shares under the August 2023 plan.</w:t>
      </w:r>
    </w:p>
    <w:p>
      <w:pPr>
        <w:spacing w:after="0" w:line="144" w:lineRule="exact"/>
        <w:rPr>
          <w:sz w:val="20"/>
          <w:szCs w:val="20"/>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Financing Arrangements</w:t>
      </w:r>
    </w:p>
    <w:p>
      <w:pPr>
        <w:spacing w:after="0" w:line="188"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In December 2011, the Company entered into an unsecured $500,000 five-year revolving credit facility with a syndicate of banks (the “Revolving Credit Facility”). In December 2014, December 2017, March 2021 and July 2024, the Revolving Credit Facility was amended and restated to, among other things, extend the maturity date of the facility to December 2019, December 2022 March 2026 and July 2029, respectively. As of June 30, 2024, the Company was in compliance with the financial covenants and had no outstanding borrowings under the Revolving Credit Facility.</w:t>
      </w:r>
    </w:p>
    <w:p>
      <w:pPr>
        <w:spacing w:after="0" w:line="15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June 2020, the Company issued an aggregate principal amount of $650,000 in Senior Notes that will mature in June 2030 and bear interest at a fixed rate of 2.538 percent per annum (the “Senior Notes”). The interest is payable semi-annually in June and December of each year, commencing in December 2020. The Company incurred issuance costs of $6,121 in relation with the Senior Notes, which are being amortized to interest expenses over the term of the Senior Notes using the effective interest rate. The Senior Notes are senior unsecured obligations of the Company and rank equally in right of payment with all existing and future senior indebtedness of the Company, including any indebtedness the Company may incur from time to time under the Revolving Credit Facility.</w:t>
      </w:r>
    </w:p>
    <w:p>
      <w:pPr>
        <w:spacing w:after="0" w:line="145"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 xml:space="preserve">The total interest expense recognized in connection with the Senior Notes for the three and nine months ended June 30, 2024 were $4,268 and $12,830, respectively, and $4,264 and $12,772 for three and nine months ended June 30, 2023. The accrued interest on the Senior Notes is included in accrued expenses and other current liabilities and was immaterial as of June 30, 2024. </w:t>
      </w:r>
      <w:r>
        <w:rPr>
          <w:rFonts w:ascii="Times New Roman" w:cs="Times New Roman" w:eastAsia="Times New Roman" w:hAnsi="Times New Roman"/>
          <w:sz w:val="18"/>
          <w:szCs w:val="18"/>
          <w:color w:val="231F20"/>
        </w:rPr>
        <w:t>As of June 30, 2024, the noncurrent outstanding principal</w:t>
      </w:r>
      <w:r>
        <w:rPr>
          <w:rFonts w:ascii="Times New Roman" w:cs="Times New Roman" w:eastAsia="Times New Roman" w:hAnsi="Times New Roman"/>
          <w:sz w:val="18"/>
          <w:szCs w:val="18"/>
          <w:color w:val="auto"/>
        </w:rPr>
        <w:t xml:space="preserve"> portion was $650,000.</w:t>
      </w:r>
    </w:p>
    <w:p>
      <w:pPr>
        <w:spacing w:after="0" w:line="141"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The total estimated fair value of the Senior Notes as of June 30, 2024 was $553,274. The fair value was determined based on observable data, such as quoted prices for similar liabilities in active markets of Senior Notes as of June 30, 2024 and is deemed a Level 2 liability within the fair value measurement framework.</w:t>
      </w:r>
    </w:p>
    <w:p>
      <w:pPr>
        <w:spacing w:after="0" w:line="150"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As of June 30, 2024, the Company had additional uncommitted lines of credit available for general corporate and other specific purposes and had outstanding letters of credit and bank guarantees from various banks totaling $78,704. These were supported by a combination of the uncommitted lines of credit that the Company maintains with various banks.</w:t>
      </w:r>
    </w:p>
    <w:p>
      <w:pPr>
        <w:spacing w:after="0" w:line="133" w:lineRule="exact"/>
        <w:rPr>
          <w:sz w:val="20"/>
          <w:szCs w:val="20"/>
          <w:color w:val="auto"/>
        </w:rPr>
      </w:pPr>
    </w:p>
    <w:p>
      <w:pPr>
        <w:ind w:left="520" w:right="8560" w:hanging="512"/>
        <w:spacing w:after="0" w:line="490" w:lineRule="auto"/>
        <w:tabs>
          <w:tab w:leader="none" w:pos="521" w:val="left"/>
        </w:tabs>
        <w:numPr>
          <w:ilvl w:val="0"/>
          <w:numId w:val="2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Equity-based Compensation </w:t>
      </w:r>
      <w:r>
        <w:rPr>
          <w:rFonts w:ascii="Times New Roman" w:cs="Times New Roman" w:eastAsia="Times New Roman" w:hAnsi="Times New Roman"/>
          <w:sz w:val="17"/>
          <w:szCs w:val="17"/>
          <w:b w:val="1"/>
          <w:bCs w:val="1"/>
          <w:i w:val="1"/>
          <w:iCs w:val="1"/>
          <w:color w:val="auto"/>
        </w:rPr>
        <w:t>Equity Incentive Plan</w:t>
      </w:r>
    </w:p>
    <w:p>
      <w:pPr>
        <w:spacing w:after="0" w:line="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January 1998, the Company adopted the 1998 Stock Option and Incentive Plan (the "Equity Incentive Plan"), which provides for the grant of restricted stock awards, restricted stock units and stock options and other equity-based awards to employees, officers, directors, and consultants. Since its adoption, the Equity Incentive Plan has been amended on several occasions to, among other things, increase the number of ordinary shares issuable under the Equity Incentive Plan. In February 2024, the maximum number of ordinary shares authorized to be granted under the Equity Incentive Plan was increased from 70,550 to 73,550. The amendment to the Equity Incentive Plan and became effective upon the filing of a Form S-8 Registration Statement with the U.S. Securities and Exchange Commission in February 2024. Awards granted under the Equity Incentive Plan generally vest over a period of three to four years subject to service based conditions or a combination of service and performance-based conditions and stock options have a term of ten years. Also, in accordance with the Equity Incentive Plan, options were issued at or above the market price at the time of the grant.</w:t>
      </w:r>
    </w:p>
    <w:p>
      <w:pPr>
        <w:spacing w:after="0" w:line="149"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During the nine months ended June 30, 2024, the Company granted 1,080 restricted stock and 298 restricted stock units. The weighted average fair values associated with these grants were $80.23 per restricted stock and $85.70 per restricted stock unit.</w:t>
      </w:r>
    </w:p>
    <w:p>
      <w:pPr>
        <w:sectPr>
          <w:pgSz w:w="11900" w:h="16838" w:orient="portrait"/>
          <w:cols w:equalWidth="0" w:num="1">
            <w:col w:w="11240"/>
          </w:cols>
          <w:pgMar w:left="320" w:top="764"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type w:val="continuous"/>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 or as otherwise disclosed)</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Employee Share Purchase Plan</w:t>
      </w:r>
    </w:p>
    <w:p>
      <w:pPr>
        <w:spacing w:after="0" w:line="20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On November 8, 2022, the Company’s Board of Directors adopted, subject to shareholder approval, the Amdocs Limited 2023 Employee Share Purchase Plan (the “ESPP”). The ESPP was subsequently approved by our shareholders at the annual general meeting of shareholders in January 2023. The approved number of shares that may be issued under the ESPP will not exceed in the aggregate 2,400 ordinary shares. Under its terms, the ESPP became effective upon the filing of a Form S-8 Registration Statement with the U.S. Securities and Exchange Commission. On February 13, 2023, the Company filed a registration statement on Form S-8 registering the offer and sale of 2,400 ordinary shares issuable under the ESPP. As of June 30, 2024, 548 ordinary shares have been issued since the commencement of the ESPP.</w:t>
      </w:r>
    </w:p>
    <w:p>
      <w:pPr>
        <w:spacing w:after="0" w:line="18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Under the ESPP, eligible employees have the right to purchase ordinary shares at the end of each purchase period based on their accumulated payroll deductions during the purchase period of a specified percentage of eligible compensation up to 10% (subject to a limitation to accrue the right to purchase ordinary shares up to twenty-five thousand dollars in any calendar year). Each purchase period lasts six months in duration, with purchases occurring in December and June. The purchase price per ordinary share will equal the lesser of 85% of the fair market value of our ordinary shares at either the beginning of the purchase period or the end of the purchase period.</w:t>
      </w:r>
    </w:p>
    <w:p>
      <w:pPr>
        <w:spacing w:after="0" w:line="182"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During the nine months ended June 30, 2024, the Company issued 548 ordinary shares to employees under the ESPP at a weighted average price of $68.95 per share.</w:t>
      </w:r>
    </w:p>
    <w:p>
      <w:pPr>
        <w:spacing w:after="0" w:line="1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 Expense</w:t>
      </w:r>
    </w:p>
    <w:p>
      <w:pPr>
        <w:spacing w:after="0" w:line="188" w:lineRule="exact"/>
        <w:rPr>
          <w:sz w:val="20"/>
          <w:szCs w:val="20"/>
          <w:color w:val="auto"/>
        </w:rPr>
      </w:pPr>
    </w:p>
    <w:p>
      <w:pPr>
        <w:jc w:val="both"/>
        <w:ind w:right="20" w:firstLine="509"/>
        <w:spacing w:after="0" w:line="281" w:lineRule="auto"/>
        <w:rPr>
          <w:sz w:val="20"/>
          <w:szCs w:val="20"/>
          <w:color w:val="auto"/>
        </w:rPr>
      </w:pPr>
      <w:r>
        <w:rPr>
          <w:rFonts w:ascii="Times New Roman" w:cs="Times New Roman" w:eastAsia="Times New Roman" w:hAnsi="Times New Roman"/>
          <w:sz w:val="18"/>
          <w:szCs w:val="18"/>
          <w:color w:val="auto"/>
        </w:rPr>
        <w:t>Equity-based payments to employees, including grants of employee stock options, restricted stock, restricted stock units and ESPP are recognized in the statements of income based on their fair values.</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Employee equity-based compensation pre-tax expense for the three and nine months ended June 30, 2024 and 2023 was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00" w:type="dxa"/>
            <w:vAlign w:val="bottom"/>
            <w:gridSpan w:val="4"/>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6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5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13,351</w:t>
            </w:r>
          </w:p>
        </w:tc>
        <w:tc>
          <w:tcPr>
            <w:tcW w:w="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11,852</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40,126</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30,568</w:t>
            </w:r>
          </w:p>
        </w:tc>
        <w:tc>
          <w:tcPr>
            <w:tcW w:w="100" w:type="dxa"/>
            <w:vAlign w:val="bottom"/>
            <w:shd w:val="clear" w:color="auto" w:fill="CFF0FC"/>
          </w:tcPr>
          <w:p>
            <w:pPr>
              <w:spacing w:after="0"/>
              <w:rPr>
                <w:sz w:val="20"/>
                <w:szCs w:val="20"/>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6,289</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5,224</w:t>
            </w:r>
          </w:p>
        </w:tc>
        <w:tc>
          <w:tcPr>
            <w:tcW w:w="100" w:type="dxa"/>
            <w:vAlign w:val="bottom"/>
          </w:tcPr>
          <w:p>
            <w:pPr>
              <w:spacing w:after="0"/>
              <w:rPr>
                <w:sz w:val="20"/>
                <w:szCs w:val="20"/>
                <w:color w:val="auto"/>
              </w:rPr>
            </w:pPr>
          </w:p>
        </w:tc>
      </w:tr>
      <w:tr>
        <w:trPr>
          <w:trHeight w:val="243"/>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10,595</w:t>
            </w: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10,165</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32,122</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29,113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26,112</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24,054</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78,537</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64,905</w:t>
            </w:r>
          </w:p>
        </w:tc>
        <w:tc>
          <w:tcPr>
            <w:tcW w:w="100" w:type="dxa"/>
            <w:vAlign w:val="bottom"/>
          </w:tcPr>
          <w:p>
            <w:pPr>
              <w:spacing w:after="0"/>
              <w:rPr>
                <w:sz w:val="20"/>
                <w:szCs w:val="20"/>
                <w:color w:val="auto"/>
              </w:rPr>
            </w:pPr>
          </w:p>
        </w:tc>
      </w:tr>
      <w:tr>
        <w:trPr>
          <w:trHeight w:val="20"/>
        </w:trPr>
        <w:tc>
          <w:tcPr>
            <w:tcW w:w="5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-187960</wp:posOffset>
            </wp:positionV>
            <wp:extent cx="7683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-187960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-187960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The Company recognizes compensation costs for its equity incentive grants using the graded vesting attribution method. As of June 30, 2024, there was $104,516 of unrecognized compensation expense related to unvested stock options, unvested restricted stock and unvested restricted stock units which is expected to be recognized over a weighted average period of approximately one to two years, based on the vesting periods of the grants.</w:t>
      </w:r>
    </w:p>
    <w:p>
      <w:pPr>
        <w:spacing w:after="0" w:line="177"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As of June 30, 2024, there was $3,427 of unrecognized compensation expense related to the ESPP which is expected to be recognized over the remaining purchase period.</w:t>
      </w:r>
    </w:p>
    <w:p>
      <w:pPr>
        <w:spacing w:after="0" w:line="118" w:lineRule="exact"/>
        <w:rPr>
          <w:sz w:val="20"/>
          <w:szCs w:val="20"/>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Dividends</w:t>
      </w:r>
    </w:p>
    <w:p>
      <w:pPr>
        <w:spacing w:after="0" w:line="188"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Board of Directors declared the following dividends during the nine months ended June 30, 2024 and 2023:</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Declaration Date</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Dividends Per</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Total Amount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0" w:type="dxa"/>
            <w:vAlign w:val="bottom"/>
          </w:tcPr>
          <w:p>
            <w:pPr>
              <w:spacing w:after="0"/>
              <w:rPr>
                <w:sz w:val="1"/>
                <w:szCs w:val="1"/>
                <w:color w:val="auto"/>
              </w:rPr>
            </w:pPr>
          </w:p>
        </w:tc>
      </w:tr>
      <w:tr>
        <w:trPr>
          <w:trHeight w:val="187"/>
        </w:trPr>
        <w:tc>
          <w:tcPr>
            <w:tcW w:w="406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Ordinary Share</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8 ,2024</w:t>
            </w:r>
          </w:p>
        </w:tc>
        <w:tc>
          <w:tcPr>
            <w:tcW w:w="1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June 28, 2024</w:t>
            </w:r>
          </w:p>
        </w:tc>
        <w:tc>
          <w:tcPr>
            <w:tcW w:w="16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54,703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26, 2024</w:t>
            </w:r>
          </w:p>
        </w:tc>
        <w:tc>
          <w:tcPr>
            <w:tcW w:w="0" w:type="dxa"/>
            <w:vAlign w:val="bottom"/>
          </w:tcPr>
          <w:p>
            <w:pPr>
              <w:spacing w:after="0"/>
              <w:rPr>
                <w:sz w:val="1"/>
                <w:szCs w:val="1"/>
                <w:color w:val="auto"/>
              </w:rPr>
            </w:pPr>
          </w:p>
        </w:tc>
      </w:tr>
      <w:tr>
        <w:trPr>
          <w:trHeight w:val="247"/>
        </w:trPr>
        <w:tc>
          <w:tcPr>
            <w:tcW w:w="4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February 6, 2024</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0.479</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March 29, 2024</w:t>
            </w:r>
          </w:p>
        </w:tc>
        <w:tc>
          <w:tcPr>
            <w:tcW w:w="3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55,528</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April 26, 2024</w:t>
            </w:r>
          </w:p>
        </w:tc>
        <w:tc>
          <w:tcPr>
            <w:tcW w:w="0" w:type="dxa"/>
            <w:vAlign w:val="bottom"/>
          </w:tcPr>
          <w:p>
            <w:pPr>
              <w:spacing w:after="0"/>
              <w:rPr>
                <w:sz w:val="1"/>
                <w:szCs w:val="1"/>
                <w:color w:val="auto"/>
              </w:rPr>
            </w:pPr>
          </w:p>
        </w:tc>
      </w:tr>
      <w:tr>
        <w:trPr>
          <w:trHeight w:val="234"/>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7, 2023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December 29, 2023</w:t>
            </w:r>
          </w:p>
        </w:tc>
        <w:tc>
          <w:tcPr>
            <w:tcW w:w="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50,683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26, 2024</w:t>
            </w:r>
          </w:p>
        </w:tc>
        <w:tc>
          <w:tcPr>
            <w:tcW w:w="0" w:type="dxa"/>
            <w:vAlign w:val="bottom"/>
          </w:tcPr>
          <w:p>
            <w:pPr>
              <w:spacing w:after="0"/>
              <w:rPr>
                <w:sz w:val="1"/>
                <w:szCs w:val="1"/>
                <w:color w:val="auto"/>
              </w:rPr>
            </w:pPr>
          </w:p>
        </w:tc>
      </w:tr>
      <w:tr>
        <w:trPr>
          <w:trHeight w:val="251"/>
        </w:trPr>
        <w:tc>
          <w:tcPr>
            <w:tcW w:w="4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May 10 ,2023</w:t>
            </w:r>
          </w:p>
        </w:tc>
        <w:tc>
          <w:tcPr>
            <w:tcW w:w="180" w:type="dxa"/>
            <w:vAlign w:val="bottom"/>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0.435</w:t>
            </w:r>
          </w:p>
        </w:tc>
        <w:tc>
          <w:tcPr>
            <w:tcW w:w="120" w:type="dxa"/>
            <w:vAlign w:val="bottom"/>
            <w:shd w:val="clear" w:color="auto" w:fill="CFF0FC"/>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June 30, 2023</w:t>
            </w:r>
          </w:p>
        </w:tc>
        <w:tc>
          <w:tcPr>
            <w:tcW w:w="160" w:type="dxa"/>
            <w:vAlign w:val="bottom"/>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51,781</w:t>
            </w:r>
          </w:p>
        </w:tc>
        <w:tc>
          <w:tcPr>
            <w:tcW w:w="100" w:type="dxa"/>
            <w:vAlign w:val="bottom"/>
            <w:shd w:val="clear" w:color="auto" w:fill="CFF0FC"/>
          </w:tcPr>
          <w:p>
            <w:pPr>
              <w:spacing w:after="0"/>
              <w:rPr>
                <w:sz w:val="21"/>
                <w:szCs w:val="21"/>
                <w:color w:val="auto"/>
              </w:rPr>
            </w:pPr>
          </w:p>
        </w:tc>
        <w:tc>
          <w:tcPr>
            <w:tcW w:w="160" w:type="dxa"/>
            <w:vAlign w:val="bottom"/>
          </w:tcPr>
          <w:p>
            <w:pPr>
              <w:spacing w:after="0"/>
              <w:rPr>
                <w:sz w:val="21"/>
                <w:szCs w:val="21"/>
                <w:color w:val="auto"/>
              </w:rPr>
            </w:pPr>
          </w:p>
        </w:tc>
        <w:tc>
          <w:tcPr>
            <w:tcW w:w="1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July 28, 2023</w:t>
            </w:r>
          </w:p>
        </w:tc>
        <w:tc>
          <w:tcPr>
            <w:tcW w:w="0" w:type="dxa"/>
            <w:vAlign w:val="bottom"/>
          </w:tcPr>
          <w:p>
            <w:pPr>
              <w:spacing w:after="0"/>
              <w:rPr>
                <w:sz w:val="1"/>
                <w:szCs w:val="1"/>
                <w:color w:val="auto"/>
              </w:rPr>
            </w:pPr>
          </w:p>
        </w:tc>
      </w:tr>
      <w:tr>
        <w:trPr>
          <w:trHeight w:val="238"/>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31, 2023</w:t>
            </w:r>
          </w:p>
        </w:tc>
        <w:tc>
          <w:tcPr>
            <w:tcW w:w="1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March 31, 2023</w:t>
            </w:r>
          </w:p>
        </w:tc>
        <w:tc>
          <w:tcPr>
            <w:tcW w:w="16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52,309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28, 2023</w:t>
            </w:r>
          </w:p>
        </w:tc>
        <w:tc>
          <w:tcPr>
            <w:tcW w:w="0" w:type="dxa"/>
            <w:vAlign w:val="bottom"/>
          </w:tcPr>
          <w:p>
            <w:pPr>
              <w:spacing w:after="0"/>
              <w:rPr>
                <w:sz w:val="1"/>
                <w:szCs w:val="1"/>
                <w:color w:val="auto"/>
              </w:rPr>
            </w:pPr>
          </w:p>
        </w:tc>
      </w:tr>
      <w:tr>
        <w:trPr>
          <w:trHeight w:val="247"/>
        </w:trPr>
        <w:tc>
          <w:tcPr>
            <w:tcW w:w="4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November 8, 2022</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0.395</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30, 2022</w:t>
            </w:r>
          </w:p>
        </w:tc>
        <w:tc>
          <w:tcPr>
            <w:tcW w:w="3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47,635</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January 27, 2023</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The amounts payable as a result of the May 8 ,2024 and May 10 ,2023 declarations were included in accrued expenses and other current liabilities as of June 30, 2024 and 2023, respectively.</w:t>
      </w:r>
    </w:p>
    <w:p>
      <w:pPr>
        <w:sectPr>
          <w:pgSz w:w="11900" w:h="16838" w:orient="portrait"/>
          <w:cols w:equalWidth="0" w:num="1">
            <w:col w:w="11240"/>
          </w:cols>
          <w:pgMar w:left="320" w:top="764"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type w:val="continuous"/>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 or as otherwise disclosed)</w:t>
      </w:r>
    </w:p>
    <w:p>
      <w:pPr>
        <w:spacing w:after="0" w:line="166"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8"/>
          <w:szCs w:val="18"/>
          <w:color w:val="auto"/>
        </w:rPr>
        <w:t>On August 7, 2024 the Company’s Board of Directors approved the next quarterly dividend payment and set September 30, 2024 as the record date for determining the shareholders entitled to receive the dividend, which is payable on October 25, 2024.</w:t>
      </w:r>
    </w:p>
    <w:p>
      <w:pPr>
        <w:spacing w:after="0" w:line="132" w:lineRule="exact"/>
        <w:rPr>
          <w:sz w:val="20"/>
          <w:szCs w:val="20"/>
          <w:color w:val="auto"/>
        </w:rPr>
      </w:pPr>
    </w:p>
    <w:p>
      <w:pPr>
        <w:ind w:left="520" w:right="9380" w:hanging="512"/>
        <w:spacing w:after="0" w:line="482" w:lineRule="auto"/>
        <w:tabs>
          <w:tab w:leader="none" w:pos="521" w:val="left"/>
        </w:tabs>
        <w:numPr>
          <w:ilvl w:val="0"/>
          <w:numId w:val="2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Contingencies </w:t>
      </w:r>
      <w:r>
        <w:rPr>
          <w:rFonts w:ascii="Times New Roman" w:cs="Times New Roman" w:eastAsia="Times New Roman" w:hAnsi="Times New Roman"/>
          <w:sz w:val="17"/>
          <w:szCs w:val="17"/>
          <w:i w:val="1"/>
          <w:iCs w:val="1"/>
          <w:color w:val="auto"/>
        </w:rPr>
        <w:t>Legal Proceedings</w:t>
      </w:r>
    </w:p>
    <w:p>
      <w:pPr>
        <w:spacing w:after="0" w:line="1"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The Company is involved in various legal claims and proceedings arising in the normal course of its business. The Company accrues for a loss contingency when it determines that it is probable, after consultation with counsel, that a liability has been incurred and the amount of such loss can be reasonably estimated. At this time, the Company believes that the results of any such contingencies, either individually or in the aggregate, will not have a material adverse effect on the Company’s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Item 2. Operating and Financial Review and Prospects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0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This section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“intend” and “may,” and other words that convey uncertainty of future events or outcome. Statements that we make in this document that are not statements of historical fact also may be forward-looking statements.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Although we may elect to update forward-looking statements in the future, we disclaim any obligation to do so, even if our assumptions and projections change, except where applicable law may otherwise require us to do so. Readers should not rely on those forward-looking statements as representing our views as of any date subsequent to the date of this report.</w:t>
      </w:r>
    </w:p>
    <w:p>
      <w:pPr>
        <w:spacing w:after="0" w:line="14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Important factors that may affect these projections or expectations include, but are not limited to: the effects of macro-economic conditions, prevailing level of macro-economic, business, and operational uncertainty, including as a result of geopolitical events or other global or regional events and the COVID-19 pandemic, as well as the current inflationary environment, and the effects of these conditions on the Company’s customers’ businesses and levels of business activity; including the effect of the current economic uncertainty and industry pressure on the spending decisions of our customers; our ability to grow in the business markets that we serve; our ability to successfully integrate acquired businesses; adverse effects of market competition; rapid technological shifts that may render our products and services obsolete; potential loss of a major customer; our ability to develop long-term relationships with our customers; our ability to successfully and effectively implement artificial intelligence and Generative AI in our offerings and operations; and risks associated with operating businesses in the international market</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auto"/>
        </w:rPr>
        <w:t xml:space="preserve"> For a discussion of these and other important factors and other risks, please read the information set forth under the caption “Risk Factors” in our Annual Report on Form 20-F for fiscal year 2023, filed on December 13, 2023 with the U.S. Securities and Exchange Commission.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Business and Trend Information</w:t>
      </w:r>
    </w:p>
    <w:p>
      <w:pPr>
        <w:spacing w:after="0" w:line="20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Amdocs is a leading provider of software and services for approximately 400 communications, entertainment and media industry and other service providers in developed countries and emerging markets. Amdocs also holds relationships with hundreds of content owners and distributors around the globe. Our software and services, which we develop, implement and manage, are designed to meet the business imperatives of our customers, create value for society and make our increasingly connected world more empowering by unlocking our customers’ innovative potential and enabling them to transform their boldest ideas into reality and focus on providing amazing customer experiences. Our offerings enable service providers to efficiently and cost-effectively engage their customers, introduce new products and services, automate service and network operations, monetize connectivity and content, support new business models and generally enhance their understanding of their customers.</w:t>
      </w:r>
    </w:p>
    <w:p>
      <w:pPr>
        <w:spacing w:after="0" w:line="14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believe the demand for our solutions is driven by our customers’ continued migration to the cloud, deployment of 5G networks and transformation into digital service providers to provide connectivity services, content and applications (apps) on any device through digital and non-digital channels. Regardless of whether service providers are bringing their first offerings to market, scaling for growth, consolidating systems or transforming the way they do business, we believe that they seek to differentiate themselves by delivering a customer experience that is simple, personal, contextual and valuable at every point of engagement and across all channels.</w:t>
      </w:r>
    </w:p>
    <w:p>
      <w:pPr>
        <w:spacing w:after="0" w:line="14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offerings, grouped by technology capabilities such as commerce and care, catalog management, monetization, subscription management and content management, IoT, AI and Generative AI (GenAI), service and network automation and network deployment and optimization, are designed to meet the challenges facing our customers as they roll out 5G networks, migrate to the cloud and transform into digital service providers within the framework of a hybrid IT environment, which requires them to rapidly introduce new cloud-native applications while still operating legacy systems. Our software is designed to enable modular expansion as a service provider evolves, and its microservices-based architecture enables the rapid deployment of complex applications as suites of independently deployable services that can be frequently upgraded via DevSecOps. Amdocs amAIz, our enterprise-grade GenAI platform, combines our carrier-grade architecture and telco-specific expertise and empowers service providers to deploy GenAI use cases. Our comprehensive line of services is designed to address every stage of a service provider’s lifecycle. They include consulting, delivery, quality engineering (testing), operations, systems integration, network services, experience-driven services, data, cloud and content services. Our managed services provide multi-year, flexible and tailored IT business processes and applications management services, including application development, modernization and maintenance, IT and infrastructure services, testing and professional services that are designed to assist customers in the selection, implementation, operation, management and maintenance of their IT systems.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5" w:right="339" w:bottom="1440" w:gutter="0" w:footer="0" w:header="0"/>
        </w:sectPr>
      </w:pPr>
    </w:p>
    <w:bookmarkStart w:id="22" w:name="page23"/>
    <w:bookmarkEnd w:id="22"/>
    <w:p>
      <w:pPr>
        <w:spacing w:after="0" w:line="165"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We conduct our business globally, and as a result we are subject to the effects of global economic conditions and, in particular, market conditions in the communications and media industry. In the nine months ended June 30, 2024, customers in North America accounted for 66.6% of our revenue, while customers in Europe and the rest of the world accounted for 14.5% and 18.9%, respectively. We maintain and support development facilities in Brazil, Canada, Cyprus, India, Ireland, Israel, Mexico, the Philippines, the UK and the United States.</w:t>
      </w:r>
    </w:p>
    <w:p>
      <w:pPr>
        <w:spacing w:after="0" w:line="1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derive our revenue principally from:</w:t>
      </w:r>
    </w:p>
    <w:p>
      <w:pPr>
        <w:spacing w:after="0" w:line="63" w:lineRule="exact"/>
        <w:rPr>
          <w:sz w:val="20"/>
          <w:szCs w:val="20"/>
          <w:color w:val="auto"/>
        </w:rPr>
      </w:pPr>
    </w:p>
    <w:p>
      <w:pPr>
        <w:ind w:left="760" w:hanging="378"/>
        <w:spacing w:after="0" w:line="281"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sales of licenses to use our products and related services, including modification, implementation, integration and customization services,</w:t>
      </w: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managed services in our domain expertise and other related services, and</w:t>
      </w:r>
    </w:p>
    <w:p>
      <w:pPr>
        <w:spacing w:after="0" w:line="62" w:lineRule="exact"/>
        <w:rPr>
          <w:rFonts w:ascii="Times New Roman" w:cs="Times New Roman" w:eastAsia="Times New Roman" w:hAnsi="Times New Roman"/>
          <w:sz w:val="18"/>
          <w:szCs w:val="18"/>
          <w:color w:val="auto"/>
        </w:rPr>
      </w:pPr>
    </w:p>
    <w:p>
      <w:pPr>
        <w:ind w:left="760" w:right="20" w:hanging="378"/>
        <w:spacing w:after="0" w:line="281"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recurring revenue from ongoing support, maintenance and enhancements provided to our customers, and from incremental license fees resulting from increases in a customer’s business volume.</w:t>
      </w:r>
    </w:p>
    <w:p>
      <w:pPr>
        <w:spacing w:after="0" w:line="12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results of operations are affected by general economic conditions, including macro-economic conditions, and the level of economic activity in the industries and markets that we serve. In addition, the prevailing level of macro-economic, business, and operational uncertainty, as well as the current inflationary environment and foreign exchange rates fluctuation, may continue to present challenges in future periods and may affect the spending decisions of our customers. Although we try to mitigate the foreign currency exchange rates impact on our results through our hedging policy, we cannot assure that we will be able to effectively limit all of our exposure.</w:t>
      </w:r>
    </w:p>
    <w:p>
      <w:pPr>
        <w:spacing w:after="0" w:line="139"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we recognize revenue under the five-step methodology required under ASC 606, which requires us to identify the contract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customer, identify the performance obligations in the contract, determine the transaction price, allocate the transaction price to the performance obligations identified, and recognize revenue when (or as) each performance obligation is satisfied.</w:t>
      </w:r>
    </w:p>
    <w:p>
      <w:pPr>
        <w:spacing w:after="0" w:line="147" w:lineRule="exact"/>
        <w:rPr>
          <w:sz w:val="20"/>
          <w:szCs w:val="20"/>
          <w:color w:val="auto"/>
        </w:rPr>
      </w:pPr>
    </w:p>
    <w:p>
      <w:pPr>
        <w:jc w:val="both"/>
        <w:ind w:right="20" w:firstLine="509"/>
        <w:spacing w:after="0" w:line="281" w:lineRule="auto"/>
        <w:rPr>
          <w:sz w:val="20"/>
          <w:szCs w:val="20"/>
          <w:color w:val="auto"/>
        </w:rPr>
      </w:pPr>
      <w:r>
        <w:rPr>
          <w:rFonts w:ascii="Times New Roman" w:cs="Times New Roman" w:eastAsia="Times New Roman" w:hAnsi="Times New Roman"/>
          <w:sz w:val="18"/>
          <w:szCs w:val="18"/>
          <w:color w:val="auto"/>
        </w:rPr>
        <w:t>As a significant portion of our revenue is satisfied over time as work progresses, the annual and quarterly operating results may be affected by the size and timing of the initiation of customer projects as well as our progress in completing such projects.</w:t>
      </w:r>
    </w:p>
    <w:p>
      <w:pPr>
        <w:spacing w:after="0" w:line="122" w:lineRule="exact"/>
        <w:rPr>
          <w:sz w:val="20"/>
          <w:szCs w:val="20"/>
          <w:color w:val="auto"/>
        </w:rPr>
      </w:pPr>
    </w:p>
    <w:p>
      <w:pPr>
        <w:jc w:val="both"/>
        <w:ind w:right="20" w:firstLine="509"/>
        <w:spacing w:after="0" w:line="281" w:lineRule="auto"/>
        <w:rPr>
          <w:sz w:val="20"/>
          <w:szCs w:val="20"/>
          <w:color w:val="auto"/>
        </w:rPr>
      </w:pPr>
      <w:r>
        <w:rPr>
          <w:rFonts w:ascii="Times New Roman" w:cs="Times New Roman" w:eastAsia="Times New Roman" w:hAnsi="Times New Roman"/>
          <w:sz w:val="18"/>
          <w:szCs w:val="18"/>
          <w:color w:val="auto"/>
        </w:rPr>
        <w:t>For our primary revenue categories, related performance obligations, and associated recognition patterns please see Note 5 to our consolidated financial statements.</w:t>
      </w:r>
    </w:p>
    <w:p>
      <w:pPr>
        <w:spacing w:after="0" w:line="12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Revenue generated in connection with managed services arrangements is a significant part of our business, generating substantial, long-term recurring revenue streams and cash flow. Managed services arrangements include management of data center operations and IT infrastructure, application management and ongoing support, management of end-to-end business processes, and managed transformation that includes both a transformation project as well as taking over managed services responsibility. Revenue from managed services arrangements accounted for approximately $740.8 million and 719.8 million in the three months ended June 30, 2024 and 2023, respectively, and $2.18 billion and $2.14 billion in the nine months ended June 30, 2024 and 2023. Managed services engagements can be less profitable in their early stages; however, margins tend to improve over time, and this improvement is seen more rapidly in the initial period of an engagement, as we derive benefit from the operational efficiencies and from changes in the geographical mix of our resources.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Standards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Please see Note 2 to our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02" w:lineRule="exact"/>
        <w:rPr>
          <w:sz w:val="20"/>
          <w:szCs w:val="20"/>
          <w:color w:val="auto"/>
        </w:rPr>
      </w:pPr>
    </w:p>
    <w:p>
      <w:pPr>
        <w:ind w:right="60" w:firstLine="509"/>
        <w:spacing w:after="0" w:line="281" w:lineRule="auto"/>
        <w:rPr>
          <w:sz w:val="20"/>
          <w:szCs w:val="20"/>
          <w:color w:val="auto"/>
        </w:rPr>
      </w:pPr>
      <w:r>
        <w:rPr>
          <w:rFonts w:ascii="Times New Roman" w:cs="Times New Roman" w:eastAsia="Times New Roman" w:hAnsi="Times New Roman"/>
          <w:sz w:val="18"/>
          <w:szCs w:val="18"/>
          <w:color w:val="auto"/>
        </w:rPr>
        <w:t>The following table sets forth for the three and nine months ended June 30, 2024 and 2023. Certain items in our consolidated statements of income are reflected as a percentage of revenue (figures may not sum because of rounding):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60" w:type="dxa"/>
            <w:vAlign w:val="bottom"/>
          </w:tcPr>
          <w:p>
            <w:pPr>
              <w:spacing w:after="0"/>
              <w:rPr>
                <w:sz w:val="16"/>
                <w:szCs w:val="16"/>
                <w:color w:val="auto"/>
              </w:rPr>
            </w:pPr>
          </w:p>
        </w:tc>
        <w:tc>
          <w:tcPr>
            <w:tcW w:w="22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2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r>
      <w:tr>
        <w:trPr>
          <w:trHeight w:val="169"/>
        </w:trPr>
        <w:tc>
          <w:tcPr>
            <w:tcW w:w="576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top w:val="single" w:sz="8" w:color="auto"/>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398"/>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100 %</w:t>
            </w:r>
          </w:p>
        </w:tc>
        <w:tc>
          <w:tcPr>
            <w:tcW w:w="800" w:type="dxa"/>
            <w:vAlign w:val="bottom"/>
          </w:tcPr>
          <w:p>
            <w:pPr>
              <w:spacing w:after="0"/>
              <w:rPr>
                <w:sz w:val="24"/>
                <w:szCs w:val="24"/>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100 %</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100 %</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49"/>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9"/>
        </w:trPr>
        <w:tc>
          <w:tcPr>
            <w:tcW w:w="65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revenue</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2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6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65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6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Amortization of purchased intangible assets and other</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65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Restructuring charges</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6"/>
        </w:trPr>
        <w:tc>
          <w:tcPr>
            <w:tcW w:w="5760" w:type="dxa"/>
            <w:vAlign w:val="bottom"/>
            <w:tcBorders>
              <w:top w:val="single" w:sz="8" w:color="CFF0FC"/>
            </w:tcBorders>
          </w:tcPr>
          <w:p>
            <w:pPr>
              <w:spacing w:after="0"/>
              <w:rPr>
                <w:sz w:val="20"/>
                <w:szCs w:val="20"/>
                <w:color w:val="auto"/>
              </w:rPr>
            </w:pPr>
          </w:p>
        </w:tc>
        <w:tc>
          <w:tcPr>
            <w:tcW w:w="8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240" w:type="dxa"/>
            <w:vAlign w:val="bottom"/>
            <w:tcBorders>
              <w:top w:val="single" w:sz="8" w:color="CFF0FC"/>
            </w:tcBorders>
          </w:tcPr>
          <w:p>
            <w:pPr>
              <w:spacing w:after="0"/>
              <w:rPr>
                <w:sz w:val="20"/>
                <w:szCs w:val="20"/>
                <w:color w:val="auto"/>
              </w:rPr>
            </w:pPr>
          </w:p>
        </w:tc>
        <w:tc>
          <w:tcPr>
            <w:tcW w:w="80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220" w:type="dxa"/>
            <w:vAlign w:val="bottom"/>
            <w:tcBorders>
              <w:top w:val="single" w:sz="8" w:color="CFF0FC"/>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220" w:type="dxa"/>
            <w:vAlign w:val="bottom"/>
            <w:tcBorders>
              <w:top w:val="single" w:sz="8" w:color="CFF0FC"/>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tcBorders>
              <w:top w:val="single" w:sz="8" w:color="CFF0FC"/>
            </w:tcBorders>
          </w:tcPr>
          <w:p>
            <w:pPr>
              <w:spacing w:after="0"/>
              <w:rPr>
                <w:sz w:val="20"/>
                <w:szCs w:val="20"/>
                <w:color w:val="auto"/>
              </w:rPr>
            </w:pPr>
          </w:p>
        </w:tc>
        <w:tc>
          <w:tcPr>
            <w:tcW w:w="60" w:type="dxa"/>
            <w:vAlign w:val="bottom"/>
          </w:tcPr>
          <w:p>
            <w:pPr>
              <w:spacing w:after="0"/>
              <w:rPr>
                <w:sz w:val="20"/>
                <w:szCs w:val="20"/>
                <w:color w:val="auto"/>
              </w:rPr>
            </w:pPr>
          </w:p>
        </w:tc>
      </w:tr>
      <w:tr>
        <w:trPr>
          <w:trHeight w:val="240"/>
        </w:trPr>
        <w:tc>
          <w:tcPr>
            <w:tcW w:w="65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2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800" w:type="dxa"/>
            <w:vAlign w:val="bottom"/>
          </w:tcPr>
          <w:p>
            <w:pPr>
              <w:spacing w:after="0"/>
              <w:rPr>
                <w:sz w:val="20"/>
                <w:szCs w:val="20"/>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(0.5 )</w:t>
            </w:r>
          </w:p>
        </w:tc>
        <w:tc>
          <w:tcPr>
            <w:tcW w:w="800" w:type="dxa"/>
            <w:vAlign w:val="bottom"/>
          </w:tcPr>
          <w:p>
            <w:pPr>
              <w:spacing w:after="0"/>
              <w:rPr>
                <w:sz w:val="20"/>
                <w:szCs w:val="20"/>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(0.4 )</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(0.8 )</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(0.3 )</w:t>
            </w:r>
          </w:p>
        </w:tc>
        <w:tc>
          <w:tcPr>
            <w:tcW w:w="60" w:type="dxa"/>
            <w:vAlign w:val="bottom"/>
          </w:tcPr>
          <w:p>
            <w:pPr>
              <w:spacing w:after="0"/>
              <w:rPr>
                <w:sz w:val="20"/>
                <w:szCs w:val="20"/>
                <w:color w:val="auto"/>
              </w:rPr>
            </w:pPr>
          </w:p>
        </w:tc>
      </w:tr>
      <w:tr>
        <w:trPr>
          <w:trHeight w:val="240"/>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800" w:type="dxa"/>
            <w:vAlign w:val="bottom"/>
            <w:tcBorders>
              <w:top w:val="single" w:sz="8" w:color="auto"/>
            </w:tcBorders>
            <w:shd w:val="clear" w:color="auto" w:fill="CFF0FC"/>
          </w:tcPr>
          <w:p>
            <w:pPr>
              <w:spacing w:after="0"/>
              <w:rPr>
                <w:sz w:val="20"/>
                <w:szCs w:val="20"/>
                <w:color w:val="auto"/>
              </w:rPr>
            </w:pPr>
          </w:p>
        </w:tc>
        <w:tc>
          <w:tcPr>
            <w:tcW w:w="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40" w:type="dxa"/>
            <w:vAlign w:val="bottom"/>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20" w:type="dxa"/>
            <w:vAlign w:val="bottom"/>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20" w:type="dxa"/>
            <w:vAlign w:val="bottom"/>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8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6"/>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11.3 %</w:t>
            </w:r>
          </w:p>
        </w:tc>
        <w:tc>
          <w:tcPr>
            <w:tcW w:w="80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13.0 %</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10.9 %</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12.1 %</w:t>
            </w:r>
          </w:p>
        </w:tc>
      </w:tr>
      <w:tr>
        <w:trPr>
          <w:trHeight w:val="20"/>
        </w:trPr>
        <w:tc>
          <w:tcPr>
            <w:tcW w:w="57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8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4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2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6"/>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attributable to Amdocs Limited</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11.2 %</w:t>
            </w:r>
          </w:p>
        </w:tc>
        <w:tc>
          <w:tcPr>
            <w:tcW w:w="80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12.9 %</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10.9 %</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12.0 %</w:t>
            </w:r>
          </w:p>
        </w:tc>
      </w:tr>
      <w:tr>
        <w:trPr>
          <w:trHeight w:val="20"/>
        </w:trPr>
        <w:tc>
          <w:tcPr>
            <w:tcW w:w="57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-2405380</wp:posOffset>
            </wp:positionV>
            <wp:extent cx="7132320" cy="1543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-1326515</wp:posOffset>
            </wp:positionV>
            <wp:extent cx="7683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-1326515</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-1326515</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-1326515</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-521970</wp:posOffset>
            </wp:positionV>
            <wp:extent cx="7132320" cy="17970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440" w:right="2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Nine Months Ended June 30, 2024 and 2023</w:t>
      </w:r>
    </w:p>
    <w:p>
      <w:pPr>
        <w:spacing w:after="0" w:line="188" w:lineRule="exact"/>
        <w:rPr>
          <w:sz w:val="20"/>
          <w:szCs w:val="20"/>
          <w:color w:val="auto"/>
        </w:rPr>
      </w:pPr>
    </w:p>
    <w:p>
      <w:pPr>
        <w:jc w:val="both"/>
        <w:ind w:right="120" w:firstLine="509"/>
        <w:spacing w:after="0" w:line="281" w:lineRule="auto"/>
        <w:rPr>
          <w:sz w:val="20"/>
          <w:szCs w:val="20"/>
          <w:color w:val="auto"/>
        </w:rPr>
      </w:pPr>
      <w:r>
        <w:rPr>
          <w:rFonts w:ascii="Times New Roman" w:cs="Times New Roman" w:eastAsia="Times New Roman" w:hAnsi="Times New Roman"/>
          <w:sz w:val="18"/>
          <w:szCs w:val="18"/>
          <w:color w:val="auto"/>
        </w:rPr>
        <w:t>The following is a tabular presentation of our results of operations for the nine months ended June 30, 2024 compared to the nine months ended June 30, 2023. Following the table is a discussion and analysis of our business and results of operations for such periods.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20" w:type="dxa"/>
            <w:vAlign w:val="bottom"/>
            <w:gridSpan w:val="7"/>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60" w:type="dxa"/>
            <w:vAlign w:val="bottom"/>
          </w:tcPr>
          <w:p>
            <w:pPr>
              <w:spacing w:after="0"/>
              <w:rPr>
                <w:sz w:val="13"/>
                <w:szCs w:val="13"/>
                <w:color w:val="auto"/>
              </w:rPr>
            </w:pPr>
          </w:p>
        </w:tc>
        <w:tc>
          <w:tcPr>
            <w:tcW w:w="2560" w:type="dxa"/>
            <w:vAlign w:val="bottom"/>
            <w:gridSpan w:val="8"/>
            <w:vMerge w:val="restart"/>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187"/>
        </w:trPr>
        <w:tc>
          <w:tcPr>
            <w:tcW w:w="4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4"/>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60" w:type="dxa"/>
            <w:vAlign w:val="bottom"/>
            <w:gridSpan w:val="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gridSpan w:val="2"/>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60" w:type="dxa"/>
            <w:vAlign w:val="bottom"/>
            <w:tcBorders>
              <w:top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Revenue (1)</w:t>
            </w: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Borders>
              <w:top w:val="single" w:sz="8" w:color="auto"/>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420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3,741,107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3,644,986</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96,121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45"/>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4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revenue</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2,424,710</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2,356,341</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68,369</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270,729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277,162</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(6,433 )</w:t>
            </w:r>
          </w:p>
        </w:tc>
        <w:tc>
          <w:tcPr>
            <w:tcW w:w="24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434,140</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430,327</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3,813</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purchased intangible assets and other</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41,555</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6,164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Restructuring charges</w:t>
            </w:r>
          </w:p>
        </w:tc>
        <w:tc>
          <w:tcPr>
            <w:tcW w:w="36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47,875</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24,536</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23,339</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3,225,173</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3,129,921</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95,252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515,934</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515,065</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(28,300 )</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(12,322 )</w:t>
            </w:r>
          </w:p>
        </w:tc>
        <w:tc>
          <w:tcPr>
            <w:tcW w:w="160" w:type="dxa"/>
            <w:vAlign w:val="bottom"/>
          </w:tcPr>
          <w:p>
            <w:pPr>
              <w:spacing w:after="0"/>
              <w:rPr>
                <w:sz w:val="20"/>
                <w:szCs w:val="20"/>
                <w:color w:val="auto"/>
              </w:rPr>
            </w:pPr>
          </w:p>
        </w:tc>
        <w:tc>
          <w:tcPr>
            <w:tcW w:w="11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(15,978 )</w:t>
            </w: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487,634</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502,743</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60" w:type="dxa"/>
            <w:vAlign w:val="bottom"/>
            <w:gridSpan w:val="4"/>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(15,109 )</w:t>
            </w:r>
          </w:p>
        </w:tc>
        <w:tc>
          <w:tcPr>
            <w:tcW w:w="2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78,489</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62,447</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16,042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409,145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440,296</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(31,151 )</w:t>
            </w:r>
          </w:p>
        </w:tc>
        <w:tc>
          <w:tcPr>
            <w:tcW w:w="24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0" w:type="dxa"/>
            <w:vAlign w:val="bottom"/>
          </w:tcPr>
          <w:p>
            <w:pPr>
              <w:spacing w:after="0"/>
              <w:rPr>
                <w:sz w:val="1"/>
                <w:szCs w:val="1"/>
                <w:color w:val="auto"/>
              </w:rPr>
            </w:pPr>
          </w:p>
        </w:tc>
      </w:tr>
      <w:tr>
        <w:trPr>
          <w:trHeight w:val="20"/>
        </w:trPr>
        <w:tc>
          <w:tcPr>
            <w:tcW w:w="4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0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49.5 %</w:t>
            </w:r>
          </w:p>
        </w:tc>
        <w:tc>
          <w:tcPr>
            <w:tcW w:w="0" w:type="dxa"/>
            <w:vAlign w:val="bottom"/>
          </w:tcPr>
          <w:p>
            <w:pPr>
              <w:spacing w:after="0"/>
              <w:rPr>
                <w:sz w:val="1"/>
                <w:szCs w:val="1"/>
                <w:color w:val="auto"/>
              </w:rPr>
            </w:pPr>
          </w:p>
        </w:tc>
      </w:tr>
      <w:tr>
        <w:trPr>
          <w:trHeight w:val="20"/>
        </w:trPr>
        <w:tc>
          <w:tcPr>
            <w:tcW w:w="4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attributable to Amdocs Limited</w:t>
            </w: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0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406,756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438,698</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(31,942 )</w:t>
            </w:r>
          </w:p>
        </w:tc>
        <w:tc>
          <w:tcPr>
            <w:tcW w:w="24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0" w:type="dxa"/>
            <w:vAlign w:val="bottom"/>
          </w:tcPr>
          <w:p>
            <w:pPr>
              <w:spacing w:after="0"/>
              <w:rPr>
                <w:sz w:val="1"/>
                <w:szCs w:val="1"/>
                <w:color w:val="auto"/>
              </w:rPr>
            </w:pPr>
          </w:p>
        </w:tc>
      </w:tr>
      <w:tr>
        <w:trPr>
          <w:trHeight w:val="20"/>
        </w:trPr>
        <w:tc>
          <w:tcPr>
            <w:tcW w:w="4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 Geographic Information:</w:t>
            </w: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9"/>
        </w:trPr>
        <w:tc>
          <w:tcPr>
            <w:tcW w:w="42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4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80" w:type="dxa"/>
            <w:vAlign w:val="bottom"/>
            <w:gridSpan w:val="7"/>
          </w:tcPr>
          <w:p>
            <w:pPr>
              <w:jc w:val="center"/>
              <w:ind w:right="60"/>
              <w:spacing w:after="0" w:line="151"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5"/>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2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center"/>
              <w:ind w:left="89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5"/>
            <w:vMerge w:val="continue"/>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60" w:type="dxa"/>
            <w:vAlign w:val="bottom"/>
            <w:gridSpan w:val="8"/>
          </w:tcPr>
          <w:p>
            <w:pPr>
              <w:ind w:left="5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60" w:type="dxa"/>
            <w:vAlign w:val="bottom"/>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North America (mainly United States)</w:t>
            </w:r>
          </w:p>
        </w:tc>
        <w:tc>
          <w:tcPr>
            <w:tcW w:w="3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top w:val="single" w:sz="8" w:color="auto"/>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4200" w:type="dxa"/>
            <w:vAlign w:val="bottom"/>
            <w:vMerge w:val="continue"/>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2,490,186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2,472,587</w:t>
            </w:r>
          </w:p>
        </w:tc>
        <w:tc>
          <w:tcPr>
            <w:tcW w:w="280" w:type="dxa"/>
            <w:vAlign w:val="bottom"/>
          </w:tcPr>
          <w:p>
            <w:pPr>
              <w:spacing w:after="0"/>
              <w:rPr>
                <w:sz w:val="19"/>
                <w:szCs w:val="19"/>
                <w:color w:val="auto"/>
              </w:rPr>
            </w:pPr>
          </w:p>
        </w:tc>
        <w:tc>
          <w:tcPr>
            <w:tcW w:w="560" w:type="dxa"/>
            <w:vAlign w:val="bottom"/>
          </w:tcPr>
          <w:p>
            <w:pPr>
              <w:jc w:val="right"/>
              <w:ind w:right="359"/>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0.7 %</w:t>
            </w:r>
          </w:p>
        </w:tc>
        <w:tc>
          <w:tcPr>
            <w:tcW w:w="0" w:type="dxa"/>
            <w:vAlign w:val="bottom"/>
          </w:tcPr>
          <w:p>
            <w:pPr>
              <w:spacing w:after="0"/>
              <w:rPr>
                <w:sz w:val="1"/>
                <w:szCs w:val="1"/>
                <w:color w:val="auto"/>
              </w:rPr>
            </w:pPr>
          </w:p>
        </w:tc>
      </w:tr>
      <w:tr>
        <w:trPr>
          <w:trHeight w:val="245"/>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542,142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527,618</w:t>
            </w:r>
          </w:p>
        </w:tc>
        <w:tc>
          <w:tcPr>
            <w:tcW w:w="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 of the world</w:t>
            </w:r>
          </w:p>
        </w:tc>
        <w:tc>
          <w:tcPr>
            <w:tcW w:w="3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708,779</w:t>
            </w:r>
          </w:p>
        </w:tc>
        <w:tc>
          <w:tcPr>
            <w:tcW w:w="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644,781</w:t>
            </w:r>
          </w:p>
        </w:tc>
        <w:tc>
          <w:tcPr>
            <w:tcW w:w="28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63,998</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3,741,107</w:t>
            </w:r>
          </w:p>
        </w:tc>
        <w:tc>
          <w:tcPr>
            <w:tcW w:w="80" w:type="dxa"/>
            <w:vAlign w:val="bottom"/>
          </w:tcPr>
          <w:p>
            <w:pPr>
              <w:spacing w:after="0"/>
              <w:rPr>
                <w:sz w:val="20"/>
                <w:szCs w:val="20"/>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3,644,986</w:t>
            </w:r>
          </w:p>
        </w:tc>
        <w:tc>
          <w:tcPr>
            <w:tcW w:w="840" w:type="dxa"/>
            <w:vAlign w:val="bottom"/>
            <w:gridSpan w:val="2"/>
          </w:tcPr>
          <w:p>
            <w:pPr>
              <w:jc w:val="right"/>
              <w:ind w:right="359"/>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96,121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-3843655</wp:posOffset>
            </wp:positionV>
            <wp:extent cx="7132320" cy="16256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-2756535</wp:posOffset>
            </wp:positionV>
            <wp:extent cx="7683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-2756535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-2756535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-2756535</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-1951355</wp:posOffset>
            </wp:positionV>
            <wp:extent cx="7132320" cy="17970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-1591945</wp:posOffset>
            </wp:positionV>
            <wp:extent cx="7132320" cy="17970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-778510</wp:posOffset>
            </wp:positionV>
            <wp:extent cx="7132320" cy="28257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3644265</wp:posOffset>
            </wp:positionH>
            <wp:positionV relativeFrom="paragraph">
              <wp:posOffset>-187960</wp:posOffset>
            </wp:positionV>
            <wp:extent cx="7683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4791075</wp:posOffset>
            </wp:positionH>
            <wp:positionV relativeFrom="paragraph">
              <wp:posOffset>-187960</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-187960</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jc w:val="both"/>
        <w:ind w:right="100"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Revenue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 increased by $96.1 million, or 2.6%, to $3,741.1 million for the nine months ended June 30, 2024, from $3,645.0 million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nine months ended June 30, 2023. The increase in revenue for the nine months ended June 30, 2024, was attributable to increased activity across all regions. Excluding the effects of negative foreign fluctuations revenue for the nine months ended June 30, 2024 increased by 2.9% compared to the nine months ended June 30, 2023.</w:t>
      </w:r>
    </w:p>
    <w:p>
      <w:pPr>
        <w:spacing w:after="0" w:line="138" w:lineRule="exact"/>
        <w:rPr>
          <w:sz w:val="20"/>
          <w:szCs w:val="20"/>
          <w:color w:val="auto"/>
        </w:rPr>
      </w:pPr>
    </w:p>
    <w:p>
      <w:pPr>
        <w:jc w:val="both"/>
        <w:ind w:right="100" w:firstLine="509"/>
        <w:spacing w:after="0" w:line="281" w:lineRule="auto"/>
        <w:rPr>
          <w:sz w:val="20"/>
          <w:szCs w:val="20"/>
          <w:color w:val="auto"/>
        </w:rPr>
      </w:pPr>
      <w:r>
        <w:rPr>
          <w:rFonts w:ascii="Times New Roman" w:cs="Times New Roman" w:eastAsia="Times New Roman" w:hAnsi="Times New Roman"/>
          <w:sz w:val="18"/>
          <w:szCs w:val="18"/>
          <w:color w:val="auto"/>
        </w:rPr>
        <w:t>In the nine months ended June 30, 2024, revenue from customers in North America, Europe and the rest of the world accounted for 66.6%, 14.5% and 18.9%, respectively, of total revenue, compared to 67.8%, 14.5% and 17.7%, respectively, in the nine months ended June 30, 2023.</w:t>
      </w:r>
    </w:p>
    <w:p>
      <w:pPr>
        <w:spacing w:after="0" w:line="122" w:lineRule="exact"/>
        <w:rPr>
          <w:sz w:val="20"/>
          <w:szCs w:val="20"/>
          <w:color w:val="auto"/>
        </w:rPr>
      </w:pPr>
    </w:p>
    <w:p>
      <w:pPr>
        <w:jc w:val="both"/>
        <w:ind w:right="100" w:firstLine="509"/>
        <w:spacing w:after="0" w:line="260" w:lineRule="auto"/>
        <w:rPr>
          <w:sz w:val="20"/>
          <w:szCs w:val="20"/>
          <w:color w:val="auto"/>
        </w:rPr>
      </w:pPr>
      <w:r>
        <w:rPr>
          <w:rFonts w:ascii="Times New Roman" w:cs="Times New Roman" w:eastAsia="Times New Roman" w:hAnsi="Times New Roman"/>
          <w:sz w:val="18"/>
          <w:szCs w:val="18"/>
          <w:color w:val="auto"/>
        </w:rPr>
        <w:t>Revenue from customers in North America increased in absolute amount during the nine months ended June 30, 2024, primarily attributable to higher revenue from key customers in North America. Revenue from customers in North America increased during the nine months ended June 30, 2024, while total revenue increased at a slightly higher rate, primarily due to slower pipeline to sales conversion, which resulted in a decrease of revenue from customers in North America as a percentage of total revenue.</w:t>
      </w:r>
    </w:p>
    <w:p>
      <w:pPr>
        <w:spacing w:after="0" w:line="155" w:lineRule="exact"/>
        <w:rPr>
          <w:sz w:val="20"/>
          <w:szCs w:val="20"/>
          <w:color w:val="auto"/>
        </w:rPr>
      </w:pPr>
    </w:p>
    <w:p>
      <w:pPr>
        <w:jc w:val="both"/>
        <w:ind w:right="120" w:firstLine="509"/>
        <w:spacing w:after="0" w:line="281" w:lineRule="auto"/>
        <w:rPr>
          <w:sz w:val="20"/>
          <w:szCs w:val="20"/>
          <w:color w:val="auto"/>
        </w:rPr>
      </w:pPr>
      <w:r>
        <w:rPr>
          <w:rFonts w:ascii="Times New Roman" w:cs="Times New Roman" w:eastAsia="Times New Roman" w:hAnsi="Times New Roman"/>
          <w:sz w:val="18"/>
          <w:szCs w:val="18"/>
          <w:color w:val="auto"/>
        </w:rPr>
        <w:t>Revenue from customers in Europe increased in absolute amounts during the nine months ended June 30, 2024, as a result of an increase in managed services arrangements, as we expand our presence in this region.</w:t>
      </w:r>
    </w:p>
    <w:p>
      <w:pPr>
        <w:spacing w:after="0" w:line="122" w:lineRule="exact"/>
        <w:rPr>
          <w:sz w:val="20"/>
          <w:szCs w:val="20"/>
          <w:color w:val="auto"/>
        </w:rPr>
      </w:pPr>
    </w:p>
    <w:p>
      <w:pPr>
        <w:jc w:val="both"/>
        <w:ind w:right="100" w:firstLine="509"/>
        <w:spacing w:after="0" w:line="281" w:lineRule="auto"/>
        <w:rPr>
          <w:sz w:val="20"/>
          <w:szCs w:val="20"/>
          <w:color w:val="auto"/>
        </w:rPr>
      </w:pPr>
      <w:r>
        <w:rPr>
          <w:rFonts w:ascii="Times New Roman" w:cs="Times New Roman" w:eastAsia="Times New Roman" w:hAnsi="Times New Roman"/>
          <w:sz w:val="18"/>
          <w:szCs w:val="18"/>
          <w:color w:val="auto"/>
        </w:rPr>
        <w:t>Revenue from customers in the rest of the world increased in the nine months ended June 30, 2024, as project and managed services activities continued to ramp up with various customers, primarily in the Asia-Pacific region.</w:t>
      </w:r>
    </w:p>
    <w:p>
      <w:pPr>
        <w:spacing w:after="0" w:line="118" w:lineRule="exact"/>
        <w:rPr>
          <w:sz w:val="20"/>
          <w:szCs w:val="20"/>
          <w:color w:val="auto"/>
        </w:rPr>
      </w:pPr>
    </w:p>
    <w:p>
      <w:pPr>
        <w:jc w:val="both"/>
        <w:ind w:right="100"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Cost of Revenue</w:t>
      </w:r>
      <w:r>
        <w:rPr>
          <w:rFonts w:ascii="Times New Roman" w:cs="Times New Roman" w:eastAsia="Times New Roman" w:hAnsi="Times New Roman"/>
          <w:sz w:val="18"/>
          <w:szCs w:val="18"/>
          <w:color w:val="auto"/>
        </w:rPr>
        <w:t>. Cost of revenue consists primarily of costs associated with providing services to customers, including compensation expense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costs of third-party products, as well as fee and royalty payments to software suppliers. Cost of revenue increased by $68.4 million, or 2.9%, to $2,424.7 million in the nine months ended June 30, 2024, from $2,356.3 million in the nine months ended June 30, 2023. The Cost of revenue as a percentage of revenue, increased to 64.8% in the nine months ended June 30, 2024, from 64.6% in the nine months ended June 30, 2023. The slight increase in cost of revenue as a percentage of revenue, was</w:t>
      </w:r>
    </w:p>
    <w:p>
      <w:pPr>
        <w:spacing w:after="0" w:line="39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425" w:right="239" w:bottom="1018" w:gutter="0" w:footer="0" w:header="0"/>
        </w:sectPr>
      </w:pPr>
    </w:p>
    <w:bookmarkStart w:id="25" w:name="page26"/>
    <w:bookmarkEnd w:id="25"/>
    <w:p>
      <w:pPr>
        <w:spacing w:after="0" w:line="16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commensurate with revenue growth. Our cost of revenue was positively impacted by our continued focus on operational efficiency improvements and by foreign exchange fluctuations.</w:t>
      </w:r>
    </w:p>
    <w:p>
      <w:pPr>
        <w:spacing w:after="0" w:line="132"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Research and Development</w:t>
      </w:r>
      <w:r>
        <w:rPr>
          <w:rFonts w:ascii="Times New Roman" w:cs="Times New Roman" w:eastAsia="Times New Roman" w:hAnsi="Times New Roman"/>
          <w:sz w:val="18"/>
          <w:szCs w:val="18"/>
          <w:color w:val="auto"/>
        </w:rPr>
        <w:t>. Research and development expense is primarily comprised of compensation expense. Research and development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expense decreased by $6.4 million, or 2.3%, to $270.7 million in the nine months ended June 30, 2024, from $277.2 million in the nine months ended June 30, 2023. Research and development expense decreased as a percentage of revenue from 7.6% in the nine months ended June 30, 2023, to 7.2% in the nine months ended June 30, 2024. The decrease is attributable to accelerated research and development investments in prior periods. We continue to invest in our cloud offerings, 5G and network related innovation, AI and GenAI capabilities and further developing our digital offerings. Our research and development efforts are a key element of our strategy and are essential to our success, and we intend to maintain our commitment to research and development. However, increase or decrease in our revenue would not necessarily result in a proportional increase or decrease in the levels of our research and development expenditures, which could affect our operating margin.</w:t>
      </w:r>
    </w:p>
    <w:p>
      <w:pPr>
        <w:spacing w:after="0" w:line="14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r>
        <w:rPr>
          <w:rFonts w:ascii="Times New Roman" w:cs="Times New Roman" w:eastAsia="Times New Roman" w:hAnsi="Times New Roman"/>
          <w:sz w:val="18"/>
          <w:szCs w:val="18"/>
          <w:color w:val="auto"/>
        </w:rPr>
        <w:t>. Selling, general and administrative expense, which is primarily comprised of compensation expense,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increased by $3.8 million, or 0.9%, to $434.1 million in the nine months ended June 30, 2024, from $430.3 million in the nine months ended June 30, 2023. Selling, general and administrative expense decreased as a percentage of revenue from 11.8% in the nine months ended June 30, 2023, to 11.6% in the nine months ended June 30, 2024. This slight decrease was primarily attributable to costs reduction attributable to operational excellence and efficiency improvements, which were partially offset by an increase in the account receivable allowances. Selling, general and administrative expense may fluctuate from time to time, depending upon such factors as changes in our workforce and sales efforts and the results of any operational efficiency programs that we may undertake.</w:t>
      </w:r>
    </w:p>
    <w:p>
      <w:pPr>
        <w:spacing w:after="0" w:line="140"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Amortization of Purchased Intangible Assets and Other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Amortization of purchased intangible assets and other in the nine months ended June 30,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2024, increased by $6.2 million, or 14.8% to $47.7 million from $41.6 million in the nine months ended June 30, 2023. The increase in amortization of purchased intangible assets and other was primarily attributable to an increase in amortization of intangible assets due to recent completed acquisitions, partially offset by a completion of amortization of previously purchased intangible assets.</w:t>
      </w:r>
    </w:p>
    <w:p>
      <w:pPr>
        <w:spacing w:after="0" w:line="148"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Restructuring Charges. </w:t>
      </w:r>
      <w:r>
        <w:rPr>
          <w:rFonts w:ascii="Times New Roman" w:cs="Times New Roman" w:eastAsia="Times New Roman" w:hAnsi="Times New Roman"/>
          <w:sz w:val="18"/>
          <w:szCs w:val="18"/>
          <w:color w:val="auto"/>
        </w:rPr>
        <w:t>Restructuring charges for the nine months ended June 30, 2024, were $47.9 million, and were $24.5 in the nine months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June 30, 2023. During the nine months ended June 30, 2024, the Company took actions under a new restructuring plan that was mainly comprised of employee's severance expense and benefits arrangements. The Company expects to execute the remainder of this plan over the next several quarters. For the restructuring charges for the comparable period and for more details, please see Note 10 to our consolidated financial statements.</w:t>
      </w:r>
    </w:p>
    <w:p>
      <w:pPr>
        <w:spacing w:after="0" w:line="13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Operating Income</w:t>
      </w:r>
      <w:r>
        <w:rPr>
          <w:rFonts w:ascii="Times New Roman" w:cs="Times New Roman" w:eastAsia="Times New Roman" w:hAnsi="Times New Roman"/>
          <w:sz w:val="18"/>
          <w:szCs w:val="18"/>
          <w:color w:val="auto"/>
        </w:rPr>
        <w:t>. Operating income slightly increased by $0.9 million, or 0.2%, in the nine months ended June 30, 2024, to $515.9 million,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$515.1 million, in the nine months ended June 30, 2023. Operating income decreased as a percentage of revenue from 14.1% in the nine months ended June 30, 2023, to 13.8% in the nine months ended June 30, 2024. Operating income remained at the same level in the nine months ended June 30, 2024 compared to the nine months ended June 30, 2023, despite the increase in restructuring charges recorded. Excluding the restructuring charges of $47.9 million in the nine months ended June 30, 2024, our operating income as a percentage of revenue increased by 30 basis points, primarily as a result of continued focus on operational excellence through disciplined resource management, automation, sophisticated tools, and leveraging AI including GenAI, to drive additional cost and efficiency improvements. Our operating income was positively affected by foreign exchange impacts.</w:t>
      </w:r>
    </w:p>
    <w:p>
      <w:pPr>
        <w:spacing w:after="0" w:line="140"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Interest and Other Expense, Net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and other expense, net, changed from a net expense of $12.3 million in the nine months ended June 30,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2023, to a net expense of $28.3 million in the nine months ended June 30, 2024. The increase in interest and other expense, net, was primarily attributable to decrease in interest income net of interest expenses, as a result of lower level of cash balances, an increase in adverse foreign exchange fluctuation charges and changes in minority equity investments measured at fair value recorded in the nine months ended June 30, 2024, compared to the nine months ended June 30, 2023.</w:t>
      </w:r>
    </w:p>
    <w:p>
      <w:pPr>
        <w:spacing w:after="0" w:line="151"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Income Tax expense</w:t>
      </w:r>
      <w:r>
        <w:rPr>
          <w:rFonts w:ascii="Times New Roman" w:cs="Times New Roman" w:eastAsia="Times New Roman" w:hAnsi="Times New Roman"/>
          <w:sz w:val="18"/>
          <w:szCs w:val="18"/>
          <w:color w:val="auto"/>
        </w:rPr>
        <w:t>. Income tax expense for the nine months ended June 30, 2024 were $78.5, million, on pre-tax income of $487.6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resulting in an effective tax rate of 16.1%, compared to 12.4% in the nine months ended June 30, 2023. Please see also Note 11 to our consolidated financial statements. Our effective tax rate may fluctuate between periods as a result of discrete items that may affect a particular period.</w:t>
      </w:r>
    </w:p>
    <w:p>
      <w:pPr>
        <w:spacing w:after="0" w:line="129"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Net income attributable to Amdocs Limited</w:t>
      </w:r>
      <w:r>
        <w:rPr>
          <w:rFonts w:ascii="Times New Roman" w:cs="Times New Roman" w:eastAsia="Times New Roman" w:hAnsi="Times New Roman"/>
          <w:sz w:val="18"/>
          <w:szCs w:val="18"/>
          <w:color w:val="auto"/>
        </w:rPr>
        <w:t>. Net income decreased by $31.9 million, or 7.3%, to $406.8 million in the nine months ended June 30,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2024, from $438.7 million in the nine months ended June 30, 2023. The decrease in net income is primarily attributable to an increase in interest and other expense, net, an increase in income taxes, partially offset by the slight increase in operating income.</w:t>
      </w:r>
    </w:p>
    <w:p>
      <w:pPr>
        <w:spacing w:after="0" w:line="129"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Diluted Earnings Per Share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Diluted earnings per share decreased by $0.14, or 3.9%, to $3.48 in the nine months ended June 30, 2024, from $3.62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the nine months ended June 30, 2023. The decrease in diluted earnings per share was attributable to a decrease in net income, partially offset by a decrease in the diluted weighted average number of shares outstanding, which resulted from share repurchases. Please see also Note 12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2024 and 2023</w:t>
      </w:r>
    </w:p>
    <w:p>
      <w:pPr>
        <w:spacing w:after="0" w:line="202" w:lineRule="exact"/>
        <w:rPr>
          <w:sz w:val="20"/>
          <w:szCs w:val="20"/>
          <w:color w:val="auto"/>
        </w:rPr>
      </w:pPr>
    </w:p>
    <w:p>
      <w:pPr>
        <w:jc w:val="both"/>
        <w:ind w:right="100" w:firstLine="509"/>
        <w:spacing w:after="0" w:line="281" w:lineRule="auto"/>
        <w:rPr>
          <w:sz w:val="20"/>
          <w:szCs w:val="20"/>
          <w:color w:val="auto"/>
        </w:rPr>
      </w:pPr>
      <w:r>
        <w:rPr>
          <w:rFonts w:ascii="Times New Roman" w:cs="Times New Roman" w:eastAsia="Times New Roman" w:hAnsi="Times New Roman"/>
          <w:sz w:val="18"/>
          <w:szCs w:val="18"/>
          <w:color w:val="auto"/>
        </w:rPr>
        <w:t>The following is a tabular presentation of our results of operations for the three months ended June 30, 2024 compared to the three months ended June 30, 2023. Following the table is a discussion and analysis of our business and results of operations for such periods.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0" w:type="dxa"/>
            <w:vAlign w:val="bottom"/>
            <w:gridSpan w:val="5"/>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4"/>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6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4"/>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4"/>
            <w:vMerge w:val="continue"/>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80" w:type="dxa"/>
            <w:vAlign w:val="bottom"/>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Revenue (1)</w:t>
            </w:r>
          </w:p>
        </w:tc>
        <w:tc>
          <w:tcPr>
            <w:tcW w:w="3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top w:val="single" w:sz="8" w:color="auto"/>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4640" w:type="dxa"/>
            <w:vAlign w:val="bottom"/>
            <w:vMerge w:val="continue"/>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1,250,059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ind w:right="44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1,235,962</w:t>
            </w:r>
          </w:p>
        </w:tc>
        <w:tc>
          <w:tcPr>
            <w:tcW w:w="28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45"/>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4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809,970</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8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804,007</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5,963</w:t>
            </w:r>
          </w:p>
        </w:tc>
        <w:tc>
          <w:tcPr>
            <w:tcW w:w="260" w:type="dxa"/>
            <w:vAlign w:val="bottom"/>
            <w:tcBorders>
              <w:right w:val="single" w:sz="8" w:color="CFF0FC"/>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90,368</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92,162</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(1,794 )</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144,027</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8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143,777</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60" w:type="dxa"/>
            <w:vAlign w:val="bottom"/>
            <w:tcBorders>
              <w:right w:val="single" w:sz="8" w:color="CFF0FC"/>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purchased intangible assets and other</w:t>
            </w:r>
          </w:p>
        </w:tc>
        <w:tc>
          <w:tcPr>
            <w:tcW w:w="34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15,111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13,302</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Restructuring charges</w:t>
            </w:r>
          </w:p>
        </w:tc>
        <w:tc>
          <w:tcPr>
            <w:tcW w:w="34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14,715</w:t>
            </w: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14,715</w:t>
            </w:r>
          </w:p>
        </w:tc>
        <w:tc>
          <w:tcPr>
            <w:tcW w:w="260" w:type="dxa"/>
            <w:vAlign w:val="bottom"/>
            <w:tcBorders>
              <w:bottom w:val="single" w:sz="8" w:color="CFF0FC"/>
              <w:right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6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1,074,191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1,053,248</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20,943</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175,868</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8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182,714</w:t>
            </w: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0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(6,846 )</w:t>
            </w: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340" w:type="dxa"/>
            <w:vAlign w:val="bottom"/>
          </w:tcPr>
          <w:p>
            <w:pPr>
              <w:spacing w:after="0"/>
              <w:rPr>
                <w:sz w:val="20"/>
                <w:szCs w:val="20"/>
                <w:color w:val="auto"/>
              </w:rPr>
            </w:pP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(6,872 )</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8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color w:val="auto"/>
              </w:rPr>
              <w:t>(4,421 )</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(2,451 )</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168,996</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8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178,293</w:t>
            </w: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0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(9,297 )</w:t>
            </w: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(5.2 )</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27,998</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18,178</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9,820</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(54.0 )</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4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4640" w:type="dxa"/>
            <w:vAlign w:val="bottom"/>
            <w:vMerge w:val="continue"/>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140,998</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44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160,115</w:t>
            </w:r>
          </w:p>
        </w:tc>
        <w:tc>
          <w:tcPr>
            <w:tcW w:w="28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(19,117 )</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0" w:type="dxa"/>
            <w:vAlign w:val="bottom"/>
          </w:tcPr>
          <w:p>
            <w:pPr>
              <w:spacing w:after="0"/>
              <w:rPr>
                <w:sz w:val="1"/>
                <w:szCs w:val="1"/>
                <w:color w:val="auto"/>
              </w:rPr>
            </w:pPr>
          </w:p>
        </w:tc>
      </w:tr>
      <w:tr>
        <w:trPr>
          <w:trHeight w:val="245"/>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34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687</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0"/>
        </w:trPr>
        <w:tc>
          <w:tcPr>
            <w:tcW w:w="4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attributable to Amdocs Limited</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40" w:type="dxa"/>
            <w:vAlign w:val="bottom"/>
            <w:vMerge w:val="continue"/>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140,289</w:t>
            </w:r>
          </w:p>
        </w:tc>
        <w:tc>
          <w:tcPr>
            <w:tcW w:w="140" w:type="dxa"/>
            <w:vAlign w:val="bottom"/>
          </w:tcPr>
          <w:p>
            <w:pPr>
              <w:spacing w:after="0"/>
              <w:rPr>
                <w:sz w:val="19"/>
                <w:szCs w:val="19"/>
                <w:color w:val="auto"/>
              </w:rPr>
            </w:pPr>
          </w:p>
        </w:tc>
        <w:tc>
          <w:tcPr>
            <w:tcW w:w="780" w:type="dxa"/>
            <w:vAlign w:val="bottom"/>
            <w:gridSpan w:val="2"/>
          </w:tcPr>
          <w:p>
            <w:pPr>
              <w:jc w:val="right"/>
              <w:ind w:right="44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159,428</w:t>
            </w:r>
          </w:p>
        </w:tc>
        <w:tc>
          <w:tcPr>
            <w:tcW w:w="6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(19,139 )</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0" w:type="dxa"/>
            <w:vAlign w:val="bottom"/>
          </w:tcPr>
          <w:p>
            <w:pPr>
              <w:spacing w:after="0"/>
              <w:rPr>
                <w:sz w:val="1"/>
                <w:szCs w:val="1"/>
                <w:color w:val="auto"/>
              </w:rPr>
            </w:pPr>
          </w:p>
        </w:tc>
      </w:tr>
      <w:tr>
        <w:trPr>
          <w:trHeight w:val="481"/>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 Geographic Information:</w:t>
            </w: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4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4"/>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520" w:type="dxa"/>
            <w:vAlign w:val="bottom"/>
            <w:gridSpan w:val="7"/>
            <w:vMerge w:val="restart"/>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187"/>
        </w:trPr>
        <w:tc>
          <w:tcPr>
            <w:tcW w:w="4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20" w:type="dxa"/>
            <w:vAlign w:val="bottom"/>
            <w:gridSpan w:val="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gridSpan w:val="2"/>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tcBorders>
              <w:top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North America (mainly United States)</w:t>
            </w: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Borders>
              <w:top w:val="single" w:sz="8" w:color="auto"/>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464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828,845</w:t>
            </w:r>
          </w:p>
        </w:tc>
        <w:tc>
          <w:tcPr>
            <w:tcW w:w="260" w:type="dxa"/>
            <w:vAlign w:val="bottom"/>
          </w:tcPr>
          <w:p>
            <w:pPr>
              <w:spacing w:after="0"/>
              <w:rPr>
                <w:sz w:val="19"/>
                <w:szCs w:val="19"/>
                <w:color w:val="auto"/>
              </w:rPr>
            </w:pP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830,868</w:t>
            </w:r>
          </w:p>
        </w:tc>
        <w:tc>
          <w:tcPr>
            <w:tcW w:w="2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19"/>
                <w:szCs w:val="19"/>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45"/>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175,874</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187,293</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(11,419 )</w:t>
            </w:r>
          </w:p>
        </w:tc>
        <w:tc>
          <w:tcPr>
            <w:tcW w:w="320" w:type="dxa"/>
            <w:vAlign w:val="bottom"/>
          </w:tcPr>
          <w:p>
            <w:pPr>
              <w:spacing w:after="0"/>
              <w:rPr>
                <w:sz w:val="21"/>
                <w:szCs w:val="21"/>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(6.1 )</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 of the world</w:t>
            </w:r>
          </w:p>
        </w:tc>
        <w:tc>
          <w:tcPr>
            <w:tcW w:w="34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245,340</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217,801</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27,539</w:t>
            </w:r>
          </w:p>
        </w:tc>
        <w:tc>
          <w:tcPr>
            <w:tcW w:w="2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Pr>
          <w:p>
            <w:pPr>
              <w:spacing w:after="0"/>
              <w:rPr>
                <w:sz w:val="20"/>
                <w:szCs w:val="20"/>
                <w:color w:val="auto"/>
              </w:rPr>
            </w:pPr>
          </w:p>
        </w:tc>
        <w:tc>
          <w:tcPr>
            <w:tcW w:w="108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1,250,059</w:t>
            </w:r>
          </w:p>
        </w:tc>
        <w:tc>
          <w:tcPr>
            <w:tcW w:w="52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1,235,962</w:t>
            </w:r>
          </w:p>
        </w:tc>
        <w:tc>
          <w:tcPr>
            <w:tcW w:w="4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14,097</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-1899920</wp:posOffset>
            </wp:positionV>
            <wp:extent cx="7132320" cy="15430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-1566545</wp:posOffset>
            </wp:positionV>
            <wp:extent cx="7132320" cy="15430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-3792220</wp:posOffset>
            </wp:positionV>
            <wp:extent cx="7132320" cy="16256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3849370</wp:posOffset>
            </wp:positionH>
            <wp:positionV relativeFrom="paragraph">
              <wp:posOffset>-2705100</wp:posOffset>
            </wp:positionV>
            <wp:extent cx="7683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4945380</wp:posOffset>
            </wp:positionH>
            <wp:positionV relativeFrom="paragraph">
              <wp:posOffset>-2705100</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6007100</wp:posOffset>
            </wp:positionH>
            <wp:positionV relativeFrom="paragraph">
              <wp:posOffset>-2705100</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-2705100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-778510</wp:posOffset>
            </wp:positionV>
            <wp:extent cx="7132320" cy="28257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-187960</wp:posOffset>
            </wp:positionV>
            <wp:extent cx="7683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-187960</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-187960</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jc w:val="both"/>
        <w:ind w:right="10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Revenue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 increased by $14.1 million, or 1.1%, to $1,250.1 million for the three months ended June 30, 2024, from $1,236.0 million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three months ended June 30, 2023. Excluding the effects of negative foreign fluctuations, revenue for the three months ended June 30, 2024 increased by 1.8% compared to the three months ended June 30, 2023.</w:t>
      </w:r>
    </w:p>
    <w:p>
      <w:pPr>
        <w:spacing w:after="0" w:line="133" w:lineRule="exact"/>
        <w:rPr>
          <w:sz w:val="20"/>
          <w:szCs w:val="20"/>
          <w:color w:val="auto"/>
        </w:rPr>
      </w:pPr>
    </w:p>
    <w:p>
      <w:pPr>
        <w:jc w:val="both"/>
        <w:ind w:right="120" w:firstLine="509"/>
        <w:spacing w:after="0" w:line="281" w:lineRule="auto"/>
        <w:rPr>
          <w:sz w:val="20"/>
          <w:szCs w:val="20"/>
          <w:color w:val="auto"/>
        </w:rPr>
      </w:pPr>
      <w:r>
        <w:rPr>
          <w:rFonts w:ascii="Times New Roman" w:cs="Times New Roman" w:eastAsia="Times New Roman" w:hAnsi="Times New Roman"/>
          <w:sz w:val="18"/>
          <w:szCs w:val="18"/>
          <w:color w:val="auto"/>
        </w:rPr>
        <w:t>In the three months ended June 30, 2024, revenue from customers in North America, Europe and the rest of the world accounted for 66.3%, 14.1% and 19.6%, respectively, of total revenue, compared to 67.2%, 15.2% and 17.6%, respectively, in the three months ended June 30, 2023.</w:t>
      </w:r>
    </w:p>
    <w:p>
      <w:pPr>
        <w:spacing w:after="0" w:line="122" w:lineRule="exact"/>
        <w:rPr>
          <w:sz w:val="20"/>
          <w:szCs w:val="20"/>
          <w:color w:val="auto"/>
        </w:rPr>
      </w:pPr>
    </w:p>
    <w:p>
      <w:pPr>
        <w:jc w:val="both"/>
        <w:ind w:right="100" w:firstLine="562"/>
        <w:spacing w:after="0" w:line="265" w:lineRule="auto"/>
        <w:rPr>
          <w:sz w:val="20"/>
          <w:szCs w:val="20"/>
          <w:color w:val="auto"/>
        </w:rPr>
      </w:pPr>
      <w:r>
        <w:rPr>
          <w:rFonts w:ascii="Times New Roman" w:cs="Times New Roman" w:eastAsia="Times New Roman" w:hAnsi="Times New Roman"/>
          <w:sz w:val="18"/>
          <w:szCs w:val="18"/>
          <w:color w:val="auto"/>
        </w:rPr>
        <w:t>Revenue from customers in North America remained roughly at the same level in absolute amounts during the three months ended June 30, 2024, while total revenue increased, which resulted in a decrease of revenue from customers in North America as a percentage of total revenue, primarily due to slower pipeline to sales conversion.</w:t>
      </w:r>
    </w:p>
    <w:p>
      <w:pPr>
        <w:spacing w:after="0" w:line="150" w:lineRule="exact"/>
        <w:rPr>
          <w:sz w:val="20"/>
          <w:szCs w:val="20"/>
          <w:color w:val="auto"/>
        </w:rPr>
      </w:pPr>
    </w:p>
    <w:p>
      <w:pPr>
        <w:jc w:val="both"/>
        <w:ind w:right="100" w:firstLine="509"/>
        <w:spacing w:after="0" w:line="281" w:lineRule="auto"/>
        <w:rPr>
          <w:sz w:val="20"/>
          <w:szCs w:val="20"/>
          <w:color w:val="auto"/>
        </w:rPr>
      </w:pPr>
      <w:r>
        <w:rPr>
          <w:rFonts w:ascii="Times New Roman" w:cs="Times New Roman" w:eastAsia="Times New Roman" w:hAnsi="Times New Roman"/>
          <w:sz w:val="18"/>
          <w:szCs w:val="18"/>
          <w:color w:val="auto"/>
        </w:rPr>
        <w:t>Revenue from customers in Europe decreased during the three months ended June 30, 2024, as a result of normal business fluctuations resulting from the natural roll-off of completed projects, and the gradual ramp-up of new deal awards.</w:t>
      </w:r>
    </w:p>
    <w:p>
      <w:pPr>
        <w:spacing w:after="0" w:line="163" w:lineRule="exact"/>
        <w:rPr>
          <w:sz w:val="20"/>
          <w:szCs w:val="20"/>
          <w:color w:val="auto"/>
        </w:rPr>
      </w:pPr>
    </w:p>
    <w:p>
      <w:pPr>
        <w:jc w:val="both"/>
        <w:ind w:right="100" w:firstLine="509"/>
        <w:spacing w:after="0" w:line="281" w:lineRule="auto"/>
        <w:rPr>
          <w:sz w:val="20"/>
          <w:szCs w:val="20"/>
          <w:color w:val="auto"/>
        </w:rPr>
      </w:pPr>
      <w:r>
        <w:rPr>
          <w:rFonts w:ascii="Times New Roman" w:cs="Times New Roman" w:eastAsia="Times New Roman" w:hAnsi="Times New Roman"/>
          <w:sz w:val="18"/>
          <w:szCs w:val="18"/>
          <w:color w:val="auto"/>
        </w:rPr>
        <w:t>Revenue from customers in the rest of the world increased in the three months ended June 30, 2024, as project and managed services activities continued to ramp up with various customers primarily in the Asia-Pacific region.</w:t>
      </w:r>
    </w:p>
    <w:p>
      <w:pPr>
        <w:spacing w:after="0" w:line="118" w:lineRule="exact"/>
        <w:rPr>
          <w:sz w:val="20"/>
          <w:szCs w:val="20"/>
          <w:color w:val="auto"/>
        </w:rPr>
      </w:pPr>
    </w:p>
    <w:p>
      <w:pPr>
        <w:jc w:val="both"/>
        <w:ind w:right="100"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Cost of Revenue</w:t>
      </w:r>
      <w:r>
        <w:rPr>
          <w:rFonts w:ascii="Times New Roman" w:cs="Times New Roman" w:eastAsia="Times New Roman" w:hAnsi="Times New Roman"/>
          <w:sz w:val="18"/>
          <w:szCs w:val="18"/>
          <w:color w:val="auto"/>
        </w:rPr>
        <w:t>. Cost of revenue consists primarily of costs associated with providing services to customers, including compensation expense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costs of third-party products, as well as fee and royalty payments to software suppliers. Cost of revenue increased by $6.0 million, or 0.7%, to $810.0 million in the three months ended June 30, 2024, from $804.0 million in the three months ended June 30, 2023. The Cost of revenue as a percentage of revenue decreased to 64.8% in the three months ended June 30, 2024, from 65.1% in the three months ended June 30, 2023, reflecting a continued focus on operational excellence and efficiency improvements. Our cost of revenue was positively affected by foreign exchange impacts.</w:t>
      </w:r>
    </w:p>
    <w:p>
      <w:pPr>
        <w:spacing w:after="0" w:line="39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27" w:name="page28"/>
    <w:bookmarkEnd w:id="27"/>
    <w:p>
      <w:pPr>
        <w:spacing w:after="0" w:line="16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Research and Development</w:t>
      </w:r>
      <w:r>
        <w:rPr>
          <w:rFonts w:ascii="Times New Roman" w:cs="Times New Roman" w:eastAsia="Times New Roman" w:hAnsi="Times New Roman"/>
          <w:sz w:val="18"/>
          <w:szCs w:val="18"/>
          <w:color w:val="auto"/>
        </w:rPr>
        <w:t>. Research and development expense is primarily comprised of compensation expense. Research and development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expense slightly decreased by $1.8 million, or 1.9%, to $90.4 million in the three months ended June 30, 2024, from $92.2 million in the three months ended June 30, 2023. Research and development expense decreased as a percentage of revenue from 7.5% in the three months ended June 30, 2023, to 7.2% in the three months ended June 30, 2024. We continue to invest in our cloud offerings, 5G and network related innovation, AI and GenAI capabilities and further developing our digital offerings. Our research and development efforts are a key element of our strategy and are essential to our success, and we intend to maintain our commitment to research and development. However, increase or decrease in our revenue would not necessarily result in a proportional increase or decrease in the levels of our research and development expenditures, which could affect our operating margin.</w:t>
      </w:r>
    </w:p>
    <w:p>
      <w:pPr>
        <w:spacing w:after="0" w:line="150"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r>
        <w:rPr>
          <w:rFonts w:ascii="Times New Roman" w:cs="Times New Roman" w:eastAsia="Times New Roman" w:hAnsi="Times New Roman"/>
          <w:sz w:val="18"/>
          <w:szCs w:val="18"/>
          <w:color w:val="auto"/>
        </w:rPr>
        <w:t>. Selling, general and administrative expense, which is primarily comprised of compensation expense, remained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 the same level as in the three months ended June 30, 2024, compared to the three months ended June 30, 2023. Selling, general and administrative expense slightly decreased as a percentage of revenue from 11.6% in the three months ended June 30, 2023, to 11.5% in the three months ended June 30, 2024, this slight decrease was primarily attributable to costs reduction attributable to operational excellence and efficiency improvements, which were partially offset by an increase in the account receivable allowances. Selling, general and administrative expense may fluctuate from time to time, depending upon such factors as changes in our workforce and sales efforts and the results of any operational efficiency programs that we may undertake.</w:t>
      </w:r>
    </w:p>
    <w:p>
      <w:pPr>
        <w:spacing w:after="0" w:line="140"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Amortization of Purchased Intangible Assets and Other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Amortization of purchased intangible assets and other in the three months ended June 30,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2024, increased by $1.8 million, or 13.6% to $15.1 million from $13.3 million in the three months ended June 30, 2023. The increase in amortization of purchased intangible assets and other was primarily attributable to an increase in amortization of intangible assets due to recent completed acquisitions, partially offset by a completion of amortization of previously purchased intangible assets and a decrease in acquisition-related costs.</w:t>
      </w:r>
    </w:p>
    <w:p>
      <w:pPr>
        <w:spacing w:after="0" w:line="350"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Restructuring Charges. </w:t>
      </w:r>
      <w:r>
        <w:rPr>
          <w:rFonts w:ascii="Times New Roman" w:cs="Times New Roman" w:eastAsia="Times New Roman" w:hAnsi="Times New Roman"/>
          <w:sz w:val="18"/>
          <w:szCs w:val="18"/>
          <w:color w:val="auto"/>
        </w:rPr>
        <w:t>Restructuring charges for the three months ended June 30, 2024 were $14.7 million, while there were no restructuring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charges in the three months ended June 30, 2023. During the three months ended June 30, 2024, the Company took actions under the new restructuring plan that was mainly comprised of employee severance and benefits arrangements. The Company expects to execute the remainder of this plan over the next several quarters. Please see Note 10 to our consolidated financial statements.</w:t>
      </w:r>
    </w:p>
    <w:p>
      <w:pPr>
        <w:spacing w:after="0" w:line="14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Operating Income</w:t>
      </w:r>
      <w:r>
        <w:rPr>
          <w:rFonts w:ascii="Times New Roman" w:cs="Times New Roman" w:eastAsia="Times New Roman" w:hAnsi="Times New Roman"/>
          <w:sz w:val="18"/>
          <w:szCs w:val="18"/>
          <w:color w:val="auto"/>
        </w:rPr>
        <w:t>. Operating income decreased by $6.8 million, or 3.7%, in the three months ended June 30, 2024, to $175.9 million, or 14.1%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 from $182.7 million, or 14.8% of revenue, in the three months ended June 30, 2023. The decrease in operating income was attributable primarily to restructuring charges recognized in the three months ended June 30, 2024, while there were no restructuring charges in the three months ended June 30, 2023. Excluding the restructuring charges of $14.7 million in the three months ended June 30, 2024, our operating income as a percentage of revenue increased by 50 basis points, primarily as a result of continued focus on operational excellence through disciplined resource management, automation, sophisticated tools, and leveraging AI including GenAI, to drive additional cost and efficiency improvement. The impact of foreign exchange fluctuations on our operating income was immaterial.</w:t>
      </w:r>
    </w:p>
    <w:p>
      <w:pPr>
        <w:spacing w:after="0" w:line="140"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Interest and Other Expense, Net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and other expense, net, changed from a net expense of $4.4 million in the three months ended June 30,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2023 to a net expense of $6.9 million in the three months ended June 30, 2024. The increase in interest and other expense, net, was primarily attributable to a decrease in interest income net of interest expenses, as a result of lower level of cash balances, partially offset by a decrease in foreign exchange fluctuation charges recorded in the three months ended June 30, 2024 compared to the three months ended June,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5605780</wp:posOffset>
            </wp:positionH>
            <wp:positionV relativeFrom="paragraph">
              <wp:posOffset>-173990</wp:posOffset>
            </wp:positionV>
            <wp:extent cx="4572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45720" cy="8255"/>
                    </a:xfrm>
                    <a:prstGeom prst="rect">
                      <a:avLst/>
                    </a:prstGeom>
                    <a:noFill/>
                  </pic:spPr>
                </pic:pic>
              </a:graphicData>
            </a:graphic>
          </wp:anchor>
        </w:drawing>
      </w:r>
    </w:p>
    <w:p>
      <w:pPr>
        <w:spacing w:after="0" w:line="114"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Income Tax expense</w:t>
      </w:r>
      <w:r>
        <w:rPr>
          <w:rFonts w:ascii="Times New Roman" w:cs="Times New Roman" w:eastAsia="Times New Roman" w:hAnsi="Times New Roman"/>
          <w:sz w:val="18"/>
          <w:szCs w:val="18"/>
          <w:color w:val="auto"/>
        </w:rPr>
        <w:t>. Income tax expense for the three months ended June 30, 2024 were $28.0 million on pre-tax income of $169.0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resulting in an effective tax rate of 16.6%, compared to effective tax rate of 10.2% in the three months ended June 30, 2023. Our effective tax rate may fluctuate between periods as a result of discrete items that may affect a particular period, please see Note 11 to our consolidated financial statements.</w:t>
      </w:r>
    </w:p>
    <w:p>
      <w:pPr>
        <w:spacing w:after="0" w:line="143"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Net income attributable to Amdocs Limited</w:t>
      </w:r>
      <w:r>
        <w:rPr>
          <w:rFonts w:ascii="Times New Roman" w:cs="Times New Roman" w:eastAsia="Times New Roman" w:hAnsi="Times New Roman"/>
          <w:sz w:val="18"/>
          <w:szCs w:val="18"/>
          <w:color w:val="auto"/>
        </w:rPr>
        <w:t>. Net income decreased by $19.1 million, or 12.0%, to $140.3 million in the three months ended June 30,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2024, from $159.4 million in the three months ended June 30, 2023. The decrease in net income is primarily attributable to a decrease in operating income, primarily as result of the restructuring charges, and an increase in income tax expense.</w:t>
      </w:r>
    </w:p>
    <w:p>
      <w:pPr>
        <w:spacing w:after="0" w:line="129"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Diluted Earnings Per Share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Diluted earnings per share decreased by $0.11, or 8.3%, to $1.21 in the three months ended June 30, 2024, from $1.32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the three months ended June 30, 2023. The decrease in diluted earnings per share was primarily attributable to a decrease in net income in the three months ended June 30, 2024, primarily as a result of an increase in income taxes and the restructuring charges, partially offset by a decrease in the diluted weighted average number of shares outstanding which resulted from share repurchases. Please see also Note 12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0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Cash, Cash Equivalents and Short-Term Interest-Bearing Investments. </w:t>
      </w:r>
      <w:r>
        <w:rPr>
          <w:rFonts w:ascii="Times New Roman" w:cs="Times New Roman" w:eastAsia="Times New Roman" w:hAnsi="Times New Roman"/>
          <w:sz w:val="18"/>
          <w:szCs w:val="18"/>
          <w:color w:val="auto"/>
        </w:rPr>
        <w:t>Cash, cash equivalents and short-term interest-bearing investments, totaled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$502.2 million as of June 30, 2024, compared to $742.5 million as of September 30, 2023. The decrease was mainly attributable to $443.3 million repurchase of our ordinary shares pursuant to our repurchase program, $157.3 million of cash dividend payment, $86.8 million payments for business acquisitions and $79.7 million for capital expenditures, net, partially offset by $506.5 million positive cash flow from operating activities and $19.1 million of proceeds from stock options. Net cash provided by operating activities amounted to $506.5 million and $550.3 million in the nine months ended June 30, 2024 and 2023, respectively.</w:t>
      </w:r>
    </w:p>
    <w:p>
      <w:pPr>
        <w:spacing w:after="0" w:line="147"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Our free cash flow for the nine months ended June 30, 2024 was $426.8 million and is calculated as net cash provided by operating activities of $506.5 million for the period less $79.7 million for capital expenditures, net. The free cash flow for the nine months includes restructuring payments.</w:t>
      </w:r>
    </w:p>
    <w:p>
      <w:pPr>
        <w:spacing w:after="0" w:line="12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Free cash flow is a non-GAAP financial measure and is not prepared in accordance with, and is not an alternative for, generally accepted accounting principles and may be different from non-GAAP financial measures with similar names used by other companies. Non-GAAP measures such as free cash flow should only be reviewed in conjunction with the corresponding GAAP measures. We believe that free cash flow, when used in conjunction with the corresponding GAAP measure, provides useful information to investors and management relating to the amount of cash generated by the Company’s business operations.</w:t>
      </w:r>
    </w:p>
    <w:p>
      <w:pPr>
        <w:spacing w:after="0" w:line="155"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We believe that our current cash balances, cash generated from operations, our current lines of credit, loans, Senior Notes and our ability to access capital markets serve as sources of liquidity if needed and will provide sufficient resources to meet our operational needs, loan and debt repayment needs, fund share repurchases and the payment of cash dividends for at least the next twelve months.</w:t>
      </w:r>
    </w:p>
    <w:p>
      <w:pPr>
        <w:spacing w:after="0" w:line="137"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We have short-term interest-bearing investments comprised of marketable securities and bank deposits. We classify all of our marketable securities as available-for-sale securities. Such marketable securities consist primarily of money market funds, corporate bonds, U.S. government treasuries and supranational and sovereign debt, which are stated at market value.</w:t>
      </w:r>
    </w:p>
    <w:p>
      <w:pPr>
        <w:spacing w:after="0" w:line="13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believe we have conservative investment policy guidelines. Our interest-bearing investments are stated at fair value with the unrealized gains or losses reported as a separate component of accumulated other comprehensive loss, net of tax, unless a security is impaired due to a credit loss, in which case the loss is recorded in the consolidated statements of income. Our interest-bearing investments are priced by pricing vendors and are classified as Level 1 or Level 2 investments, since these vendors either provide a quoted market price in an active market or use other observable inputs to price these securities. During the nine months ended June 30, 2024 and 2023, we did not recognize any credit losses. Please see Notes 6 and 7 to the consolidated financial statements.</w:t>
      </w:r>
    </w:p>
    <w:p>
      <w:pPr>
        <w:spacing w:after="0" w:line="15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Revolving Credit Facility, Loans, Senior Notes, Letters of Credit, Guarantees and Contractual Obligations. </w:t>
      </w:r>
      <w:r>
        <w:rPr>
          <w:rFonts w:ascii="Times New Roman" w:cs="Times New Roman" w:eastAsia="Times New Roman" w:hAnsi="Times New Roman"/>
          <w:sz w:val="18"/>
          <w:szCs w:val="18"/>
          <w:color w:val="auto"/>
        </w:rPr>
        <w:t>In December 2011, we entered into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unsecured $500.0 million Revolving Credit Facility. In December 2014, December 2017, March 2021 and July 2024, the Revolving Credit Facility was amended and restated to, among other things, extend the maturity date of the facility to December 2019, December 2022, March 2026 and July 2029, respectively. As of June 30, 2024, we were in compliance with the financial covenants and had no outstanding borrowing under the Revolving Credit Facility.</w:t>
      </w:r>
    </w:p>
    <w:p>
      <w:pPr>
        <w:spacing w:after="0" w:line="14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In June 2020, we issued an aggregate principal amount of $650.0 million in Senior Notes that will mature in June 2030 and bear interest at a fixed rate of 2.538 percent per annum (the “Senior Notes”). The interest is payable semi-annually in June and December of each year, commencing in December 2020. We incurred issuance costs of $6.1 million in relation to the Senior Notes, which are being amortized to interest expenses over the term of the Senior Notes using the effective interest rate. The Senior Notes are senior unsecured obligations and rank equally in right of payment with all of our existing and future senior indebtedness, including any indebtedness we may incur from time to time under the Revolving Credit Facility. </w:t>
      </w:r>
      <w:r>
        <w:rPr>
          <w:rFonts w:ascii="Times New Roman" w:cs="Times New Roman" w:eastAsia="Times New Roman" w:hAnsi="Times New Roman"/>
          <w:sz w:val="18"/>
          <w:szCs w:val="18"/>
          <w:color w:val="231F20"/>
        </w:rPr>
        <w:t>As of June 30, 2024,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noncurrent outstanding principal portion was $650.0 million. P</w:t>
      </w:r>
      <w:r>
        <w:rPr>
          <w:rFonts w:ascii="Times New Roman" w:cs="Times New Roman" w:eastAsia="Times New Roman" w:hAnsi="Times New Roman"/>
          <w:sz w:val="18"/>
          <w:szCs w:val="18"/>
          <w:color w:val="000000"/>
        </w:rPr>
        <w:t>lease see Note 14 to our consolidated financial statements.</w:t>
      </w:r>
    </w:p>
    <w:p>
      <w:pPr>
        <w:spacing w:after="0" w:line="145"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As of June 30, 2024, we had additional uncommitted lines of credit available for general corporate and other specific purposes and had outstanding letters of credit and bank guarantees from various banks totaling $78.7 million. These were supported by a combination of the uncommitted lines of credit that we maintain with various banks.</w:t>
      </w:r>
    </w:p>
    <w:p>
      <w:pPr>
        <w:spacing w:after="0" w:line="150"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We have contractual obligations for Long-term debt and accrued interests, our non-cancelable operating leases, purchase obligations, pension funding and unrecognized tax benefits, summarized in the disclosure of contractual obligations set forth in our Annual Report on Form 20-F for the fiscal year ended September 30, 2023, filed on December 13, 2023 with the SEC. Since September 30, 2023, there have been no material changes in our aggregate contractual obligations mentioned above.</w:t>
      </w:r>
    </w:p>
    <w:p>
      <w:pPr>
        <w:spacing w:after="0" w:line="139"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During the nine months ended June 30, 2024, we completed two business acquisitions for an aggregate net consideration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$84.0 million in cash, and a potential for additional consideration which may be paid later based on achievement of certain performance metrics. The vast majority of this amount was paid for the acquisition of Astadia, which specializes in mainframe-to-cloud migration and modernization.</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63"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Capital Expenditures. </w:t>
      </w:r>
      <w:r>
        <w:rPr>
          <w:rFonts w:ascii="Times New Roman" w:cs="Times New Roman" w:eastAsia="Times New Roman" w:hAnsi="Times New Roman"/>
          <w:sz w:val="18"/>
          <w:szCs w:val="18"/>
          <w:color w:val="auto"/>
        </w:rPr>
        <w:t>Generally, the majority of our capital expenditures consist of purchases of computer equipment, and the remainder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attributable mainly to building and leasehold improvements. Our capital expenditures were approximately $79.7 million in the nine months ended June 30, 2024 and were mainly attributable to investments in our operating facilities and our development centers around the world.</w:t>
      </w:r>
    </w:p>
    <w:p>
      <w:pPr>
        <w:spacing w:after="0" w:line="14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Share Repurchases</w:t>
      </w:r>
      <w:r>
        <w:rPr>
          <w:rFonts w:ascii="Times New Roman" w:cs="Times New Roman" w:eastAsia="Times New Roman" w:hAnsi="Times New Roman"/>
          <w:sz w:val="18"/>
          <w:szCs w:val="18"/>
          <w:color w:val="auto"/>
        </w:rPr>
        <w:t>. From time to time, our Board of Directors can adopt share repurchase plans authorizing the repurchase of our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ordinary shares. On May 12, 2021, our Board of Directors adopted a share repurchase plan for the repurchase of up to a $1.0 billion of our outstanding ordinary shares with no expiration date. The May 2021 plan permits us to purchase our ordinary shares in the open market or through privately negotiated transactions at times and prices that we consider appropriate. On August 2, 2023, our Board of Directors adopted a share repurchase plan for the repurchase of up to an additional $1.1 billion of our outstanding ordinary shares with no expiration date. The August 2023 plan permits us to purchase our ordinary shares in the open market or through privately negotiated transactions at times and prices that we consider appropriate. In the nine months ended June 30, 2024, we </w:t>
      </w:r>
      <w:r>
        <w:rPr>
          <w:rFonts w:ascii="Times New Roman" w:cs="Times New Roman" w:eastAsia="Times New Roman" w:hAnsi="Times New Roman"/>
          <w:sz w:val="18"/>
          <w:szCs w:val="18"/>
          <w:color w:val="231F20"/>
        </w:rPr>
        <w:t>completed the repurchase of the remaining authorized amount of ordinary shares under the May 2021 plan and initiated repurchases of the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outstanding ordinary shares pursuant to the August 2023 plan. In the nine months ended June 30, 2024 we </w:t>
      </w:r>
      <w:r>
        <w:rPr>
          <w:rFonts w:ascii="Times New Roman" w:cs="Times New Roman" w:eastAsia="Times New Roman" w:hAnsi="Times New Roman"/>
          <w:sz w:val="18"/>
          <w:szCs w:val="18"/>
          <w:color w:val="000000"/>
        </w:rPr>
        <w:t>repurchased 5.2 million ordinary shares at an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average price of $85.05 per share (excluding broker and transaction fees). As of June 30, 2024, we had remaining authority to repurchase up to $657.4 million of our outstanding ordinary shares under the August 2023 plan.</w:t>
      </w:r>
    </w:p>
    <w:p>
      <w:pPr>
        <w:spacing w:after="0" w:line="1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Cash Dividends. </w:t>
      </w:r>
      <w:r>
        <w:rPr>
          <w:rFonts w:ascii="Times New Roman" w:cs="Times New Roman" w:eastAsia="Times New Roman" w:hAnsi="Times New Roman"/>
          <w:sz w:val="18"/>
          <w:szCs w:val="18"/>
          <w:color w:val="auto"/>
        </w:rPr>
        <w:t>Our Board of Directors declared the following dividends during the nine months ended June 30, 2024 and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Declaration Date</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Dividends Per</w:t>
            </w:r>
          </w:p>
        </w:tc>
        <w:tc>
          <w:tcPr>
            <w:tcW w:w="260" w:type="dxa"/>
            <w:vAlign w:val="bottom"/>
          </w:tcPr>
          <w:p>
            <w:pPr>
              <w:spacing w:after="0"/>
              <w:rPr>
                <w:sz w:val="13"/>
                <w:szCs w:val="13"/>
                <w:color w:val="auto"/>
              </w:rPr>
            </w:pPr>
          </w:p>
        </w:tc>
        <w:tc>
          <w:tcPr>
            <w:tcW w:w="1640" w:type="dxa"/>
            <w:vAlign w:val="bottom"/>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Total Amount</w:t>
            </w:r>
          </w:p>
        </w:tc>
        <w:tc>
          <w:tcPr>
            <w:tcW w:w="240" w:type="dxa"/>
            <w:vAlign w:val="bottom"/>
          </w:tcPr>
          <w:p>
            <w:pPr>
              <w:spacing w:after="0"/>
              <w:rPr>
                <w:sz w:val="13"/>
                <w:szCs w:val="13"/>
                <w:color w:val="auto"/>
              </w:rPr>
            </w:pPr>
          </w:p>
        </w:tc>
        <w:tc>
          <w:tcPr>
            <w:tcW w:w="164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0" w:type="dxa"/>
            <w:vAlign w:val="bottom"/>
          </w:tcPr>
          <w:p>
            <w:pPr>
              <w:spacing w:after="0"/>
              <w:rPr>
                <w:sz w:val="1"/>
                <w:szCs w:val="1"/>
                <w:color w:val="auto"/>
              </w:rPr>
            </w:pPr>
          </w:p>
        </w:tc>
      </w:tr>
      <w:tr>
        <w:trPr>
          <w:trHeight w:val="187"/>
        </w:trPr>
        <w:tc>
          <w:tcPr>
            <w:tcW w:w="406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Ordinary Share</w:t>
            </w:r>
          </w:p>
        </w:tc>
        <w:tc>
          <w:tcPr>
            <w:tcW w:w="260" w:type="dxa"/>
            <w:vAlign w:val="bottom"/>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8 ,2024</w:t>
            </w:r>
          </w:p>
        </w:tc>
        <w:tc>
          <w:tcPr>
            <w:tcW w:w="16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0.479</w:t>
            </w:r>
          </w:p>
        </w:tc>
        <w:tc>
          <w:tcPr>
            <w:tcW w:w="260" w:type="dxa"/>
            <w:vAlign w:val="bottom"/>
          </w:tcPr>
          <w:p>
            <w:pPr>
              <w:spacing w:after="0"/>
              <w:rPr>
                <w:sz w:val="20"/>
                <w:szCs w:val="20"/>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June 28, 2024</w:t>
            </w:r>
          </w:p>
        </w:tc>
        <w:tc>
          <w:tcPr>
            <w:tcW w:w="14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240" w:type="dxa"/>
            <w:vAlign w:val="bottom"/>
          </w:tcPr>
          <w:p>
            <w:pPr>
              <w:spacing w:after="0"/>
              <w:rPr>
                <w:sz w:val="20"/>
                <w:szCs w:val="20"/>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July 26, 2024</w:t>
            </w:r>
          </w:p>
        </w:tc>
        <w:tc>
          <w:tcPr>
            <w:tcW w:w="0" w:type="dxa"/>
            <w:vAlign w:val="bottom"/>
          </w:tcPr>
          <w:p>
            <w:pPr>
              <w:spacing w:after="0"/>
              <w:rPr>
                <w:sz w:val="1"/>
                <w:szCs w:val="1"/>
                <w:color w:val="auto"/>
              </w:rPr>
            </w:pPr>
          </w:p>
        </w:tc>
      </w:tr>
      <w:tr>
        <w:trPr>
          <w:trHeight w:val="247"/>
        </w:trPr>
        <w:tc>
          <w:tcPr>
            <w:tcW w:w="4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February 6, 2024</w:t>
            </w:r>
          </w:p>
        </w:tc>
        <w:tc>
          <w:tcPr>
            <w:tcW w:w="3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0.479</w:t>
            </w:r>
          </w:p>
        </w:tc>
        <w:tc>
          <w:tcPr>
            <w:tcW w:w="260" w:type="dxa"/>
            <w:vAlign w:val="bottom"/>
            <w:shd w:val="clear" w:color="auto" w:fill="CFF0FC"/>
          </w:tcPr>
          <w:p>
            <w:pPr>
              <w:spacing w:after="0"/>
              <w:rPr>
                <w:sz w:val="21"/>
                <w:szCs w:val="21"/>
                <w:color w:val="auto"/>
              </w:rPr>
            </w:pPr>
          </w:p>
        </w:tc>
        <w:tc>
          <w:tcPr>
            <w:tcW w:w="1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March 29, 2024</w:t>
            </w:r>
          </w:p>
        </w:tc>
        <w:tc>
          <w:tcPr>
            <w:tcW w:w="3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240" w:type="dxa"/>
            <w:vAlign w:val="bottom"/>
            <w:shd w:val="clear" w:color="auto" w:fill="CFF0FC"/>
          </w:tcPr>
          <w:p>
            <w:pPr>
              <w:spacing w:after="0"/>
              <w:rPr>
                <w:sz w:val="21"/>
                <w:szCs w:val="21"/>
                <w:color w:val="auto"/>
              </w:rPr>
            </w:pPr>
          </w:p>
        </w:tc>
        <w:tc>
          <w:tcPr>
            <w:tcW w:w="1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April 26, 2024</w:t>
            </w:r>
          </w:p>
        </w:tc>
        <w:tc>
          <w:tcPr>
            <w:tcW w:w="0" w:type="dxa"/>
            <w:vAlign w:val="bottom"/>
          </w:tcPr>
          <w:p>
            <w:pPr>
              <w:spacing w:after="0"/>
              <w:rPr>
                <w:sz w:val="1"/>
                <w:szCs w:val="1"/>
                <w:color w:val="auto"/>
              </w:rPr>
            </w:pPr>
          </w:p>
        </w:tc>
      </w:tr>
      <w:tr>
        <w:trPr>
          <w:trHeight w:val="238"/>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7, 2023</w:t>
            </w:r>
          </w:p>
        </w:tc>
        <w:tc>
          <w:tcPr>
            <w:tcW w:w="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0.435</w:t>
            </w:r>
          </w:p>
        </w:tc>
        <w:tc>
          <w:tcPr>
            <w:tcW w:w="260" w:type="dxa"/>
            <w:vAlign w:val="bottom"/>
          </w:tcPr>
          <w:p>
            <w:pPr>
              <w:spacing w:after="0"/>
              <w:rPr>
                <w:sz w:val="20"/>
                <w:szCs w:val="20"/>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December 29, 2023</w:t>
            </w: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240" w:type="dxa"/>
            <w:vAlign w:val="bottom"/>
          </w:tcPr>
          <w:p>
            <w:pPr>
              <w:spacing w:after="0"/>
              <w:rPr>
                <w:sz w:val="20"/>
                <w:szCs w:val="20"/>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January 26, 2024</w:t>
            </w:r>
          </w:p>
        </w:tc>
        <w:tc>
          <w:tcPr>
            <w:tcW w:w="0" w:type="dxa"/>
            <w:vAlign w:val="bottom"/>
          </w:tcPr>
          <w:p>
            <w:pPr>
              <w:spacing w:after="0"/>
              <w:rPr>
                <w:sz w:val="1"/>
                <w:szCs w:val="1"/>
                <w:color w:val="auto"/>
              </w:rPr>
            </w:pPr>
          </w:p>
        </w:tc>
      </w:tr>
      <w:tr>
        <w:trPr>
          <w:trHeight w:val="247"/>
        </w:trPr>
        <w:tc>
          <w:tcPr>
            <w:tcW w:w="4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May 10 ,2023</w:t>
            </w:r>
          </w:p>
        </w:tc>
        <w:tc>
          <w:tcPr>
            <w:tcW w:w="3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0.435</w:t>
            </w:r>
          </w:p>
        </w:tc>
        <w:tc>
          <w:tcPr>
            <w:tcW w:w="260" w:type="dxa"/>
            <w:vAlign w:val="bottom"/>
            <w:shd w:val="clear" w:color="auto" w:fill="CFF0FC"/>
          </w:tcPr>
          <w:p>
            <w:pPr>
              <w:spacing w:after="0"/>
              <w:rPr>
                <w:sz w:val="21"/>
                <w:szCs w:val="21"/>
                <w:color w:val="auto"/>
              </w:rPr>
            </w:pPr>
          </w:p>
        </w:tc>
        <w:tc>
          <w:tcPr>
            <w:tcW w:w="1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June 30, 2023</w:t>
            </w:r>
          </w:p>
        </w:tc>
        <w:tc>
          <w:tcPr>
            <w:tcW w:w="3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240" w:type="dxa"/>
            <w:vAlign w:val="bottom"/>
            <w:shd w:val="clear" w:color="auto" w:fill="CFF0FC"/>
          </w:tcPr>
          <w:p>
            <w:pPr>
              <w:spacing w:after="0"/>
              <w:rPr>
                <w:sz w:val="21"/>
                <w:szCs w:val="21"/>
                <w:color w:val="auto"/>
              </w:rPr>
            </w:pPr>
          </w:p>
        </w:tc>
        <w:tc>
          <w:tcPr>
            <w:tcW w:w="1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July 28, 2023</w:t>
            </w:r>
          </w:p>
        </w:tc>
        <w:tc>
          <w:tcPr>
            <w:tcW w:w="0" w:type="dxa"/>
            <w:vAlign w:val="bottom"/>
          </w:tcPr>
          <w:p>
            <w:pPr>
              <w:spacing w:after="0"/>
              <w:rPr>
                <w:sz w:val="1"/>
                <w:szCs w:val="1"/>
                <w:color w:val="auto"/>
              </w:rPr>
            </w:pPr>
          </w:p>
        </w:tc>
      </w:tr>
      <w:tr>
        <w:trPr>
          <w:trHeight w:val="238"/>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31, 2023</w:t>
            </w:r>
          </w:p>
        </w:tc>
        <w:tc>
          <w:tcPr>
            <w:tcW w:w="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0.435</w:t>
            </w:r>
          </w:p>
        </w:tc>
        <w:tc>
          <w:tcPr>
            <w:tcW w:w="260" w:type="dxa"/>
            <w:vAlign w:val="bottom"/>
          </w:tcPr>
          <w:p>
            <w:pPr>
              <w:spacing w:after="0"/>
              <w:rPr>
                <w:sz w:val="20"/>
                <w:szCs w:val="20"/>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March 31, 2023</w:t>
            </w: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240" w:type="dxa"/>
            <w:vAlign w:val="bottom"/>
          </w:tcPr>
          <w:p>
            <w:pPr>
              <w:spacing w:after="0"/>
              <w:rPr>
                <w:sz w:val="20"/>
                <w:szCs w:val="20"/>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April 28, 2023</w:t>
            </w:r>
          </w:p>
        </w:tc>
        <w:tc>
          <w:tcPr>
            <w:tcW w:w="0" w:type="dxa"/>
            <w:vAlign w:val="bottom"/>
          </w:tcPr>
          <w:p>
            <w:pPr>
              <w:spacing w:after="0"/>
              <w:rPr>
                <w:sz w:val="1"/>
                <w:szCs w:val="1"/>
                <w:color w:val="auto"/>
              </w:rPr>
            </w:pPr>
          </w:p>
        </w:tc>
      </w:tr>
      <w:tr>
        <w:trPr>
          <w:trHeight w:val="247"/>
        </w:trPr>
        <w:tc>
          <w:tcPr>
            <w:tcW w:w="4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November 8, 2022</w:t>
            </w:r>
          </w:p>
        </w:tc>
        <w:tc>
          <w:tcPr>
            <w:tcW w:w="3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0.395</w:t>
            </w:r>
          </w:p>
        </w:tc>
        <w:tc>
          <w:tcPr>
            <w:tcW w:w="260" w:type="dxa"/>
            <w:vAlign w:val="bottom"/>
            <w:shd w:val="clear" w:color="auto" w:fill="CFF0FC"/>
          </w:tcPr>
          <w:p>
            <w:pPr>
              <w:spacing w:after="0"/>
              <w:rPr>
                <w:sz w:val="21"/>
                <w:szCs w:val="21"/>
                <w:color w:val="auto"/>
              </w:rPr>
            </w:pPr>
          </w:p>
        </w:tc>
        <w:tc>
          <w:tcPr>
            <w:tcW w:w="1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30, 2022</w:t>
            </w:r>
          </w:p>
        </w:tc>
        <w:tc>
          <w:tcPr>
            <w:tcW w:w="3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240" w:type="dxa"/>
            <w:vAlign w:val="bottom"/>
            <w:shd w:val="clear" w:color="auto" w:fill="CFF0FC"/>
          </w:tcPr>
          <w:p>
            <w:pPr>
              <w:spacing w:after="0"/>
              <w:rPr>
                <w:sz w:val="21"/>
                <w:szCs w:val="21"/>
                <w:color w:val="auto"/>
              </w:rPr>
            </w:pPr>
          </w:p>
        </w:tc>
        <w:tc>
          <w:tcPr>
            <w:tcW w:w="1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January 27, 2023</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On August 7, 2024 our Board of Directors approved the next quarterly dividend payment and set September 30, 2024 as the record date for determining the shareholders entitled to receive the dividend, which is payable on October 25, 2024.</w:t>
      </w:r>
    </w:p>
    <w:p>
      <w:pPr>
        <w:spacing w:after="0" w:line="122" w:lineRule="exact"/>
        <w:rPr>
          <w:sz w:val="20"/>
          <w:szCs w:val="20"/>
          <w:color w:val="auto"/>
        </w:rPr>
      </w:pPr>
    </w:p>
    <w:p>
      <w:pPr>
        <w:jc w:val="both"/>
        <w:ind w:firstLine="509"/>
        <w:spacing w:after="0" w:line="276" w:lineRule="auto"/>
        <w:rPr>
          <w:sz w:val="20"/>
          <w:szCs w:val="20"/>
          <w:color w:val="auto"/>
        </w:rPr>
      </w:pPr>
      <w:r>
        <w:rPr>
          <w:rFonts w:ascii="Times New Roman" w:cs="Times New Roman" w:eastAsia="Times New Roman" w:hAnsi="Times New Roman"/>
          <w:sz w:val="17"/>
          <w:szCs w:val="17"/>
          <w:color w:val="auto"/>
        </w:rPr>
        <w:t>Our Board of Directors considers on a quarterly basis whether to declare and pay, if any, a dividend in accordance with the terms of the dividend program, subject to applicable Guernsey law and based on several factors including our financial performance, outlook and liquidity. Guernsey law requires that our Board of Directors considers a dividend’s effects on our solvency before it may be declared or paid. While the Board of Directors will have the authority to reduce the quarterly dividend or discontinue the dividend program should it determine that doing so is in the best interests of our shareholders or is necessary pursuant to Guernsey law, any increase to the per share amount or frequency of the dividend would require shareholder approval.</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Fluctuations</w:t>
      </w:r>
    </w:p>
    <w:p>
      <w:pPr>
        <w:spacing w:after="0" w:line="188"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We manage our foreign subsidiaries as integral direct components of our operations. The operations of our foreign subsidiaries provide the same type of services with the same type of expenditure throughout the Amdocs group. The U.S. dollar is our functional currency according to the salient economic factors as indicated in the authoritative guidance for foreign currency matters. We periodically assess the applicability of the U.S. dollar as our functional currency by reviewing the salient indicators.</w:t>
      </w:r>
    </w:p>
    <w:p>
      <w:pPr>
        <w:spacing w:after="0" w:line="15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During the nine months ended June 30, 2024 and 2023, approximately 70% to 80% of our revenue and approximately 50% to 60% of our operating expenses were in U.S. dollars or linked to the U.S. dollar. If more customers seek contracts in currencies other than the U.S. dollar and as our operational activities outside of the United States may increase, the percentage of our revenue and operating expenses in U.S. dollar or linked to the U.S. dollar may decrease over time, which may increase our exposure to fluctuations in currency exchange rates. In managing our foreign exchange risk, we enter from time to time into various foreign exchange hedging contracts. We do not hedge all of our exposure in currencies other than the U.S. dollar, but rather our policy is to hedge significant net exposures in the major foreign currencies in which we operate, when cost-effective.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Changes in Securities, Use of Proceeds and Issuer Purchases of Equity Securities.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Ordinary Shares</w:t>
      </w:r>
    </w:p>
    <w:p>
      <w:pPr>
        <w:spacing w:after="0" w:line="227"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8"/>
          <w:szCs w:val="18"/>
          <w:color w:val="auto"/>
        </w:rPr>
        <w:t>The following table provides information about purchases by us and our affiliated purchasers during the three months ended June 30, 2024 of equity securities that are registered by us pursuant to Section 12 of the Exchange Act: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Maximum Number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(or Approximate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of Shares that May</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vMerge w:val="restart"/>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24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Publicly</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Yet Be Purchased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4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Under the Plans</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80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3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Paid per Share(1)</w:t>
            </w:r>
          </w:p>
        </w:tc>
        <w:tc>
          <w:tcPr>
            <w:tcW w:w="240" w:type="dxa"/>
            <w:vAlign w:val="bottom"/>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or Programs(2)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04/01/24-04/30/24</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630,431</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87.72</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630,431</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771,473,833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05/01/24-05/31/24</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773,278</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82.33</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773,278</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707,809,626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3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06/01/24-06/30/24</w:t>
            </w:r>
          </w:p>
        </w:tc>
        <w:tc>
          <w:tcPr>
            <w:tcW w:w="140" w:type="dxa"/>
            <w:vAlign w:val="bottom"/>
            <w:tcBorders>
              <w:bottom w:val="single" w:sz="8" w:color="CFF0FC"/>
            </w:tcBorders>
            <w:shd w:val="clear" w:color="auto" w:fill="CFF0FC"/>
          </w:tcPr>
          <w:p>
            <w:pPr>
              <w:spacing w:after="0"/>
              <w:rPr>
                <w:sz w:val="21"/>
                <w:szCs w:val="21"/>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649,527</w:t>
            </w:r>
          </w:p>
        </w:tc>
        <w:tc>
          <w:tcPr>
            <w:tcW w:w="3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77.57</w:t>
            </w:r>
          </w:p>
        </w:tc>
        <w:tc>
          <w:tcPr>
            <w:tcW w:w="24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649,527</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657,427,995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2,053,236</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82.48</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2,053,236</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657,427,995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____________</w:t>
            </w:r>
          </w:p>
        </w:tc>
        <w:tc>
          <w:tcPr>
            <w:tcW w:w="14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3549650</wp:posOffset>
            </wp:positionH>
            <wp:positionV relativeFrom="paragraph">
              <wp:posOffset>-324485</wp:posOffset>
            </wp:positionV>
            <wp:extent cx="7683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4740275</wp:posOffset>
            </wp:positionH>
            <wp:positionV relativeFrom="paragraph">
              <wp:posOffset>-324485</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-324485</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-324485</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 w:lineRule="exact"/>
        <w:rPr>
          <w:sz w:val="20"/>
          <w:szCs w:val="20"/>
          <w:color w:val="auto"/>
        </w:rPr>
      </w:pPr>
    </w:p>
    <w:p>
      <w:pPr>
        <w:ind w:left="380" w:hanging="372"/>
        <w:spacing w:after="0"/>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broker and transaction fees.</w:t>
      </w:r>
    </w:p>
    <w:p>
      <w:pPr>
        <w:spacing w:after="0" w:line="27" w:lineRule="exact"/>
        <w:rPr>
          <w:rFonts w:ascii="Times New Roman" w:cs="Times New Roman" w:eastAsia="Times New Roman" w:hAnsi="Times New Roman"/>
          <w:sz w:val="18"/>
          <w:szCs w:val="18"/>
          <w:color w:val="auto"/>
        </w:rPr>
      </w:pPr>
    </w:p>
    <w:p>
      <w:pPr>
        <w:jc w:val="both"/>
        <w:ind w:left="380" w:hanging="372"/>
        <w:spacing w:after="0" w:line="255" w:lineRule="auto"/>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2, 2023, our Board of Directors adopted a share repurchase plan for the repurchase of up to an additional $1.1 billion of our outstanding ordinary shares. The authorizations have no expiration date and permit us to purchase our ordinary shares in open market or privately negotiated transactions at times and prices we consider appropriate.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Reports on Form 6-K</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furnished or filed the following reports on Form 6-K during the three months ended June 30, 2024:</w:t>
      </w:r>
    </w:p>
    <w:p>
      <w:pPr>
        <w:spacing w:after="0" w:line="198" w:lineRule="exact"/>
        <w:rPr>
          <w:sz w:val="20"/>
          <w:szCs w:val="20"/>
          <w:color w:val="auto"/>
        </w:rPr>
      </w:pPr>
    </w:p>
    <w:p>
      <w:pPr>
        <w:ind w:left="380" w:hanging="372"/>
        <w:spacing w:after="0"/>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6-K dated May 9, 2024</w:t>
      </w:r>
    </w:p>
    <w:p>
      <w:pPr>
        <w:spacing w:after="0" w:line="18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6-K dated May 20,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8"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AMDOCS LIMITED</w:t>
      </w:r>
    </w:p>
    <w:p>
      <w:pPr>
        <w:spacing w:after="0" w:line="27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34290</wp:posOffset>
            </wp:positionV>
            <wp:extent cx="354457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544570" cy="8255"/>
                    </a:xfrm>
                    <a:prstGeom prst="rect">
                      <a:avLst/>
                    </a:prstGeom>
                    <a:noFill/>
                  </pic:spPr>
                </pic:pic>
              </a:graphicData>
            </a:graphic>
          </wp:anchor>
        </w:drawing>
      </w:r>
    </w:p>
    <w:p>
      <w:pPr>
        <w:spacing w:after="0" w:line="4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Matthew E. Smith</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Secretary and Authorized Signatory</w:t>
      </w: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August 19, 2024</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4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1)"/>
      <w:numFmt w:val="decimal"/>
      <w:start w:val="1"/>
    </w:lvl>
  </w:abstractNum>
  <w:abstractNum w:abstractNumId="1">
    <w:nsid w:val="7FDCC233"/>
    <w:multiLevelType w:val="hybridMultilevel"/>
    <w:lvl w:ilvl="0">
      <w:lvlJc w:val="left"/>
      <w:lvlText w:val="(%1)"/>
      <w:numFmt w:val="decimal"/>
      <w:start w:val="1"/>
    </w:lvl>
  </w:abstractNum>
  <w:abstractNum w:abstractNumId="2">
    <w:nsid w:val="1BEFD79F"/>
    <w:multiLevelType w:val="hybridMultilevel"/>
    <w:lvl w:ilvl="0">
      <w:lvlJc w:val="left"/>
      <w:lvlText w:val="(%1)"/>
      <w:numFmt w:val="lowerLetter"/>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decimal"/>
      <w:start w:val="2"/>
    </w:lvl>
  </w:abstractNum>
  <w:abstractNum w:abstractNumId="5">
    <w:nsid w:val="4E6AFB66"/>
    <w:multiLevelType w:val="hybridMultilevel"/>
    <w:lvl w:ilvl="0">
      <w:lvlJc w:val="left"/>
      <w:lvlText w:val="%1."/>
      <w:numFmt w:val="decimal"/>
      <w:start w:val="3"/>
    </w:lvl>
  </w:abstractNum>
  <w:abstractNum w:abstractNumId="6">
    <w:nsid w:val="25E45D32"/>
    <w:multiLevelType w:val="hybridMultilevel"/>
    <w:lvl w:ilvl="0">
      <w:lvlJc w:val="left"/>
      <w:lvlText w:val="%1."/>
      <w:numFmt w:val="decimal"/>
      <w:start w:val="4"/>
    </w:lvl>
  </w:abstractNum>
  <w:abstractNum w:abstractNumId="7">
    <w:nsid w:val="519B500D"/>
    <w:multiLevelType w:val="hybridMultilevel"/>
    <w:lvl w:ilvl="0">
      <w:lvlJc w:val="left"/>
      <w:lvlText w:val="%1."/>
      <w:numFmt w:val="decimal"/>
      <w:start w:val="5"/>
    </w:lvl>
  </w:abstractNum>
  <w:abstractNum w:abstractNumId="8">
    <w:nsid w:val="431BD7B7"/>
    <w:multiLevelType w:val="hybridMultilevel"/>
    <w:lvl w:ilvl="0">
      <w:lvlJc w:val="left"/>
      <w:lvlText w:val="%1."/>
      <w:numFmt w:val="decimal"/>
      <w:start w:val="6"/>
    </w:lvl>
  </w:abstractNum>
  <w:abstractNum w:abstractNumId="9">
    <w:nsid w:val="3F2DBA31"/>
    <w:multiLevelType w:val="hybridMultilevel"/>
    <w:lvl w:ilvl="0">
      <w:lvlJc w:val="left"/>
      <w:lvlText w:val="%1."/>
      <w:numFmt w:val="decimal"/>
      <w:start w:val="7"/>
    </w:lvl>
  </w:abstractNum>
  <w:abstractNum w:abstractNumId="10">
    <w:nsid w:val="7C83E458"/>
    <w:multiLevelType w:val="hybridMultilevel"/>
    <w:lvl w:ilvl="0">
      <w:lvlJc w:val="left"/>
      <w:lvlText w:val="(%1)"/>
      <w:numFmt w:val="decimal"/>
      <w:start w:val="1"/>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1."/>
      <w:numFmt w:val="decimal"/>
      <w:start w:val="8"/>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1."/>
      <w:numFmt w:val="decimal"/>
      <w:start w:val="9"/>
    </w:lvl>
  </w:abstractNum>
  <w:abstractNum w:abstractNumId="15">
    <w:nsid w:val="333AB105"/>
    <w:multiLevelType w:val="hybridMultilevel"/>
    <w:lvl w:ilvl="0">
      <w:lvlJc w:val="left"/>
      <w:lvlText w:val="(%1)"/>
      <w:numFmt w:val="decimal"/>
      <w:start w:val="1"/>
    </w:lvl>
  </w:abstractNum>
  <w:abstractNum w:abstractNumId="16">
    <w:nsid w:val="721DA317"/>
    <w:multiLevelType w:val="hybridMultilevel"/>
    <w:lvl w:ilvl="0">
      <w:lvlJc w:val="left"/>
      <w:lvlText w:val="%1."/>
      <w:numFmt w:val="decimal"/>
      <w:start w:val="10"/>
    </w:lvl>
  </w:abstractNum>
  <w:abstractNum w:abstractNumId="17">
    <w:nsid w:val="2443A858"/>
    <w:multiLevelType w:val="hybridMultilevel"/>
    <w:lvl w:ilvl="0">
      <w:lvlJc w:val="left"/>
      <w:lvlText w:val="%1."/>
      <w:numFmt w:val="decimal"/>
      <w:start w:val="11"/>
    </w:lvl>
  </w:abstractNum>
  <w:abstractNum w:abstractNumId="18">
    <w:nsid w:val="2D1D5AE9"/>
    <w:multiLevelType w:val="hybridMultilevel"/>
    <w:lvl w:ilvl="0">
      <w:lvlJc w:val="left"/>
      <w:lvlText w:val="%1."/>
      <w:numFmt w:val="decimal"/>
      <w:start w:val="12"/>
    </w:lvl>
  </w:abstractNum>
  <w:abstractNum w:abstractNumId="19">
    <w:nsid w:val="6763845E"/>
    <w:multiLevelType w:val="hybridMultilevel"/>
    <w:lvl w:ilvl="0">
      <w:lvlJc w:val="left"/>
      <w:lvlText w:val="%1."/>
      <w:numFmt w:val="decimal"/>
      <w:start w:val="13"/>
    </w:lvl>
  </w:abstractNum>
  <w:abstractNum w:abstractNumId="20">
    <w:nsid w:val="75A2A8D4"/>
    <w:multiLevelType w:val="hybridMultilevel"/>
    <w:lvl w:ilvl="0">
      <w:lvlJc w:val="left"/>
      <w:lvlText w:val="%1."/>
      <w:numFmt w:val="decimal"/>
      <w:start w:val="14"/>
    </w:lvl>
  </w:abstractNum>
  <w:abstractNum w:abstractNumId="21">
    <w:nsid w:val="8EDBDAB"/>
    <w:multiLevelType w:val="hybridMultilevel"/>
    <w:lvl w:ilvl="0">
      <w:lvlJc w:val="left"/>
      <w:lvlText w:val="%1."/>
      <w:numFmt w:val="decimal"/>
      <w:start w:val="15"/>
    </w:lvl>
  </w:abstractNum>
  <w:abstractNum w:abstractNumId="22">
    <w:nsid w:val="79838CB2"/>
    <w:multiLevelType w:val="hybridMultilevel"/>
    <w:lvl w:ilvl="0">
      <w:lvlJc w:val="left"/>
      <w:lvlText w:val="%1."/>
      <w:numFmt w:val="decimal"/>
      <w:start w:val="16"/>
    </w:lvl>
  </w:abstractNum>
  <w:abstractNum w:abstractNumId="23">
    <w:nsid w:val="4353D0CD"/>
    <w:multiLevelType w:val="hybridMultilevel"/>
    <w:lvl w:ilvl="0">
      <w:lvlJc w:val="left"/>
      <w:lvlText w:val="%1."/>
      <w:numFmt w:val="decimal"/>
      <w:start w:val="17"/>
    </w:lvl>
  </w:abstractNum>
  <w:abstractNum w:abstractNumId="24">
    <w:nsid w:val="B03E0C6"/>
    <w:multiLevelType w:val="hybridMultilevel"/>
    <w:lvl w:ilvl="0">
      <w:lvlJc w:val="left"/>
      <w:lvlText w:val="•"/>
      <w:numFmt w:val="bullet"/>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2024-08-19T15:40:49Z</dcterms:created>
  <dcterms:modified xsi:type="dcterms:W3CDTF">2024-08-19T15:40:49Z</dcterms:modified>
</cp:coreProperties>
</file>