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Quarter Ended March 31, 2003</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Inc.</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2" w:lineRule="exact"/>
        <w:rPr>
          <w:sz w:val="24"/>
          <w:szCs w:val="24"/>
          <w:color w:val="auto"/>
        </w:rPr>
      </w:pPr>
    </w:p>
    <w:p>
      <w:pPr>
        <w:ind w:left="1760"/>
        <w:spacing w:after="0"/>
        <w:tabs>
          <w:tab w:leader="none" w:pos="2900" w:val="left"/>
          <w:tab w:leader="none" w:pos="4940" w:val="left"/>
        </w:tabs>
        <w:rPr>
          <w:sz w:val="20"/>
          <w:szCs w:val="20"/>
          <w:color w:val="auto"/>
        </w:rPr>
      </w:pPr>
      <w:r>
        <w:rPr>
          <w:rFonts w:ascii="Courier New" w:cs="Courier New" w:eastAsia="Courier New" w:hAnsi="Courier New"/>
          <w:sz w:val="15"/>
          <w:szCs w:val="15"/>
          <w:color w:val="auto"/>
        </w:rPr>
        <w:t>Form 20-F</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FORM 40-F [ ]</w:t>
      </w:r>
    </w:p>
    <w:p>
      <w:pPr>
        <w:spacing w:after="0" w:line="174"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120"/>
        <w:spacing w:after="0"/>
        <w:tabs>
          <w:tab w:leader="none" w:pos="4500" w:val="left"/>
          <w:tab w:leader="none" w:pos="502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1">
            <w:col w:w="10219"/>
          </w:cols>
          <w:pgMar w:left="240" w:top="571" w:right="1440" w:bottom="1440" w:gutter="0" w:footer="0" w:header="0"/>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 ENDED MARCH 31, 2003</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INDEX</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1" w:lineRule="exact"/>
        <w:rPr>
          <w:sz w:val="20"/>
          <w:szCs w:val="20"/>
          <w:color w:val="auto"/>
        </w:rPr>
      </w:pPr>
    </w:p>
    <w:p>
      <w:pPr>
        <w:ind w:left="1680"/>
        <w:spacing w:after="0"/>
        <w:tabs>
          <w:tab w:leader="none" w:pos="24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Consolidated Statement of Changes in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Shareholders' Equity</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Notes to Unaudited Consolidated Financial</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1680"/>
        <w:spacing w:after="0"/>
        <w:tabs>
          <w:tab w:leader="none" w:pos="24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1" w:lineRule="exact"/>
        <w:rPr>
          <w:sz w:val="20"/>
          <w:szCs w:val="20"/>
          <w:color w:val="auto"/>
        </w:rPr>
      </w:pPr>
    </w:p>
    <w:p>
      <w:pPr>
        <w:ind w:left="1680"/>
        <w:spacing w:after="0"/>
        <w:tabs>
          <w:tab w:leader="none" w:pos="24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Exhibits and Reports on Form 6-K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1940"/>
              <w:spacing w:after="0"/>
              <w:rPr>
                <w:sz w:val="20"/>
                <w:szCs w:val="20"/>
                <w:color w:val="auto"/>
              </w:rPr>
            </w:pPr>
            <w:r>
              <w:rPr>
                <w:rFonts w:ascii="Courier New" w:cs="Courier New" w:eastAsia="Courier New" w:hAnsi="Courier New"/>
                <w:sz w:val="15"/>
                <w:szCs w:val="15"/>
                <w:color w:val="auto"/>
              </w:rPr>
              <w:t>(in thousands, except per share data)</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6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1060" w:type="dxa"/>
            <w:vAlign w:val="bottom"/>
          </w:tcPr>
          <w:p>
            <w:pPr>
              <w:spacing w:after="0"/>
              <w:rPr>
                <w:sz w:val="24"/>
                <w:szCs w:val="24"/>
                <w:color w:val="auto"/>
              </w:rPr>
            </w:pPr>
          </w:p>
        </w:tc>
      </w:tr>
      <w:tr>
        <w:trPr>
          <w:trHeight w:val="171"/>
        </w:trPr>
        <w:tc>
          <w:tcPr>
            <w:tcW w:w="6560" w:type="dxa"/>
            <w:vAlign w:val="bottom"/>
          </w:tcPr>
          <w:p>
            <w:pPr>
              <w:spacing w:after="0"/>
              <w:rPr>
                <w:sz w:val="14"/>
                <w:szCs w:val="14"/>
                <w:color w:val="auto"/>
              </w:rPr>
            </w:pPr>
          </w:p>
        </w:tc>
        <w:tc>
          <w:tcPr>
            <w:tcW w:w="36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MARCH 31,</w:t>
            </w:r>
          </w:p>
        </w:tc>
        <w:tc>
          <w:tcPr>
            <w:tcW w:w="19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(UNAUDITED)</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642,058</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466,655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579,244</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581,164</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238,514</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312,732</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50,212</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48,154</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88,137</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72,196</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1,598,165</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1,480,901</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44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144,072</w:t>
            </w:r>
          </w:p>
        </w:tc>
        <w:tc>
          <w:tcPr>
            <w:tcW w:w="9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160,902</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40,241</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37,582</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730,357</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750,530</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noncurrent assets (*)</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114,717</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110,179</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2,627,552</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2,540,094</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145,800</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192,129</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96,479</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86,942</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178,520</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149,590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8,384</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10,347</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115,777</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103,315</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544,960</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542,323</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44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445,054</w:t>
            </w:r>
          </w:p>
        </w:tc>
        <w:tc>
          <w:tcPr>
            <w:tcW w:w="9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445,054</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16,522</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12,363</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117,902</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124,079</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1,124,438</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1,123,819</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shares;(pound)0.01 par value;0</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560" w:type="dxa"/>
            <w:vAlign w:val="bottom"/>
          </w:tcPr>
          <w:p>
            <w:pPr>
              <w:ind w:left="520"/>
              <w:spacing w:after="0"/>
              <w:rPr>
                <w:sz w:val="20"/>
                <w:szCs w:val="20"/>
                <w:color w:val="auto"/>
              </w:rPr>
            </w:pPr>
            <w:r>
              <w:rPr>
                <w:rFonts w:ascii="Courier New" w:cs="Courier New" w:eastAsia="Courier New" w:hAnsi="Courier New"/>
                <w:sz w:val="15"/>
                <w:szCs w:val="15"/>
                <w:color w:val="auto"/>
              </w:rPr>
              <w:t>shares issued and outstanding</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223,622 and 223,316 issued and 215,889 and 215,583 outstanding,</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560" w:type="dxa"/>
            <w:vAlign w:val="bottom"/>
          </w:tcPr>
          <w:p>
            <w:pPr>
              <w:ind w:left="520"/>
              <w:spacing w:after="0"/>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3,577</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3,572</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1,819,520</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1,818,345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c>
          <w:tcPr>
            <w:tcW w:w="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7,977</w:t>
            </w:r>
          </w:p>
        </w:tc>
        <w:tc>
          <w:tcPr>
            <w:tcW w:w="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(218,679)</w:t>
            </w:r>
          </w:p>
        </w:tc>
        <w:tc>
          <w:tcPr>
            <w:tcW w:w="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(296,253)</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1,503,114</w:t>
            </w:r>
          </w:p>
        </w:tc>
        <w:tc>
          <w:tcPr>
            <w:tcW w:w="9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1,416,275</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2,627,552</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2,540,094</w:t>
            </w:r>
          </w:p>
        </w:tc>
      </w:tr>
      <w:tr>
        <w:trPr>
          <w:trHeight w:val="171"/>
        </w:trPr>
        <w:tc>
          <w:tcPr>
            <w:tcW w:w="656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 w:name="page4"/>
    <w:bookmarkEnd w:id="3"/>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40" w:type="dxa"/>
            <w:vAlign w:val="bottom"/>
            <w:gridSpan w:val="3"/>
          </w:tcPr>
          <w:p>
            <w:pPr>
              <w:jc w:val="right"/>
              <w:ind w:right="766"/>
              <w:spacing w:after="0"/>
              <w:rPr>
                <w:sz w:val="20"/>
                <w:szCs w:val="20"/>
                <w:color w:val="auto"/>
              </w:rPr>
            </w:pPr>
            <w:r>
              <w:rPr>
                <w:rFonts w:ascii="Courier New" w:cs="Courier New" w:eastAsia="Courier New" w:hAnsi="Courier New"/>
                <w:sz w:val="15"/>
                <w:szCs w:val="15"/>
                <w:color w:val="auto"/>
              </w:rPr>
              <w:t>THREE MONTHS ENDED</w:t>
            </w:r>
          </w:p>
        </w:tc>
        <w:tc>
          <w:tcPr>
            <w:tcW w:w="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1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84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3180" w:type="dxa"/>
            <w:vAlign w:val="bottom"/>
            <w:gridSpan w:val="4"/>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500" w:type="dxa"/>
            <w:vAlign w:val="bottom"/>
          </w:tcPr>
          <w:p>
            <w:pPr>
              <w:spacing w:after="0"/>
              <w:rPr>
                <w:sz w:val="14"/>
                <w:szCs w:val="14"/>
                <w:color w:val="auto"/>
              </w:rPr>
            </w:pPr>
          </w:p>
        </w:tc>
        <w:tc>
          <w:tcPr>
            <w:tcW w:w="11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spacing w:after="0"/>
              <w:rPr>
                <w:sz w:val="14"/>
                <w:szCs w:val="14"/>
                <w:color w:val="auto"/>
              </w:rPr>
            </w:pPr>
          </w:p>
        </w:tc>
        <w:tc>
          <w:tcPr>
            <w:tcW w:w="13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License (*)</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19,159</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45,528</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39,685</w:t>
            </w:r>
          </w:p>
        </w:tc>
        <w:tc>
          <w:tcPr>
            <w:tcW w:w="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87,818</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Service (*)</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335,855</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409,741</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654,715</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790,092</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355,014</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455,269</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694,400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877,910</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1,546</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1,627</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2,682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3,068</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 (*)</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212,080</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249,010</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416,066</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479,152</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29,328</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30,902</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58,947</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59,459</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 (*)</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51,121</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61,023</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102,701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114,802</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purchased intangible assets</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4,625</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61,894</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9,779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118,676</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 in-process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9,956</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30,711</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298,700</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404,456</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600,131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805,868</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56,314</w:t>
            </w:r>
          </w:p>
        </w:tc>
        <w:tc>
          <w:tcPr>
            <w:tcW w:w="500" w:type="dxa"/>
            <w:vAlign w:val="bottom"/>
          </w:tcPr>
          <w:p>
            <w:pPr>
              <w:spacing w:after="0"/>
              <w:rPr>
                <w:sz w:val="24"/>
                <w:szCs w:val="2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50,813</w:t>
            </w:r>
          </w:p>
        </w:tc>
        <w:tc>
          <w:tcPr>
            <w:tcW w:w="540" w:type="dxa"/>
            <w:vAlign w:val="bottom"/>
          </w:tcPr>
          <w:p>
            <w:pPr>
              <w:spacing w:after="0"/>
              <w:rPr>
                <w:sz w:val="24"/>
                <w:szCs w:val="2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94,269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72,042</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44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4,186</w:t>
            </w:r>
          </w:p>
        </w:tc>
        <w:tc>
          <w:tcPr>
            <w:tcW w:w="500" w:type="dxa"/>
            <w:vAlign w:val="bottom"/>
          </w:tcPr>
          <w:p>
            <w:pPr>
              <w:spacing w:after="0"/>
              <w:rPr>
                <w:sz w:val="24"/>
                <w:szCs w:val="2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2,383</w:t>
            </w:r>
          </w:p>
        </w:tc>
        <w:tc>
          <w:tcPr>
            <w:tcW w:w="540" w:type="dxa"/>
            <w:vAlign w:val="bottom"/>
          </w:tcPr>
          <w:p>
            <w:pPr>
              <w:spacing w:after="0"/>
              <w:rPr>
                <w:sz w:val="24"/>
                <w:szCs w:val="2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9,163</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5,710</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60,500</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53,196</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103,432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77,752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15,125</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26,755</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25,858</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46,977</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45,375</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26,441</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77,574</w:t>
            </w:r>
          </w:p>
        </w:tc>
        <w:tc>
          <w:tcPr>
            <w:tcW w:w="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0.21</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0.12</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0.21</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0.12</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215,797</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222,995</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215,711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222,844</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219,109</w:t>
            </w:r>
          </w:p>
        </w:tc>
        <w:tc>
          <w:tcPr>
            <w:tcW w:w="5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225,488</w:t>
            </w:r>
          </w:p>
        </w:tc>
        <w:tc>
          <w:tcPr>
            <w:tcW w:w="5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218,179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225,275</w:t>
            </w:r>
          </w:p>
        </w:tc>
      </w:tr>
      <w:tr>
        <w:trPr>
          <w:trHeight w:val="171"/>
        </w:trPr>
        <w:tc>
          <w:tcPr>
            <w:tcW w:w="3860" w:type="dxa"/>
            <w:vAlign w:val="bottom"/>
          </w:tcPr>
          <w:p>
            <w:pPr>
              <w:spacing w:after="0"/>
              <w:rPr>
                <w:sz w:val="14"/>
                <w:szCs w:val="14"/>
                <w:color w:val="auto"/>
              </w:rPr>
            </w:pP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ind w:left="629" w:hanging="629"/>
        <w:spacing w:after="0"/>
        <w:tabs>
          <w:tab w:leader="none" w:pos="6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28" w:right="1440" w:bottom="1440" w:gutter="0" w:footer="0" w:header="0"/>
        </w:sectPr>
      </w:pPr>
    </w:p>
    <w:bookmarkStart w:id="4" w:name="page5"/>
    <w:bookmarkEnd w:id="4"/>
    <w:p>
      <w:pPr>
        <w:jc w:val="center"/>
        <w:ind w:right="442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CONSOLIDATED STATEMENTS OF CHANGES IN SHAREHOLDERS' EQUITY (UNAUDITED)</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00" w:type="dxa"/>
            <w:vAlign w:val="bottom"/>
          </w:tcPr>
          <w:p>
            <w:pPr>
              <w:spacing w:after="0"/>
              <w:rPr>
                <w:sz w:val="14"/>
                <w:szCs w:val="14"/>
                <w:color w:val="auto"/>
              </w:rPr>
            </w:pPr>
          </w:p>
        </w:tc>
        <w:tc>
          <w:tcPr>
            <w:tcW w:w="21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Ordinary Shares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Treasury</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Comprehensive</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2600" w:type="dxa"/>
            <w:vAlign w:val="bottom"/>
          </w:tcPr>
          <w:p>
            <w:pPr>
              <w:spacing w:after="0"/>
              <w:rPr>
                <w:sz w:val="14"/>
                <w:szCs w:val="14"/>
                <w:color w:val="auto"/>
              </w:rPr>
            </w:pPr>
          </w:p>
        </w:tc>
        <w:tc>
          <w:tcPr>
            <w:tcW w:w="2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Stock</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(Loss)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6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215,583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$ 3,572</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$1,818,345</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$(109,281)</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$(296,253)</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$ 1,416,275</w:t>
            </w:r>
          </w:p>
        </w:tc>
      </w:tr>
      <w:tr>
        <w:trPr>
          <w:trHeight w:val="171"/>
        </w:trPr>
        <w:tc>
          <w:tcPr>
            <w:tcW w:w="2600" w:type="dxa"/>
            <w:vAlign w:val="bottom"/>
          </w:tcPr>
          <w:p>
            <w:pPr>
              <w:jc w:val="right"/>
              <w:ind w:right="1646"/>
              <w:spacing w:after="0"/>
              <w:rPr>
                <w:sz w:val="20"/>
                <w:szCs w:val="20"/>
                <w:color w:val="auto"/>
              </w:rPr>
            </w:pPr>
            <w:r>
              <w:rPr>
                <w:rFonts w:ascii="Courier New" w:cs="Courier New" w:eastAsia="Courier New" w:hAnsi="Courier New"/>
                <w:sz w:val="15"/>
                <w:szCs w:val="15"/>
                <w:color w:val="auto"/>
              </w:rPr>
              <w:t>30, 2002</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77,574</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77,574</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on</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hedging contracts, net</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of $3,335 tax</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9,134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9,134</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 cash</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net of $(634) tax</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(1,049)</w:t>
            </w:r>
          </w:p>
        </w:tc>
      </w:t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85,659</w:t>
            </w:r>
          </w:p>
        </w:tc>
      </w:t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options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1,109</w:t>
            </w: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Tax benefit of stock options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26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MARCH 31,</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215,889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$ 3,577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$1,819,520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$(109,281)</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7,977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$(218,679)</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$ 1,503,114</w:t>
            </w:r>
          </w:p>
        </w:tc>
      </w:tr>
      <w:tr>
        <w:trPr>
          <w:trHeight w:val="171"/>
        </w:trPr>
        <w:tc>
          <w:tcPr>
            <w:tcW w:w="2600" w:type="dxa"/>
            <w:vAlign w:val="bottom"/>
          </w:tcPr>
          <w:p>
            <w:pPr>
              <w:jc w:val="right"/>
              <w:ind w:right="1826"/>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As of March 31, 2003 and September 30, 2002, accumulated other comprehensive income (loss) is comprised of unrealized gain (loss) on derivatives, net of tax, of $3,914 and $(5,220), respectively, and unrealized gain on cash equivalents and short-term interest-bearing investments, net of tax, of $4,063 and $5,112, respectively.</w:t>
      </w:r>
    </w:p>
    <w:p>
      <w:pPr>
        <w:spacing w:after="0" w:line="17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8" w:right="139"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0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 MARCH 31,</w:t>
            </w:r>
          </w:p>
        </w:tc>
      </w:tr>
      <w:tr>
        <w:trPr>
          <w:trHeight w:val="171"/>
        </w:trPr>
        <w:tc>
          <w:tcPr>
            <w:tcW w:w="5180" w:type="dxa"/>
            <w:vAlign w:val="bottom"/>
          </w:tcPr>
          <w:p>
            <w:pPr>
              <w:spacing w:after="0"/>
              <w:rPr>
                <w:sz w:val="14"/>
                <w:szCs w:val="14"/>
                <w:color w:val="auto"/>
              </w:rPr>
            </w:pPr>
          </w:p>
        </w:tc>
        <w:tc>
          <w:tcPr>
            <w:tcW w:w="3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846"/>
              <w:spacing w:after="0"/>
              <w:rPr>
                <w:sz w:val="20"/>
                <w:szCs w:val="20"/>
                <w:color w:val="auto"/>
              </w:rPr>
            </w:pPr>
            <w:r>
              <w:rPr>
                <w:rFonts w:ascii="Courier New" w:cs="Courier New" w:eastAsia="Courier New" w:hAnsi="Courier New"/>
                <w:sz w:val="15"/>
                <w:szCs w:val="15"/>
                <w:color w:val="auto"/>
                <w:w w:val="94"/>
              </w:rPr>
              <w:t>2003</w:t>
            </w:r>
          </w:p>
        </w:tc>
        <w:tc>
          <w:tcPr>
            <w:tcW w:w="62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77,574</w:t>
            </w:r>
          </w:p>
        </w:tc>
        <w:tc>
          <w:tcPr>
            <w:tcW w:w="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46,444</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158,302</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17,400</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509</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5,314</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1,161</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(loss) on other comprehensive loss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10,786</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(9,648)</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74,122</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5,518</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(16,768)</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(5,714)</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(6,318)</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(4,254)</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(29,412)</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51,060</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28,930</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(34,703)</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3,890</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(7,195)</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(2,190)</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4,758</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192,927</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208,044</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1,283</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861</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improvements and other</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(26,998)</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(26,581)</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 net</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1,920</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(322,890)</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(24,006)</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Reimbursement of cash in (cash paid for) acquisition</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11,111</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(210,900)</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(12,684)</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(583,516)</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1,109</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4,629</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(15,408)</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(5,949)</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(5,766)</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7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(4,840)</w:t>
            </w:r>
          </w:p>
        </w:tc>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(16,545)</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760" w:type="dxa"/>
            <w:vAlign w:val="bottom"/>
          </w:tcPr>
          <w:p>
            <w:pPr>
              <w:spacing w:after="0"/>
              <w:rPr>
                <w:sz w:val="24"/>
                <w:szCs w:val="2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175,403</w:t>
            </w:r>
          </w:p>
        </w:tc>
        <w:tc>
          <w:tcPr>
            <w:tcW w:w="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(392,017)</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466,655</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872,998</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642,058</w:t>
            </w:r>
          </w:p>
        </w:tc>
        <w:tc>
          <w:tcPr>
            <w:tcW w:w="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480,981</w:t>
            </w:r>
          </w:p>
        </w:tc>
      </w:tr>
      <w:tr>
        <w:trPr>
          <w:trHeight w:val="171"/>
        </w:trPr>
        <w:tc>
          <w:tcPr>
            <w:tcW w:w="5180" w:type="dxa"/>
            <w:vAlign w:val="bottom"/>
          </w:tcPr>
          <w:p>
            <w:pPr>
              <w:spacing w:after="0"/>
              <w:rPr>
                <w:sz w:val="14"/>
                <w:szCs w:val="14"/>
                <w:color w:val="auto"/>
              </w:rPr>
            </w:pPr>
          </w:p>
        </w:tc>
        <w:tc>
          <w:tcPr>
            <w:tcW w:w="2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15,982</w:t>
            </w:r>
          </w:p>
        </w:tc>
        <w:tc>
          <w:tcPr>
            <w:tcW w:w="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53,428</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7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4,801</w:t>
            </w:r>
          </w:p>
        </w:tc>
        <w:tc>
          <w:tcPr>
            <w:tcW w:w="6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5,707</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4"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Capital lease obligations of $0 and $2,224 were incurred during the six months ended March 31, 2003 and 2002, respectively, as a result of the Company (as defined below) entering into lease agreements for the purchase of fixed assets.</w:t>
      </w:r>
    </w:p>
    <w:p>
      <w:pPr>
        <w:spacing w:after="0" w:line="15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6" w:name="page7"/>
    <w:bookmarkEnd w:id="6"/>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349" w:hanging="349"/>
        <w:spacing w:after="0"/>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349" w:right="3219" w:firstLine="444"/>
        <w:spacing w:after="0"/>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business support systems and related services primarily for the communications industry. The Company designs, develops, markets, supports, operates and provides outsourcing of information system solutions primarily to leading communications companies throughout the world.</w:t>
      </w:r>
    </w:p>
    <w:p>
      <w:pPr>
        <w:spacing w:after="0" w:line="176"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5"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5"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2002, set forth in the Company's Annual Report on Form 20-F filed March 24, 2003 with the Securities and Exchange Commission.</w:t>
      </w:r>
    </w:p>
    <w:p>
      <w:pPr>
        <w:spacing w:after="0" w:line="175" w:lineRule="exact"/>
        <w:rPr>
          <w:sz w:val="20"/>
          <w:szCs w:val="20"/>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4"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In December 2002 the Financial Accounting Standards Board ("FASB") issued Statements of Financial Accounting Standards ("SFAS") 148, "Accounting for Stock-Based Compensation - Transition and Disclosure - an Amendment of FASB Statement No. 123". SFAS 148 amends SFAS 123, "Accounting for Stock-Based Compensation", to provide alternative methods of transition for a voluntary change to the fair value-based method of accounting for stock-based employee compensation. In addition, SFAS 148 amends the disclosure requirements of SFAS 123 to require more prominent disclosures in both annual and interim financial statements regarding the method of accounting for stock-based employee compensation and the effect of the method used on reported results. The alternative methods of transition of SFAS 148 are effective for fiscal years ending after December 15, 2002. The disclosure provision of SFAS 148 is effective for interim periods beginning after December 15, 2002. The Company follows Accounting Principles Board ("APB") Opinion No. 25, "Accounting for Stock Issued to Employees" in accounting for its employee stock options. The transition and annual disclosure requirements of SFAS 148 were effective for the Company commencing January 1, 2003. The Company has adopted the interim disclosure for the quarter ended March 31, 2003, which is provided in Note 12.</w:t>
      </w:r>
    </w:p>
    <w:p>
      <w:pPr>
        <w:spacing w:after="0" w:line="182"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Goodwill and Purchased Intangible Assets</w:t>
      </w:r>
    </w:p>
    <w:p>
      <w:pPr>
        <w:spacing w:after="0" w:line="174" w:lineRule="exact"/>
        <w:rPr>
          <w:sz w:val="20"/>
          <w:szCs w:val="20"/>
          <w:color w:val="auto"/>
        </w:rPr>
      </w:pPr>
    </w:p>
    <w:p>
      <w:pPr>
        <w:ind w:left="349" w:right="3399" w:firstLine="444"/>
        <w:spacing w:after="0"/>
        <w:rPr>
          <w:sz w:val="20"/>
          <w:szCs w:val="20"/>
          <w:color w:val="auto"/>
        </w:rPr>
      </w:pPr>
      <w:r>
        <w:rPr>
          <w:rFonts w:ascii="Courier New" w:cs="Courier New" w:eastAsia="Courier New" w:hAnsi="Courier New"/>
          <w:sz w:val="15"/>
          <w:szCs w:val="15"/>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28"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0" w:right="3119"/>
        <w:spacing w:after="0"/>
        <w:rPr>
          <w:sz w:val="20"/>
          <w:szCs w:val="20"/>
          <w:color w:val="auto"/>
        </w:rPr>
      </w:pPr>
      <w:r>
        <w:rPr>
          <w:rFonts w:ascii="Courier New" w:cs="Courier New" w:eastAsia="Courier New" w:hAnsi="Courier New"/>
          <w:sz w:val="15"/>
          <w:szCs w:val="15"/>
          <w:color w:val="auto"/>
        </w:rPr>
        <w:t>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Other intangible assets will continue to be amortized over their useful lives. Certain intangible assets, such as workforce-in-place, were reclassified to goodwill, according to SFAS No. 141's new definition of intangible assets.</w:t>
      </w:r>
    </w:p>
    <w:p>
      <w:pPr>
        <w:spacing w:after="0" w:line="177" w:lineRule="exact"/>
        <w:rPr>
          <w:sz w:val="20"/>
          <w:szCs w:val="20"/>
          <w:color w:val="auto"/>
        </w:rPr>
      </w:pPr>
    </w:p>
    <w:p>
      <w:pPr>
        <w:ind w:left="340" w:right="3219" w:firstLine="444"/>
        <w:spacing w:after="0" w:line="259" w:lineRule="auto"/>
        <w:rPr>
          <w:sz w:val="20"/>
          <w:szCs w:val="20"/>
          <w:color w:val="auto"/>
        </w:rPr>
      </w:pPr>
      <w:r>
        <w:rPr>
          <w:rFonts w:ascii="Courier New" w:cs="Courier New" w:eastAsia="Courier New" w:hAnsi="Courier New"/>
          <w:sz w:val="14"/>
          <w:szCs w:val="14"/>
          <w:color w:val="auto"/>
        </w:rPr>
        <w:t>Effective October 1, 2002 the Company adopted SFAS No. 142. Subsequent to the adoption of the new rules, the Company performed the transitional tests of goodwill and intangible assets recorded as of October 1, 2002. Thereafter, a periodic impairment test will be performed at least annually. As discussed in Note 1 above, the Company and its subsidiaries operate in one operating segment, and its reporting unit is consistent with that one operating segment. In calculating the fair value of the reporting unit, the Company used a discounted cash flow methodology. There was no impairment of goodwill upon adoption of SFAS 142. The Company will perform its annual impairment review during the fourth quarter of each year, commencing in the fourth quarter of fiscal 2003.</w:t>
      </w:r>
    </w:p>
    <w:p>
      <w:pPr>
        <w:spacing w:after="0" w:line="165" w:lineRule="exact"/>
        <w:rPr>
          <w:sz w:val="20"/>
          <w:szCs w:val="20"/>
          <w:color w:val="auto"/>
        </w:rPr>
      </w:pPr>
    </w:p>
    <w:p>
      <w:pPr>
        <w:ind w:left="340" w:right="3299" w:firstLine="444"/>
        <w:spacing w:after="0"/>
        <w:rPr>
          <w:sz w:val="20"/>
          <w:szCs w:val="20"/>
          <w:color w:val="auto"/>
        </w:rPr>
      </w:pPr>
      <w:r>
        <w:rPr>
          <w:rFonts w:ascii="Courier New" w:cs="Courier New" w:eastAsia="Courier New" w:hAnsi="Courier New"/>
          <w:sz w:val="15"/>
          <w:szCs w:val="15"/>
          <w:color w:val="auto"/>
        </w:rPr>
        <w:t>Prior to fiscal 2003, goodwill was amortized using the straight-line method over its estimated period of benefit. Net income and earnings per share for the three months and six months ended March 31, 2002 adjusted to exclude amortization of goodwill and workforce-in-place expenses, net of tax,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00" w:type="dxa"/>
            <w:vAlign w:val="bottom"/>
            <w:gridSpan w:val="3"/>
          </w:tcPr>
          <w:p>
            <w:pPr>
              <w:jc w:val="right"/>
              <w:ind w:right="846"/>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4"/>
                <w:szCs w:val="14"/>
                <w:color w:val="auto"/>
              </w:rPr>
            </w:pPr>
          </w:p>
        </w:tc>
        <w:tc>
          <w:tcPr>
            <w:tcW w:w="2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MARCH 31,</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84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3"/>
              </w:rPr>
              <w:t>-----------------------------</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2003</w:t>
            </w:r>
          </w:p>
        </w:tc>
        <w:tc>
          <w:tcPr>
            <w:tcW w:w="520" w:type="dxa"/>
            <w:vAlign w:val="bottom"/>
          </w:tcPr>
          <w:p>
            <w:pPr>
              <w:spacing w:after="0"/>
              <w:rPr>
                <w:sz w:val="14"/>
                <w:szCs w:val="14"/>
                <w:color w:val="auto"/>
              </w:rPr>
            </w:pP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10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45,375</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26,441</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77,574</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Add back: goodwill and</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workforce-in-place amortizations</w:t>
            </w:r>
          </w:p>
        </w:tc>
        <w:tc>
          <w:tcPr>
            <w:tcW w:w="8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51,135</w:t>
            </w:r>
          </w:p>
        </w:tc>
        <w:tc>
          <w:tcPr>
            <w:tcW w:w="28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102,272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8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(679)</w:t>
            </w:r>
          </w:p>
        </w:tc>
        <w:tc>
          <w:tcPr>
            <w:tcW w:w="28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(1,358)</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45,375</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76,897</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77,574</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131,689</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0.21</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0.36</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0.59</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0.21</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0.36</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0.58</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860" w:type="dxa"/>
            <w:vAlign w:val="bottom"/>
            <w:gridSpan w:val="5"/>
          </w:tcPr>
          <w:p>
            <w:pPr>
              <w:jc w:val="right"/>
              <w:ind w:right="406"/>
              <w:spacing w:after="0"/>
              <w:rPr>
                <w:sz w:val="20"/>
                <w:szCs w:val="20"/>
                <w:color w:val="auto"/>
              </w:rPr>
            </w:pPr>
            <w:r>
              <w:rPr>
                <w:rFonts w:ascii="Courier New" w:cs="Courier New" w:eastAsia="Courier New" w:hAnsi="Courier New"/>
                <w:sz w:val="15"/>
                <w:szCs w:val="15"/>
                <w:color w:val="auto"/>
              </w:rPr>
              <w:t>The following table presents details of amortization expense of</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686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8"/>
              </w:rPr>
              <w:t>purchased intangible assets as reported in the consolidated statements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0" w:type="dxa"/>
            <w:vAlign w:val="bottom"/>
            <w:gridSpan w:val="3"/>
          </w:tcPr>
          <w:p>
            <w:pPr>
              <w:jc w:val="right"/>
              <w:ind w:right="846"/>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24"/>
                <w:szCs w:val="24"/>
                <w:color w:val="auto"/>
              </w:rPr>
            </w:pPr>
          </w:p>
        </w:tc>
        <w:tc>
          <w:tcPr>
            <w:tcW w:w="2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MARCH 31,</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84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3"/>
              </w:rPr>
              <w:t>-----------------------------</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2003</w:t>
            </w:r>
          </w:p>
        </w:tc>
        <w:tc>
          <w:tcPr>
            <w:tcW w:w="520" w:type="dxa"/>
            <w:vAlign w:val="bottom"/>
          </w:tcPr>
          <w:p>
            <w:pPr>
              <w:spacing w:after="0"/>
              <w:rPr>
                <w:sz w:val="14"/>
                <w:szCs w:val="14"/>
                <w:color w:val="auto"/>
              </w:rPr>
            </w:pPr>
          </w:p>
        </w:tc>
        <w:tc>
          <w:tcPr>
            <w:tcW w:w="12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10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Cost of license</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820</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849</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1,640</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1,965</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assets</w:t>
            </w:r>
          </w:p>
        </w:tc>
        <w:tc>
          <w:tcPr>
            <w:tcW w:w="8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4,625</w:t>
            </w:r>
          </w:p>
        </w:tc>
        <w:tc>
          <w:tcPr>
            <w:tcW w:w="520" w:type="dxa"/>
            <w:vAlign w:val="bottom"/>
          </w:tcPr>
          <w:p>
            <w:pPr>
              <w:spacing w:after="0"/>
              <w:rPr>
                <w:sz w:val="14"/>
                <w:szCs w:val="14"/>
                <w:color w:val="auto"/>
              </w:rPr>
            </w:pP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10,759</w:t>
            </w:r>
          </w:p>
        </w:tc>
        <w:tc>
          <w:tcPr>
            <w:tcW w:w="28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9,779</w:t>
            </w:r>
          </w:p>
        </w:tc>
        <w:tc>
          <w:tcPr>
            <w:tcW w:w="54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16,404</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5,445</w:t>
            </w:r>
          </w:p>
        </w:tc>
        <w:tc>
          <w:tcPr>
            <w:tcW w:w="5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11,608</w:t>
            </w:r>
          </w:p>
        </w:tc>
        <w:tc>
          <w:tcPr>
            <w:tcW w:w="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11,419</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18,369</w:t>
            </w:r>
          </w:p>
        </w:tc>
      </w:tr>
      <w:tr>
        <w:trPr>
          <w:trHeight w:val="171"/>
        </w:trPr>
        <w:tc>
          <w:tcPr>
            <w:tcW w:w="3320" w:type="dxa"/>
            <w:vAlign w:val="bottom"/>
          </w:tcPr>
          <w:p>
            <w:pPr>
              <w:spacing w:after="0"/>
              <w:rPr>
                <w:sz w:val="14"/>
                <w:szCs w:val="14"/>
                <w:color w:val="auto"/>
              </w:rPr>
            </w:pPr>
          </w:p>
        </w:tc>
        <w:tc>
          <w:tcPr>
            <w:tcW w:w="17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 w:name="page9"/>
    <w:bookmarkEnd w:id="8"/>
    <w:p>
      <w:pPr>
        <w:jc w:val="center"/>
        <w:ind w:right="178"/>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17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7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440" w:right="338" w:firstLine="355"/>
        <w:spacing w:after="0" w:line="238" w:lineRule="auto"/>
        <w:rPr>
          <w:sz w:val="20"/>
          <w:szCs w:val="20"/>
          <w:color w:val="auto"/>
        </w:rPr>
      </w:pPr>
      <w:r>
        <w:rPr>
          <w:rFonts w:ascii="Courier New" w:cs="Courier New" w:eastAsia="Courier New" w:hAnsi="Courier New"/>
          <w:sz w:val="15"/>
          <w:szCs w:val="15"/>
          <w:color w:val="auto"/>
        </w:rPr>
        <w:t>The following table presents details of the Company's total purchased intangible assets: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ACCUMULATED</w:t>
            </w:r>
          </w:p>
        </w:tc>
      </w:tr>
      <w:tr>
        <w:trPr>
          <w:trHeight w:val="171"/>
        </w:trPr>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GROSS</w:t>
            </w:r>
          </w:p>
        </w:tc>
        <w:tc>
          <w:tcPr>
            <w:tcW w:w="1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AMORTIZATION</w:t>
            </w:r>
          </w:p>
        </w:tc>
      </w:tr>
      <w:tr>
        <w:trPr>
          <w:trHeight w:val="171"/>
        </w:trPr>
        <w:tc>
          <w:tcPr>
            <w:tcW w:w="3320" w:type="dxa"/>
            <w:vAlign w:val="bottom"/>
          </w:tcPr>
          <w:p>
            <w:pPr>
              <w:spacing w:after="0"/>
              <w:rPr>
                <w:sz w:val="14"/>
                <w:szCs w:val="14"/>
                <w:color w:val="auto"/>
              </w:rPr>
            </w:pP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44,535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(40,068)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66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36,658</w:t>
            </w: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(19,842)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w:t>
            </w: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purchased computer software</w:t>
            </w:r>
          </w:p>
        </w:tc>
        <w:tc>
          <w:tcPr>
            <w:tcW w:w="66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51,993</w:t>
            </w: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(35,256)</w:t>
            </w:r>
          </w:p>
        </w:tc>
      </w:tr>
      <w:tr>
        <w:trPr>
          <w:trHeight w:val="171"/>
        </w:trPr>
        <w:tc>
          <w:tcPr>
            <w:tcW w:w="3320" w:type="dxa"/>
            <w:vAlign w:val="bottom"/>
          </w:tcPr>
          <w:p>
            <w:pPr>
              <w:spacing w:after="0"/>
              <w:rPr>
                <w:sz w:val="14"/>
                <w:szCs w:val="14"/>
                <w:color w:val="auto"/>
              </w:rPr>
            </w:pP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133,186</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(95,166)</w:t>
            </w:r>
          </w:p>
        </w:tc>
      </w:tr>
      <w:tr>
        <w:trPr>
          <w:trHeight w:val="171"/>
        </w:trPr>
        <w:tc>
          <w:tcPr>
            <w:tcW w:w="3320" w:type="dxa"/>
            <w:vAlign w:val="bottom"/>
          </w:tcPr>
          <w:p>
            <w:pPr>
              <w:spacing w:after="0"/>
              <w:rPr>
                <w:sz w:val="14"/>
                <w:szCs w:val="14"/>
                <w:color w:val="auto"/>
              </w:rPr>
            </w:pP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SEPTEMBER 30, 2002</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44,535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(36,718)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66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36,658</w:t>
            </w: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(13,413)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w:t>
            </w: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purchased computer software</w:t>
            </w:r>
          </w:p>
        </w:tc>
        <w:tc>
          <w:tcPr>
            <w:tcW w:w="66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47,223</w:t>
            </w: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(33,616)</w:t>
            </w:r>
          </w:p>
        </w:tc>
      </w:tr>
      <w:tr>
        <w:trPr>
          <w:trHeight w:val="171"/>
        </w:trPr>
        <w:tc>
          <w:tcPr>
            <w:tcW w:w="3320" w:type="dxa"/>
            <w:vAlign w:val="bottom"/>
          </w:tcPr>
          <w:p>
            <w:pPr>
              <w:spacing w:after="0"/>
              <w:rPr>
                <w:sz w:val="14"/>
                <w:szCs w:val="14"/>
                <w:color w:val="auto"/>
              </w:rPr>
            </w:pP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128,416</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(83,747)</w:t>
            </w:r>
          </w:p>
        </w:tc>
      </w:tr>
      <w:tr>
        <w:trPr>
          <w:trHeight w:val="171"/>
        </w:trPr>
        <w:tc>
          <w:tcPr>
            <w:tcW w:w="3320" w:type="dxa"/>
            <w:vAlign w:val="bottom"/>
          </w:tcPr>
          <w:p>
            <w:pPr>
              <w:spacing w:after="0"/>
              <w:rPr>
                <w:sz w:val="14"/>
                <w:szCs w:val="14"/>
                <w:color w:val="auto"/>
              </w:rPr>
            </w:pP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0" w:right="698" w:firstLine="355"/>
        <w:spacing w:after="0" w:line="238" w:lineRule="auto"/>
        <w:rPr>
          <w:sz w:val="20"/>
          <w:szCs w:val="20"/>
          <w:color w:val="auto"/>
        </w:rPr>
      </w:pPr>
      <w:r>
        <w:rPr>
          <w:rFonts w:ascii="Courier New" w:cs="Courier New" w:eastAsia="Courier New" w:hAnsi="Courier New"/>
          <w:sz w:val="15"/>
          <w:szCs w:val="15"/>
          <w:color w:val="auto"/>
        </w:rPr>
        <w:t>The estimated future amortization expense of purchased intangible assets as of March 31, 2003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FISCAL YEAR:</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(remaining 6 months)</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11,482</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14,974</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5,747</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3,415</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2,402</w:t>
            </w:r>
          </w:p>
        </w:tc>
      </w:tr>
    </w:tbl>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4" w:lineRule="exact"/>
        <w:rPr>
          <w:sz w:val="20"/>
          <w:szCs w:val="20"/>
          <w:color w:val="auto"/>
        </w:rPr>
      </w:pPr>
    </w:p>
    <w:p>
      <w:pPr>
        <w:ind w:left="340" w:right="258" w:firstLine="444"/>
        <w:spacing w:after="0"/>
        <w:rPr>
          <w:sz w:val="20"/>
          <w:szCs w:val="20"/>
          <w:color w:val="auto"/>
        </w:rPr>
      </w:pPr>
      <w:r>
        <w:rPr>
          <w:rFonts w:ascii="Courier New" w:cs="Courier New" w:eastAsia="Courier New" w:hAnsi="Courier New"/>
          <w:sz w:val="15"/>
          <w:szCs w:val="15"/>
          <w:color w:val="auto"/>
        </w:rPr>
        <w:t>In November 2002 the FASB issued FASB Interpretation No. 45 "Guarantor's Accounting and Disclosure Requirements for Guarantees, Including Indirect Guarantees of Indebtness of Others" ("FIN 45"). FIN 45 requires that, at the inception of certain types of guarantees, the guarantor must disclose and recognize a liability for the fair value of the obligation it assumes under the guarantee. The initial recognition and measurement requirements of FIN 45 are effective for guarantees issued or modified after December 31, 2002. The additional disclosure requirements of FIN 45 are effective for interim and annual periods ending after December 15, 2002, and are applicable to certain of the Company's guarantees issued before December 31, 2002.</w:t>
      </w:r>
    </w:p>
    <w:p>
      <w:pPr>
        <w:spacing w:after="0" w:line="179" w:lineRule="exact"/>
        <w:rPr>
          <w:sz w:val="20"/>
          <w:szCs w:val="20"/>
          <w:color w:val="auto"/>
        </w:rPr>
      </w:pPr>
    </w:p>
    <w:p>
      <w:pPr>
        <w:ind w:left="340" w:right="158" w:firstLine="444"/>
        <w:spacing w:after="0"/>
        <w:rPr>
          <w:sz w:val="20"/>
          <w:szCs w:val="20"/>
          <w:color w:val="auto"/>
        </w:rPr>
      </w:pPr>
      <w:r>
        <w:rPr>
          <w:rFonts w:ascii="Courier New" w:cs="Courier New" w:eastAsia="Courier New" w:hAnsi="Courier New"/>
          <w:sz w:val="15"/>
          <w:szCs w:val="15"/>
          <w:color w:val="auto"/>
        </w:rPr>
        <w:t>The Company is a party to an agreement that includes an indemnification of one of its customers for any withholding tax that might be required under the customer's local tax laws from certain payments made to the Company under this agreement. The indemnification under this agreement expires in December 2005. As of March 31, 2003 and September 30, 2002, the maximum potential amount of the Company's future exposure under guarantees covered by FIN 45 issued before December 31, 2002 was $4,717. The Company does not believe that the outcome of this guarantee will have a material effect on the Company's results.</w:t>
      </w:r>
    </w:p>
    <w:p>
      <w:pPr>
        <w:spacing w:after="0" w:line="177" w:lineRule="exact"/>
        <w:rPr>
          <w:sz w:val="20"/>
          <w:szCs w:val="20"/>
          <w:color w:val="auto"/>
        </w:rPr>
      </w:pPr>
    </w:p>
    <w:p>
      <w:pPr>
        <w:ind w:left="340" w:right="158" w:firstLine="444"/>
        <w:spacing w:after="0"/>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no material warranty services have been required and, as a result, the Company does not have any accrued amounts for product warranty liability as of March 31, 2003.</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2"/>
        <w:spacing w:after="0"/>
        <w:rPr>
          <w:sz w:val="20"/>
          <w:szCs w:val="20"/>
          <w:color w:val="auto"/>
        </w:rPr>
      </w:pPr>
      <w:r>
        <w:rPr>
          <w:rFonts w:ascii="Courier New" w:cs="Courier New" w:eastAsia="Courier New" w:hAnsi="Courier New"/>
          <w:sz w:val="15"/>
          <w:szCs w:val="15"/>
          <w:color w:val="auto"/>
        </w:rPr>
        <w:t>NET</w:t>
      </w:r>
    </w:p>
    <w:p>
      <w:pPr>
        <w:spacing w:after="0" w:line="3"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442" w:hanging="442"/>
        <w:spacing w:after="0"/>
        <w:tabs>
          <w:tab w:leader="none" w:pos="44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4,467</w:t>
      </w:r>
    </w:p>
    <w:p>
      <w:pPr>
        <w:spacing w:after="0" w:line="12" w:lineRule="exact"/>
        <w:rPr>
          <w:rFonts w:ascii="Courier New" w:cs="Courier New" w:eastAsia="Courier New" w:hAnsi="Courier New"/>
          <w:sz w:val="14"/>
          <w:szCs w:val="14"/>
          <w:color w:val="auto"/>
        </w:rPr>
      </w:pPr>
    </w:p>
    <w:p>
      <w:pPr>
        <w:ind w:left="36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16,816</w:t>
      </w:r>
    </w:p>
    <w:p>
      <w:pPr>
        <w:spacing w:after="0" w:line="183" w:lineRule="exact"/>
        <w:rPr>
          <w:sz w:val="20"/>
          <w:szCs w:val="20"/>
          <w:color w:val="auto"/>
        </w:rPr>
      </w:pPr>
    </w:p>
    <w:p>
      <w:pPr>
        <w:ind w:left="362"/>
        <w:spacing w:after="0"/>
        <w:rPr>
          <w:sz w:val="20"/>
          <w:szCs w:val="20"/>
          <w:color w:val="auto"/>
        </w:rPr>
      </w:pPr>
      <w:r>
        <w:rPr>
          <w:rFonts w:ascii="Courier New" w:cs="Courier New" w:eastAsia="Courier New" w:hAnsi="Courier New"/>
          <w:sz w:val="14"/>
          <w:szCs w:val="14"/>
          <w:color w:val="auto"/>
        </w:rPr>
        <w:t>16,737</w:t>
      </w:r>
    </w:p>
    <w:p>
      <w:pPr>
        <w:spacing w:after="0" w:line="12"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2" w:hanging="362"/>
        <w:spacing w:after="0"/>
        <w:tabs>
          <w:tab w:leader="none" w:pos="36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38,020</w:t>
      </w:r>
    </w:p>
    <w:p>
      <w:pPr>
        <w:spacing w:after="0" w:line="12" w:lineRule="exact"/>
        <w:rPr>
          <w:rFonts w:ascii="Courier New" w:cs="Courier New" w:eastAsia="Courier New" w:hAnsi="Courier New"/>
          <w:sz w:val="14"/>
          <w:szCs w:val="14"/>
          <w:color w:val="auto"/>
        </w:rPr>
      </w:pPr>
    </w:p>
    <w:p>
      <w:pPr>
        <w:ind w:left="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442" w:hanging="442"/>
        <w:spacing w:after="0"/>
        <w:tabs>
          <w:tab w:leader="none" w:pos="44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7,817</w:t>
      </w:r>
    </w:p>
    <w:p>
      <w:pPr>
        <w:spacing w:after="0" w:line="12" w:lineRule="exact"/>
        <w:rPr>
          <w:rFonts w:ascii="Courier New" w:cs="Courier New" w:eastAsia="Courier New" w:hAnsi="Courier New"/>
          <w:sz w:val="14"/>
          <w:szCs w:val="14"/>
          <w:color w:val="auto"/>
        </w:rPr>
      </w:pPr>
    </w:p>
    <w:p>
      <w:pPr>
        <w:ind w:left="36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23,245</w:t>
      </w:r>
    </w:p>
    <w:p>
      <w:pPr>
        <w:spacing w:after="0" w:line="183" w:lineRule="exact"/>
        <w:rPr>
          <w:sz w:val="20"/>
          <w:szCs w:val="20"/>
          <w:color w:val="auto"/>
        </w:rPr>
      </w:pPr>
    </w:p>
    <w:p>
      <w:pPr>
        <w:ind w:left="362"/>
        <w:spacing w:after="0"/>
        <w:rPr>
          <w:sz w:val="20"/>
          <w:szCs w:val="20"/>
          <w:color w:val="auto"/>
        </w:rPr>
      </w:pPr>
      <w:r>
        <w:rPr>
          <w:rFonts w:ascii="Courier New" w:cs="Courier New" w:eastAsia="Courier New" w:hAnsi="Courier New"/>
          <w:sz w:val="14"/>
          <w:szCs w:val="14"/>
          <w:color w:val="auto"/>
        </w:rPr>
        <w:t>13,607</w:t>
      </w:r>
    </w:p>
    <w:p>
      <w:pPr>
        <w:spacing w:after="0" w:line="12"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2" w:hanging="362"/>
        <w:spacing w:after="0"/>
        <w:tabs>
          <w:tab w:leader="none" w:pos="36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44,669</w:t>
      </w:r>
    </w:p>
    <w:p>
      <w:pPr>
        <w:spacing w:after="0" w:line="12" w:lineRule="exact"/>
        <w:rPr>
          <w:rFonts w:ascii="Courier New" w:cs="Courier New" w:eastAsia="Courier New" w:hAnsi="Courier New"/>
          <w:sz w:val="14"/>
          <w:szCs w:val="14"/>
          <w:color w:val="auto"/>
        </w:rPr>
      </w:pPr>
    </w:p>
    <w:p>
      <w:pPr>
        <w:ind w:left="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258" w:space="720"/>
            <w:col w:w="2241"/>
          </w:cols>
          <w:pgMar w:left="240" w:top="628" w:right="1440" w:bottom="1440" w:gutter="0" w:footer="0" w:header="0"/>
        </w:sectPr>
      </w:pPr>
    </w:p>
    <w:bookmarkStart w:id="9" w:name="page10"/>
    <w:bookmarkEnd w:id="9"/>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Costs Associated with Exit or Disposal Activities</w:t>
      </w:r>
    </w:p>
    <w:p>
      <w:pPr>
        <w:spacing w:after="0" w:line="174"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In June 2002 the FASB issued SFAS 146, "Accounting for Costs Associated with Exit or Disposal Activities". SFAS 146 requires that a liability for costs associated with an exit or disposal activity, including restructuring activities, be recognized and measured at fair value when the liability is incurred, or, for certain one-time employee termination costs, over a future service period. Previously, a liability for an exit cost was recognized when a company committed to an exit plan. As a result, SFAS 146 may affect the timing of amounts recognized for future restructuring activities. SFAS 146 is effective for exit or disposal activities that were initiated after December 31, 2002.</w:t>
      </w:r>
    </w:p>
    <w:p>
      <w:pPr>
        <w:spacing w:after="0" w:line="175"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The following related party balances are included in the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5500" w:type="dxa"/>
            <w:vAlign w:val="bottom"/>
          </w:tcPr>
          <w:p>
            <w:pPr>
              <w:spacing w:after="0"/>
              <w:rPr>
                <w:sz w:val="14"/>
                <w:szCs w:val="14"/>
                <w:color w:val="auto"/>
              </w:rPr>
            </w:pPr>
          </w:p>
        </w:tc>
        <w:tc>
          <w:tcPr>
            <w:tcW w:w="372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MARCH 31,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500" w:type="dxa"/>
            <w:vAlign w:val="bottom"/>
          </w:tcPr>
          <w:p>
            <w:pPr>
              <w:spacing w:after="0"/>
              <w:rPr>
                <w:sz w:val="14"/>
                <w:szCs w:val="14"/>
                <w:color w:val="auto"/>
              </w:rPr>
            </w:pPr>
          </w:p>
        </w:tc>
        <w:tc>
          <w:tcPr>
            <w:tcW w:w="18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190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5500" w:type="dxa"/>
            <w:vAlign w:val="bottom"/>
          </w:tcPr>
          <w:p>
            <w:pPr>
              <w:spacing w:after="0"/>
              <w:rPr>
                <w:sz w:val="14"/>
                <w:szCs w:val="14"/>
                <w:color w:val="auto"/>
              </w:rPr>
            </w:pPr>
          </w:p>
        </w:tc>
        <w:tc>
          <w:tcPr>
            <w:tcW w:w="18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$0 and $100,</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32,410</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55,458(1)</w:t>
            </w:r>
          </w:p>
        </w:tc>
      </w:tr>
      <w:tr>
        <w:trPr>
          <w:trHeight w:val="171"/>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respectively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 (2)</w:t>
            </w:r>
          </w:p>
        </w:tc>
        <w:tc>
          <w:tcPr>
            <w:tcW w:w="8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654</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1,550</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noncurrent assets (3)</w:t>
            </w:r>
          </w:p>
        </w:tc>
        <w:tc>
          <w:tcPr>
            <w:tcW w:w="8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51,776</w:t>
            </w:r>
          </w:p>
        </w:tc>
        <w:tc>
          <w:tcPr>
            <w:tcW w:w="1900" w:type="dxa"/>
            <w:vAlign w:val="bottom"/>
          </w:tcPr>
          <w:p>
            <w:pPr>
              <w:jc w:val="center"/>
              <w:ind w:left="586"/>
              <w:spacing w:after="0"/>
              <w:rPr>
                <w:sz w:val="20"/>
                <w:szCs w:val="20"/>
                <w:color w:val="auto"/>
              </w:rPr>
            </w:pPr>
            <w:r>
              <w:rPr>
                <w:rFonts w:ascii="Courier New" w:cs="Courier New" w:eastAsia="Courier New" w:hAnsi="Courier New"/>
                <w:sz w:val="15"/>
                <w:szCs w:val="15"/>
                <w:color w:val="auto"/>
                <w:w w:val="96"/>
              </w:rPr>
              <w:t>48,453</w:t>
            </w:r>
          </w:p>
        </w:tc>
      </w:tr>
    </w:tbl>
    <w:p>
      <w:pPr>
        <w:spacing w:after="0" w:line="345" w:lineRule="exact"/>
        <w:rPr>
          <w:sz w:val="20"/>
          <w:szCs w:val="20"/>
          <w:color w:val="auto"/>
        </w:rPr>
      </w:pPr>
    </w:p>
    <w:p>
      <w:pPr>
        <w:ind w:left="889" w:right="3119" w:hanging="445"/>
        <w:spacing w:after="0" w:line="261" w:lineRule="auto"/>
        <w:tabs>
          <w:tab w:leader="none" w:pos="88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balances with SBC Communications, Inc. ("SBC"). Since the end of the fiscal quarter ended December 31, 2002, SBC has ceased to be a principal shareholder of the Company, according to SFAS 57, "Related Party Disclosures", and thus is not a related party. SBC is not included in the Company's related party balances as of March 31, 2003.</w:t>
      </w:r>
    </w:p>
    <w:p>
      <w:pPr>
        <w:spacing w:after="0" w:line="161" w:lineRule="exact"/>
        <w:rPr>
          <w:rFonts w:ascii="Courier New" w:cs="Courier New" w:eastAsia="Courier New" w:hAnsi="Courier New"/>
          <w:sz w:val="14"/>
          <w:szCs w:val="14"/>
          <w:color w:val="auto"/>
        </w:rPr>
      </w:pPr>
    </w:p>
    <w:p>
      <w:pPr>
        <w:ind w:left="889" w:right="3299" w:hanging="445"/>
        <w:spacing w:after="0" w:line="239" w:lineRule="auto"/>
        <w:tabs>
          <w:tab w:leader="none" w:pos="8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accrued interest receivable on convertible debentures issued to the Company by Certen Inc. ("Certen"), a company formed by Bell Canada and the Company in January 2001.</w:t>
      </w:r>
    </w:p>
    <w:p>
      <w:pPr>
        <w:spacing w:after="0" w:line="175" w:lineRule="exact"/>
        <w:rPr>
          <w:rFonts w:ascii="Courier New" w:cs="Courier New" w:eastAsia="Courier New" w:hAnsi="Courier New"/>
          <w:sz w:val="15"/>
          <w:szCs w:val="15"/>
          <w:color w:val="auto"/>
        </w:rPr>
      </w:pPr>
    </w:p>
    <w:p>
      <w:pPr>
        <w:ind w:left="889" w:right="3219" w:hanging="445"/>
        <w:spacing w:after="0"/>
        <w:tabs>
          <w:tab w:leader="none" w:pos="8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investment by the Company in equity and convertible debentures of Certen. The investment in Certen is accounted for under the cost method, based on the Company's 10% ownership of Certen. As part of its original commitment, the total additional financial investment the Company will be making in Certen is approximately $5,000, translated from Canadian dollars, which is the currency in which all investments for the Certen transaction are denominated. The majority of the Company's exposure to currency fluctuation with respect to the convertible debenture component of this investment has been hedged.</w:t>
      </w:r>
    </w:p>
    <w:p>
      <w:pPr>
        <w:spacing w:after="0" w:line="178" w:lineRule="exact"/>
        <w:rPr>
          <w:sz w:val="20"/>
          <w:szCs w:val="20"/>
          <w:color w:val="auto"/>
        </w:rPr>
      </w:pPr>
    </w:p>
    <w:p>
      <w:pPr>
        <w:ind w:left="349" w:right="3119" w:firstLine="444"/>
        <w:spacing w:after="0" w:line="239"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Certen. The following related party revenue is included in the statements of operations: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0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c>
          <w:tcPr>
            <w:tcW w:w="200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2440" w:type="dxa"/>
            <w:vAlign w:val="bottom"/>
          </w:tcPr>
          <w:p>
            <w:pPr>
              <w:spacing w:after="0"/>
              <w:rPr>
                <w:sz w:val="14"/>
                <w:szCs w:val="14"/>
                <w:color w:val="auto"/>
              </w:rPr>
            </w:pPr>
          </w:p>
        </w:tc>
        <w:tc>
          <w:tcPr>
            <w:tcW w:w="2660" w:type="dxa"/>
            <w:vAlign w:val="bottom"/>
            <w:gridSpan w:val="2"/>
          </w:tcPr>
          <w:p>
            <w:pPr>
              <w:ind w:left="1360"/>
              <w:spacing w:after="0"/>
              <w:rPr>
                <w:sz w:val="20"/>
                <w:szCs w:val="20"/>
                <w:color w:val="auto"/>
              </w:rPr>
            </w:pPr>
            <w:r>
              <w:rPr>
                <w:rFonts w:ascii="Courier New" w:cs="Courier New" w:eastAsia="Courier New" w:hAnsi="Courier New"/>
                <w:sz w:val="11"/>
                <w:szCs w:val="11"/>
                <w:color w:val="auto"/>
                <w:w w:val="74"/>
              </w:rPr>
              <w:t>--------------------------</w:t>
            </w:r>
          </w:p>
        </w:tc>
        <w:tc>
          <w:tcPr>
            <w:tcW w:w="13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88"/>
              </w:rPr>
              <w:t>2003</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2002(1)</w:t>
            </w:r>
          </w:p>
        </w:tc>
        <w:tc>
          <w:tcPr>
            <w:tcW w:w="44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2002(1)</w:t>
            </w:r>
          </w:p>
        </w:tc>
      </w:tr>
      <w:tr>
        <w:trPr>
          <w:trHeight w:val="171"/>
        </w:trPr>
        <w:tc>
          <w:tcPr>
            <w:tcW w:w="2440" w:type="dxa"/>
            <w:vAlign w:val="bottom"/>
          </w:tcPr>
          <w:p>
            <w:pPr>
              <w:spacing w:after="0"/>
              <w:rPr>
                <w:sz w:val="14"/>
                <w:szCs w:val="14"/>
                <w:color w:val="auto"/>
              </w:rPr>
            </w:pP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64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1,191</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7,744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10,674</w:t>
            </w:r>
          </w:p>
        </w:tc>
      </w:tr>
      <w:tr>
        <w:trPr>
          <w:trHeight w:val="171"/>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6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26,702</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77,458</w:t>
            </w:r>
          </w:p>
        </w:tc>
        <w:tc>
          <w:tcPr>
            <w:tcW w:w="44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51,748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173,122</w:t>
            </w:r>
          </w:p>
        </w:tc>
      </w:tr>
    </w:tbl>
    <w:p>
      <w:pPr>
        <w:spacing w:after="0" w:line="345" w:lineRule="exact"/>
        <w:rPr>
          <w:sz w:val="20"/>
          <w:szCs w:val="20"/>
          <w:color w:val="auto"/>
        </w:rPr>
      </w:pPr>
    </w:p>
    <w:p>
      <w:pPr>
        <w:ind w:left="889" w:right="3119" w:hanging="445"/>
        <w:spacing w:after="0"/>
        <w:tabs>
          <w:tab w:leader="none" w:pos="8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license and service revenue to SBC. The transactions above include SBC as a related party for the three months and six months ended March 31, 2002. For the three months and six months ended March 31, 2003, SBC is not included in the Company's related party transactions.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28" w:right="1440" w:bottom="1140" w:gutter="0" w:footer="0" w:header="0"/>
        </w:sectPr>
      </w:pPr>
    </w:p>
    <w:bookmarkStart w:id="10" w:name="page11"/>
    <w:bookmarkEnd w:id="10"/>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The following related party expenses are included in the statements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54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THREE MONTHS ENDED</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MARCH 31,</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85"/>
              </w:rPr>
              <w:t>-------------------------------</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Courier New" w:cs="Courier New" w:eastAsia="Courier New" w:hAnsi="Courier New"/>
                <w:sz w:val="15"/>
                <w:szCs w:val="15"/>
                <w:color w:val="auto"/>
              </w:rPr>
              <w:t>2003</w:t>
            </w:r>
          </w:p>
        </w:tc>
        <w:tc>
          <w:tcPr>
            <w:tcW w:w="5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620" w:type="dxa"/>
            <w:vAlign w:val="bottom"/>
          </w:tcPr>
          <w:p>
            <w:pPr>
              <w:spacing w:after="0"/>
              <w:rPr>
                <w:sz w:val="14"/>
                <w:szCs w:val="14"/>
                <w:color w:val="auto"/>
              </w:rPr>
            </w:pP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751</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1,212</w:t>
            </w:r>
          </w:p>
        </w:tc>
      </w:tr>
      <w:tr>
        <w:trPr>
          <w:trHeight w:val="171"/>
        </w:trPr>
        <w:tc>
          <w:tcPr>
            <w:tcW w:w="362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4"/>
                <w:szCs w:val="14"/>
                <w:color w:val="auto"/>
              </w:rPr>
            </w:pP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(2)</w:t>
            </w:r>
          </w:p>
        </w:tc>
        <w:tc>
          <w:tcPr>
            <w:tcW w:w="980" w:type="dxa"/>
            <w:vAlign w:val="bottom"/>
          </w:tcPr>
          <w:p>
            <w:pPr>
              <w:spacing w:after="0"/>
              <w:rPr>
                <w:sz w:val="24"/>
                <w:szCs w:val="24"/>
                <w:color w:val="auto"/>
              </w:rPr>
            </w:pP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458</w:t>
            </w:r>
          </w:p>
        </w:tc>
        <w:tc>
          <w:tcPr>
            <w:tcW w:w="1060" w:type="dxa"/>
            <w:vAlign w:val="bottom"/>
          </w:tcPr>
          <w:p>
            <w:pPr>
              <w:spacing w:after="0"/>
              <w:rPr>
                <w:sz w:val="24"/>
                <w:szCs w:val="2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420</w:t>
            </w:r>
          </w:p>
        </w:tc>
        <w:tc>
          <w:tcPr>
            <w:tcW w:w="40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1,098</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345" w:lineRule="exact"/>
        <w:rPr>
          <w:sz w:val="20"/>
          <w:szCs w:val="20"/>
          <w:color w:val="auto"/>
        </w:rPr>
      </w:pPr>
    </w:p>
    <w:p>
      <w:pPr>
        <w:ind w:left="349" w:right="3299" w:hanging="349"/>
        <w:spacing w:after="0" w:line="239"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three months and six months ended March 31, 2002, consists of lease fees and miscellaneous support services purchased by the Company from affiliates of SBC.</w:t>
      </w:r>
    </w:p>
    <w:p>
      <w:pPr>
        <w:spacing w:after="0" w:line="175"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issued in connection with the Certen transaction. Absent hedging, these amounts would be $3,601 and $4,611 for the three and six months ended March 31, 2003, respectively, and $368 and $244 for the three months and six months ended March 31,2002, respectively.</w:t>
      </w:r>
    </w:p>
    <w:p>
      <w:pPr>
        <w:spacing w:after="0" w:line="172" w:lineRule="exact"/>
        <w:rPr>
          <w:sz w:val="20"/>
          <w:szCs w:val="20"/>
          <w:color w:val="auto"/>
        </w:rPr>
      </w:pPr>
    </w:p>
    <w:p>
      <w:pPr>
        <w:ind w:left="349"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36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MARCH 31,</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240" w:type="dxa"/>
            <w:vAlign w:val="bottom"/>
          </w:tcPr>
          <w:p>
            <w:pPr>
              <w:spacing w:after="0"/>
              <w:rPr>
                <w:sz w:val="14"/>
                <w:szCs w:val="14"/>
                <w:color w:val="auto"/>
              </w:rPr>
            </w:pPr>
          </w:p>
        </w:tc>
        <w:tc>
          <w:tcPr>
            <w:tcW w:w="23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240" w:type="dxa"/>
            <w:vAlign w:val="bottom"/>
          </w:tcPr>
          <w:p>
            <w:pPr>
              <w:spacing w:after="0"/>
              <w:rPr>
                <w:sz w:val="14"/>
                <w:szCs w:val="14"/>
                <w:color w:val="auto"/>
              </w:rPr>
            </w:pPr>
          </w:p>
        </w:tc>
        <w:tc>
          <w:tcPr>
            <w:tcW w:w="23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254,314</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314,828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920" w:type="dxa"/>
            <w:vAlign w:val="bottom"/>
          </w:tcPr>
          <w:p>
            <w:pPr>
              <w:spacing w:after="0"/>
              <w:rPr>
                <w:sz w:val="14"/>
                <w:szCs w:val="14"/>
                <w:color w:val="auto"/>
              </w:rPr>
            </w:pP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13,619</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24,144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92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(29,419)</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(26,240)</w:t>
            </w:r>
          </w:p>
        </w:tc>
      </w:tr>
      <w:tr>
        <w:trPr>
          <w:trHeight w:val="171"/>
        </w:trPr>
        <w:tc>
          <w:tcPr>
            <w:tcW w:w="3240" w:type="dxa"/>
            <w:vAlign w:val="bottom"/>
          </w:tcPr>
          <w:p>
            <w:pPr>
              <w:spacing w:after="0"/>
              <w:rPr>
                <w:sz w:val="14"/>
                <w:szCs w:val="14"/>
                <w:color w:val="auto"/>
              </w:rPr>
            </w:pPr>
          </w:p>
        </w:tc>
        <w:tc>
          <w:tcPr>
            <w:tcW w:w="23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238,514</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312,732</w:t>
            </w:r>
          </w:p>
        </w:tc>
      </w:tr>
      <w:tr>
        <w:trPr>
          <w:trHeight w:val="171"/>
        </w:trPr>
        <w:tc>
          <w:tcPr>
            <w:tcW w:w="3240" w:type="dxa"/>
            <w:vAlign w:val="bottom"/>
          </w:tcPr>
          <w:p>
            <w:pPr>
              <w:spacing w:after="0"/>
              <w:rPr>
                <w:sz w:val="14"/>
                <w:szCs w:val="14"/>
                <w:color w:val="auto"/>
              </w:rPr>
            </w:pPr>
          </w:p>
        </w:tc>
        <w:tc>
          <w:tcPr>
            <w:tcW w:w="23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349" w:right="3299" w:firstLine="444"/>
        <w:spacing w:after="0" w:line="23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349" w:right="339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40" w:type="dxa"/>
            <w:vAlign w:val="bottom"/>
            <w:gridSpan w:val="3"/>
          </w:tcPr>
          <w:p>
            <w:pPr>
              <w:jc w:val="right"/>
              <w:ind w:right="786"/>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90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900" w:type="dxa"/>
            <w:vAlign w:val="bottom"/>
            <w:gridSpan w:val="2"/>
          </w:tcPr>
          <w:p>
            <w:pPr>
              <w:ind w:left="560"/>
              <w:spacing w:after="0"/>
              <w:rPr>
                <w:sz w:val="20"/>
                <w:szCs w:val="20"/>
                <w:color w:val="auto"/>
              </w:rPr>
            </w:pPr>
            <w:r>
              <w:rPr>
                <w:rFonts w:ascii="Courier New" w:cs="Courier New" w:eastAsia="Courier New" w:hAnsi="Courier New"/>
                <w:sz w:val="10"/>
                <w:szCs w:val="10"/>
                <w:color w:val="auto"/>
                <w:w w:val="75"/>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24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45,375</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26,441</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77,574</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Unrealized income (loss) on</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hedging</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contracts, net of tax</w:t>
            </w:r>
          </w:p>
        </w:tc>
        <w:tc>
          <w:tcPr>
            <w:tcW w:w="9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3,666</w:t>
            </w:r>
          </w:p>
        </w:tc>
        <w:tc>
          <w:tcPr>
            <w:tcW w:w="4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(5,467)</w:t>
            </w:r>
          </w:p>
        </w:tc>
        <w:tc>
          <w:tcPr>
            <w:tcW w:w="44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9,134</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(4,332)</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short-term interest-bearing</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investments, net of tax</w:t>
            </w:r>
          </w:p>
        </w:tc>
        <w:tc>
          <w:tcPr>
            <w:tcW w:w="9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(943)</w:t>
            </w:r>
          </w:p>
        </w:tc>
        <w:tc>
          <w:tcPr>
            <w:tcW w:w="44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(2,586)</w:t>
            </w:r>
          </w:p>
        </w:tc>
        <w:tc>
          <w:tcPr>
            <w:tcW w:w="4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(1,049)</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(2,797)</w:t>
            </w:r>
          </w:p>
        </w:tc>
      </w:tr>
      <w:tr>
        <w:trPr>
          <w:trHeight w:val="171"/>
        </w:trPr>
        <w:tc>
          <w:tcPr>
            <w:tcW w:w="324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48,098</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18,388</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85,659</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23,646</w:t>
            </w:r>
          </w:p>
        </w:tc>
      </w:tr>
      <w:tr>
        <w:trPr>
          <w:trHeight w:val="171"/>
        </w:trPr>
        <w:tc>
          <w:tcPr>
            <w:tcW w:w="324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24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8"/>
          </w:cols>
          <w:pgMar w:left="231" w:top="628" w:right="1440" w:bottom="969" w:gutter="0" w:footer="0" w:header="0"/>
        </w:sectPr>
      </w:pPr>
    </w:p>
    <w:bookmarkStart w:id="11" w:name="page12"/>
    <w:bookmarkEnd w:id="11"/>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4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2840" w:type="dxa"/>
            <w:vAlign w:val="bottom"/>
            <w:gridSpan w:val="2"/>
          </w:tcPr>
          <w:p>
            <w:pPr>
              <w:ind w:left="1540"/>
              <w:spacing w:after="0"/>
              <w:rPr>
                <w:sz w:val="20"/>
                <w:szCs w:val="20"/>
                <w:color w:val="auto"/>
              </w:rPr>
            </w:pPr>
            <w:r>
              <w:rPr>
                <w:rFonts w:ascii="Courier New" w:cs="Courier New" w:eastAsia="Courier New" w:hAnsi="Courier New"/>
                <w:sz w:val="10"/>
                <w:szCs w:val="10"/>
                <w:color w:val="auto"/>
                <w:w w:val="73"/>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2003</w:t>
            </w:r>
          </w:p>
        </w:tc>
        <w:tc>
          <w:tcPr>
            <w:tcW w:w="48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3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260" w:type="dxa"/>
            <w:vAlign w:val="bottom"/>
          </w:tcPr>
          <w:p>
            <w:pPr>
              <w:spacing w:after="0"/>
              <w:rPr>
                <w:sz w:val="14"/>
                <w:szCs w:val="14"/>
                <w:color w:val="auto"/>
              </w:rPr>
            </w:pPr>
          </w:p>
        </w:tc>
        <w:tc>
          <w:tcPr>
            <w:tcW w:w="2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9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7,623</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20,327</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20,544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45,816</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9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7,502</w:t>
            </w:r>
          </w:p>
        </w:tc>
        <w:tc>
          <w:tcPr>
            <w:tcW w:w="4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6,428</w:t>
            </w:r>
          </w:p>
        </w:tc>
        <w:tc>
          <w:tcPr>
            <w:tcW w:w="44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1,161</w:t>
            </w:r>
          </w:p>
        </w:tc>
      </w:tr>
      <w:tr>
        <w:trPr>
          <w:trHeight w:val="171"/>
        </w:trPr>
        <w:tc>
          <w:tcPr>
            <w:tcW w:w="2260" w:type="dxa"/>
            <w:vAlign w:val="bottom"/>
          </w:tcPr>
          <w:p>
            <w:pPr>
              <w:spacing w:after="0"/>
              <w:rPr>
                <w:sz w:val="14"/>
                <w:szCs w:val="14"/>
                <w:color w:val="auto"/>
              </w:rPr>
            </w:pPr>
          </w:p>
        </w:tc>
        <w:tc>
          <w:tcPr>
            <w:tcW w:w="2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260" w:type="dxa"/>
            <w:vAlign w:val="bottom"/>
          </w:tcPr>
          <w:p>
            <w:pPr>
              <w:spacing w:after="0"/>
              <w:rPr>
                <w:sz w:val="14"/>
                <w:szCs w:val="14"/>
                <w:color w:val="auto"/>
              </w:rPr>
            </w:pPr>
          </w:p>
        </w:tc>
        <w:tc>
          <w:tcPr>
            <w:tcW w:w="19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15,125</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26,755</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25,858</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46,977</w:t>
            </w:r>
          </w:p>
        </w:tc>
      </w:tr>
      <w:tr>
        <w:trPr>
          <w:trHeight w:val="171"/>
        </w:trPr>
        <w:tc>
          <w:tcPr>
            <w:tcW w:w="2260" w:type="dxa"/>
            <w:vAlign w:val="bottom"/>
          </w:tcPr>
          <w:p>
            <w:pPr>
              <w:spacing w:after="0"/>
              <w:rPr>
                <w:sz w:val="14"/>
                <w:szCs w:val="14"/>
                <w:color w:val="auto"/>
              </w:rPr>
            </w:pPr>
          </w:p>
        </w:tc>
        <w:tc>
          <w:tcPr>
            <w:tcW w:w="2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left="349" w:right="3399" w:firstLine="444"/>
        <w:spacing w:after="0" w:line="271" w:lineRule="auto"/>
        <w:rPr>
          <w:sz w:val="20"/>
          <w:szCs w:val="20"/>
          <w:color w:val="auto"/>
        </w:rPr>
      </w:pPr>
      <w:r>
        <w:rPr>
          <w:rFonts w:ascii="Courier New" w:cs="Courier New" w:eastAsia="Courier New" w:hAnsi="Courier New"/>
          <w:sz w:val="14"/>
          <w:szCs w:val="14"/>
          <w:color w:val="auto"/>
        </w:rPr>
        <w:t>The effective income tax rate from continuing operations varied from the statutory Guernsey tax rate as follows for the following periods:</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28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THREE MONTHS ENDED</w:t>
            </w:r>
          </w:p>
        </w:tc>
        <w:tc>
          <w:tcPr>
            <w:tcW w:w="28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500" w:type="dxa"/>
            <w:vAlign w:val="bottom"/>
          </w:tcPr>
          <w:p>
            <w:pPr>
              <w:spacing w:after="0"/>
              <w:rPr>
                <w:sz w:val="14"/>
                <w:szCs w:val="14"/>
                <w:color w:val="auto"/>
              </w:rPr>
            </w:pPr>
          </w:p>
        </w:tc>
        <w:tc>
          <w:tcPr>
            <w:tcW w:w="3280" w:type="dxa"/>
            <w:vAlign w:val="bottom"/>
            <w:gridSpan w:val="2"/>
          </w:tcPr>
          <w:p>
            <w:pPr>
              <w:jc w:val="right"/>
              <w:ind w:right="1126"/>
              <w:spacing w:after="0"/>
              <w:rPr>
                <w:sz w:val="20"/>
                <w:szCs w:val="20"/>
                <w:color w:val="auto"/>
              </w:rPr>
            </w:pPr>
            <w:r>
              <w:rPr>
                <w:rFonts w:ascii="Courier New" w:cs="Courier New" w:eastAsia="Courier New" w:hAnsi="Courier New"/>
                <w:sz w:val="15"/>
                <w:szCs w:val="15"/>
                <w:color w:val="auto"/>
              </w:rPr>
              <w:t>MARCH 31,</w:t>
            </w:r>
          </w:p>
        </w:tc>
        <w:tc>
          <w:tcPr>
            <w:tcW w:w="28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500" w:type="dxa"/>
            <w:vAlign w:val="bottom"/>
          </w:tcPr>
          <w:p>
            <w:pPr>
              <w:spacing w:after="0"/>
              <w:rPr>
                <w:sz w:val="14"/>
                <w:szCs w:val="14"/>
                <w:color w:val="auto"/>
              </w:rPr>
            </w:pPr>
          </w:p>
        </w:tc>
        <w:tc>
          <w:tcPr>
            <w:tcW w:w="32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spacing w:after="0"/>
              <w:rPr>
                <w:sz w:val="14"/>
                <w:szCs w:val="14"/>
                <w:color w:val="auto"/>
              </w:rPr>
            </w:pPr>
          </w:p>
        </w:tc>
        <w:tc>
          <w:tcPr>
            <w:tcW w:w="20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500" w:type="dxa"/>
            <w:vAlign w:val="bottom"/>
          </w:tcPr>
          <w:p>
            <w:pPr>
              <w:spacing w:after="0"/>
              <w:rPr>
                <w:sz w:val="14"/>
                <w:szCs w:val="14"/>
                <w:color w:val="auto"/>
              </w:rPr>
            </w:pP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3500" w:type="dxa"/>
            <w:vAlign w:val="bottom"/>
          </w:tcPr>
          <w:p>
            <w:pPr>
              <w:spacing w:after="0"/>
              <w:rPr>
                <w:sz w:val="14"/>
                <w:szCs w:val="14"/>
                <w:color w:val="auto"/>
              </w:rPr>
            </w:pP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acquisitions-related costs and</w:t>
            </w: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restructuring charges</w:t>
            </w: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Effect of amortization of goodwill</w:t>
            </w: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and purchased intangible assets,</w:t>
            </w: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in-process research and development</w:t>
            </w: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and restructuring charges</w:t>
            </w: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r>
      <w:tr>
        <w:trPr>
          <w:trHeight w:val="171"/>
        </w:trPr>
        <w:tc>
          <w:tcPr>
            <w:tcW w:w="3500" w:type="dxa"/>
            <w:vAlign w:val="bottom"/>
          </w:tcPr>
          <w:p>
            <w:pPr>
              <w:spacing w:after="0"/>
              <w:rPr>
                <w:sz w:val="14"/>
                <w:szCs w:val="14"/>
                <w:color w:val="auto"/>
              </w:rPr>
            </w:pP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3500" w:type="dxa"/>
            <w:vAlign w:val="bottom"/>
          </w:tcPr>
          <w:p>
            <w:pPr>
              <w:spacing w:after="0"/>
              <w:rPr>
                <w:sz w:val="14"/>
                <w:szCs w:val="14"/>
                <w:color w:val="auto"/>
              </w:rPr>
            </w:pPr>
          </w:p>
        </w:tc>
        <w:tc>
          <w:tcPr>
            <w:tcW w:w="20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2003 is expected to be approximately 25%. Effective October 1, 2002, following the adoption of FASB 142, the Company no longer amortizes goodwill resulting from acquisitions. See Note 3 above. As a result, the non tax-deductible goodwill amortization no longer affects the Company's effective tax rate.</w:t>
      </w:r>
    </w:p>
    <w:p>
      <w:pPr>
        <w:spacing w:after="0" w:line="176"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In the three months and six months ended March 31, 2002, the Company incurred non-cash charges related to the amortization of goodwill and purchased intangible assets and in-process research and development in connection with acquisitions and a restructuring charge. Since a significant portion of such costs and charges is attributable to amortization of goodwill, much of which is not tax deductible, the effective tax rate in the three months and six months ended March 31, 2002 was adversely affected. Excluding the impact of these items, the Company's overall effective tax rate would have been 28% for the three months and six months ended March 31, 2002.</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2" w:name="page13"/>
    <w:bookmarkEnd w:id="12"/>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349" w:right="3399" w:firstLine="532"/>
        <w:spacing w:after="0" w:line="238"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spacing w:after="0"/>
              <w:rPr>
                <w:sz w:val="14"/>
                <w:szCs w:val="14"/>
                <w:color w:val="auto"/>
              </w:rPr>
            </w:pPr>
          </w:p>
        </w:tc>
        <w:tc>
          <w:tcPr>
            <w:tcW w:w="21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MARCH 31,</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3720" w:type="dxa"/>
            <w:vAlign w:val="bottom"/>
          </w:tcPr>
          <w:p>
            <w:pPr>
              <w:spacing w:after="0"/>
              <w:rPr>
                <w:sz w:val="14"/>
                <w:szCs w:val="14"/>
                <w:color w:val="auto"/>
              </w:rPr>
            </w:pPr>
          </w:p>
        </w:tc>
        <w:tc>
          <w:tcPr>
            <w:tcW w:w="302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45,375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26,441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77,574</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basic earnings per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shares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outstanding (1)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215,797</w:t>
            </w:r>
          </w:p>
        </w:tc>
        <w:tc>
          <w:tcPr>
            <w:tcW w:w="9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222,995</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215,711</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222,844</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dilutive stock options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3,312</w:t>
            </w:r>
          </w:p>
        </w:tc>
        <w:tc>
          <w:tcPr>
            <w:tcW w:w="9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2,493</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2,468</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2,431</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diluted earnings per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share -</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adjusted weighted average shares and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assumed conversions (1)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219,109</w:t>
            </w:r>
          </w:p>
        </w:tc>
        <w:tc>
          <w:tcPr>
            <w:tcW w:w="9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225,488</w:t>
            </w: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218,179</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225,275</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per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889" w:right="3219" w:hanging="445"/>
        <w:spacing w:after="0" w:line="261" w:lineRule="auto"/>
        <w:tabs>
          <w:tab w:leader="none" w:pos="88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includes exchangeable shares held by shareholders of Amdocs Canada, Inc (formerly Solect Technology Group Inc. ("Solect")) pursuant to the Company's acquisition of Solect in April 2000, which are exchangeable for the Company's Ordinary Shares on a one-for-one basis.</w:t>
      </w:r>
    </w:p>
    <w:p>
      <w:pPr>
        <w:spacing w:after="0" w:line="162" w:lineRule="exact"/>
        <w:rPr>
          <w:sz w:val="20"/>
          <w:szCs w:val="20"/>
          <w:color w:val="auto"/>
        </w:rPr>
      </w:pPr>
    </w:p>
    <w:p>
      <w:pPr>
        <w:ind w:left="349" w:right="3299" w:firstLine="444"/>
        <w:spacing w:after="0" w:line="23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per share was anti-dilutive for the three months and six months ended March 31, 2003 and 2002, and, therefore, was not included in the above calculation.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 ACQUISITION</w:t>
      </w:r>
    </w:p>
    <w:p>
      <w:pPr>
        <w:spacing w:after="0" w:line="174" w:lineRule="exact"/>
        <w:rPr>
          <w:sz w:val="20"/>
          <w:szCs w:val="20"/>
          <w:color w:val="auto"/>
        </w:rPr>
      </w:pPr>
    </w:p>
    <w:p>
      <w:pPr>
        <w:ind w:left="349" w:right="3219" w:firstLine="444"/>
        <w:spacing w:after="0" w:line="259" w:lineRule="auto"/>
        <w:rPr>
          <w:sz w:val="20"/>
          <w:szCs w:val="20"/>
          <w:color w:val="auto"/>
        </w:rPr>
      </w:pPr>
      <w:r>
        <w:rPr>
          <w:rFonts w:ascii="Courier New" w:cs="Courier New" w:eastAsia="Courier New" w:hAnsi="Courier New"/>
          <w:sz w:val="14"/>
          <w:szCs w:val="14"/>
          <w:color w:val="auto"/>
        </w:rPr>
        <w:t>On November 28, 2001, the Company purchased from Nortel Networks Corporation substantially all of the assets of its Clarify business ("Clarify"), a leading provider of Customer Relationship Management ("CRM") software to communications companies and other enterprise sectors. The purchase price was subject to final price adjustments that were settled in October 2002 and resulted in an $11,111 reduction of the purchase price in the first quarter of fiscal 2003. The fair market value of Clarify's assets and liabilities has been included in the Company's balance sheets and the results of Clarify's operations have been included in the Company's consolidated statements of income, commencing on November 29, 2001.</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3" w:name="page14"/>
    <w:bookmarkEnd w:id="13"/>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0" w:right="3839" w:firstLine="444"/>
        <w:spacing w:after="0" w:line="238" w:lineRule="auto"/>
        <w:rPr>
          <w:sz w:val="20"/>
          <w:szCs w:val="20"/>
          <w:color w:val="auto"/>
        </w:rPr>
      </w:pPr>
      <w:r>
        <w:rPr>
          <w:rFonts w:ascii="Courier New" w:cs="Courier New" w:eastAsia="Courier New" w:hAnsi="Courier New"/>
          <w:sz w:val="15"/>
          <w:szCs w:val="15"/>
          <w:color w:val="auto"/>
        </w:rPr>
        <w:t>The following is the final allocation of the purchase price and deferred tax liability: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liabilities acquired</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(9,575)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6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13,400</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6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34,800</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6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17,400</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(2,871)</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6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147,735</w:t>
            </w:r>
          </w:p>
        </w:tc>
      </w:tr>
      <w:tr>
        <w:trPr>
          <w:trHeight w:val="171"/>
        </w:trPr>
        <w:tc>
          <w:tcPr>
            <w:tcW w:w="3500" w:type="dxa"/>
            <w:vAlign w:val="bottom"/>
          </w:tcPr>
          <w:p>
            <w:pPr>
              <w:spacing w:after="0"/>
              <w:rPr>
                <w:sz w:val="14"/>
                <w:szCs w:val="14"/>
                <w:color w:val="auto"/>
              </w:rPr>
            </w:pP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200,889</w:t>
            </w:r>
          </w:p>
        </w:tc>
      </w:tr>
      <w:tr>
        <w:trPr>
          <w:trHeight w:val="171"/>
        </w:trPr>
        <w:tc>
          <w:tcPr>
            <w:tcW w:w="3500" w:type="dxa"/>
            <w:vAlign w:val="bottom"/>
          </w:tcPr>
          <w:p>
            <w:pPr>
              <w:spacing w:after="0"/>
              <w:rPr>
                <w:sz w:val="14"/>
                <w:szCs w:val="14"/>
                <w:color w:val="auto"/>
              </w:rPr>
            </w:pP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0" w:right="3299" w:firstLine="444"/>
        <w:spacing w:after="0" w:line="239"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and earnings per share as if Clarify had been acquired as of October 1, 2001, excluding the write-off of purchased in-process research and development:</w:t>
      </w:r>
    </w:p>
    <w:p>
      <w:pPr>
        <w:spacing w:after="0" w:line="200" w:lineRule="exact"/>
        <w:rPr>
          <w:sz w:val="20"/>
          <w:szCs w:val="20"/>
          <w:color w:val="auto"/>
        </w:rPr>
      </w:pPr>
    </w:p>
    <w:p>
      <w:pPr>
        <w:spacing w:after="0" w:line="31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SIX MONTHS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800" w:type="dxa"/>
            <w:vAlign w:val="bottom"/>
          </w:tcPr>
          <w:p>
            <w:pPr>
              <w:ind w:left="118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2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2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800" w:type="dxa"/>
            <w:vAlign w:val="bottom"/>
          </w:tcPr>
          <w:p>
            <w:pPr>
              <w:ind w:left="1180"/>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2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  897,910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77,843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38,116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OPERATIONAL EFFICIENCY AND COST REDUCTION PROGRAM</w:t>
      </w:r>
    </w:p>
    <w:p>
      <w:pPr>
        <w:spacing w:after="0" w:line="174" w:lineRule="exact"/>
        <w:rPr>
          <w:sz w:val="20"/>
          <w:szCs w:val="20"/>
          <w:color w:val="auto"/>
        </w:rPr>
      </w:pPr>
    </w:p>
    <w:p>
      <w:pPr>
        <w:ind w:left="340" w:right="3119" w:firstLine="444"/>
        <w:spacing w:after="0"/>
        <w:rPr>
          <w:sz w:val="20"/>
          <w:szCs w:val="20"/>
          <w:color w:val="auto"/>
        </w:rPr>
      </w:pPr>
      <w:r>
        <w:rPr>
          <w:rFonts w:ascii="Courier New" w:cs="Courier New" w:eastAsia="Courier New" w:hAnsi="Courier New"/>
          <w:sz w:val="15"/>
          <w:szCs w:val="15"/>
          <w:color w:val="auto"/>
        </w:rPr>
        <w:t>On November 27, 2002 the Company announced a series of measures designed to reduce costs and improve productivity. In the first quarter of fiscal 2003, the Company recorded a charge of $9,956,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Except for certain lease termination costs that will be paid over the respective lease terms, the Company paid most of the remaining accrual balance of the cost reduction program in the second quarter of fiscal 2003. The employee terminations occurred at various locations around the world. In addition, the Company implemented other cost reduction measures, including travel cuts and reductions in other discretionary costs.</w:t>
      </w:r>
    </w:p>
    <w:p>
      <w:pPr>
        <w:spacing w:after="0" w:line="180" w:lineRule="exact"/>
        <w:rPr>
          <w:sz w:val="20"/>
          <w:szCs w:val="20"/>
          <w:color w:val="auto"/>
        </w:rPr>
      </w:pPr>
    </w:p>
    <w:p>
      <w:pPr>
        <w:ind w:left="340" w:right="3119" w:firstLine="444"/>
        <w:spacing w:after="0"/>
        <w:rPr>
          <w:sz w:val="20"/>
          <w:szCs w:val="20"/>
          <w:color w:val="auto"/>
        </w:rPr>
      </w:pPr>
      <w:r>
        <w:rPr>
          <w:rFonts w:ascii="Courier New" w:cs="Courier New" w:eastAsia="Courier New" w:hAnsi="Courier New"/>
          <w:sz w:val="15"/>
          <w:szCs w:val="15"/>
          <w:color w:val="auto"/>
        </w:rPr>
        <w:t>In the fourth quarter of fiscal 2002, the Company recorded a charge of $20,919, consisting primarily of employee separation costs in connection with the termination of the employment of approximately one thousand software and information technology specialists and administrative professionals and for the write-off of leasehold improvements and rent obligations. Except for certain lease termination costs that will be paid over the respective lease terms, the Company paid most of the remaining accrual balance of the cost reduction program in the first quarter of fiscal 2003.</w:t>
      </w:r>
    </w:p>
    <w:p>
      <w:pPr>
        <w:spacing w:after="0" w:line="177"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restructuring charge of $13,311 in the first quarter of fiscal 2002, primarily for the write-off of leasehold improvements and rent obligations, with the remainder for employee separation costs.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14" w:name="page15"/>
    <w:bookmarkEnd w:id="14"/>
    <w:p>
      <w:pPr>
        <w:jc w:val="center"/>
        <w:ind w:left="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left="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left="8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9" w:right="640" w:firstLine="444"/>
        <w:spacing w:after="0" w:line="238" w:lineRule="auto"/>
        <w:rPr>
          <w:sz w:val="20"/>
          <w:szCs w:val="20"/>
          <w:color w:val="auto"/>
        </w:rPr>
      </w:pPr>
      <w:r>
        <w:rPr>
          <w:rFonts w:ascii="Courier New" w:cs="Courier New" w:eastAsia="Courier New" w:hAnsi="Courier New"/>
          <w:sz w:val="15"/>
          <w:szCs w:val="15"/>
          <w:color w:val="auto"/>
        </w:rPr>
        <w:t>All of the aforementioned charges are included in "restructuring charges and in-process research and development".</w:t>
      </w:r>
    </w:p>
    <w:p>
      <w:pPr>
        <w:spacing w:after="0" w:line="175" w:lineRule="exact"/>
        <w:rPr>
          <w:sz w:val="20"/>
          <w:szCs w:val="20"/>
          <w:color w:val="auto"/>
        </w:rPr>
      </w:pPr>
    </w:p>
    <w:p>
      <w:pPr>
        <w:ind w:left="349" w:right="100" w:firstLine="444"/>
        <w:spacing w:after="0"/>
        <w:rPr>
          <w:sz w:val="20"/>
          <w:szCs w:val="20"/>
          <w:color w:val="auto"/>
        </w:rPr>
      </w:pPr>
      <w:r>
        <w:rPr>
          <w:rFonts w:ascii="Courier New" w:cs="Courier New" w:eastAsia="Courier New" w:hAnsi="Courier New"/>
          <w:sz w:val="15"/>
          <w:szCs w:val="15"/>
          <w:color w:val="auto"/>
        </w:rPr>
        <w:t>As of March 31, 2003, the remaining accrual balances were $12,880. Facility-related costs are expected to be paid through April 2012. Actual future cash requirements may differ materially from the accrual as of March 31, 2003, particularly if actual sublease income is significantly different from current estimates.</w:t>
      </w:r>
    </w:p>
    <w:p>
      <w:pPr>
        <w:spacing w:after="0" w:line="174" w:lineRule="exact"/>
        <w:rPr>
          <w:sz w:val="20"/>
          <w:szCs w:val="20"/>
          <w:color w:val="auto"/>
        </w:rPr>
      </w:pPr>
    </w:p>
    <w:p>
      <w:pPr>
        <w:ind w:left="789" w:right="180"/>
        <w:spacing w:after="0" w:line="238" w:lineRule="auto"/>
        <w:rPr>
          <w:sz w:val="20"/>
          <w:szCs w:val="20"/>
          <w:color w:val="auto"/>
        </w:rPr>
      </w:pPr>
      <w:r>
        <w:rPr>
          <w:rFonts w:ascii="Courier New" w:cs="Courier New" w:eastAsia="Courier New" w:hAnsi="Courier New"/>
          <w:sz w:val="15"/>
          <w:szCs w:val="15"/>
          <w:color w:val="auto"/>
        </w:rPr>
        <w:t>A summary of restructuring activities along with respective remaining reserves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4"/>
              </w:rPr>
              <w:t>EMPLOYEE</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SEPARATION</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ASSET</w:t>
            </w:r>
          </w:p>
        </w:tc>
      </w:tr>
      <w:tr>
        <w:trPr>
          <w:trHeight w:val="171"/>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COSTS</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FACILITIES</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WRITE-OFFS</w:t>
            </w:r>
          </w:p>
        </w:tc>
      </w:tr>
      <w:tr>
        <w:trPr>
          <w:trHeight w:val="171"/>
        </w:trPr>
        <w:tc>
          <w:tcPr>
            <w:tcW w:w="27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3,357</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11,087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 in first quarter of</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fiscal 2003</w:t>
            </w:r>
          </w:p>
        </w:tc>
        <w:tc>
          <w:tcPr>
            <w:tcW w:w="3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4,011</w:t>
            </w:r>
          </w:p>
        </w:tc>
        <w:tc>
          <w:tcPr>
            <w:tcW w:w="4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4,022</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1,829</w:t>
            </w:r>
          </w:p>
        </w:tc>
      </w:tr>
      <w:tr>
        <w:trPr>
          <w:trHeight w:val="171"/>
        </w:trPr>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Cash payments</w:t>
            </w:r>
          </w:p>
        </w:tc>
        <w:tc>
          <w:tcPr>
            <w:tcW w:w="3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(2,679)</w:t>
            </w:r>
          </w:p>
        </w:tc>
        <w:tc>
          <w:tcPr>
            <w:tcW w:w="48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(1,061)</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Non-cash</w:t>
            </w:r>
          </w:p>
        </w:tc>
        <w:tc>
          <w:tcPr>
            <w:tcW w:w="3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r>
        <w:trPr>
          <w:trHeight w:val="171"/>
        </w:trPr>
        <w:tc>
          <w:tcPr>
            <w:tcW w:w="27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3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4,689</w:t>
            </w:r>
          </w:p>
        </w:tc>
        <w:tc>
          <w:tcPr>
            <w:tcW w:w="4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14,048</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Cash payments</w:t>
            </w:r>
          </w:p>
        </w:tc>
        <w:tc>
          <w:tcPr>
            <w:tcW w:w="3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(4,205)</w:t>
            </w:r>
          </w:p>
        </w:tc>
        <w:tc>
          <w:tcPr>
            <w:tcW w:w="48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(1,886)</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Adjustments (1)</w:t>
            </w:r>
          </w:p>
        </w:tc>
        <w:tc>
          <w:tcPr>
            <w:tcW w:w="36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(60)</w:t>
            </w:r>
          </w:p>
        </w:tc>
        <w:tc>
          <w:tcPr>
            <w:tcW w:w="4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March 31, 2003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424</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12,162</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differences in foreign exchange rates from balances paid</w:t>
      </w:r>
    </w:p>
    <w:p>
      <w:pPr>
        <w:spacing w:after="0" w:line="3" w:lineRule="exact"/>
        <w:rPr>
          <w:rFonts w:ascii="Courier New" w:cs="Courier New" w:eastAsia="Courier New" w:hAnsi="Courier New"/>
          <w:sz w:val="15"/>
          <w:szCs w:val="15"/>
          <w:color w:val="auto"/>
        </w:rPr>
      </w:pPr>
    </w:p>
    <w:p>
      <w:pPr>
        <w:ind w:left="349" w:right="28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currencies other than the U.S. dollar, which were charged to "interest income and other, net".</w:t>
      </w:r>
    </w:p>
    <w:p>
      <w:pPr>
        <w:spacing w:after="0" w:line="172" w:lineRule="exact"/>
        <w:rPr>
          <w:sz w:val="20"/>
          <w:szCs w:val="20"/>
          <w:color w:val="auto"/>
        </w:rPr>
      </w:pPr>
    </w:p>
    <w:p>
      <w:pPr>
        <w:ind w:left="44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left="349" w:firstLine="444"/>
        <w:spacing w:after="0"/>
        <w:rPr>
          <w:sz w:val="20"/>
          <w:szCs w:val="20"/>
          <w:color w:val="auto"/>
        </w:rPr>
      </w:pPr>
      <w:r>
        <w:rPr>
          <w:rFonts w:ascii="Courier New" w:cs="Courier New" w:eastAsia="Courier New" w:hAnsi="Courier New"/>
          <w:sz w:val="15"/>
          <w:szCs w:val="15"/>
          <w:color w:val="auto"/>
        </w:rPr>
        <w:t>The Company accounts for stock-based compensation in accordance with APB 25.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employee stock-based compensation cost is reflected in net income for the three months and six months ended March 31, 2003 and 2002, as all options granted were at an exercise price equal to the market value of the underlying shares at the grant date.</w:t>
      </w:r>
    </w:p>
    <w:p>
      <w:pPr>
        <w:spacing w:after="0" w:line="178" w:lineRule="exact"/>
        <w:rPr>
          <w:sz w:val="20"/>
          <w:szCs w:val="20"/>
          <w:color w:val="auto"/>
        </w:rPr>
      </w:pPr>
    </w:p>
    <w:p>
      <w:pPr>
        <w:ind w:left="349" w:firstLine="444"/>
        <w:spacing w:after="0"/>
        <w:rPr>
          <w:sz w:val="20"/>
          <w:szCs w:val="20"/>
          <w:color w:val="auto"/>
        </w:rPr>
      </w:pPr>
      <w:r>
        <w:rPr>
          <w:rFonts w:ascii="Courier New" w:cs="Courier New" w:eastAsia="Courier New" w:hAnsi="Courier New"/>
          <w:sz w:val="15"/>
          <w:szCs w:val="15"/>
          <w:color w:val="auto"/>
        </w:rPr>
        <w:t>The Company determined pro forma net income and earnings per share information as if the fair value method described in SFAS No. 123, as amended by SFAS No. 148, had been applied to its employee stock-based compensation. The Company utilized the Black-Scholes option-pricing model to estimate fair value, which is one of several methods that can be used under SFAS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77" w:lineRule="exact"/>
        <w:rPr>
          <w:sz w:val="20"/>
          <w:szCs w:val="20"/>
          <w:color w:val="auto"/>
        </w:rPr>
      </w:pPr>
    </w:p>
    <w:p>
      <w:pPr>
        <w:jc w:val="center"/>
        <w:ind w:left="9"/>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tabs>
          <w:tab w:leader="none" w:pos="168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none" w:pos="600" w:val="left"/>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440</w:t>
      </w:r>
      <w:r>
        <w:rPr>
          <w:sz w:val="20"/>
          <w:szCs w:val="20"/>
          <w:color w:val="auto"/>
        </w:rPr>
        <w:tab/>
      </w:r>
      <w:r>
        <w:rPr>
          <w:rFonts w:ascii="Courier New" w:cs="Courier New" w:eastAsia="Courier New" w:hAnsi="Courier New"/>
          <w:sz w:val="14"/>
          <w:szCs w:val="14"/>
          <w:color w:val="auto"/>
        </w:rPr>
        <w:t>$ 14,884</w:t>
      </w:r>
    </w:p>
    <w:p>
      <w:pPr>
        <w:spacing w:after="0" w:line="342" w:lineRule="exact"/>
        <w:rPr>
          <w:sz w:val="20"/>
          <w:szCs w:val="20"/>
          <w:color w:val="auto"/>
        </w:rPr>
      </w:pPr>
    </w:p>
    <w:p>
      <w:pPr>
        <w:ind w:left="720"/>
        <w:spacing w:after="0"/>
        <w:tabs>
          <w:tab w:leader="none" w:pos="194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9,956</w:t>
      </w:r>
    </w:p>
    <w:p>
      <w:pPr>
        <w:spacing w:after="0" w:line="1" w:lineRule="exact"/>
        <w:rPr>
          <w:sz w:val="20"/>
          <w:szCs w:val="20"/>
          <w:color w:val="auto"/>
        </w:rPr>
      </w:pPr>
    </w:p>
    <w:p>
      <w:pPr>
        <w:ind w:left="1860" w:hanging="1322"/>
        <w:spacing w:after="0"/>
        <w:tabs>
          <w:tab w:leader="none" w:pos="18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(3,880)</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-(1,829)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19,131</w:t>
            </w:r>
          </w:p>
        </w:tc>
      </w:tr>
    </w:tbl>
    <w:p>
      <w:pPr>
        <w:spacing w:after="0" w:line="171" w:lineRule="exact"/>
        <w:rPr>
          <w:sz w:val="20"/>
          <w:szCs w:val="20"/>
          <w:color w:val="auto"/>
        </w:rPr>
      </w:pPr>
    </w:p>
    <w:p>
      <w:pPr>
        <w:ind w:left="1860" w:hanging="1322"/>
        <w:spacing w:after="0"/>
        <w:tabs>
          <w:tab w:leader="none" w:pos="18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(6,191)</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600" w:val="left"/>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294</w:t>
      </w:r>
      <w:r>
        <w:rPr>
          <w:sz w:val="20"/>
          <w:szCs w:val="20"/>
          <w:color w:val="auto"/>
        </w:rPr>
        <w:tab/>
      </w:r>
      <w:r>
        <w:rPr>
          <w:rFonts w:ascii="Courier New" w:cs="Courier New" w:eastAsia="Courier New" w:hAnsi="Courier New"/>
          <w:sz w:val="14"/>
          <w:szCs w:val="14"/>
          <w:color w:val="auto"/>
        </w:rPr>
        <w:t>$ 12,880</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109" w:space="340"/>
            <w:col w:w="2779"/>
          </w:cols>
          <w:pgMar w:left="231" w:top="969" w:right="1440" w:bottom="1440" w:gutter="0" w:footer="0" w:header="0"/>
        </w:sectPr>
      </w:pPr>
    </w:p>
    <w:bookmarkStart w:id="15" w:name="page16"/>
    <w:bookmarkEnd w:id="15"/>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0" w:right="3119" w:firstLine="444"/>
        <w:spacing w:after="0" w:line="239"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2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3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1920" w:type="dxa"/>
            <w:vAlign w:val="bottom"/>
            <w:gridSpan w:val="2"/>
          </w:tcPr>
          <w:p>
            <w:pPr>
              <w:ind w:left="660"/>
              <w:spacing w:after="0"/>
              <w:rPr>
                <w:sz w:val="20"/>
                <w:szCs w:val="20"/>
                <w:color w:val="auto"/>
              </w:rPr>
            </w:pPr>
            <w:r>
              <w:rPr>
                <w:rFonts w:ascii="Courier New" w:cs="Courier New" w:eastAsia="Courier New" w:hAnsi="Courier New"/>
                <w:sz w:val="10"/>
                <w:szCs w:val="10"/>
                <w:color w:val="auto"/>
                <w:w w:val="76"/>
              </w:rPr>
              <w:t>---------------------------</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2002</w:t>
            </w:r>
          </w:p>
        </w:tc>
        <w:tc>
          <w:tcPr>
            <w:tcW w:w="5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960" w:type="dxa"/>
            <w:vAlign w:val="bottom"/>
          </w:tcPr>
          <w:p>
            <w:pPr>
              <w:spacing w:after="0"/>
              <w:rPr>
                <w:sz w:val="14"/>
                <w:szCs w:val="14"/>
                <w:color w:val="auto"/>
              </w:rPr>
            </w:pPr>
          </w:p>
        </w:tc>
        <w:tc>
          <w:tcPr>
            <w:tcW w:w="19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940" w:type="dxa"/>
            <w:vAlign w:val="bottom"/>
          </w:tcPr>
          <w:p>
            <w:pPr>
              <w:spacing w:after="0"/>
              <w:rPr>
                <w:sz w:val="24"/>
                <w:szCs w:val="2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24"/>
                <w:szCs w:val="2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2.85%</w:t>
            </w:r>
          </w:p>
        </w:tc>
        <w:tc>
          <w:tcPr>
            <w:tcW w:w="50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9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2.92</w:t>
            </w:r>
          </w:p>
        </w:tc>
        <w:tc>
          <w:tcPr>
            <w:tcW w:w="44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4.51</w:t>
            </w:r>
          </w:p>
        </w:tc>
        <w:tc>
          <w:tcPr>
            <w:tcW w:w="50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2.93</w:t>
            </w:r>
          </w:p>
        </w:tc>
        <w:tc>
          <w:tcPr>
            <w:tcW w:w="4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9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0.83</w:t>
            </w:r>
          </w:p>
        </w:tc>
        <w:tc>
          <w:tcPr>
            <w:tcW w:w="44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0.68</w:t>
            </w:r>
          </w:p>
        </w:tc>
        <w:tc>
          <w:tcPr>
            <w:tcW w:w="50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0.84</w:t>
            </w:r>
          </w:p>
        </w:tc>
        <w:tc>
          <w:tcPr>
            <w:tcW w:w="4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0.70</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9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None</w:t>
            </w:r>
          </w:p>
        </w:tc>
        <w:tc>
          <w:tcPr>
            <w:tcW w:w="44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None</w:t>
            </w:r>
          </w:p>
        </w:tc>
        <w:tc>
          <w:tcPr>
            <w:tcW w:w="500" w:type="dxa"/>
            <w:vAlign w:val="bottom"/>
          </w:tcPr>
          <w:p>
            <w:pPr>
              <w:spacing w:after="0"/>
              <w:rPr>
                <w:sz w:val="14"/>
                <w:szCs w:val="14"/>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None</w:t>
            </w:r>
          </w:p>
        </w:tc>
        <w:tc>
          <w:tcPr>
            <w:tcW w:w="4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None</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9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6.62</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16.02</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5.11</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13.69</w:t>
            </w:r>
          </w:p>
        </w:tc>
      </w:tr>
    </w:tbl>
    <w:p>
      <w:pPr>
        <w:spacing w:after="0" w:line="345" w:lineRule="exact"/>
        <w:rPr>
          <w:sz w:val="20"/>
          <w:szCs w:val="20"/>
          <w:color w:val="auto"/>
        </w:rPr>
      </w:pPr>
    </w:p>
    <w:p>
      <w:pPr>
        <w:ind w:left="340" w:right="3119" w:firstLine="444"/>
        <w:spacing w:after="0" w:line="238" w:lineRule="auto"/>
        <w:rPr>
          <w:sz w:val="20"/>
          <w:szCs w:val="20"/>
          <w:color w:val="auto"/>
        </w:rPr>
      </w:pPr>
      <w:r>
        <w:rPr>
          <w:rFonts w:ascii="Courier New" w:cs="Courier New" w:eastAsia="Courier New" w:hAnsi="Courier New"/>
          <w:sz w:val="15"/>
          <w:szCs w:val="15"/>
          <w:color w:val="auto"/>
        </w:rPr>
        <w:t>The pro forma effect on net income and earnings per share is as follows for the three months and six months ended March 31, 2003 and 2002:</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2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MARCH 31,</w:t>
            </w:r>
          </w:p>
        </w:tc>
        <w:tc>
          <w:tcPr>
            <w:tcW w:w="90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318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3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45,375</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26,441</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77,574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compensation expense</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determined under fair value</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method for all awards, net of</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520"/>
              <w:spacing w:after="0"/>
              <w:rPr>
                <w:sz w:val="20"/>
                <w:szCs w:val="20"/>
                <w:color w:val="auto"/>
              </w:rPr>
            </w:pPr>
            <w:r>
              <w:rPr>
                <w:rFonts w:ascii="Courier New" w:cs="Courier New" w:eastAsia="Courier New" w:hAnsi="Courier New"/>
                <w:sz w:val="15"/>
                <w:szCs w:val="15"/>
                <w:color w:val="auto"/>
              </w:rPr>
              <w:t>related tax effects</w:t>
            </w:r>
          </w:p>
        </w:tc>
        <w:tc>
          <w:tcPr>
            <w:tcW w:w="560" w:type="dxa"/>
            <w:vAlign w:val="bottom"/>
          </w:tcPr>
          <w:p>
            <w:pPr>
              <w:spacing w:after="0"/>
              <w:rPr>
                <w:sz w:val="14"/>
                <w:szCs w:val="14"/>
                <w:color w:val="auto"/>
              </w:rPr>
            </w:pP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1,254</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29,758</w:t>
            </w:r>
          </w:p>
        </w:tc>
        <w:tc>
          <w:tcPr>
            <w:tcW w:w="40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14,299</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52,616</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44,121</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(3,317)</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63,275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(21,841)</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0.36</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Pro forma</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0.36</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Pro forma</w:t>
            </w:r>
          </w:p>
        </w:tc>
        <w:tc>
          <w:tcPr>
            <w:tcW w:w="5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346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LITIGATION</w:t>
      </w:r>
    </w:p>
    <w:p>
      <w:pPr>
        <w:spacing w:after="0" w:line="174" w:lineRule="exact"/>
        <w:rPr>
          <w:sz w:val="20"/>
          <w:szCs w:val="20"/>
          <w:color w:val="auto"/>
        </w:rPr>
      </w:pPr>
    </w:p>
    <w:p>
      <w:pPr>
        <w:ind w:left="340" w:right="3119" w:firstLine="444"/>
        <w:spacing w:after="0"/>
        <w:rPr>
          <w:sz w:val="20"/>
          <w:szCs w:val="20"/>
          <w:color w:val="auto"/>
        </w:rPr>
      </w:pPr>
      <w:r>
        <w:rPr>
          <w:rFonts w:ascii="Courier New" w:cs="Courier New" w:eastAsia="Courier New" w:hAnsi="Courier New"/>
          <w:sz w:val="15"/>
          <w:szCs w:val="15"/>
          <w:color w:val="auto"/>
        </w:rPr>
        <w:t>Beginning on June 24, 2002, a number of complaints were filed by holders of the Company's Ordinary Shares against the Company and certain of its officers and directors in the United States District Courts for the Eastern District of Missouri and the Southern District of New York. The cases were transferred to and consolidated in the Eastern District of Missouri. The Court has appointed lead plaintiffs, who filed a consolidated amended complaint on March 24, 2003. The lead plaintiffs seek to represent a putative class of persons who purchased the Company's Ordinary Shares between July 18, 2000 and June 20, 2002. The amended complaint alleges that the Company and the individual defendants made false or misleading statements about the Company's business and future prospects during the putative class period in violation of Section 10(b) of the Securities Exchange Act of 1934 and Rule 10b-5 promulgated thereunder. The lead plaintiffs seek unspecified monetary damages. The Company will move to dismiss the amended complaint. The Company disputes all allegations of wrongdoing and intends to defend itself vigorously.</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6" w:name="page17"/>
    <w:bookmarkEnd w:id="16"/>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and acts of war or terrorism. For a discussion of these important factors, please read the information set forth under the caption "Risk Factors" in the Form 20-F for fiscal 2002 that we have filed with the United States Securities and Exchange Commission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2" w:lineRule="exact"/>
        <w:rPr>
          <w:sz w:val="20"/>
          <w:szCs w:val="20"/>
          <w:color w:val="auto"/>
        </w:rPr>
      </w:pPr>
    </w:p>
    <w:p>
      <w:pPr>
        <w:ind w:left="700" w:hanging="443"/>
        <w:spacing w:after="0"/>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4" w:lineRule="exact"/>
        <w:rPr>
          <w:rFonts w:ascii="Courier New" w:cs="Courier New" w:eastAsia="Courier New" w:hAnsi="Courier New"/>
          <w:sz w:val="15"/>
          <w:szCs w:val="15"/>
          <w:color w:val="auto"/>
        </w:rPr>
      </w:pPr>
    </w:p>
    <w:p>
      <w:pPr>
        <w:ind w:left="700" w:right="3399" w:hanging="443"/>
        <w:spacing w:after="0" w:line="238"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six months and three months ended March 31, 2003 and 2002,</w:t>
      </w:r>
    </w:p>
    <w:p>
      <w:pPr>
        <w:spacing w:after="0" w:line="174" w:lineRule="exact"/>
        <w:rPr>
          <w:rFonts w:ascii="Courier New" w:cs="Courier New" w:eastAsia="Courier New" w:hAnsi="Courier New"/>
          <w:sz w:val="15"/>
          <w:szCs w:val="15"/>
          <w:color w:val="auto"/>
        </w:rPr>
      </w:pPr>
    </w:p>
    <w:p>
      <w:pPr>
        <w:ind w:left="700" w:right="3479" w:hanging="443"/>
        <w:spacing w:after="0" w:line="238"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2" w:lineRule="exact"/>
        <w:rPr>
          <w:rFonts w:ascii="Courier New" w:cs="Courier New" w:eastAsia="Courier New" w:hAnsi="Courier New"/>
          <w:sz w:val="15"/>
          <w:szCs w:val="15"/>
          <w:color w:val="auto"/>
        </w:rPr>
      </w:pPr>
    </w:p>
    <w:p>
      <w:pPr>
        <w:ind w:left="700" w:hanging="443"/>
        <w:spacing w:after="0"/>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1" w:lineRule="exact"/>
        <w:rPr>
          <w:rFonts w:ascii="Courier New" w:cs="Courier New" w:eastAsia="Courier New" w:hAnsi="Courier New"/>
          <w:sz w:val="15"/>
          <w:szCs w:val="15"/>
          <w:color w:val="auto"/>
        </w:rPr>
      </w:pPr>
    </w:p>
    <w:p>
      <w:pPr>
        <w:ind w:left="700" w:hanging="443"/>
        <w:spacing w:after="0"/>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changes we have made to our organizational structure,</w:t>
      </w:r>
    </w:p>
    <w:p>
      <w:pPr>
        <w:spacing w:after="0" w:line="171" w:lineRule="exact"/>
        <w:rPr>
          <w:rFonts w:ascii="Courier New" w:cs="Courier New" w:eastAsia="Courier New" w:hAnsi="Courier New"/>
          <w:sz w:val="15"/>
          <w:szCs w:val="15"/>
          <w:color w:val="auto"/>
        </w:rPr>
      </w:pPr>
    </w:p>
    <w:p>
      <w:pPr>
        <w:ind w:left="700" w:hanging="443"/>
        <w:spacing w:after="0"/>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700" w:right="3479" w:hanging="443"/>
        <w:spacing w:after="0" w:line="238"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six months and three months ended March 31, 2003 and 2002, and</w:t>
      </w:r>
    </w:p>
    <w:p>
      <w:pPr>
        <w:spacing w:after="0" w:line="174" w:lineRule="exact"/>
        <w:rPr>
          <w:rFonts w:ascii="Courier New" w:cs="Courier New" w:eastAsia="Courier New" w:hAnsi="Courier New"/>
          <w:sz w:val="15"/>
          <w:szCs w:val="15"/>
          <w:color w:val="auto"/>
        </w:rPr>
      </w:pPr>
    </w:p>
    <w:p>
      <w:pPr>
        <w:ind w:left="700" w:right="3659" w:hanging="443"/>
        <w:spacing w:after="0" w:line="238"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six-month and three-month periods ended March 31, 2003 and 2002. You should read this section in conjunction with our consolidated financial statements.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market focus is the communications industry, and we are a leading provider of software products and services to that industry. The products and services that we provide are known as business support systems, which we refer to as "BSS". Our BSS products consist primarily of customer care and billing, customer relationship management and order management systems. We refer to these, collectively, as "CC&amp;B Systems". We refer to our customer relationship management products as "CRM" products. Our products also include a full range of directory sales and publishing systems, which we refer to as "Directory Systems", for publishers of both traditional printed yellow page and white page directories and electronic Internet directories.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CC&amp;B Systems and our Directory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and maintenance services. In addition, we offer outsourcing services, such as the operation of data centers and the provision of communications facility management services, in all cases on either or a combination of a fixed or unit charge basis to our customers.</w:t>
      </w:r>
    </w:p>
    <w:p>
      <w:pPr>
        <w:spacing w:after="0" w:line="180"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left="1140" w:right="3399" w:hanging="439"/>
        <w:spacing w:after="0" w:line="239" w:lineRule="auto"/>
        <w:tabs>
          <w:tab w:leader="none" w:pos="11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licenses for our products, including initial license fees and incremental license fees resulting from increases in a customer's business volume,</w:t>
      </w:r>
    </w:p>
    <w:p>
      <w:pPr>
        <w:spacing w:after="0" w:line="175" w:lineRule="exact"/>
        <w:rPr>
          <w:rFonts w:ascii="Courier New" w:cs="Courier New" w:eastAsia="Courier New" w:hAnsi="Courier New"/>
          <w:sz w:val="15"/>
          <w:szCs w:val="15"/>
          <w:color w:val="auto"/>
        </w:rPr>
      </w:pPr>
    </w:p>
    <w:p>
      <w:pPr>
        <w:jc w:val="both"/>
        <w:ind w:left="1140" w:right="4199" w:hanging="439"/>
        <w:spacing w:after="0" w:line="271" w:lineRule="auto"/>
        <w:tabs>
          <w:tab w:leader="none" w:pos="11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services related to our products, including customization, implementation and integration services,</w:t>
      </w:r>
    </w:p>
    <w:p>
      <w:pPr>
        <w:spacing w:after="0" w:line="153" w:lineRule="exact"/>
        <w:rPr>
          <w:rFonts w:ascii="Courier New" w:cs="Courier New" w:eastAsia="Courier New" w:hAnsi="Courier New"/>
          <w:sz w:val="14"/>
          <w:szCs w:val="14"/>
          <w:color w:val="auto"/>
        </w:rPr>
      </w:pPr>
    </w:p>
    <w:p>
      <w:pPr>
        <w:ind w:left="1140" w:right="3479" w:hanging="439"/>
        <w:spacing w:after="0" w:line="238" w:lineRule="auto"/>
        <w:tabs>
          <w:tab w:leader="none" w:pos="11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w:t>
      </w:r>
    </w:p>
    <w:p>
      <w:pPr>
        <w:spacing w:after="0" w:line="174" w:lineRule="exact"/>
        <w:rPr>
          <w:rFonts w:ascii="Courier New" w:cs="Courier New" w:eastAsia="Courier New" w:hAnsi="Courier New"/>
          <w:sz w:val="15"/>
          <w:szCs w:val="15"/>
          <w:color w:val="auto"/>
        </w:rPr>
      </w:pPr>
    </w:p>
    <w:p>
      <w:pPr>
        <w:ind w:left="1140" w:right="4099" w:hanging="439"/>
        <w:spacing w:after="0" w:line="238" w:lineRule="auto"/>
        <w:tabs>
          <w:tab w:leader="none" w:pos="11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outsourcing and other related services for our customers.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we recognize revenue from the operation based on a periodic fee, which reflects the scope of services rendered and the size of the customer's business handled under the outsourcing agreement. Revenue from ongoing support services is recognized as work is performed. Revenue from third-party hardware and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8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 industry, the market value, financial results and prospects, and capital spending levels of communications companies have declined or degraded.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p>
      <w:pPr>
        <w:ind w:right="3119" w:firstLine="355"/>
        <w:spacing w:after="0"/>
        <w:rPr>
          <w:sz w:val="20"/>
          <w:szCs w:val="20"/>
          <w:color w:val="auto"/>
        </w:rPr>
      </w:pPr>
      <w:r>
        <w:rPr>
          <w:rFonts w:ascii="Courier New" w:cs="Courier New" w:eastAsia="Courier New" w:hAnsi="Courier New"/>
          <w:sz w:val="15"/>
          <w:szCs w:val="15"/>
          <w:color w:val="auto"/>
        </w:rPr>
        <w:t>The persistence and worsening of the downturn in the communications industry have significantly impacted our business. Over the past year, further slowdowns in customer buying decisions stemming from financial pressure on operating expenses and overall reductions in the capital investment budgets of many communications service providers have led to fewer new contracts, as well as smaller initial spending commitments and reduced discretionary spending under our contracts with some of our customers. Our revenue for the three months ended March 31, 2003 decreased by 22% from the same period in fiscal 2002. From the first to second quarter of fiscal 2003, revenue increased by 4.6%. Given continued uncertain conditions in the communications industry, we do not know if we will be able to sustain sequential growth in subsequent quarters, and if so, at what rate.</w:t>
      </w:r>
    </w:p>
    <w:p>
      <w:pPr>
        <w:spacing w:after="0" w:line="180"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Due to our heavy dependence on the communications industry, we can be adversely affected by bankruptcies or other business failures in that industry. Failures in the communications industry could harm our business and might have a material adverse effect on our operating results and financial condition.</w:t>
      </w:r>
    </w:p>
    <w:p>
      <w:pPr>
        <w:spacing w:after="0" w:line="161"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Total license and service revenue for the six months and three months ended March 31, 2003 was $694.4 million and $355.0 million, respectively, compared to $877.9 million and $455.3 million in the six months and three months ended March 31, 2002.</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License and service revenue from the sale of CC&amp;B Systems was $604.5 million and $785.3 million in the six months ended March 31, 2003 and 2002, respectively, representing 87.1% and 89.4%, respectively, of our total revenue for such periods. License and service revenue from the sale of CC&amp;B Systems was $305.8 million and $404.7 million in the three months ended March 31, 2003 and 2002, respectively, representing 86.1% and 88.9%, respectively, of our total revenue for such periods.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We believe that the demand for our CC&amp;B Systems is driven by, among other key factors:</w:t>
      </w:r>
    </w:p>
    <w:p>
      <w:pPr>
        <w:spacing w:after="0" w:line="172" w:lineRule="exact"/>
        <w:rPr>
          <w:sz w:val="20"/>
          <w:szCs w:val="20"/>
          <w:color w:val="auto"/>
        </w:rPr>
      </w:pPr>
    </w:p>
    <w:p>
      <w:pPr>
        <w:ind w:left="780" w:hanging="434"/>
        <w:spacing w:after="0"/>
        <w:tabs>
          <w:tab w:leader="none" w:pos="7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4" w:lineRule="exact"/>
        <w:rPr>
          <w:rFonts w:ascii="Courier New" w:cs="Courier New" w:eastAsia="Courier New" w:hAnsi="Courier New"/>
          <w:sz w:val="15"/>
          <w:szCs w:val="15"/>
          <w:color w:val="auto"/>
        </w:rPr>
      </w:pPr>
    </w:p>
    <w:p>
      <w:pPr>
        <w:ind w:left="780" w:right="3299" w:hanging="434"/>
        <w:spacing w:after="0" w:line="238" w:lineRule="auto"/>
        <w:tabs>
          <w:tab w:leader="none" w:pos="7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4" w:lineRule="exact"/>
        <w:rPr>
          <w:rFonts w:ascii="Courier New" w:cs="Courier New" w:eastAsia="Courier New" w:hAnsi="Courier New"/>
          <w:sz w:val="15"/>
          <w:szCs w:val="15"/>
          <w:color w:val="auto"/>
        </w:rPr>
      </w:pPr>
    </w:p>
    <w:p>
      <w:pPr>
        <w:ind w:left="780" w:right="3299" w:hanging="434"/>
        <w:spacing w:after="0" w:line="239" w:lineRule="auto"/>
        <w:tabs>
          <w:tab w:leader="none" w:pos="7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175" w:lineRule="exact"/>
        <w:rPr>
          <w:rFonts w:ascii="Courier New" w:cs="Courier New" w:eastAsia="Courier New" w:hAnsi="Courier New"/>
          <w:sz w:val="15"/>
          <w:szCs w:val="15"/>
          <w:color w:val="auto"/>
        </w:rPr>
      </w:pPr>
    </w:p>
    <w:p>
      <w:pPr>
        <w:ind w:left="780" w:right="3219" w:hanging="434"/>
        <w:spacing w:after="0" w:line="238" w:lineRule="auto"/>
        <w:tabs>
          <w:tab w:leader="none" w:pos="7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customers, and</w:t>
      </w:r>
    </w:p>
    <w:p>
      <w:pPr>
        <w:spacing w:after="0" w:line="172"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unable at this time to forecast demand for our CC&amp;B Systems. The industry-wide downturn in the communications industry has had a significant negative impact on our results for the three months and six months ended March 31, 2003, reducing both the number of new contracts we have been able to obtain, and the initial spending commitments and discretionary spending levels of some of our customers.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9" w:name="page20"/>
    <w:bookmarkEnd w:id="19"/>
    <w:p>
      <w:pPr>
        <w:ind w:right="3119" w:firstLine="355"/>
        <w:spacing w:after="0"/>
        <w:rPr>
          <w:sz w:val="20"/>
          <w:szCs w:val="20"/>
          <w:color w:val="auto"/>
        </w:rPr>
      </w:pPr>
      <w:r>
        <w:rPr>
          <w:rFonts w:ascii="Courier New" w:cs="Courier New" w:eastAsia="Courier New" w:hAnsi="Courier New"/>
          <w:sz w:val="15"/>
          <w:szCs w:val="15"/>
          <w:color w:val="auto"/>
        </w:rPr>
        <w:t>License and service revenue from the sale of Directory Systems was $89.9 million and $92.6 million in the six months ended March 31, 2003 and 2002, respectively, accounting for 12.9% and 10.6%, respectively, of our total revenue for such periods. License and service revenue from the sale of Directory Systems totaled $49.2 million and $50.5 million in the three months ended March 31, 2003 and 2002, respectively, accounting for 13.9% and 11.1%, respectively, of our total revenue for such periods.</w:t>
      </w:r>
    </w:p>
    <w:p>
      <w:pPr>
        <w:spacing w:after="0" w:line="176"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In fiscal 2003, as a result of new agreements recently announced, we expect that our revenue from Directory Systems will be higher than in fiscal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 AND COST REDUCTION PROGRAM</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November 2002 we announced a series of measures designed to reduce costs and improve productivity. In the first quarter of fiscal 2003, we recorded a charge of $10.0 million,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Except for certain lease termination costs that will be paid over the respective lease terms, we paid most of the remaining accrual balance of the cost reduction program in the second quarter of fiscal 2003. The employee terminations occurred at various locations around the world. In addition, we implemented other cost reduction measures, including travel cuts and reductions in other discretionary costs.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implementation of this cost reduction program created cost savings in the second quarter of fiscal 2003 compared to the first quarter of fiscal 2003. These cost savings are not apparent in our operating results due to the increase in our revenue in this quarter and the corresponding increase in the related operating expenses.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cost reduction program is in addition to the measures implemented during the first and fourth quarters of fiscal 2002. In the fourth quarter of 2002, we recorded a charge of $20.9 million, consisting primarily of employee separation costs in connection with the termination of the employment of approximately one thousand software and information technology specialists and administrative professionals and for the write-off of leasehold improvements and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rent obligations, with the remainder for employee separation costs.</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All of the aforementioned charges are included in "restructuring charges and in-process research and development".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2002 the FASB issued SFAS 148, "Accounting for Stock-Based Compensation - Transition and Disclosure - an Amendment of FASB Statement No. 123". SFAS 148 amends SFAS 123 to provide alternative methods of transition for a voluntary change to the fair value-based method of accounting for stock-based employee compensation. In addition, SFAS 148 amends the disclosure requirements of SFAS 123 to require more prominent disclosures in both annual and interim financial statements regarding the method of accounting for stock-based employee compensation and the effect of the method used on reported results. The alternative methods of transition of SFAS 148 are effective for fiscal years ending after December 15, 2002. The disclosure provision of SFAS 148 is effective for interim periods beginning after December 15, 2002. We follow APB 25 in accounting for our employee stock options. The transition and annual disclosure requirements of SFAS 148 are effective for us commencing January 1, 2003. We have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0" w:name="page21"/>
    <w:bookmarkEnd w:id="20"/>
    <w:p>
      <w:pPr>
        <w:jc w:val="both"/>
        <w:ind w:right="3399"/>
        <w:spacing w:after="0" w:line="239" w:lineRule="auto"/>
        <w:rPr>
          <w:sz w:val="20"/>
          <w:szCs w:val="20"/>
          <w:color w:val="auto"/>
        </w:rPr>
      </w:pPr>
      <w:r>
        <w:rPr>
          <w:rFonts w:ascii="Courier New" w:cs="Courier New" w:eastAsia="Courier New" w:hAnsi="Courier New"/>
          <w:sz w:val="15"/>
          <w:szCs w:val="15"/>
          <w:color w:val="auto"/>
        </w:rPr>
        <w:t>adopted the interim disclosure in the quarter ended March 31, 2003, which is provided in Note 12 to the consolidated financial statements included in this document.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Goodwill and Purchased Intangible Assets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 to be amortized over their useful lives. Other intangible assets, such as workforce-in-place, were reclassified to goodwill, according to SFAS No. 141's new definition of intangible assets.</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Effective October 1, 2002 we adopted SFAS No. 142. Subsequent to the adoption of the new rules, we performed the transitional impairment tests of goodwill and intangible assets recorded as of October 1, 2002. Thereafter, a periodic impairment test will be performed at least annually. As discussed in Note 1 to the consolidated financial statements included in this document, Amdocs and its subsidiaries operate in one operating segment, and our reporting unit is consistent with that one operating segment. In calculating the fair value of the reporting unit, we used a discounted cash flow methodology. There was no impairment of goodwill upon adoption of SFAS 142. We will perform our annual impairment review during the fourth quarter of each year, commencing in the fourth quarter of fiscal 2003.</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November 2002 the FASB issued FASB Interpretation No. 45 "Guarantor's Accounting and Disclosure Requirements for Guarantees, Including Indirect Guarantees of Indebtness of Others" ("FIN 45"). FIN 45 requires that at the inception of certain types of guarantees, the guarantor must disclose and recognize a liability for the fair value of the obligation it assumes under the guarantee. The initial recognition and measurement requirements of FIN 45 are effective for guarantees issued or modified after December 31, 2002. The additional disclosure requirements of FIN 45 are effective for interim and annual periods ending after December 15, 2002, and are applicable to certain of our guarantees issued before December 31, 2002.</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a party to an agreement that includes an indemnification of one of our customers for any withholding tax that might be required under the customer's local tax laws from certain payments made to us under this agreement. The indemnification under this agreement expires in December 2005. As of March 31, 2003 and September 30, 2002, the maximum potential amount of our future exposure under guarantees covered by FIN 45 issued before December 31, 2002 was $4.7 million. We do not believe the outcome of this guarantee will have a material effect on our results.</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generally sell our ClarifyCRM products with a limited warranty for a period of 90 days. Our policy is to accrue for warranty costs, if needed, based on historical trends in product failure. Based on our experience, no material warranty services have been required and, as a result, we do not have any accrued amounts for product warranty liability as of March 31, 2003.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Costs Associated with Exit or Disposal Activities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June 2002 the FASB issued SFAS 146, "Accounting for Costs Associated with Exit or Disposal Activities". SFAS 146 requires that a liability for costs associated with an exit or disposal activity, including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1" w:name="page22"/>
    <w:bookmarkEnd w:id="21"/>
    <w:p>
      <w:pPr>
        <w:ind w:right="3219"/>
        <w:spacing w:after="0"/>
        <w:rPr>
          <w:sz w:val="20"/>
          <w:szCs w:val="20"/>
          <w:color w:val="auto"/>
        </w:rPr>
      </w:pPr>
      <w:r>
        <w:rPr>
          <w:rFonts w:ascii="Courier New" w:cs="Courier New" w:eastAsia="Courier New" w:hAnsi="Courier New"/>
          <w:sz w:val="15"/>
          <w:szCs w:val="15"/>
          <w:color w:val="auto"/>
        </w:rPr>
        <w:t>restructuring activities, be recognized and measured initially at fair value only when the liability is incurred, or for certain one-time employee termination costs over a future service period. Previously, a liability for an exit cost was recognized when a company committed to an exit plan. As a result, SFAS 146 may affect both the timing and amounts of the recognition of future restructuring costs. SFAS 146 is effective for exit or disposal activities that were initiated after 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 Such acquisitions have included International Telecommunications Data Systems, Inc. and Solect Technology Group Inc., which occurred prior to the periods of the financial statements included in this report.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November 28, 2001, we purchased from Nortel Networks Corporation substantially all of the assets of its Clarify business, a leading provider of CRM software to communications companies and other enterprise sectors. The purchase price was subject to final price adjustments that were settled in October 2002 and resulted in an $11.1 million reduction of the purchase price in the first quarter of fiscal 2003. After making the final purchase price adjustments, the total purchase price was $200.9 million. The fair market value of Clarify's assets and liabilities has been included in our balance sheets and the results of Clarify's operations have been included in our consolidated statements of income, commencing on November 29,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amounted to $58.9 million and $59.5 million in the six months ended March 31, 2003 and 2002, respectively, representing 8.5% and 6.8%, respectively, of our revenue in these periods. Research and development expenditures amounted to $29.3 million and $30.9 million in the three months ended March 31, 2003 and 2002, respectively, representing 8.3% and 6.8%, respectively, of our revenue in these periods.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opportunities that should result from the anticipated recovery and renewed growth in the communications industry.</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subcontractors,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for the six months and three months ended March 31, 2003 and 2002 certain items in our consolidated statements of income reflected as a percentage of total revenue: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06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THREE MONTHS ENDED</w:t>
            </w:r>
          </w:p>
        </w:tc>
        <w:tc>
          <w:tcPr>
            <w:tcW w:w="28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240" w:type="dxa"/>
            <w:vAlign w:val="bottom"/>
          </w:tcPr>
          <w:p>
            <w:pPr>
              <w:spacing w:after="0"/>
              <w:rPr>
                <w:sz w:val="14"/>
                <w:szCs w:val="14"/>
                <w:color w:val="auto"/>
              </w:rPr>
            </w:pPr>
          </w:p>
        </w:tc>
        <w:tc>
          <w:tcPr>
            <w:tcW w:w="30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MARCH 31,</w:t>
            </w:r>
          </w:p>
        </w:tc>
        <w:tc>
          <w:tcPr>
            <w:tcW w:w="28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240" w:type="dxa"/>
            <w:vAlign w:val="bottom"/>
          </w:tcPr>
          <w:p>
            <w:pPr>
              <w:spacing w:after="0"/>
              <w:rPr>
                <w:sz w:val="14"/>
                <w:szCs w:val="14"/>
                <w:color w:val="auto"/>
              </w:rPr>
            </w:pPr>
          </w:p>
        </w:tc>
        <w:tc>
          <w:tcPr>
            <w:tcW w:w="3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License ........................</w:t>
            </w:r>
          </w:p>
        </w:tc>
        <w:tc>
          <w:tcPr>
            <w:tcW w:w="1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Service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94.6</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59.7</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54.6</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59.9</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54.6</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administrative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14.4</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purchased intangible assets...</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13.6</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in-process research and</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development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84.1</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88.8</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86.4</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91.8</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Operating income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15.9</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w:t>
            </w: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Interest income and other, net....</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Income before income taxes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17.1</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11.7</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Income taxes .....................</w:t>
            </w: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Net income .......................</w:t>
            </w:r>
          </w:p>
        </w:tc>
        <w:tc>
          <w:tcPr>
            <w:tcW w:w="1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3240" w:type="dxa"/>
            <w:vAlign w:val="bottom"/>
          </w:tcPr>
          <w:p>
            <w:pPr>
              <w:spacing w:after="0"/>
              <w:rPr>
                <w:sz w:val="14"/>
                <w:szCs w:val="14"/>
                <w:color w:val="auto"/>
              </w:rPr>
            </w:pPr>
          </w:p>
        </w:tc>
        <w:tc>
          <w:tcPr>
            <w:tcW w:w="1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SIX MONTHS ENDED MARCH 31, 2003 AND 2002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Total revenue for the six months ended March 31, 2003 was $694.4 million, a decrease of $183.5 million, or 20.9%, over the six months ended March 31, 2002. The decrease in revenue was due to the continued slowdown in customer buying decisions, stemming from overall reductions in the capital investment budgets of many communications service providers.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 revenue decreased from $87.8 million in the six months ended March 31, 2002 to $39.7 million during the six months ended March 31, 2003, a decrease of 54.8%, and service revenue decreased by 17.1% from $790.1 million in the six months ended March 31, 2002 to $654.7 million in the six months ended March 31, 2003. The decrease in license revenue is attributable primarily to the reduction in capital investments by our telecommunications customers, which resulted in our obtaining fewer new contracts than in the six months ended March 31, 2002 and smaller expected initial spending commitments under contracts with some of our customers. Most of the new contracts that we did obtain were for outsourcing arrangements, which contain only a small license revenue component. In addition, the current communications market environment has resulted in pricing pressure in that market, particularly with respect to license fees. The decrease in service revenue is attributable, in part, to reduced discretionary spending under our contracts with some of our customers in the first quarter of fiscal 2003 that was partially offset by a sequential increase in service revenue in the second quarter of fiscal 2003.</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decline in our overall revenue in the first half of fiscal 2003 was primarily attributable to a decrease in revenue from CC&amp;B Systems. Total CC&amp;B Systems revenue for the six months ended March 31, 2003 was $604.5 million, a decrease of $180.7 million, or 23.0%, over the six months ended March 31, 2002. The demand for our CC&amp;B Systems is primarily driven by the need for communications companies to continue to upgrade their customer care and billing software, CRM software and order management systems. Because many communications companies are reducing or delaying expenditures on system upgrades as a result of the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9" w:right="1440" w:bottom="1440" w:gutter="0" w:footer="0" w:header="0"/>
        </w:sectPr>
      </w:pPr>
    </w:p>
    <w:bookmarkStart w:id="23" w:name="page24"/>
    <w:bookmarkEnd w:id="23"/>
    <w:p>
      <w:pPr>
        <w:ind w:right="3119"/>
        <w:spacing w:after="0"/>
        <w:rPr>
          <w:sz w:val="20"/>
          <w:szCs w:val="20"/>
          <w:color w:val="auto"/>
        </w:rPr>
      </w:pPr>
      <w:r>
        <w:rPr>
          <w:rFonts w:ascii="Courier New" w:cs="Courier New" w:eastAsia="Courier New" w:hAnsi="Courier New"/>
          <w:sz w:val="15"/>
          <w:szCs w:val="15"/>
          <w:color w:val="auto"/>
        </w:rPr>
        <w:t>continued economic slowdown, the demand for our CC&amp;B Systems and our CC&amp;B Systems revenue were significantly lower during the six months ended March 31, 2003. Approximately $30.7 million of our CC&amp;B Systems revenue for the six months ended March 31, 2003 was derived from customers other than communications service providers.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from Directory Systems was $89.9 million for the six months ended March 31, 2003, a decrease of $2.8 million, or 3.0%, over the six months ended March 31, 2002. The decrease is attributable primarily to the completion of some major implementation projects, which was partially offset by extensions of agreements with and additional services rendered to existing customers and contracts with new customers.</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the six months ended March 31, 2003, revenue from customers in North America, Europe and the rest of the world accounted for 60.0%, 31.0% and 9.0%, respectively, compared to 61.2%, 28.3% and 10.5%, respectively, for the six months ended March 31, 2002. The increase in revenue from customers in Europe and the decline in revenue from customers in the rest of the world, as a percentage of revenue, was attributable primarily to a relatively greater reduction in activity from customers outside of Europe than in Europe, in the first half of fiscal 2003.</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COST OF LICENSE. Cost of license for the six months ended March 31, 2003 was $2.7 million, compared to $3.1 million cost of license for the six months ended March 31, 2002. Cost of license mainly includes amortization of purchased computer software and intellectual property rights.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SERVICE. Cost of service for the six months ended March 31, 2003 was $416.1 million, a decrease of $63.1 million, or 13.2%, over the cost of service of $479.2 million for the six months ended March 31, 2002. As a percentage of revenue, cost of service increased to 59.9% in the six months ended March 31, 2003 from 54.6% in the six months ended March 31, 2002. The decrease in cost of service is attributable to the cost reduction programs that we implemented in fiscal 2002 and in the first quarter of fiscal 2003. Although our cost of service decreased in the first half of fiscal 2003, our cost reductions were proportionally less than the decrease in our service revenue, resulting in a decrease in our gross margin. We have taken additional steps to decrease our costs and increase our gross margin. See the discussion above under the caption "Operational Efficiency and Cost Reduction Program".</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six months ended March 31, 2003, research and development expense was $58.9 million, or 8.5% of revenue, compared with $59.5 million, or 6.8% of revenue, in the six months ended March 31, 2002.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decreased by 10.5% to $102.7 million, or 14.8% of revenue, in the six months ended March 31, 2003 from $114.8 million, or 13.0% of revenue, in the six months ended March 31, 2002. The decrease in selling, general and administrative expense is attributable to the cost reduction programs that we implemented in fiscal 2002 and in the first quarter of fiscal 2003.Although our selling, general and administrative expense decreased in the first half of fiscal 2003, our revenues decreased by a larger percentage, resulting in an increase of our selling, general and administrative expense as a percentage of revenue in the first half of fiscal 2003.</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above under the caption "Adoption of New Accounting Standards". Amortization of goodwill for the six months ended March 31, 2002 was $102.3 million. Amortization of purchased intangible assets for the six months ended March 31, 2003 and 2002 was $9.8 million and $16.4 million, respectively. Amortization of purchased intangible assets in the six months ended March 31, 2002 includes amortization of purchased intangible assets that were fully amortized by March 31, 2002.</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4" w:name="page25"/>
    <w:bookmarkEnd w:id="24"/>
    <w:p>
      <w:pPr>
        <w:ind w:right="3219" w:firstLine="444"/>
        <w:spacing w:after="0"/>
        <w:rPr>
          <w:sz w:val="20"/>
          <w:szCs w:val="20"/>
          <w:color w:val="auto"/>
        </w:rPr>
      </w:pPr>
      <w:r>
        <w:rPr>
          <w:rFonts w:ascii="Courier New" w:cs="Courier New" w:eastAsia="Courier New" w:hAnsi="Courier New"/>
          <w:sz w:val="15"/>
          <w:szCs w:val="15"/>
          <w:color w:val="auto"/>
        </w:rPr>
        <w:t>RESTRUCTURING CHARGES AND IN-PROCESS RESEARCH AND DEVELOPMENT. Restructuring charges and in-process research and development in the six months ended March 31, 2003 consisted of the additional cost reduction program we implemented during the first quarter of 2003. See discussion above under the caption "Operational Efficiency and Cost Reduction Program". Restructuring charges and in-process research and development in the six months ended March 31, 2002 consisted of a one-time charge of $17.4 million related to the Clarify transaction for write-off of purchased in-process research and development, and a restructuring charge of $13.3 million related to the consolidation of data centers and the resulting closure of our Stamford, Connecticut facility in the first quarter of fiscal 2002.</w:t>
      </w:r>
    </w:p>
    <w:p>
      <w:pPr>
        <w:spacing w:after="0" w:line="179"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OPERATING INCOME. Operating income in the six months ended March 31, 2003, was $94.3 million, or 13.6% of revenue, compared to $72.0 million, or 8.2% of revenue, in the six months ended March 31, 2002, an increase of 30.9%. The increase is attributable primarily to our adoption of SFAS No. 142, which resulted in no amortization of goodwill in the six months ended March 31, 2003, and the in-process research and development charge related to the Clarify acquisition, which was included only in the six months ended March 31, 2002.</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income for the six months ended March 31, 2002 included amortization of goodwill of $102.3 million, amortization of purchased intangible assets of $16.4 million, restructuring charges of $13.3 million and the write-off of in-process research and development of $17.4 million. Excluding amortization of goodwill and purchased intangible assets and the write-off of in-process research and development, operating income for the six months ended March 31, 2002 was $208.1 million, or 23.7% of revenue. Operating income for the six months ended March 31, 2003 included amortization of purchased intangible assets of $9.8 million and restructuring charges of $10.0 million. Excluding amortization of purchased intangible assets, operating income for the six months ended March 31, 2003, was $104.0 million, or 15.0% of revenue, a decrease of 50.0% from the prior year. The decrease in our operating income, excluding amortization of purchased intangible assets and goodwill and the write-off of in-process research and development, was due to a decrease in our revenue in the six months ended March 31, 2003, caused by the continued slowdown in our market, which was not offset by a corresponding decrease in our operating costs.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INCOME AND OTHER, NET. In the six months ended March 31, 2003, interest income and other, net, was $9.2 million, an increase of $3.5 million over the six months ended March 31, 2002. The increase in interest income and other, net, is primarily attributable to a decrease in interest expenses due to the reduction in our outstanding convertible notes following our repurchase of a portion of the convertible notes, the reduction in our capital lease agreements and changes in exchange rates of currencies other than the dollar. Although we hedge significant exposures in currencies other than the dollar, currency fluctuations partially affect our results.</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INCOME TAXES. Income taxes in the six months ended March 31, 2003 were</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$25.9 million on income before income taxes of $103.4 million. Our effective tax rate in the six months ended March 31, 2003 was 25%. As a result of the adoption of SFAS No. 142 we no longer amortize goodwill resulting from acquisitions, thus the non tax-deductible goodwill amortization no longer affects our effective tax rate. In the six months ended March 31, 2002, income taxes were $47.0 million on income before taxes of $77.8 million, or 60% of income before income taxes. The effective tax rate for the six months ended March 31, 2002, excluding amortization of purchased intangible assets and goodwill, was 28%. See discussion below under the caption "Effective Tax Rate".</w:t>
      </w:r>
    </w:p>
    <w:p>
      <w:pPr>
        <w:spacing w:after="0" w:line="16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NET INCOME. Net income was $77.6 million in the six months ended March 31, 2003, compared to $30.8 million in the six months ended March 31, 2002. Net income was 11.2% of revenue for the six months ended March 31, 2003, compared to 3.5% for the six months ended March 31, 2002. The increase in net income is attributable primarily to our adoption of SFAS No. 142, which resulted in no amortization of goodwill in the six months ended March 31, 2003, and the in-process research and development charge related to the Clarify acquisition, which was included only in the six months ended March 31, 2002.</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for the six months ended March 31, 2002 included amortization of goodwill and purchased intangible assets, restructuring charges and the write-off of in-process research and development. Excluding amortization of goodwill and purchased intangible assets and the write-off of in-process research and development, net income for the six months ended March 31, 2002 was $154.0 million, or 17.5% of revenue. Net income for the six months ended March 31, 2003 included amortization of purchased intangible assets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25" w:name="page26"/>
    <w:bookmarkEnd w:id="25"/>
    <w:p>
      <w:pPr>
        <w:ind w:right="3219"/>
        <w:spacing w:after="0"/>
        <w:rPr>
          <w:sz w:val="20"/>
          <w:szCs w:val="20"/>
          <w:color w:val="auto"/>
        </w:rPr>
      </w:pPr>
      <w:r>
        <w:rPr>
          <w:rFonts w:ascii="Courier New" w:cs="Courier New" w:eastAsia="Courier New" w:hAnsi="Courier New"/>
          <w:sz w:val="15"/>
          <w:szCs w:val="15"/>
          <w:color w:val="auto"/>
        </w:rPr>
        <w:t>and restructuring charges. Excluding amortization of purchased intangible assets, net income was $84.9 million, representing 12.2% of revenue, a decrease of 44.8% from the prior year. The decrease in our net income, excluding amortization of purchased intangible assets and goodwill, was due to a decrease in our revenue in the six months ended March 31, 2003, caused by the continued slowdown in our market, which was not offset by a corresponding decrease in our operating costs.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Prior to fiscal 2003, goodwill was amortized using the straight-line method over its estimated period of benefit. Net income and earnings per share for the six months ended March 31, 2002 adjusted to exclude amortization of goodwill and workforce-in-place expenses, net of tax, is as follows (in millions, except per share data):</w:t>
      </w: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SIX MONTHS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Add back: goodwill and workforce-</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in-place amortizations</w:t>
            </w:r>
          </w:p>
        </w:tc>
        <w:tc>
          <w:tcPr>
            <w:tcW w:w="7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102.3</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131.7</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0.59</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0.58</w:t>
            </w:r>
          </w:p>
        </w:tc>
      </w:tr>
      <w:tr>
        <w:trPr>
          <w:trHeight w:val="171"/>
        </w:trPr>
        <w:tc>
          <w:tcPr>
            <w:tcW w:w="3760" w:type="dxa"/>
            <w:vAlign w:val="bottom"/>
          </w:tcPr>
          <w:p>
            <w:pPr>
              <w:spacing w:after="0"/>
              <w:rPr>
                <w:sz w:val="14"/>
                <w:szCs w:val="14"/>
                <w:color w:val="auto"/>
              </w:rPr>
            </w:pP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DILUTED EARNINGS PER SHARE. Diluted earnings per share were $0.36 for the six months ended March 31, 2003, compared to $0.14 in the six months ended March 31, 2002. Diluted earnings per share, in the six months ended March 31, 2003, excluding amortization of purchased intangible assets and goodwill and the write-off of in-process research and development, decreased by 42.6% from $0.68 in the six months ended March 31, 2002, to $0.39 per diluted share.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THREE MONTHS ENDED MARCH 31, 2003 AND 2002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Total revenue for the three months ended March 31, 2003 was $355.0 million, a decrease of $100.3 million, or 22.0%, over the three months ended March 31, 2002, although a sequential increase of $15.6 million, or 4.6%, over the first quarter of fiscal 2003. The year-over-year decrease in revenue was due to the continued slowdown in customer buying decisions, stemming from overall reductions in the capital investment budgets of many communications service providers. The sequential increase in revenue is due to the sale of some significant projects with respect to Directory Systems. We do not know if we will be able to sustain sequential growth in subsequent quarters, and if so, at what rate.</w:t>
      </w:r>
    </w:p>
    <w:p>
      <w:pPr>
        <w:spacing w:after="0" w:line="178"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our total revenue for each of the last four fiscal quarters: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480" w:type="dxa"/>
            <w:vAlign w:val="bottom"/>
            <w:gridSpan w:val="2"/>
          </w:tcPr>
          <w:p>
            <w:pPr>
              <w:ind w:left="1340"/>
              <w:spacing w:after="0"/>
              <w:rPr>
                <w:sz w:val="20"/>
                <w:szCs w:val="20"/>
                <w:color w:val="auto"/>
              </w:rPr>
            </w:pPr>
            <w:r>
              <w:rPr>
                <w:rFonts w:ascii="Courier New" w:cs="Courier New" w:eastAsia="Courier New" w:hAnsi="Courier New"/>
                <w:sz w:val="15"/>
                <w:szCs w:val="15"/>
                <w:color w:val="auto"/>
                <w:w w:val="95"/>
              </w:rPr>
              <w:t>TOTAL REVENUE</w:t>
            </w:r>
          </w:p>
        </w:tc>
      </w:tr>
      <w:tr>
        <w:trPr>
          <w:trHeight w:val="171"/>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QUARTER ENDED</w:t>
            </w:r>
          </w:p>
        </w:tc>
        <w:tc>
          <w:tcPr>
            <w:tcW w:w="2480" w:type="dxa"/>
            <w:vAlign w:val="bottom"/>
            <w:gridSpan w:val="2"/>
          </w:tcPr>
          <w:p>
            <w:pPr>
              <w:ind w:left="1340"/>
              <w:spacing w:after="0"/>
              <w:rPr>
                <w:sz w:val="20"/>
                <w:szCs w:val="20"/>
                <w:color w:val="auto"/>
              </w:rPr>
            </w:pPr>
            <w:r>
              <w:rPr>
                <w:rFonts w:ascii="Courier New" w:cs="Courier New" w:eastAsia="Courier New" w:hAnsi="Courier New"/>
                <w:sz w:val="15"/>
                <w:szCs w:val="15"/>
                <w:color w:val="auto"/>
                <w:w w:val="95"/>
              </w:rPr>
              <w:t>(IN MILLIONS)</w:t>
            </w:r>
          </w:p>
        </w:tc>
      </w:tr>
      <w:tr>
        <w:trPr>
          <w:trHeight w:val="171"/>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174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380.1</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September 30, 2002</w:t>
            </w:r>
          </w:p>
        </w:tc>
        <w:tc>
          <w:tcPr>
            <w:tcW w:w="1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355.5</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1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339.4</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1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355.0</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License revenue decreased from $45.5 million in the three months ended March 31, 2002 to $19.2 million during the three months ended March 31, 2003, a decrease of 57.9%, and service revenue decreased 18.0% from $409.7 million in the three months ended March 31, 2002 to $335.9 million in the three months ended March 31, 2003. The decrease in license revenue is attributable primarily to the reduction in capital investments by our telecommunications customers, which resulted in our obtaining fewer new contracts than in the three months ended March 31, 2002 and smaller initial spending commitments under contracts with some of our customers. Most of the new contracts that we did obtain were for outsourcing arrangements, which contain only a small license revenue component. In addition, the current communications market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26" w:name="page27"/>
    <w:bookmarkEnd w:id="26"/>
    <w:p>
      <w:pPr>
        <w:ind w:right="3299"/>
        <w:spacing w:after="0" w:line="239" w:lineRule="auto"/>
        <w:rPr>
          <w:sz w:val="20"/>
          <w:szCs w:val="20"/>
          <w:color w:val="auto"/>
        </w:rPr>
      </w:pPr>
      <w:r>
        <w:rPr>
          <w:rFonts w:ascii="Courier New" w:cs="Courier New" w:eastAsia="Courier New" w:hAnsi="Courier New"/>
          <w:sz w:val="15"/>
          <w:szCs w:val="15"/>
          <w:color w:val="auto"/>
        </w:rPr>
        <w:t>environment has resulted in pricing pressure in that market, particularly with respect to license fees. The decrease in service revenue is attributable, in part, to reduced discretionary spending under our contracts with some of our customers.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decline in our overall revenue in the second quarter of fiscal 2003 was primarily attributable to a decrease in revenue from CC&amp;B Systems. Total CC&amp;B Systems revenue for the three months ended March 31, 2003 was $305.8 million, a decrease of $98.9 million, or 24.4%, over the three months ended March 31, 2002. The demand for our CC&amp;B Systems is primarily driven by the need for communications companies to continue to upgrade their customer care and billing software, CRM software and order management systems. Because many communications companies are reducing or delaying expenditures on system upgrades as a result of the continued economic slowdown, the demand for our CC&amp;B Systems and our CC&amp;B Systems revenue were significantly lower during the three months ended March 31, 2003, although our CC&amp;B Systems revenue increased sequentially from the first quarter of fiscal 2003 by $7.1 million. Approximately $14.4 million of our CC&amp;B Systems revenue for the three months ended March 31, 2003 is attributable to customers other than communications service providers.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from Directory Systems was $49.2 million for the three months ended March 31, 2003, a decrease of $1.3 million, or 2.7%, over the three months ended March 31, 2002. The decrease is attributable primarily to the completion of some major implementation projects, which was partially offset by extensions of agreements with and additional services rendered to existing customers and contracts with new customers.</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the three months ended March 31, 2003, revenue from customers in North America, Europe and the rest of the world accounted for 58.0%, 33.0% and 9.0%, respectively, compared to 61.1%, 28.3% and 10.6%, respectively, for the three months ended March 31, 2002. The increase in revenue from customers in Europe, as a percentage of revenue, was attributable primarily to a relatively greater reduction in activity from customers outside of Europe than in Europe, in the second quarter of fiscal 2003.</w:t>
      </w:r>
    </w:p>
    <w:p>
      <w:pPr>
        <w:spacing w:after="0" w:line="176"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COST OF LICENSE. Cost of license for the three months ended March 31, 2003 was $1.5 million, compared to $1.6 million cost of license for the three months ended March 31, 2002. Cost of license mainly includes amortization of purchased computer software and intellectual property rights.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SERVICE. Cost of service for the three months ended March 31, 2003 was $212.1 million, a decrease of $36.9 million, or 14.8%, over the cost of service of $249.0 million for the three months ended March 31, 2002. As a percentage of revenue, cost of service increased to 59.7% in the three months ended March 31, 2003 from 54.6% in the three months ended March 31, 2002. The decrease in cost of service is attributable to the cost reduction programs that we implemented in fiscal 2002 and in the first quarter of fiscal 2003. Although our cost of service decreased in the second quarter of fiscal 2003, our cost reductions were proportionally less than the decrease in our service revenue, resulting in a decrease in our gross margin. We have taken additional steps to decrease our costs and increase our gross margin. See the discussion above under the caption "Operational Efficiency and Cost Reduction Program".</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March 31, 2003, research and development expense was $29.3 million, or 8.3% of revenue, compared with $30.9 million, or 6.8% of revenue, in the three months ended March 31, 2002.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decreased by 16.2% to $51.1 million, or 14.4% of revenue, in the three months ended March 31, 2003 from $61.0 million, or 13.4% of revenue, in the three months ended March 31, 2002. The decrease in selling, general and administrative expense is attributable to the cost reduction programs that we implemented in fiscal 2002 and in the first quarter of fiscal 2003. Although our selling, general and administrative expense decreased in the second quarter of fiscal 2003, our revenues decreased by a larger percentage, resulting in an increase of our selling, general and administrative expense as a percentage of revenue in the second quarter of fiscal 2003.</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7" w:name="page28"/>
    <w:bookmarkEnd w:id="27"/>
    <w:p>
      <w:pPr>
        <w:ind w:right="3219" w:firstLine="444"/>
        <w:spacing w:after="0" w:line="259" w:lineRule="auto"/>
        <w:rPr>
          <w:sz w:val="20"/>
          <w:szCs w:val="20"/>
          <w:color w:val="auto"/>
        </w:rPr>
      </w:pPr>
      <w:r>
        <w:rPr>
          <w:rFonts w:ascii="Courier New" w:cs="Courier New" w:eastAsia="Courier New" w:hAnsi="Courier New"/>
          <w:sz w:val="14"/>
          <w:szCs w:val="14"/>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above under the caption "Adoption of New Accounting Standards". Amortization of goodwill for the three months ended March 31, 2002 was $51.1 million. Amortization of purchased intangible assets for the three months ended March 31, 2003 and 2002 was $4.6 million and $10.8 million, respectively. Amortization of purchased intangible assets in the three months ended March 31, 2002 includes amortization of purchased intangible assets that were fully amortized by March 31, 2002.</w:t>
      </w:r>
    </w:p>
    <w:p>
      <w:pPr>
        <w:spacing w:after="0" w:line="166" w:lineRule="exact"/>
        <w:rPr>
          <w:sz w:val="20"/>
          <w:szCs w:val="20"/>
          <w:color w:val="auto"/>
        </w:rPr>
      </w:pPr>
    </w:p>
    <w:p>
      <w:pPr>
        <w:jc w:val="both"/>
        <w:ind w:right="3579" w:firstLine="444"/>
        <w:spacing w:after="0" w:line="258" w:lineRule="auto"/>
        <w:rPr>
          <w:sz w:val="20"/>
          <w:szCs w:val="20"/>
          <w:color w:val="auto"/>
        </w:rPr>
      </w:pPr>
      <w:r>
        <w:rPr>
          <w:rFonts w:ascii="Courier New" w:cs="Courier New" w:eastAsia="Courier New" w:hAnsi="Courier New"/>
          <w:sz w:val="14"/>
          <w:szCs w:val="14"/>
          <w:color w:val="auto"/>
        </w:rPr>
        <w:t>OPERATING INCOME. Operating income in the three months ended March 31, 2003, was $56.3 million, or 15.9% of revenue, compared to $50.8 million, or 11.2% of revenue, in the three months ended March 31, 2002, an increase of</w:t>
      </w:r>
    </w:p>
    <w:p>
      <w:pPr>
        <w:spacing w:after="0" w:line="1"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10.8%. The increase is attributable primarily to our adoption of SFAS No. 142, which resulted in no amortization of goodwill in the three months ended March 31, 2003.</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income for the three months ended March 31, 2002 included amortization of goodwill of $51.1 million and amortization of purchased intangible assets of $10.8 million. Excluding amortization of goodwill and purchased intangible assets, operating income for the three months ended March 31, 2002 was $112.7 million, or 24.8% of revenue. Operating income for the three months ended March 31, 2003 included amortization of purchased intangible assets of $4.6 million. Excluding this charge, operating income in the three months ended March 31, 2003 was $60.9 million, or 17.2% of revenue, a decrease of 45.9% from prior year. The decrease in our operating income, excluding amortization of purchased intangible assets and goodwill, was due to a decrease in our revenue in the three months ended March 31, 2003, caused by a continued slowdown in our market, which was not offset by a corresponding decrease in our operating costs.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INCOME AND OTHER, NET. In the three months ended March 31, 2003, interest income and other, net, was $4.2 million, an increase of $1.8 million over the three months ended March 31, 2002. The increase in interest income and other, net, is primarily attributable to a decrease in interest expenses due to the reduction in our outstanding convertible notes following our repurchase of a portion of the convertible notes, the reduction in our capital lease agreements and changes in exchange rates of currencies other than the dollar. Although we hedge significant exposures in currencies other than the dollar, currency fluctuations partially affect our results.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 Income taxes in the three months ended March 31, 2003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 million on income before income taxes of $60.5 million. Our effective tax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in the three months ended March 31, 2003 was 25%. As a result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SFAS No. 142 we no longer amortize goodwill resulting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thus the non tax-deductible goodwill amortization no longer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affects our effective tax rate. In the three months ended March 31, 2002,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were $26.8 million on income before taxes of $53.2 million, or 50%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before income taxes. The effective tax rate for the three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2002, excluding amortization of purchased intangible assets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was 28%. See discussion below under the caption "Effective Tax Rate".</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NET INCOME. Net income was $45.4 million in the three months ended March 31, 2003, compared to $26.4 million in the three months ended March 31, 2002. Net income was 12.8% of revenue for the three months ended March 31, 2003, compared to 5.8% for the three months ended March 31, 2002. The increase in net income is attributable primarily to our adoption of SFAS No. 142, which resulted in no amortization of goodwill in the three months ended March 31, 2003.</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Net income for the three months ended March 31, 2002 included amortization of goodwill and purchased intangible assets. Excluding these charges, net income for the three months ended March 31, 2002 was $82.9 million, or 18.2% of revenue. Net income in the three months ended March 31, 2003 included amortization of purchased intangible assets. Excluding this charge, net income was $48.8 million, representing 13.8% of revenue, a decrease of 41.1% from the prior year. The decrease in our net income, excluding amortization of purchased intangible assets and goodwill, was due to a decrease in our revenue in the three months ended March 31, 2003, caused by the continued slowdown in our market, which was not offset by a corresponding decrease in our operating costs.</w:t>
      </w:r>
    </w:p>
    <w:p>
      <w:pPr>
        <w:spacing w:after="0" w:line="16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Prior to fiscal 2003, goodwill was amortized using the straight-line method over its estimated period of benefit. Net income and earnings per share for the three months ended March 31, 2002 adjusted to exclude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8" w:name="page29"/>
    <w:bookmarkEnd w:id="28"/>
    <w:p>
      <w:pPr>
        <w:ind w:right="3579"/>
        <w:spacing w:after="0" w:line="238" w:lineRule="auto"/>
        <w:rPr>
          <w:sz w:val="20"/>
          <w:szCs w:val="20"/>
          <w:color w:val="auto"/>
        </w:rPr>
      </w:pPr>
      <w:r>
        <w:rPr>
          <w:rFonts w:ascii="Courier New" w:cs="Courier New" w:eastAsia="Courier New" w:hAnsi="Courier New"/>
          <w:sz w:val="15"/>
          <w:szCs w:val="15"/>
          <w:color w:val="auto"/>
        </w:rPr>
        <w:t>amortization of goodwill and workforce-in-place expenses, net of tax, is as follows (in millions, except per share data):</w:t>
      </w: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THREE MONTHS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Add back: goodwill and workforce-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in-place amortizations</w:t>
            </w:r>
          </w:p>
        </w:tc>
        <w:tc>
          <w:tcPr>
            <w:tcW w:w="76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51.1</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76.8</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0.34</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0.34</w:t>
            </w:r>
          </w:p>
        </w:tc>
      </w:tr>
      <w:tr>
        <w:trPr>
          <w:trHeight w:val="171"/>
        </w:trPr>
        <w:tc>
          <w:tcPr>
            <w:tcW w:w="3720" w:type="dxa"/>
            <w:vAlign w:val="bottom"/>
          </w:tcPr>
          <w:p>
            <w:pPr>
              <w:spacing w:after="0"/>
              <w:rPr>
                <w:sz w:val="14"/>
                <w:szCs w:val="14"/>
                <w:color w:val="auto"/>
              </w:rPr>
            </w:pPr>
          </w:p>
        </w:tc>
        <w:tc>
          <w:tcPr>
            <w:tcW w:w="17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DILUTED EARNINGS PER SHARE. Diluted earnings per share were $0.21 for the three months ended March 31, 2003, compared to $0.12 in the three months ended March 31, 2002. Diluted earnings per share, excluding amortization of purchased intangible assets and goodwill, in the three months ended March 31, 2003, decreased by 40.5% from $0.37 in the three months ended March 31, 2002, to $0.22 per diluted share.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Cash, cash equivalents and short-term interest-bearing investments totaled $1,221.3 million as of March 31, 2003, compared to $1,047.8 million as of September 30, 2002. The increase is attributable primarily to cash flows from operations and to the final purchase price adjustment related to the acquisition of Clarify, which resulted in a reimbursement of $11.1 million. Net cash provided by operating activities amounted to $192.9 million and $208.0 million for the six months ended March 31, 2003 and 2002, respectively. The decrease in cash flows from operations was due to decreased net income before depreciation, amortization, and a one-time charge for write-off of in-process research and development, which was partially offset by a decrease in working capital excluding cash. We currently intend to retain our future operating cash flows to support the further expansion of our business including new outsourcing deals and acquisitions, although we may also use a portion of our cash for future repurchases of our outstanding convertible notes.</w:t>
      </w:r>
    </w:p>
    <w:p>
      <w:pPr>
        <w:spacing w:after="0" w:line="33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31, 2003, we had working capital of $1,053.2 million, compared to $938.6 million as of September 30, 2002. The increase is attributable primarily to the increase in cash, cash equivalents and short-term interest-bearing investments. We believe that current cash balances, cash generated from operations and our current lines of credit will provide sufficient resources to meet our liquidity needs for at least the next fiscal year.</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31, 2003, $445.1 million aggregate principal amount of our Convertible Notes ("Notes") was outstanding. In July 2002, our board of directors authorized us to repurchase outstanding Notes, in such amounts, at such prices and at such times considered appropriate by us. During the six months ended March 31, 2003, we did not repurchase any of the Notes. On June 1, 2004, the holders of our Notes may require us to redeem their Notes at 100% of their principal amount plus accrued interest to the redemption date.</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As of March 31, 2003, we had no outstanding borrowings under our short-term general revolving line of credit of $30.0 million. In addition, as of March 31, 2003 we had credit facilities totaling $38.9 million limited for the use of letters of credit and bank guaranties from various banks. Outstanding letters of credit and bank guarantees as of March 31, 2003 totaled $22.0 million. These were mostly supported by a combination of the credit facilities described above and compensating cash balances that we maintain with the issuing banks.</w:t>
      </w:r>
    </w:p>
    <w:p>
      <w:pPr>
        <w:spacing w:after="0" w:line="163"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As of March 31, 2003, we had outstanding long-term obligations of $19.5 million in connection with leasing arrangements.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29" w:name="page30"/>
    <w:bookmarkEnd w:id="29"/>
    <w:p>
      <w:pPr>
        <w:ind w:right="3119" w:firstLine="444"/>
        <w:spacing w:after="0"/>
        <w:rPr>
          <w:sz w:val="20"/>
          <w:szCs w:val="20"/>
          <w:color w:val="auto"/>
        </w:rPr>
      </w:pPr>
      <w:r>
        <w:rPr>
          <w:rFonts w:ascii="Courier New" w:cs="Courier New" w:eastAsia="Courier New" w:hAnsi="Courier New"/>
          <w:sz w:val="15"/>
          <w:szCs w:val="15"/>
          <w:color w:val="auto"/>
        </w:rPr>
        <w:t>Our capital expenditures were approximately $27.0 million in the six months ended March 31, 2003. These expenditures consisted primarily of purchases of computer equipment, computer software and related intangible assets and, to a lesser degree, leasehold improvements. We funded our capital expenditures principally from operating cash flows. We do not anticipate any change to this policy in the foreseeable future.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31, 2003, deferred tax assets of $11.1 million, derived primarily from carry-forward net operating losses relating to our Canadian subsidiary, were offset by valuation allowances due to the uncertainty of realizing any tax benefit for such losses. When realization of the tax benefits associated with such net operating losses is deemed probable, the valuation allowance will be released.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effective tax rate for fiscal year 2003 is expected to be approximately 25% due to the corporate income tax rates in the various countries in which we operate and the relative magnitude of our business in those countries. Effective October 1, 2002, following the adoption of SFAS No. 142, we no longer amortize goodwill resulting from acquisitions. See discussion above under the caption "Adoption of New Accounting Standards". As a result, the non tax-deductible goodwill amortization no longer affects our effective tax rate.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six months ended March 31, 2002, we incurred non-cash charges related to the amortization of goodwill and purchased intangible assets and in-process research and development in connection with acquisitions. Since a significant portion of such costs and charges was attributable to amortization of goodwill, much of which was not tax deductible, the effective tax rate in the six months ended March 31, 2002 was adversely affected. Our blended effective tax rate for the six months ended March 31, 2002 was 60%. Excluding the impact of these items, our overall effective tax rate would have been 28% for the six months ended March 31,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(excluding amortization of intangible assets and restructuring charges) are paid in dollars or linked to dollars. Other significant currencies in which we receive revenue or pay expenses are Australian dollars, British pounds, Canadian dollars, the euro (ECU) and Israeli shekels. Historically, the effect of fluctuations in currency exchange rates has had a minimal impact on our operations. As we expand our operations outside of the United States, our exposure to fluctuations in currency exchange rates increases. In managing our foreign exchange risk, we enter from time to time into various foreign exchange contracts. As of March 31, 2003, we had hedged significant exposures in currencies other than the dollar.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Beginning on June 24, 2002, a number of complaints were filed by holders of our ordinary shares against us and certain of our officers and directors in the United States District Courts for the Eastern District of Missouri and the Southern District of New York. The cases were transferred to and consolidated in the Eastern District of Missouri. The Court has appointed lead plaintiffs, who filed a consolidated amended complaint on March 24, 2003. The lead plaintiffs seek to represent a putative class of persons who purchased our ordinary shares between July 18, 2000 and June 20, 2002. The amended complaint alleges that we and the individual defendants made false or misleading statements about our business and future prospects during the putative class period in violation of Section 10(b) of the Securities Exchange Act of 1934 and Rule 10b-5 promulgated thereunder. The lead plaintiffs seek unspecified monetary damages. We will move to dismiss the amended complaint. We dispute all allegations of wrongdoing and intend to defend ourselves vigorously.</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30" w:name="page31"/>
    <w:bookmarkEnd w:id="30"/>
    <w:p>
      <w:pPr>
        <w:ind w:left="449"/>
        <w:spacing w:after="0"/>
        <w:rPr>
          <w:sz w:val="20"/>
          <w:szCs w:val="20"/>
          <w:color w:val="auto"/>
        </w:rPr>
      </w:pPr>
      <w:r>
        <w:rPr>
          <w:rFonts w:ascii="Courier New" w:cs="Courier New" w:eastAsia="Courier New" w:hAnsi="Courier New"/>
          <w:sz w:val="15"/>
          <w:szCs w:val="15"/>
          <w:color w:val="auto"/>
        </w:rPr>
        <w:t>PART II - OTHER INFORMATION</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EXHIBITS AND REPORTS ON FORM 6-K</w:t>
      </w:r>
    </w:p>
    <w:p>
      <w:pPr>
        <w:spacing w:after="0" w:line="171" w:lineRule="exact"/>
        <w:rPr>
          <w:sz w:val="20"/>
          <w:szCs w:val="20"/>
          <w:color w:val="auto"/>
        </w:rPr>
      </w:pPr>
    </w:p>
    <w:p>
      <w:pPr>
        <w:ind w:left="789" w:hanging="789"/>
        <w:spacing w:after="0"/>
        <w:tabs>
          <w:tab w:leader="none" w:pos="78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8"/>
          </w:cols>
          <w:pgMar w:left="231" w:top="628"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389" w:space="720"/>
            <w:col w:w="711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15, 2003.</w:t>
      </w:r>
    </w:p>
    <w:p>
      <w:pPr>
        <w:spacing w:after="0" w:line="200" w:lineRule="exact"/>
        <w:rPr>
          <w:sz w:val="20"/>
          <w:szCs w:val="20"/>
          <w:color w:val="auto"/>
        </w:rPr>
      </w:pPr>
    </w:p>
    <w:p>
      <w:pPr>
        <w:sectPr>
          <w:pgSz w:w="11900" w:h="16838" w:orient="portrait"/>
          <w:cols w:equalWidth="0" w:num="2">
            <w:col w:w="869" w:space="720"/>
            <w:col w:w="8639"/>
          </w:cols>
          <w:pgMar w:left="231" w:top="628" w:right="1440" w:bottom="1440" w:gutter="0" w:footer="0" w:header="0"/>
          <w:type w:val="continuous"/>
        </w:sectPr>
      </w:pPr>
    </w:p>
    <w:p>
      <w:pPr>
        <w:spacing w:after="0" w:line="151" w:lineRule="exact"/>
        <w:rPr>
          <w:sz w:val="20"/>
          <w:szCs w:val="20"/>
          <w:color w:val="auto"/>
        </w:rPr>
      </w:pPr>
    </w:p>
    <w:p>
      <w:pPr>
        <w:ind w:left="789" w:hanging="789"/>
        <w:spacing w:after="0"/>
        <w:tabs>
          <w:tab w:leader="none" w:pos="78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sz w:val="20"/>
          <w:szCs w:val="20"/>
          <w:color w:val="auto"/>
        </w:rPr>
      </w:pPr>
    </w:p>
    <w:p>
      <w:pPr>
        <w:ind w:left="9" w:right="3399" w:firstLine="799"/>
        <w:spacing w:after="0" w:line="238" w:lineRule="auto"/>
        <w:rPr>
          <w:sz w:val="20"/>
          <w:szCs w:val="20"/>
          <w:color w:val="auto"/>
        </w:rPr>
      </w:pPr>
      <w:r>
        <w:rPr>
          <w:rFonts w:ascii="Courier New" w:cs="Courier New" w:eastAsia="Courier New" w:hAnsi="Courier New"/>
          <w:sz w:val="15"/>
          <w:szCs w:val="15"/>
          <w:color w:val="auto"/>
        </w:rPr>
        <w:t>The Company filed the following reports on Form 6-K during the three months ended March 31, 2003:</w:t>
      </w:r>
    </w:p>
    <w:p>
      <w:pPr>
        <w:spacing w:after="0" w:line="175" w:lineRule="exact"/>
        <w:rPr>
          <w:sz w:val="20"/>
          <w:szCs w:val="20"/>
          <w:color w:val="auto"/>
        </w:rPr>
      </w:pPr>
    </w:p>
    <w:p>
      <w:pPr>
        <w:ind w:left="3469" w:right="5959" w:hanging="2670"/>
        <w:spacing w:after="0" w:line="478" w:lineRule="auto"/>
        <w:tabs>
          <w:tab w:leader="none" w:pos="160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24, 2003. 30</w:t>
      </w:r>
    </w:p>
    <w:p>
      <w:pPr>
        <w:sectPr>
          <w:pgSz w:w="11900" w:h="16838" w:orient="portrait"/>
          <w:cols w:equalWidth="0" w:num="1">
            <w:col w:w="10228"/>
          </w:cols>
          <w:pgMar w:left="231" w:top="628" w:right="1440" w:bottom="1440" w:gutter="0" w:footer="0" w:header="0"/>
          <w:type w:val="continuous"/>
        </w:sectPr>
      </w:pPr>
    </w:p>
    <w:bookmarkStart w:id="31" w:name="page32"/>
    <w:bookmarkEnd w:id="31"/>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 Thomas G. O'Brien</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Treasurer and Secretary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Authorized U.S. Representative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15, 2003</w:t>
      </w:r>
    </w:p>
    <w:p>
      <w:pPr>
        <w:sectPr>
          <w:pgSz w:w="11900" w:h="16838" w:orient="portrait"/>
          <w:cols w:equalWidth="0" w:num="1">
            <w:col w:w="10219"/>
          </w:cols>
          <w:pgMar w:left="240" w:top="628" w:right="1440" w:bottom="1440" w:gutter="0" w:footer="0" w:header="0"/>
        </w:sectPr>
      </w:pPr>
    </w:p>
    <w:bookmarkStart w:id="32" w:name="page33"/>
    <w:bookmarkEnd w:id="32"/>
    <w:p>
      <w:pPr>
        <w:ind w:left="30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460" w:space="720"/>
            <w:col w:w="703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15, 2003.</w:t>
      </w:r>
    </w:p>
    <w:p>
      <w:pPr>
        <w:sectPr>
          <w:pgSz w:w="11900" w:h="16838" w:orient="portrait"/>
          <w:cols w:equalWidth="0" w:num="2">
            <w:col w:w="860" w:space="720"/>
            <w:col w:w="8639"/>
          </w:cols>
          <w:pgMar w:left="240" w:top="631"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AMDOCS LIMITED REPORTS SEQUENTIAL GROWTH IN SECOND QUARTER AND EXCEEDS GUIDANCE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71" w:lineRule="exact"/>
        <w:rPr>
          <w:sz w:val="20"/>
          <w:szCs w:val="20"/>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of $355 million, exceeding guidance of $333-$340 million</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Sequential revenue growth of 4.6%</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GAAP EPS of $0.21</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EPS of $0.22</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of $93 million in quarter</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balance increased to $1.221 billion at end of quarter</w:t>
      </w:r>
    </w:p>
    <w:p>
      <w:pPr>
        <w:spacing w:after="0" w:line="174" w:lineRule="exact"/>
        <w:rPr>
          <w:rFonts w:ascii="Courier New" w:cs="Courier New" w:eastAsia="Courier New" w:hAnsi="Courier New"/>
          <w:sz w:val="15"/>
          <w:szCs w:val="15"/>
          <w:color w:val="auto"/>
        </w:rPr>
      </w:pPr>
    </w:p>
    <w:p>
      <w:pPr>
        <w:ind w:left="880" w:right="3219" w:hanging="445"/>
        <w:spacing w:after="0" w:line="239"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quarter fiscal 2003 guidance: Expected revenue of $360-$370 million and proforma EPS of $0.22-$0.23. GAAP EPS results expected to be approximately $0.01 less than proforma EPS.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St. Louis, MO - April 15, 2003 - Amdocs Limited (NYSE: DOX) today reported that for the second quarter ended March 31, 2003, revenue was $355 million, representing sequential growth of 4.6% although a decrease of 22% from last year's second quarter. Excluding acquisition-related costs, restructuring charges and related tax effects, net income increased sequentially by $5.3 million to $48.8 million, or $0.22 per diluted share, however, decreased when compared to net income of $82.9 million, or $0.37 per diluted share, in the second quarter of fiscal 2002. The Company's GAAP net income, which includes acquisition-related charges for amortization of purchased intangible assets and related tax effects, and, for the second quarter of fiscal 2002 only, the acquisition-related charges for amortization of goodwill, was $45.4 million, or $0.21 per diluted share, compared to net income of $26.4 million, or $0.12 per diluted share, in the second quarter of fiscal 2002.</w:t>
      </w:r>
    </w:p>
    <w:p>
      <w:pPr>
        <w:spacing w:after="0" w:line="180"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Dov Baharav, Chief Executive Officer of Amdocs Management Limited, said, "This was a very good quarter for Amdocs in which we exceeded both revenue and new business targets. We expanded our market presence in outsourcing and made important gains with our unique integrated billing-CRM offering. This reflects our focus on execution and our ability to use R&amp;D to bring new products to market that help close deals. Business conditions remain challenging, and while we cannot be certain of the timing or magnitude, we believe the telecom market will ultimately recover. Longer term, we are well positioned to benefit from this recovery, which will be a key factor in achieving sustained growth."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HIGHLIGHTS</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During the second quarter, our new business included the following seven new key wins:</w:t>
      </w:r>
    </w:p>
    <w:p>
      <w:pPr>
        <w:spacing w:after="0" w:line="175" w:lineRule="exact"/>
        <w:rPr>
          <w:sz w:val="20"/>
          <w:szCs w:val="20"/>
          <w:color w:val="auto"/>
        </w:rPr>
      </w:pPr>
    </w:p>
    <w:p>
      <w:pPr>
        <w:ind w:left="880" w:right="3219" w:hanging="445"/>
        <w:spacing w:after="0" w:line="239"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SFR (Groupe Cegetel), a Vodafone affiliate, selected Amdocs, together with Accenture, to implement an integrated billing-CRM project supporting prepaid-postpaid convergence for voice, data, content and commerce services.</w:t>
      </w:r>
    </w:p>
    <w:p>
      <w:pPr>
        <w:spacing w:after="0" w:line="176" w:lineRule="exact"/>
        <w:rPr>
          <w:rFonts w:ascii="Courier New" w:cs="Courier New" w:eastAsia="Courier New" w:hAnsi="Courier New"/>
          <w:sz w:val="15"/>
          <w:szCs w:val="15"/>
          <w:color w:val="auto"/>
        </w:rPr>
      </w:pPr>
    </w:p>
    <w:p>
      <w:pPr>
        <w:ind w:left="880" w:right="3399" w:hanging="445"/>
        <w:spacing w:after="0" w:line="239"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outsourcing agreement with Dex Media, Qwest's former directory publishing subsidiary, including modernization and consolidation of systems across the company, as well as comprehensive support for IT operations.</w:t>
      </w:r>
    </w:p>
    <w:p>
      <w:pPr>
        <w:sectPr>
          <w:pgSz w:w="11900" w:h="16838" w:orient="portrait"/>
          <w:cols w:equalWidth="0" w:num="1">
            <w:col w:w="10219"/>
          </w:cols>
          <w:pgMar w:left="240" w:top="480" w:right="1440" w:bottom="1440" w:gutter="0" w:footer="0" w:header="0"/>
        </w:sectPr>
      </w:pPr>
    </w:p>
    <w:bookmarkStart w:id="34" w:name="page35"/>
    <w:bookmarkEnd w:id="34"/>
    <w:p>
      <w:pPr>
        <w:ind w:left="880" w:right="3119" w:hanging="445"/>
        <w:spacing w:after="0" w:line="271"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was selected to provide its Corporate Self Care and Residential Self Care products for an existing customer in North America.</w:t>
      </w:r>
    </w:p>
    <w:p>
      <w:pPr>
        <w:spacing w:after="0" w:line="153" w:lineRule="exact"/>
        <w:rPr>
          <w:rFonts w:ascii="Courier New" w:cs="Courier New" w:eastAsia="Courier New" w:hAnsi="Courier New"/>
          <w:sz w:val="14"/>
          <w:szCs w:val="14"/>
          <w:color w:val="auto"/>
        </w:rPr>
      </w:pPr>
    </w:p>
    <w:p>
      <w:pPr>
        <w:ind w:left="880" w:right="3399" w:hanging="445"/>
        <w:spacing w:after="0" w:line="239"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has been selected to implement its end-to-end billing system for additional markets at an existing mobile operator customer in North America.</w:t>
      </w:r>
    </w:p>
    <w:p>
      <w:pPr>
        <w:spacing w:after="0" w:line="175" w:lineRule="exact"/>
        <w:rPr>
          <w:rFonts w:ascii="Courier New" w:cs="Courier New" w:eastAsia="Courier New" w:hAnsi="Courier New"/>
          <w:sz w:val="15"/>
          <w:szCs w:val="15"/>
          <w:color w:val="auto"/>
        </w:rPr>
      </w:pPr>
    </w:p>
    <w:p>
      <w:pPr>
        <w:ind w:left="880" w:right="3759" w:hanging="445"/>
        <w:spacing w:after="0" w:line="271"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 directory publisher in Latin America selected Amdocs to implement an end-to-end directory sales and publishing system.</w:t>
      </w:r>
    </w:p>
    <w:p>
      <w:pPr>
        <w:spacing w:after="0" w:line="153" w:lineRule="exact"/>
        <w:rPr>
          <w:rFonts w:ascii="Courier New" w:cs="Courier New" w:eastAsia="Courier New" w:hAnsi="Courier New"/>
          <w:sz w:val="14"/>
          <w:szCs w:val="14"/>
          <w:color w:val="auto"/>
        </w:rPr>
      </w:pPr>
    </w:p>
    <w:p>
      <w:pPr>
        <w:ind w:left="880" w:right="3399" w:hanging="445"/>
        <w:spacing w:after="0" w:line="238"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European mobile operator selected Amdocs to implement its Partner Relationship Management (PRM) and collections products.</w:t>
      </w:r>
    </w:p>
    <w:p>
      <w:pPr>
        <w:spacing w:after="0" w:line="174" w:lineRule="exact"/>
        <w:rPr>
          <w:rFonts w:ascii="Courier New" w:cs="Courier New" w:eastAsia="Courier New" w:hAnsi="Courier New"/>
          <w:sz w:val="15"/>
          <w:szCs w:val="15"/>
          <w:color w:val="auto"/>
        </w:rPr>
      </w:pPr>
    </w:p>
    <w:p>
      <w:pPr>
        <w:ind w:left="880" w:right="3399" w:hanging="445"/>
        <w:spacing w:after="0" w:line="271"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is implementing the PRM, Corporate Self Care and Residential Self Care products for an existing mobile customer in Europe.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second quarter:</w:t>
      </w:r>
    </w:p>
    <w:p>
      <w:pPr>
        <w:spacing w:after="0" w:line="174" w:lineRule="exact"/>
        <w:rPr>
          <w:sz w:val="20"/>
          <w:szCs w:val="20"/>
          <w:color w:val="auto"/>
        </w:rPr>
      </w:pPr>
    </w:p>
    <w:p>
      <w:pPr>
        <w:ind w:left="880" w:right="3119"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expanded its ClarifyCRM application suite through the acquisition of the assets of Xchange, a provider of campaign management and real-time marketing automation software to hundreds of large companies worldwide, complementing Amdocs strong operational CRM capabilities with enhanced, closed-loop analytical CRM.</w:t>
      </w:r>
    </w:p>
    <w:p>
      <w:pPr>
        <w:spacing w:after="0" w:line="174" w:lineRule="exact"/>
        <w:rPr>
          <w:rFonts w:ascii="Courier New" w:cs="Courier New" w:eastAsia="Courier New" w:hAnsi="Courier New"/>
          <w:sz w:val="15"/>
          <w:szCs w:val="15"/>
          <w:color w:val="auto"/>
        </w:rPr>
      </w:pPr>
    </w:p>
    <w:p>
      <w:pPr>
        <w:ind w:left="880" w:right="3399"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Telefonica de Espana, Amdocs completed implementation of the Acquisition &amp; Formatting and Error Management modules. This is the first stage in the rollout of Amdocs comprehensive billing platform supporting end-to-end convergent voice, PBX, NPV and data wireline services, including broadband ADSL.</w:t>
      </w:r>
    </w:p>
    <w:p>
      <w:pPr>
        <w:spacing w:after="0" w:line="174" w:lineRule="exact"/>
        <w:rPr>
          <w:rFonts w:ascii="Courier New" w:cs="Courier New" w:eastAsia="Courier New" w:hAnsi="Courier New"/>
          <w:sz w:val="15"/>
          <w:szCs w:val="15"/>
          <w:color w:val="auto"/>
        </w:rPr>
      </w:pPr>
    </w:p>
    <w:p>
      <w:pPr>
        <w:ind w:left="880" w:right="3219" w:hanging="445"/>
        <w:spacing w:after="0" w:line="264" w:lineRule="auto"/>
        <w:tabs>
          <w:tab w:leader="none" w:pos="8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PT Excelcomindo Pratama (excelcom), a leading Indonesian mobile provider, Amdocs Enabler was implemented, supporting prepaid-postpaid convergence for all voice, next generation data and content services.</w:t>
      </w:r>
    </w:p>
    <w:p>
      <w:pPr>
        <w:spacing w:after="0" w:line="159" w:lineRule="exact"/>
        <w:rPr>
          <w:rFonts w:ascii="Courier New" w:cs="Courier New" w:eastAsia="Courier New" w:hAnsi="Courier New"/>
          <w:sz w:val="14"/>
          <w:szCs w:val="14"/>
          <w:color w:val="auto"/>
        </w:rPr>
      </w:pPr>
    </w:p>
    <w:p>
      <w:pPr>
        <w:ind w:left="880" w:right="3219" w:hanging="445"/>
        <w:spacing w:after="0" w:line="239"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net capital expenditures and payments on capital leases, was $93 million in the quarter.</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Effective October 1, 2002, Amdocs adopted Statement of Financial Accounting Standards No. 142 and therefore no longer amortizes goodwill resulting from acquisitions. Adjusting prior year's as-reported results to eliminate the effects of $50.5 million of goodwill amortization and related tax recorded in the second quarter of fiscal 2002 would have resulted in operating income, net income and earnings per diluted share of $101.9 million, $76.9 million and $0.34,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Amdocs expects that revenue for the third quarter ending June 30, 2003, will be approximately $360-$370 million. Proforma earnings per share for the quarter are expected to be approximately $0.22-$0.23, excluding acquisition-related costs and related tax effects. GAAP earnings per share, including acquisition-related costs and related tax effects, for the quarter are expected to be approximately $0.01 less than proforma EPS.</w:t>
      </w:r>
    </w:p>
    <w:p>
      <w:pPr>
        <w:sectPr>
          <w:pgSz w:w="11900" w:h="16838" w:orient="portrait"/>
          <w:cols w:equalWidth="0" w:num="1">
            <w:col w:w="10219"/>
          </w:cols>
          <w:pgMar w:left="240" w:top="631" w:right="1440" w:bottom="1440" w:gutter="0" w:footer="0" w:header="0"/>
        </w:sectPr>
      </w:pPr>
    </w:p>
    <w:bookmarkStart w:id="35" w:name="page36"/>
    <w:bookmarkEnd w:id="35"/>
    <w:p>
      <w:pPr>
        <w:ind w:right="3219"/>
        <w:spacing w:after="0" w:line="264" w:lineRule="auto"/>
        <w:rPr>
          <w:sz w:val="20"/>
          <w:szCs w:val="20"/>
          <w:color w:val="auto"/>
        </w:rPr>
      </w:pPr>
      <w:r>
        <w:rPr>
          <w:rFonts w:ascii="Courier New" w:cs="Courier New" w:eastAsia="Courier New" w:hAnsi="Courier New"/>
          <w:sz w:val="14"/>
          <w:szCs w:val="14"/>
          <w:color w:val="auto"/>
        </w:rPr>
        <w:t>Amdocs will host a conference call on April 15, 2003 at 5 p.m. Eastern Daylight Time to discuss the Company's second quarter results. The call will be carried live on the Internet via www.vcall.com and the Amdocs website, www.amdocs.com.</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Amdocs is the world's leading provider of billing and CRM. With a 20-year track record of delivery excellence, our products empower major communications operators around the globe. We enable rapid time-to-market for next generation voice, content, commerce and application services, while enhancing subscriber loyalty and lowering total cost of ownership. We offer our customers flexible modes of delivery -- products, solutions and outsourcing. For more information, visit our web site at www.amdocs.com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Investors are cautioned that this press release contains proforma information that is not prepared in accordance with GAAP. Investors should not construe the proforma financial measures as being superior to GAAP. The Company's management uses proforma financial information in its internal analysis because it enables the management to consistently analyze the critical components and results of operations and to have a meaningful comparison to prior periods. The Company's management believes that such measures provide useful information to investors for meaningful comparison to prior periods and analysis of the critical components and results of operations.</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This press release includes information that constitutes forward-looking statements made pursuant to the safe harbor provision of the Private Securities Litigation Reform Act of 1995, including statements aboutAmdocs'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and our Form 6-K, both filed on March 24, 2003.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631" w:right="1440" w:bottom="1440" w:gutter="0" w:footer="0" w:header="0"/>
        </w:sectPr>
      </w:pPr>
    </w:p>
    <w:bookmarkStart w:id="36" w:name="page37"/>
    <w:bookmarkEnd w:id="36"/>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PRO FORMA CONSOLIDATED STATEMENTS OF INCOME (UNAUDITED)</w:t>
      </w:r>
    </w:p>
    <w:p>
      <w:pPr>
        <w:spacing w:after="0" w:line="174" w:lineRule="exact"/>
        <w:rPr>
          <w:sz w:val="20"/>
          <w:szCs w:val="20"/>
          <w:color w:val="auto"/>
        </w:rPr>
      </w:pPr>
    </w:p>
    <w:p>
      <w:pPr>
        <w:jc w:val="center"/>
        <w:ind w:right="3110"/>
        <w:spacing w:after="0" w:line="239" w:lineRule="auto"/>
        <w:rPr>
          <w:sz w:val="20"/>
          <w:szCs w:val="20"/>
          <w:color w:val="auto"/>
        </w:rPr>
      </w:pPr>
      <w:r>
        <w:rPr>
          <w:rFonts w:ascii="Courier New" w:cs="Courier New" w:eastAsia="Courier New" w:hAnsi="Courier New"/>
          <w:sz w:val="15"/>
          <w:szCs w:val="15"/>
          <w:color w:val="auto"/>
        </w:rPr>
        <w:t>EXCLUDING RESTRUCTURING CHARGES, PURCHASED IN-PROCESS RESEARCH AND DEVELOPMENT, AMORTIZATION OF GOODWILL AND PURCHASED INTANGIBLE ASSETS AND RELATED TAX EFFECTS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w w:val="97"/>
              </w:rPr>
              <w:t>THREE MONTHS ENDED</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SIX MONTHS ENDED</w:t>
            </w:r>
          </w:p>
        </w:tc>
        <w:tc>
          <w:tcPr>
            <w:tcW w:w="5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Courier New" w:cs="Courier New" w:eastAsia="Courier New" w:hAnsi="Courier New"/>
                <w:sz w:val="10"/>
                <w:szCs w:val="10"/>
                <w:color w:val="auto"/>
                <w:w w:val="73"/>
              </w:rPr>
              <w:t>-----------------------------</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w w:val="94"/>
              </w:rPr>
              <w:t>2003</w:t>
            </w: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2002 (1)</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19,159</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39,685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87,818</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335,855</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409,741</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654,715</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790,092</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355,014</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455,269</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694,400</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877,910</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9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1,546</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1,627</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2,682</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3,068</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212,080</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249,010</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416,066</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479,152</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9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29,328</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30,902</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58,947</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59,459</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9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51,121</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61,023</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102,701</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114,802</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294,075</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342,562</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580,396</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656,481</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60,939</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112,707</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114,004</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221,429</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900" w:type="dxa"/>
            <w:vAlign w:val="bottom"/>
          </w:tcPr>
          <w:p>
            <w:pPr>
              <w:spacing w:after="0"/>
              <w:rPr>
                <w:sz w:val="24"/>
                <w:szCs w:val="2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4,186</w:t>
            </w:r>
          </w:p>
        </w:tc>
        <w:tc>
          <w:tcPr>
            <w:tcW w:w="40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2,383</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9,163</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5,710</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0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65,125</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115,090</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123,167</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227,139</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00" w:type="dxa"/>
            <w:vAlign w:val="bottom"/>
          </w:tcPr>
          <w:p>
            <w:pPr>
              <w:spacing w:after="0"/>
              <w:rPr>
                <w:sz w:val="24"/>
                <w:szCs w:val="2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16,282</w:t>
            </w:r>
          </w:p>
        </w:tc>
        <w:tc>
          <w:tcPr>
            <w:tcW w:w="40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32,225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30,792</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63,599</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48,843</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82,865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92,375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163,540</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0.22</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219,109</w:t>
            </w:r>
          </w:p>
        </w:tc>
        <w:tc>
          <w:tcPr>
            <w:tcW w:w="40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225,488</w:t>
            </w:r>
          </w:p>
        </w:tc>
        <w:tc>
          <w:tcPr>
            <w:tcW w:w="40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218,179</w:t>
            </w:r>
          </w:p>
        </w:tc>
        <w:tc>
          <w:tcPr>
            <w:tcW w:w="4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225,275</w:t>
            </w:r>
          </w:p>
        </w:tc>
      </w:tr>
      <w:tr>
        <w:trPr>
          <w:trHeight w:val="171"/>
        </w:trPr>
        <w:tc>
          <w:tcPr>
            <w:tcW w:w="3620" w:type="dxa"/>
            <w:vAlign w:val="bottom"/>
          </w:tcPr>
          <w:p>
            <w:pPr>
              <w:spacing w:after="0"/>
              <w:rPr>
                <w:sz w:val="14"/>
                <w:szCs w:val="14"/>
                <w:color w:val="auto"/>
              </w:rPr>
            </w:pPr>
          </w:p>
        </w:tc>
        <w:tc>
          <w:tcPr>
            <w:tcW w:w="16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629" w:right="3219" w:hanging="629"/>
        <w:spacing w:after="0"/>
        <w:tabs>
          <w:tab w:leader="none" w:pos="6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$0 and $51,135 for amortization of goodwill, $4,625 and $10,759 for amortization of purchased intangible assets, and tax effects related to the above of $(1,157) and $(5,470) for the three months ended March 31, 2003 and 2002, respectively. Including the above items, income before income taxes was $60,500 and $53,196 and diluted earnings per share were $0.21 and $0.12 for the three months ended March 31, 2003 and 2002, respectively.</w:t>
      </w:r>
    </w:p>
    <w:p>
      <w:pPr>
        <w:spacing w:after="0" w:line="175" w:lineRule="exact"/>
        <w:rPr>
          <w:rFonts w:ascii="Courier New" w:cs="Courier New" w:eastAsia="Courier New" w:hAnsi="Courier New"/>
          <w:sz w:val="15"/>
          <w:szCs w:val="15"/>
          <w:color w:val="auto"/>
        </w:rPr>
      </w:pPr>
    </w:p>
    <w:p>
      <w:pPr>
        <w:ind w:left="629" w:right="3119" w:hanging="629"/>
        <w:spacing w:after="0"/>
        <w:tabs>
          <w:tab w:leader="none" w:pos="6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$0 and $102,272 for amortization of goodwill, $9,779 and $16,404 for amortization of purchased intangible assets, $0 and $17,400 for write-off of purchased in-process research and development related to the Clarify acquisition, $9,956 and $13,311 of restructuring charges related to the cost reduction measures and the consolidation of data centers, respectively, and tax effects related to the above of $(4,934) and $(16,622) for the six months ended March 31, 2003 and 2002, respectively. Including the above items, income before income taxes was $103,432 and $77,752, and diluted earnings per share were $0.36 and $0.14 for the six months ended March 31, 2003 and 2002, respectively.</w:t>
      </w:r>
    </w:p>
    <w:p>
      <w:pPr>
        <w:sectPr>
          <w:pgSz w:w="11900" w:h="16838" w:orient="portrait"/>
          <w:cols w:equalWidth="0" w:num="1">
            <w:col w:w="10228"/>
          </w:cols>
          <w:pgMar w:left="231" w:top="628" w:right="1440" w:bottom="1440" w:gutter="0" w:footer="0" w:header="0"/>
        </w:sectPr>
      </w:pPr>
    </w:p>
    <w:bookmarkStart w:id="37" w:name="page38"/>
    <w:bookmarkEnd w:id="37"/>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4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4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306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2002(1)</w:t>
            </w:r>
          </w:p>
        </w:tc>
        <w:tc>
          <w:tcPr>
            <w:tcW w:w="50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2002(1)</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19,159</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45,528</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39,685</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87,818</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335,855</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409,741</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654,715</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790,092</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355,014</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455,269</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694,400</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877,910</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1,546</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1,627</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2,682</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3,068</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212,080</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249,010</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416,066</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479,152</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29,328</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30,902</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58,947</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59,459</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51,121</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61,023</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102,701</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114,802</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4,625</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61,894</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9,779</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118,676</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 in-process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9,956</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30,711</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298,700</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404,456</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600,131</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805,868</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56,314</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50,813</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94,269</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72,042</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440" w:type="dxa"/>
            <w:vAlign w:val="bottom"/>
          </w:tcPr>
          <w:p>
            <w:pPr>
              <w:spacing w:after="0"/>
              <w:rPr>
                <w:sz w:val="24"/>
                <w:szCs w:val="2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4,186</w:t>
            </w:r>
          </w:p>
        </w:tc>
        <w:tc>
          <w:tcPr>
            <w:tcW w:w="48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2,383</w:t>
            </w:r>
          </w:p>
        </w:tc>
        <w:tc>
          <w:tcPr>
            <w:tcW w:w="50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9,163</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5,710</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60,500</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53,196</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103,432</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77,752</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24"/>
                <w:szCs w:val="2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15,125</w:t>
            </w:r>
          </w:p>
        </w:tc>
        <w:tc>
          <w:tcPr>
            <w:tcW w:w="48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26,755</w:t>
            </w:r>
          </w:p>
        </w:tc>
        <w:tc>
          <w:tcPr>
            <w:tcW w:w="500" w:type="dxa"/>
            <w:vAlign w:val="bottom"/>
          </w:tcPr>
          <w:p>
            <w:pPr>
              <w:spacing w:after="0"/>
              <w:rPr>
                <w:sz w:val="24"/>
                <w:szCs w:val="2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25,858</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46,977</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45,375</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26,441</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77,574</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30,775</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0.36</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0.21</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0.36</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215,797</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222,995</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215,711</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222,844</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44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219,109</w:t>
            </w:r>
          </w:p>
        </w:tc>
        <w:tc>
          <w:tcPr>
            <w:tcW w:w="4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225,488</w:t>
            </w:r>
          </w:p>
        </w:tc>
        <w:tc>
          <w:tcPr>
            <w:tcW w:w="50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218,179</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225,275</w:t>
            </w:r>
          </w:p>
        </w:tc>
      </w:tr>
      <w:tr>
        <w:trPr>
          <w:trHeight w:val="171"/>
        </w:trPr>
        <w:tc>
          <w:tcPr>
            <w:tcW w:w="3760" w:type="dxa"/>
            <w:vAlign w:val="bottom"/>
          </w:tcPr>
          <w:p>
            <w:pPr>
              <w:spacing w:after="0"/>
              <w:rPr>
                <w:sz w:val="14"/>
                <w:szCs w:val="14"/>
                <w:color w:val="auto"/>
              </w:rPr>
            </w:pP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629" w:right="3299" w:hanging="629"/>
        <w:spacing w:after="0"/>
        <w:tabs>
          <w:tab w:leader="none" w:pos="62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$51,135 and $102,272 of goodwill amortization and $(679) and $(1,358) related tax effects for the three months and six months ended March 31, 2002, respectively. Net income and diluted earnings per share excluding these items (as if Statement of Financial Accounting Standards No. 142 had been implemented) for the three months and six months ended March 31, 2002 would have been $76,897 and $131,689 and $0.34 and $0.58, respectively.</w:t>
      </w:r>
    </w:p>
    <w:p>
      <w:pPr>
        <w:sectPr>
          <w:pgSz w:w="11900" w:h="16838" w:orient="portrait"/>
          <w:cols w:equalWidth="0" w:num="1">
            <w:col w:w="10228"/>
          </w:cols>
          <w:pgMar w:left="231" w:top="628" w:right="1440" w:bottom="1440" w:gutter="0" w:footer="0" w:header="0"/>
        </w:sectPr>
      </w:pPr>
    </w:p>
    <w:bookmarkStart w:id="38" w:name="page39"/>
    <w:bookmarkEnd w:id="38"/>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6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AS OF</w:t>
            </w:r>
          </w:p>
        </w:tc>
        <w:tc>
          <w:tcPr>
            <w:tcW w:w="920" w:type="dxa"/>
            <w:vAlign w:val="bottom"/>
          </w:tcPr>
          <w:p>
            <w:pPr>
              <w:spacing w:after="0"/>
              <w:rPr>
                <w:sz w:val="24"/>
                <w:szCs w:val="24"/>
                <w:color w:val="auto"/>
              </w:rPr>
            </w:pPr>
          </w:p>
        </w:tc>
      </w:tr>
      <w:tr>
        <w:trPr>
          <w:trHeight w:val="171"/>
        </w:trPr>
        <w:tc>
          <w:tcPr>
            <w:tcW w:w="652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MARCH 31,</w:t>
            </w:r>
          </w:p>
        </w:tc>
        <w:tc>
          <w:tcPr>
            <w:tcW w:w="190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7"/>
              </w:rPr>
              <w:t>SEPTEMBER 30,</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$1,221,302</w:t>
            </w:r>
          </w:p>
        </w:tc>
        <w:tc>
          <w:tcPr>
            <w:tcW w:w="98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1,047,819</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including unbilled of $13,619 and $24,144,</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238,514</w:t>
            </w:r>
          </w:p>
        </w:tc>
        <w:tc>
          <w:tcPr>
            <w:tcW w:w="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312,732</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50,212</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48,154</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88,137</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72,196</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1,598,165</w:t>
            </w:r>
          </w:p>
        </w:tc>
        <w:tc>
          <w:tcPr>
            <w:tcW w:w="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1,480,901</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144,072</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160,902</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730,357</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750,530</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154,958</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147,761</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$2,627,552</w:t>
            </w:r>
          </w:p>
        </w:tc>
        <w:tc>
          <w:tcPr>
            <w:tcW w:w="98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2,540,094</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242,279</w:t>
            </w:r>
          </w:p>
        </w:tc>
        <w:tc>
          <w:tcPr>
            <w:tcW w:w="98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279,071</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8,384</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10,347</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178,520</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149,590</w:t>
            </w:r>
          </w:p>
        </w:tc>
      </w:tr>
      <w:tr>
        <w:trPr>
          <w:trHeight w:val="34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115,777</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103,315</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544,960</w:t>
            </w:r>
          </w:p>
        </w:tc>
        <w:tc>
          <w:tcPr>
            <w:tcW w:w="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542,323</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579,478</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581,496</w:t>
            </w:r>
          </w:p>
        </w:tc>
      </w:tr>
      <w:tr>
        <w:trPr>
          <w:trHeight w:val="341"/>
        </w:trPr>
        <w:tc>
          <w:tcPr>
            <w:tcW w:w="65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1,503,114</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1,416,275</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$2,627,552</w:t>
            </w:r>
          </w:p>
        </w:tc>
        <w:tc>
          <w:tcPr>
            <w:tcW w:w="98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2,540,094</w:t>
            </w:r>
          </w:p>
        </w:tc>
      </w:tr>
      <w:tr>
        <w:trPr>
          <w:trHeight w:val="171"/>
        </w:trPr>
        <w:tc>
          <w:tcPr>
            <w:tcW w:w="65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8"/>
    </w:lvl>
  </w:abstractNum>
  <w:abstractNum w:abstractNumId="16">
    <w:nsid w:val="4353D0CD"/>
    <w:multiLevelType w:val="hybridMultilevel"/>
    <w:lvl w:ilvl="0">
      <w:lvlJc w:val="left"/>
      <w:lvlText w:val="%1."/>
      <w:numFmt w:val="decimal"/>
      <w:start w:val="9"/>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2"/>
    </w:lvl>
  </w:abstractNum>
  <w:abstractNum w:abstractNumId="20">
    <w:nsid w:val="71F32454"/>
    <w:multiLevelType w:val="hybridMultilevel"/>
    <w:lvl w:ilvl="0">
      <w:lvlJc w:val="left"/>
      <w:lvlText w:val="(%1)"/>
      <w:numFmt w:val="decimal"/>
      <w:start w:val="140"/>
    </w:lvl>
  </w:abstractNum>
  <w:abstractNum w:abstractNumId="21">
    <w:nsid w:val="2CA88611"/>
    <w:multiLevelType w:val="hybridMultilevel"/>
    <w:lvl w:ilvl="0">
      <w:lvlJc w:val="left"/>
      <w:lvlText w:val="(%1)"/>
      <w:numFmt w:val="decimal"/>
      <w:start w:val="100"/>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2019-12-14T21:18:05Z</dcterms:created>
  <dcterms:modified xsi:type="dcterms:W3CDTF">2019-12-14T21:18:05Z</dcterms:modified>
</cp:coreProperties>
</file>