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7"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WASHINGTON, D.C. 20549</w:t>
      </w:r>
    </w:p>
    <w:p>
      <w:pPr>
        <w:spacing w:after="0" w:line="177"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FORM 6-K</w:t>
      </w:r>
    </w:p>
    <w:p>
      <w:pPr>
        <w:spacing w:after="0" w:line="177"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REPORT OF FOREIGN PRIVATE ISSUER</w:t>
      </w:r>
    </w:p>
    <w:p>
      <w:pPr>
        <w:spacing w:after="0" w:line="177" w:lineRule="exact"/>
        <w:rPr>
          <w:sz w:val="24"/>
          <w:szCs w:val="24"/>
          <w:color w:val="auto"/>
        </w:rPr>
      </w:pPr>
    </w:p>
    <w:p>
      <w:pPr>
        <w:ind w:left="1980"/>
        <w:spacing w:after="0"/>
        <w:rPr>
          <w:sz w:val="20"/>
          <w:szCs w:val="20"/>
          <w:color w:val="auto"/>
        </w:rPr>
      </w:pPr>
      <w:r>
        <w:rPr>
          <w:rFonts w:ascii="Courier New" w:cs="Courier New" w:eastAsia="Courier New" w:hAnsi="Courier New"/>
          <w:sz w:val="15"/>
          <w:szCs w:val="15"/>
          <w:color w:val="auto"/>
        </w:rPr>
        <w:t>PURSUANT TO RULE 13A-16 OR 15D-16 OF</w:t>
      </w:r>
    </w:p>
    <w:p>
      <w:pPr>
        <w:spacing w:after="0" w:line="177" w:lineRule="exact"/>
        <w:rPr>
          <w:sz w:val="24"/>
          <w:szCs w:val="24"/>
          <w:color w:val="auto"/>
        </w:rPr>
      </w:pPr>
    </w:p>
    <w:p>
      <w:pPr>
        <w:ind w:left="2060"/>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77"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For the Quarter Ended June 30, 2001</w:t>
      </w:r>
    </w:p>
    <w:p>
      <w:pPr>
        <w:spacing w:after="0" w:line="177"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177"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Suite 5, Tower Hill House Le Bordage</w:t>
      </w:r>
    </w:p>
    <w:p>
      <w:pPr>
        <w:spacing w:after="0" w:line="3"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177"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Amdocs, Inc.</w:t>
      </w:r>
    </w:p>
    <w:p>
      <w:pPr>
        <w:spacing w:after="0" w:line="177"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1390 Timberlake Manor Parkway, Chesterfield, Missouri 63017</w:t>
      </w:r>
    </w:p>
    <w:p>
      <w:pPr>
        <w:spacing w:after="0" w:line="177"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78" w:lineRule="exact"/>
        <w:rPr>
          <w:sz w:val="24"/>
          <w:szCs w:val="24"/>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of Form 20-F or Form 40-F)</w:t>
      </w:r>
    </w:p>
    <w:p>
      <w:pPr>
        <w:sectPr>
          <w:pgSz w:w="11900" w:h="16838" w:orient="portrait"/>
          <w:cols w:equalWidth="0" w:num="1">
            <w:col w:w="10219"/>
          </w:cols>
          <w:pgMar w:left="240" w:top="233" w:right="1440" w:bottom="1440" w:gutter="0" w:footer="0" w:header="0"/>
        </w:sectPr>
      </w:pPr>
    </w:p>
    <w:p>
      <w:pPr>
        <w:spacing w:after="0" w:line="176"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Form 20 F</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X</w:t>
      </w:r>
    </w:p>
    <w:p>
      <w:pPr>
        <w:spacing w:after="0" w:line="3"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FORM 40 F</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8" w:lineRule="exact"/>
        <w:rPr>
          <w:sz w:val="24"/>
          <w:szCs w:val="24"/>
          <w:color w:val="auto"/>
        </w:rPr>
      </w:pPr>
    </w:p>
    <w:p>
      <w:pPr>
        <w:sectPr>
          <w:pgSz w:w="11900" w:h="16838" w:orient="portrait"/>
          <w:cols w:equalWidth="0" w:num="4">
            <w:col w:w="2960" w:space="0"/>
            <w:col w:w="460" w:space="260"/>
            <w:col w:w="820" w:space="100"/>
            <w:col w:w="5619"/>
          </w:cols>
          <w:pgMar w:left="240" w:top="233" w:right="1440" w:bottom="1440" w:gutter="0" w:footer="0" w:header="0"/>
          <w:type w:val="continuous"/>
        </w:sectPr>
      </w:pPr>
    </w:p>
    <w:p>
      <w:pPr>
        <w:ind w:right="3379"/>
        <w:spacing w:after="0" w:line="244" w:lineRule="auto"/>
        <w:rPr>
          <w:sz w:val="20"/>
          <w:szCs w:val="20"/>
          <w:color w:val="auto"/>
        </w:rPr>
      </w:pPr>
      <w:r>
        <w:rPr>
          <w:rFonts w:ascii="Courier New" w:cs="Courier New" w:eastAsia="Courier New" w:hAnsi="Courier New"/>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233" w:right="1440" w:bottom="1440" w:gutter="0" w:footer="0" w:header="0"/>
          <w:type w:val="continuous"/>
        </w:sectPr>
      </w:pPr>
    </w:p>
    <w:p>
      <w:pPr>
        <w:spacing w:after="0" w:line="175" w:lineRule="exact"/>
        <w:rPr>
          <w:sz w:val="24"/>
          <w:szCs w:val="24"/>
          <w:color w:val="auto"/>
        </w:rPr>
      </w:pPr>
    </w:p>
    <w:p>
      <w:pPr>
        <w:ind w:left="2420"/>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5519"/>
        <w:spacing w:after="0"/>
        <w:rPr>
          <w:sz w:val="20"/>
          <w:szCs w:val="20"/>
          <w:color w:val="auto"/>
        </w:rPr>
      </w:pPr>
      <w:r>
        <w:rPr>
          <w:rFonts w:ascii="Courier New" w:cs="Courier New" w:eastAsia="Courier New" w:hAnsi="Courier New"/>
          <w:sz w:val="15"/>
          <w:szCs w:val="15"/>
          <w:color w:val="auto"/>
        </w:rPr>
        <w:t>X</w:t>
      </w:r>
    </w:p>
    <w:p>
      <w:pPr>
        <w:spacing w:after="0" w:line="3" w:lineRule="exact"/>
        <w:rPr>
          <w:sz w:val="24"/>
          <w:szCs w:val="24"/>
          <w:color w:val="auto"/>
        </w:rPr>
      </w:pPr>
    </w:p>
    <w:p>
      <w:pPr>
        <w:jc w:val="center"/>
        <w:ind w:right="553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4">
            <w:col w:w="2700" w:space="0"/>
            <w:col w:w="620" w:space="720"/>
            <w:col w:w="180" w:space="0"/>
            <w:col w:w="5999"/>
          </w:cols>
          <w:pgMar w:left="240" w:top="233"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FORM 6-K</w:t>
      </w:r>
    </w:p>
    <w:p>
      <w:pPr>
        <w:spacing w:after="0" w:line="177"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REPORT OF FOREIGN PRIVATE ISSUER</w:t>
      </w:r>
    </w:p>
    <w:p>
      <w:pPr>
        <w:spacing w:after="0" w:line="17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FOR THE QUARTER ENDED JUNE 30, 2001</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INDEX</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PART I</w:t>
        <w:tab/>
        <w:t>FINANCIAL INFORMATION</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Item 1. Financial Statements</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Unaudited Consolidated Financial Statements</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Consolidated Balance Sheets</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Consolidated Statement of Changes in</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Shareholders' Equity</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Notes to Unaudited Consolidated Financial</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Statements</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Item 2. Operating and Financial Review and Prospects</w:t>
      </w:r>
    </w:p>
    <w:p>
      <w:pPr>
        <w:spacing w:after="0" w:line="177"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Item 6. Exhibits and Reports on Form 6-K</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SIGNATURES</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91"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AMDOCS LIMITED</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CONSOLIDATED BALANCE SHEETS</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(in U.S. dollars, unless otherwise stated)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60" w:type="dxa"/>
            <w:vAlign w:val="bottom"/>
          </w:tcPr>
          <w:p>
            <w:pPr>
              <w:ind w:left="1980"/>
              <w:spacing w:after="0"/>
              <w:rPr>
                <w:sz w:val="20"/>
                <w:szCs w:val="20"/>
                <w:color w:val="auto"/>
              </w:rPr>
            </w:pPr>
            <w:r>
              <w:rPr>
                <w:rFonts w:ascii="Courier New" w:cs="Courier New" w:eastAsia="Courier New" w:hAnsi="Courier New"/>
                <w:sz w:val="15"/>
                <w:szCs w:val="15"/>
                <w:color w:val="auto"/>
              </w:rPr>
              <w:t>(in thousands, except per share data)</w:t>
            </w: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520"/>
        </w:trPr>
        <w:tc>
          <w:tcPr>
            <w:tcW w:w="7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AS OF</w:t>
            </w:r>
          </w:p>
        </w:tc>
        <w:tc>
          <w:tcPr>
            <w:tcW w:w="1080" w:type="dxa"/>
            <w:vAlign w:val="bottom"/>
          </w:tcPr>
          <w:p>
            <w:pPr>
              <w:spacing w:after="0"/>
              <w:rPr>
                <w:sz w:val="24"/>
                <w:szCs w:val="24"/>
                <w:color w:val="auto"/>
              </w:rPr>
            </w:pPr>
          </w:p>
        </w:tc>
      </w:tr>
      <w:tr>
        <w:trPr>
          <w:trHeight w:val="173"/>
        </w:trPr>
        <w:tc>
          <w:tcPr>
            <w:tcW w:w="7560" w:type="dxa"/>
            <w:vAlign w:val="bottom"/>
          </w:tcPr>
          <w:p>
            <w:pPr>
              <w:spacing w:after="0"/>
              <w:rPr>
                <w:sz w:val="15"/>
                <w:szCs w:val="15"/>
                <w:color w:val="auto"/>
              </w:rPr>
            </w:pPr>
          </w:p>
        </w:tc>
        <w:tc>
          <w:tcPr>
            <w:tcW w:w="3160" w:type="dxa"/>
            <w:vAlign w:val="bottom"/>
            <w:gridSpan w:val="4"/>
          </w:tcPr>
          <w:p>
            <w:pPr>
              <w:ind w:left="460"/>
              <w:spacing w:after="0"/>
              <w:rPr>
                <w:sz w:val="20"/>
                <w:szCs w:val="20"/>
                <w:color w:val="auto"/>
              </w:rPr>
            </w:pPr>
            <w:r>
              <w:rPr>
                <w:rFonts w:ascii="Courier New" w:cs="Courier New" w:eastAsia="Courier New" w:hAnsi="Courier New"/>
                <w:sz w:val="15"/>
                <w:szCs w:val="15"/>
                <w:color w:val="auto"/>
              </w:rPr>
              <w:t>-----------------------------</w:t>
            </w:r>
          </w:p>
        </w:tc>
      </w:tr>
      <w:tr>
        <w:trPr>
          <w:trHeight w:val="173"/>
        </w:trPr>
        <w:tc>
          <w:tcPr>
            <w:tcW w:w="7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7"/>
              </w:rPr>
              <w:t>JUNE 30,</w:t>
            </w:r>
          </w:p>
        </w:tc>
        <w:tc>
          <w:tcPr>
            <w:tcW w:w="1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SEPTEMBER 30,</w:t>
            </w:r>
          </w:p>
        </w:tc>
      </w:tr>
      <w:tr>
        <w:trPr>
          <w:trHeight w:val="173"/>
        </w:trPr>
        <w:tc>
          <w:tcPr>
            <w:tcW w:w="7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5"/>
                <w:szCs w:val="15"/>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7560" w:type="dxa"/>
            <w:vAlign w:val="bottom"/>
          </w:tcPr>
          <w:p>
            <w:pPr>
              <w:spacing w:after="0"/>
              <w:rPr>
                <w:sz w:val="15"/>
                <w:szCs w:val="15"/>
                <w:color w:val="auto"/>
              </w:rPr>
            </w:pPr>
          </w:p>
        </w:tc>
        <w:tc>
          <w:tcPr>
            <w:tcW w:w="1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7560" w:type="dxa"/>
            <w:vAlign w:val="bottom"/>
          </w:tcPr>
          <w:p>
            <w:pPr>
              <w:spacing w:after="0"/>
              <w:rPr>
                <w:sz w:val="15"/>
                <w:szCs w:val="15"/>
                <w:color w:val="auto"/>
              </w:rPr>
            </w:pPr>
          </w:p>
        </w:tc>
        <w:tc>
          <w:tcPr>
            <w:tcW w:w="17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(UNAUDITED)</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7560" w:type="dxa"/>
            <w:vAlign w:val="bottom"/>
          </w:tcPr>
          <w:p>
            <w:pPr>
              <w:spacing w:after="0"/>
              <w:rPr>
                <w:sz w:val="15"/>
                <w:szCs w:val="15"/>
                <w:color w:val="auto"/>
              </w:rPr>
            </w:pPr>
          </w:p>
        </w:tc>
        <w:tc>
          <w:tcPr>
            <w:tcW w:w="17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47"/>
        </w:trPr>
        <w:tc>
          <w:tcPr>
            <w:tcW w:w="7560" w:type="dxa"/>
            <w:vAlign w:val="bottom"/>
          </w:tcPr>
          <w:p>
            <w:pPr>
              <w:ind w:left="3320"/>
              <w:spacing w:after="0"/>
              <w:rPr>
                <w:sz w:val="20"/>
                <w:szCs w:val="20"/>
                <w:color w:val="auto"/>
              </w:rPr>
            </w:pPr>
            <w:r>
              <w:rPr>
                <w:rFonts w:ascii="Courier New" w:cs="Courier New" w:eastAsia="Courier New" w:hAnsi="Courier New"/>
                <w:sz w:val="15"/>
                <w:szCs w:val="15"/>
                <w:color w:val="auto"/>
              </w:rPr>
              <w:t>ASSETS</w:t>
            </w: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3"/>
        </w:trPr>
        <w:tc>
          <w:tcPr>
            <w:tcW w:w="75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756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640" w:type="dxa"/>
            <w:vAlign w:val="bottom"/>
          </w:tcPr>
          <w:p>
            <w:pPr>
              <w:ind w:left="540"/>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829,413</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402,300</w:t>
            </w:r>
          </w:p>
        </w:tc>
      </w:tr>
      <w:tr>
        <w:trPr>
          <w:trHeight w:val="173"/>
        </w:trPr>
        <w:tc>
          <w:tcPr>
            <w:tcW w:w="7560" w:type="dxa"/>
            <w:vAlign w:val="bottom"/>
          </w:tcPr>
          <w:p>
            <w:pPr>
              <w:ind w:left="260"/>
              <w:spacing w:after="0"/>
              <w:rPr>
                <w:sz w:val="20"/>
                <w:szCs w:val="20"/>
                <w:color w:val="auto"/>
              </w:rPr>
            </w:pPr>
            <w:r>
              <w:rPr>
                <w:rFonts w:ascii="Courier New" w:cs="Courier New" w:eastAsia="Courier New" w:hAnsi="Courier New"/>
                <w:sz w:val="15"/>
                <w:szCs w:val="15"/>
                <w:color w:val="auto"/>
              </w:rPr>
              <w:t>Short-term interest-bearing investments</w:t>
            </w:r>
          </w:p>
        </w:tc>
        <w:tc>
          <w:tcPr>
            <w:tcW w:w="6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214,767</w:t>
            </w:r>
          </w:p>
        </w:tc>
        <w:tc>
          <w:tcPr>
            <w:tcW w:w="3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756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including unbilled of $22,598 and $4,203, less</w:t>
            </w:r>
          </w:p>
        </w:tc>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7560" w:type="dxa"/>
            <w:vAlign w:val="bottom"/>
          </w:tcPr>
          <w:p>
            <w:pPr>
              <w:ind w:left="440"/>
              <w:spacing w:after="0"/>
              <w:rPr>
                <w:sz w:val="20"/>
                <w:szCs w:val="20"/>
                <w:color w:val="auto"/>
              </w:rPr>
            </w:pPr>
            <w:r>
              <w:rPr>
                <w:rFonts w:ascii="Courier New" w:cs="Courier New" w:eastAsia="Courier New" w:hAnsi="Courier New"/>
                <w:sz w:val="15"/>
                <w:szCs w:val="15"/>
                <w:color w:val="auto"/>
              </w:rPr>
              <w:t>allowances of $4,307 and $6,868, respectively (*)</w:t>
            </w:r>
          </w:p>
        </w:tc>
        <w:tc>
          <w:tcPr>
            <w:tcW w:w="6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329,333</w:t>
            </w:r>
          </w:p>
        </w:tc>
        <w:tc>
          <w:tcPr>
            <w:tcW w:w="3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263,100</w:t>
            </w:r>
          </w:p>
        </w:tc>
      </w:tr>
      <w:tr>
        <w:trPr>
          <w:trHeight w:val="173"/>
        </w:trPr>
        <w:tc>
          <w:tcPr>
            <w:tcW w:w="756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receivable</w:t>
            </w:r>
          </w:p>
        </w:tc>
        <w:tc>
          <w:tcPr>
            <w:tcW w:w="6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34,021</w:t>
            </w:r>
          </w:p>
        </w:tc>
        <w:tc>
          <w:tcPr>
            <w:tcW w:w="3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35,179</w:t>
            </w:r>
          </w:p>
        </w:tc>
      </w:tr>
      <w:tr>
        <w:trPr>
          <w:trHeight w:val="173"/>
        </w:trPr>
        <w:tc>
          <w:tcPr>
            <w:tcW w:w="756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6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39,291</w:t>
            </w:r>
          </w:p>
        </w:tc>
        <w:tc>
          <w:tcPr>
            <w:tcW w:w="3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34,327</w:t>
            </w:r>
          </w:p>
        </w:tc>
      </w:tr>
      <w:tr>
        <w:trPr>
          <w:trHeight w:val="173"/>
        </w:trPr>
        <w:tc>
          <w:tcPr>
            <w:tcW w:w="7560" w:type="dxa"/>
            <w:vAlign w:val="bottom"/>
          </w:tcPr>
          <w:p>
            <w:pPr>
              <w:spacing w:after="0"/>
              <w:rPr>
                <w:sz w:val="15"/>
                <w:szCs w:val="15"/>
                <w:color w:val="auto"/>
              </w:rPr>
            </w:pPr>
          </w:p>
        </w:tc>
        <w:tc>
          <w:tcPr>
            <w:tcW w:w="1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7560" w:type="dxa"/>
            <w:vAlign w:val="bottom"/>
          </w:tcPr>
          <w:p>
            <w:pPr>
              <w:ind w:left="800"/>
              <w:spacing w:after="0"/>
              <w:rPr>
                <w:sz w:val="20"/>
                <w:szCs w:val="20"/>
                <w:color w:val="auto"/>
              </w:rPr>
            </w:pPr>
            <w:r>
              <w:rPr>
                <w:rFonts w:ascii="Courier New" w:cs="Courier New" w:eastAsia="Courier New" w:hAnsi="Courier New"/>
                <w:sz w:val="15"/>
                <w:szCs w:val="15"/>
                <w:color w:val="auto"/>
              </w:rPr>
              <w:t>Total current assets</w:t>
            </w:r>
          </w:p>
        </w:tc>
        <w:tc>
          <w:tcPr>
            <w:tcW w:w="6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1,446,825</w:t>
            </w:r>
          </w:p>
        </w:tc>
        <w:tc>
          <w:tcPr>
            <w:tcW w:w="3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734,906</w:t>
            </w:r>
          </w:p>
        </w:tc>
      </w:tr>
      <w:tr>
        <w:trPr>
          <w:trHeight w:val="173"/>
        </w:trPr>
        <w:tc>
          <w:tcPr>
            <w:tcW w:w="756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6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167,257</w:t>
            </w:r>
          </w:p>
        </w:tc>
        <w:tc>
          <w:tcPr>
            <w:tcW w:w="3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128,081</w:t>
            </w:r>
          </w:p>
        </w:tc>
      </w:tr>
      <w:tr>
        <w:trPr>
          <w:trHeight w:val="173"/>
        </w:trPr>
        <w:tc>
          <w:tcPr>
            <w:tcW w:w="756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6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23,199</w:t>
            </w:r>
          </w:p>
        </w:tc>
        <w:tc>
          <w:tcPr>
            <w:tcW w:w="3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13,900</w:t>
            </w:r>
          </w:p>
        </w:tc>
      </w:tr>
      <w:tr>
        <w:trPr>
          <w:trHeight w:val="173"/>
        </w:trPr>
        <w:tc>
          <w:tcPr>
            <w:tcW w:w="756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 net</w:t>
            </w:r>
          </w:p>
        </w:tc>
        <w:tc>
          <w:tcPr>
            <w:tcW w:w="6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842,680</w:t>
            </w:r>
          </w:p>
        </w:tc>
        <w:tc>
          <w:tcPr>
            <w:tcW w:w="3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1,011,053</w:t>
            </w:r>
          </w:p>
        </w:tc>
      </w:tr>
      <w:tr>
        <w:trPr>
          <w:trHeight w:val="173"/>
        </w:trPr>
        <w:tc>
          <w:tcPr>
            <w:tcW w:w="756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6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62,802</w:t>
            </w:r>
          </w:p>
        </w:tc>
        <w:tc>
          <w:tcPr>
            <w:tcW w:w="3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47,145</w:t>
            </w:r>
          </w:p>
        </w:tc>
      </w:tr>
      <w:tr>
        <w:trPr>
          <w:trHeight w:val="173"/>
        </w:trPr>
        <w:tc>
          <w:tcPr>
            <w:tcW w:w="7560" w:type="dxa"/>
            <w:vAlign w:val="bottom"/>
          </w:tcPr>
          <w:p>
            <w:pPr>
              <w:spacing w:after="0"/>
              <w:rPr>
                <w:sz w:val="15"/>
                <w:szCs w:val="15"/>
                <w:color w:val="auto"/>
              </w:rPr>
            </w:pPr>
          </w:p>
        </w:tc>
        <w:tc>
          <w:tcPr>
            <w:tcW w:w="1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7560" w:type="dxa"/>
            <w:vAlign w:val="bottom"/>
          </w:tcPr>
          <w:p>
            <w:pPr>
              <w:ind w:left="800"/>
              <w:spacing w:after="0"/>
              <w:rPr>
                <w:sz w:val="20"/>
                <w:szCs w:val="20"/>
                <w:color w:val="auto"/>
              </w:rPr>
            </w:pPr>
            <w:r>
              <w:rPr>
                <w:rFonts w:ascii="Courier New" w:cs="Courier New" w:eastAsia="Courier New" w:hAnsi="Courier New"/>
                <w:sz w:val="15"/>
                <w:szCs w:val="15"/>
                <w:color w:val="auto"/>
              </w:rPr>
              <w:t>Total assets</w:t>
            </w:r>
          </w:p>
        </w:tc>
        <w:tc>
          <w:tcPr>
            <w:tcW w:w="640" w:type="dxa"/>
            <w:vAlign w:val="bottom"/>
          </w:tcPr>
          <w:p>
            <w:pPr>
              <w:ind w:left="540"/>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2,542,763</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1,935,085</w:t>
            </w:r>
          </w:p>
        </w:tc>
      </w:tr>
      <w:tr>
        <w:trPr>
          <w:trHeight w:val="173"/>
        </w:trPr>
        <w:tc>
          <w:tcPr>
            <w:tcW w:w="7560" w:type="dxa"/>
            <w:vAlign w:val="bottom"/>
          </w:tcPr>
          <w:p>
            <w:pPr>
              <w:spacing w:after="0"/>
              <w:rPr>
                <w:sz w:val="15"/>
                <w:szCs w:val="15"/>
                <w:color w:val="auto"/>
              </w:rPr>
            </w:pPr>
          </w:p>
        </w:tc>
        <w:tc>
          <w:tcPr>
            <w:tcW w:w="1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20"/>
        </w:trPr>
        <w:tc>
          <w:tcPr>
            <w:tcW w:w="7560" w:type="dxa"/>
            <w:vAlign w:val="bottom"/>
          </w:tcPr>
          <w:p>
            <w:pPr>
              <w:ind w:left="1980"/>
              <w:spacing w:after="0"/>
              <w:rPr>
                <w:sz w:val="20"/>
                <w:szCs w:val="20"/>
                <w:color w:val="auto"/>
              </w:rPr>
            </w:pPr>
            <w:r>
              <w:rPr>
                <w:rFonts w:ascii="Courier New" w:cs="Courier New" w:eastAsia="Courier New" w:hAnsi="Courier New"/>
                <w:sz w:val="15"/>
                <w:szCs w:val="15"/>
                <w:color w:val="auto"/>
              </w:rPr>
              <w:t>LIABILITIES AND SHAREHOLDERS' EQUITY</w:t>
            </w: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3"/>
        </w:trPr>
        <w:tc>
          <w:tcPr>
            <w:tcW w:w="75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756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64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139,940</w:t>
            </w:r>
          </w:p>
        </w:tc>
        <w:tc>
          <w:tcPr>
            <w:tcW w:w="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128,249</w:t>
            </w:r>
          </w:p>
        </w:tc>
      </w:tr>
      <w:tr>
        <w:trPr>
          <w:trHeight w:val="173"/>
        </w:trPr>
        <w:tc>
          <w:tcPr>
            <w:tcW w:w="7560" w:type="dxa"/>
            <w:vAlign w:val="bottom"/>
          </w:tcPr>
          <w:p>
            <w:pPr>
              <w:ind w:left="260"/>
              <w:spacing w:after="0"/>
              <w:rPr>
                <w:sz w:val="20"/>
                <w:szCs w:val="20"/>
                <w:color w:val="auto"/>
              </w:rPr>
            </w:pPr>
            <w:r>
              <w:rPr>
                <w:rFonts w:ascii="Courier New" w:cs="Courier New" w:eastAsia="Courier New" w:hAnsi="Courier New"/>
                <w:sz w:val="15"/>
                <w:szCs w:val="15"/>
                <w:color w:val="auto"/>
              </w:rPr>
              <w:t>Accrued personnel costs</w:t>
            </w:r>
          </w:p>
        </w:tc>
        <w:tc>
          <w:tcPr>
            <w:tcW w:w="6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87,972</w:t>
            </w:r>
          </w:p>
        </w:tc>
        <w:tc>
          <w:tcPr>
            <w:tcW w:w="3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70,196</w:t>
            </w:r>
          </w:p>
        </w:tc>
      </w:tr>
      <w:tr>
        <w:trPr>
          <w:trHeight w:val="173"/>
        </w:trPr>
        <w:tc>
          <w:tcPr>
            <w:tcW w:w="7560" w:type="dxa"/>
            <w:vAlign w:val="bottom"/>
          </w:tcPr>
          <w:p>
            <w:pPr>
              <w:ind w:left="260"/>
              <w:spacing w:after="0"/>
              <w:rPr>
                <w:sz w:val="20"/>
                <w:szCs w:val="20"/>
                <w:color w:val="auto"/>
              </w:rPr>
            </w:pPr>
            <w:r>
              <w:rPr>
                <w:rFonts w:ascii="Courier New" w:cs="Courier New" w:eastAsia="Courier New" w:hAnsi="Courier New"/>
                <w:sz w:val="15"/>
                <w:szCs w:val="15"/>
                <w:color w:val="auto"/>
              </w:rPr>
              <w:t>Short-term financing arrangements</w:t>
            </w:r>
          </w:p>
        </w:tc>
        <w:tc>
          <w:tcPr>
            <w:tcW w:w="6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20,000</w:t>
            </w:r>
          </w:p>
        </w:tc>
      </w:tr>
      <w:tr>
        <w:trPr>
          <w:trHeight w:val="173"/>
        </w:trPr>
        <w:tc>
          <w:tcPr>
            <w:tcW w:w="756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6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147,029</w:t>
            </w:r>
          </w:p>
        </w:tc>
        <w:tc>
          <w:tcPr>
            <w:tcW w:w="3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133,546</w:t>
            </w:r>
          </w:p>
        </w:tc>
      </w:tr>
      <w:tr>
        <w:trPr>
          <w:trHeight w:val="173"/>
        </w:trPr>
        <w:tc>
          <w:tcPr>
            <w:tcW w:w="7560" w:type="dxa"/>
            <w:vAlign w:val="bottom"/>
          </w:tcPr>
          <w:p>
            <w:pPr>
              <w:ind w:left="260"/>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6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9,522</w:t>
            </w:r>
          </w:p>
        </w:tc>
        <w:tc>
          <w:tcPr>
            <w:tcW w:w="3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8,713</w:t>
            </w:r>
          </w:p>
        </w:tc>
      </w:tr>
      <w:tr>
        <w:trPr>
          <w:trHeight w:val="173"/>
        </w:trPr>
        <w:tc>
          <w:tcPr>
            <w:tcW w:w="756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payable</w:t>
            </w:r>
          </w:p>
        </w:tc>
        <w:tc>
          <w:tcPr>
            <w:tcW w:w="6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67,278</w:t>
            </w:r>
          </w:p>
        </w:tc>
        <w:tc>
          <w:tcPr>
            <w:tcW w:w="3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55,197</w:t>
            </w:r>
          </w:p>
        </w:tc>
      </w:tr>
      <w:tr>
        <w:trPr>
          <w:trHeight w:val="173"/>
        </w:trPr>
        <w:tc>
          <w:tcPr>
            <w:tcW w:w="7560" w:type="dxa"/>
            <w:vAlign w:val="bottom"/>
          </w:tcPr>
          <w:p>
            <w:pPr>
              <w:spacing w:after="0"/>
              <w:rPr>
                <w:sz w:val="15"/>
                <w:szCs w:val="15"/>
                <w:color w:val="auto"/>
              </w:rPr>
            </w:pPr>
          </w:p>
        </w:tc>
        <w:tc>
          <w:tcPr>
            <w:tcW w:w="1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7560" w:type="dxa"/>
            <w:vAlign w:val="bottom"/>
          </w:tcPr>
          <w:p>
            <w:pPr>
              <w:ind w:left="800"/>
              <w:spacing w:after="0"/>
              <w:rPr>
                <w:sz w:val="20"/>
                <w:szCs w:val="20"/>
                <w:color w:val="auto"/>
              </w:rPr>
            </w:pPr>
            <w:r>
              <w:rPr>
                <w:rFonts w:ascii="Courier New" w:cs="Courier New" w:eastAsia="Courier New" w:hAnsi="Courier New"/>
                <w:sz w:val="15"/>
                <w:szCs w:val="15"/>
                <w:color w:val="auto"/>
              </w:rPr>
              <w:t>Total current liabilities</w:t>
            </w:r>
          </w:p>
        </w:tc>
        <w:tc>
          <w:tcPr>
            <w:tcW w:w="6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451,741</w:t>
            </w:r>
          </w:p>
        </w:tc>
        <w:tc>
          <w:tcPr>
            <w:tcW w:w="3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415,901</w:t>
            </w:r>
          </w:p>
        </w:tc>
      </w:tr>
      <w:tr>
        <w:trPr>
          <w:trHeight w:val="173"/>
        </w:trPr>
        <w:tc>
          <w:tcPr>
            <w:tcW w:w="7560" w:type="dxa"/>
            <w:vAlign w:val="bottom"/>
          </w:tcPr>
          <w:p>
            <w:pPr>
              <w:spacing w:after="0"/>
              <w:rPr>
                <w:sz w:val="20"/>
                <w:szCs w:val="20"/>
                <w:color w:val="auto"/>
              </w:rPr>
            </w:pPr>
            <w:r>
              <w:rPr>
                <w:rFonts w:ascii="Courier New" w:cs="Courier New" w:eastAsia="Courier New" w:hAnsi="Courier New"/>
                <w:sz w:val="15"/>
                <w:szCs w:val="15"/>
                <w:color w:val="auto"/>
              </w:rPr>
              <w:t>Convertible notes and long-term portion of capital lease obligations</w:t>
            </w:r>
          </w:p>
        </w:tc>
        <w:tc>
          <w:tcPr>
            <w:tcW w:w="6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523,183</w:t>
            </w:r>
          </w:p>
        </w:tc>
        <w:tc>
          <w:tcPr>
            <w:tcW w:w="3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23,417</w:t>
            </w:r>
          </w:p>
        </w:tc>
      </w:tr>
      <w:tr>
        <w:trPr>
          <w:trHeight w:val="173"/>
        </w:trPr>
        <w:tc>
          <w:tcPr>
            <w:tcW w:w="756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6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7,812</w:t>
            </w:r>
          </w:p>
        </w:tc>
        <w:tc>
          <w:tcPr>
            <w:tcW w:w="3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11,191</w:t>
            </w:r>
          </w:p>
        </w:tc>
      </w:tr>
      <w:tr>
        <w:trPr>
          <w:trHeight w:val="173"/>
        </w:trPr>
        <w:tc>
          <w:tcPr>
            <w:tcW w:w="7560" w:type="dxa"/>
            <w:vAlign w:val="bottom"/>
          </w:tcPr>
          <w:p>
            <w:pPr>
              <w:spacing w:after="0"/>
              <w:rPr>
                <w:sz w:val="20"/>
                <w:szCs w:val="20"/>
                <w:color w:val="auto"/>
              </w:rPr>
            </w:pPr>
            <w:r>
              <w:rPr>
                <w:rFonts w:ascii="Courier New" w:cs="Courier New" w:eastAsia="Courier New" w:hAnsi="Courier New"/>
                <w:sz w:val="15"/>
                <w:szCs w:val="15"/>
                <w:color w:val="auto"/>
              </w:rPr>
              <w:t>Other noncurrent liabilities</w:t>
            </w:r>
          </w:p>
        </w:tc>
        <w:tc>
          <w:tcPr>
            <w:tcW w:w="6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66,874</w:t>
            </w:r>
          </w:p>
        </w:tc>
        <w:tc>
          <w:tcPr>
            <w:tcW w:w="3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53,804</w:t>
            </w:r>
          </w:p>
        </w:tc>
      </w:tr>
      <w:tr>
        <w:trPr>
          <w:trHeight w:val="173"/>
        </w:trPr>
        <w:tc>
          <w:tcPr>
            <w:tcW w:w="7560" w:type="dxa"/>
            <w:vAlign w:val="bottom"/>
          </w:tcPr>
          <w:p>
            <w:pPr>
              <w:spacing w:after="0"/>
              <w:rPr>
                <w:sz w:val="15"/>
                <w:szCs w:val="15"/>
                <w:color w:val="auto"/>
              </w:rPr>
            </w:pPr>
          </w:p>
        </w:tc>
        <w:tc>
          <w:tcPr>
            <w:tcW w:w="1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7560" w:type="dxa"/>
            <w:vAlign w:val="bottom"/>
          </w:tcPr>
          <w:p>
            <w:pPr>
              <w:ind w:left="800"/>
              <w:spacing w:after="0"/>
              <w:rPr>
                <w:sz w:val="20"/>
                <w:szCs w:val="20"/>
                <w:color w:val="auto"/>
              </w:rPr>
            </w:pPr>
            <w:r>
              <w:rPr>
                <w:rFonts w:ascii="Courier New" w:cs="Courier New" w:eastAsia="Courier New" w:hAnsi="Courier New"/>
                <w:sz w:val="15"/>
                <w:szCs w:val="15"/>
                <w:color w:val="auto"/>
              </w:rPr>
              <w:t>Total liabilities</w:t>
            </w:r>
          </w:p>
        </w:tc>
        <w:tc>
          <w:tcPr>
            <w:tcW w:w="6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1,049,610</w:t>
            </w:r>
          </w:p>
        </w:tc>
        <w:tc>
          <w:tcPr>
            <w:tcW w:w="3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504,313</w:t>
            </w:r>
          </w:p>
        </w:tc>
      </w:tr>
      <w:tr>
        <w:trPr>
          <w:trHeight w:val="173"/>
        </w:trPr>
        <w:tc>
          <w:tcPr>
            <w:tcW w:w="7560" w:type="dxa"/>
            <w:vAlign w:val="bottom"/>
          </w:tcPr>
          <w:p>
            <w:pPr>
              <w:spacing w:after="0"/>
              <w:rPr>
                <w:sz w:val="15"/>
                <w:szCs w:val="15"/>
                <w:color w:val="auto"/>
              </w:rPr>
            </w:pPr>
          </w:p>
        </w:tc>
        <w:tc>
          <w:tcPr>
            <w:tcW w:w="1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75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7560" w:type="dxa"/>
            <w:vAlign w:val="bottom"/>
          </w:tcPr>
          <w:p>
            <w:pPr>
              <w:ind w:left="260"/>
              <w:spacing w:after="0"/>
              <w:rPr>
                <w:sz w:val="20"/>
                <w:szCs w:val="20"/>
                <w:color w:val="auto"/>
              </w:rPr>
            </w:pPr>
            <w:r>
              <w:rPr>
                <w:rFonts w:ascii="Courier New" w:cs="Courier New" w:eastAsia="Courier New" w:hAnsi="Courier New"/>
                <w:sz w:val="15"/>
                <w:szCs w:val="15"/>
                <w:color w:val="auto"/>
              </w:rPr>
              <w:t>Preferred Shares - Authorized 25,000 shares; Pounds 0.01 par value; 0 shares</w:t>
            </w:r>
          </w:p>
        </w:tc>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7560" w:type="dxa"/>
            <w:vAlign w:val="bottom"/>
          </w:tcPr>
          <w:p>
            <w:pPr>
              <w:ind w:left="440"/>
              <w:spacing w:after="0"/>
              <w:rPr>
                <w:sz w:val="20"/>
                <w:szCs w:val="20"/>
                <w:color w:val="auto"/>
              </w:rPr>
            </w:pPr>
            <w:r>
              <w:rPr>
                <w:rFonts w:ascii="Courier New" w:cs="Courier New" w:eastAsia="Courier New" w:hAnsi="Courier New"/>
                <w:sz w:val="15"/>
                <w:szCs w:val="15"/>
                <w:color w:val="auto"/>
              </w:rPr>
              <w:t>issued and outstanding</w:t>
            </w:r>
          </w:p>
        </w:tc>
        <w:tc>
          <w:tcPr>
            <w:tcW w:w="6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7560" w:type="dxa"/>
            <w:vAlign w:val="bottom"/>
          </w:tcPr>
          <w:p>
            <w:pPr>
              <w:ind w:left="260"/>
              <w:spacing w:after="0"/>
              <w:rPr>
                <w:sz w:val="20"/>
                <w:szCs w:val="20"/>
                <w:color w:val="auto"/>
              </w:rPr>
            </w:pPr>
            <w:r>
              <w:rPr>
                <w:rFonts w:ascii="Courier New" w:cs="Courier New" w:eastAsia="Courier New" w:hAnsi="Courier New"/>
                <w:sz w:val="15"/>
                <w:szCs w:val="15"/>
                <w:color w:val="auto"/>
              </w:rPr>
              <w:t>Ordinary Shares - Authorized 550,000 shares; Pounds 0.01 par value; 222,486</w:t>
            </w:r>
          </w:p>
        </w:tc>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7560" w:type="dxa"/>
            <w:vAlign w:val="bottom"/>
          </w:tcPr>
          <w:p>
            <w:pPr>
              <w:ind w:left="440"/>
              <w:spacing w:after="0"/>
              <w:rPr>
                <w:sz w:val="20"/>
                <w:szCs w:val="20"/>
                <w:color w:val="auto"/>
              </w:rPr>
            </w:pPr>
            <w:r>
              <w:rPr>
                <w:rFonts w:ascii="Courier New" w:cs="Courier New" w:eastAsia="Courier New" w:hAnsi="Courier New"/>
                <w:sz w:val="15"/>
                <w:szCs w:val="15"/>
                <w:color w:val="auto"/>
              </w:rPr>
              <w:t>and 221,165 outstanding, respectively</w:t>
            </w:r>
          </w:p>
        </w:tc>
        <w:tc>
          <w:tcPr>
            <w:tcW w:w="6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3,558</w:t>
            </w:r>
          </w:p>
        </w:tc>
        <w:tc>
          <w:tcPr>
            <w:tcW w:w="3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3,539</w:t>
            </w:r>
          </w:p>
        </w:tc>
      </w:tr>
      <w:tr>
        <w:trPr>
          <w:trHeight w:val="173"/>
        </w:trPr>
        <w:tc>
          <w:tcPr>
            <w:tcW w:w="7560" w:type="dxa"/>
            <w:vAlign w:val="bottom"/>
          </w:tcPr>
          <w:p>
            <w:pPr>
              <w:ind w:left="260"/>
              <w:spacing w:after="0"/>
              <w:rPr>
                <w:sz w:val="20"/>
                <w:szCs w:val="20"/>
                <w:color w:val="auto"/>
              </w:rPr>
            </w:pPr>
            <w:r>
              <w:rPr>
                <w:rFonts w:ascii="Courier New" w:cs="Courier New" w:eastAsia="Courier New" w:hAnsi="Courier New"/>
                <w:sz w:val="15"/>
                <w:szCs w:val="15"/>
                <w:color w:val="auto"/>
              </w:rPr>
              <w:t>Additional paid-in capital</w:t>
            </w:r>
          </w:p>
        </w:tc>
        <w:tc>
          <w:tcPr>
            <w:tcW w:w="6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1,803,597</w:t>
            </w:r>
          </w:p>
        </w:tc>
        <w:tc>
          <w:tcPr>
            <w:tcW w:w="3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1,784,816</w:t>
            </w:r>
          </w:p>
        </w:tc>
      </w:tr>
      <w:tr>
        <w:trPr>
          <w:trHeight w:val="173"/>
        </w:trPr>
        <w:tc>
          <w:tcPr>
            <w:tcW w:w="7560" w:type="dxa"/>
            <w:vAlign w:val="bottom"/>
          </w:tcPr>
          <w:p>
            <w:pPr>
              <w:ind w:left="260"/>
              <w:spacing w:after="0"/>
              <w:rPr>
                <w:sz w:val="20"/>
                <w:szCs w:val="20"/>
                <w:color w:val="auto"/>
              </w:rPr>
            </w:pPr>
            <w:r>
              <w:rPr>
                <w:rFonts w:ascii="Courier New" w:cs="Courier New" w:eastAsia="Courier New" w:hAnsi="Courier New"/>
                <w:sz w:val="15"/>
                <w:szCs w:val="15"/>
                <w:color w:val="auto"/>
              </w:rPr>
              <w:t>Accumulated other comprehensive income (loss)</w:t>
            </w:r>
          </w:p>
        </w:tc>
        <w:tc>
          <w:tcPr>
            <w:tcW w:w="6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(2,535)</w:t>
            </w:r>
          </w:p>
        </w:tc>
        <w:tc>
          <w:tcPr>
            <w:tcW w:w="3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1,159</w:t>
            </w:r>
          </w:p>
        </w:tc>
      </w:tr>
      <w:tr>
        <w:trPr>
          <w:trHeight w:val="173"/>
        </w:trPr>
        <w:tc>
          <w:tcPr>
            <w:tcW w:w="7560" w:type="dxa"/>
            <w:vAlign w:val="bottom"/>
          </w:tcPr>
          <w:p>
            <w:pPr>
              <w:ind w:left="260"/>
              <w:spacing w:after="0"/>
              <w:rPr>
                <w:sz w:val="20"/>
                <w:szCs w:val="20"/>
                <w:color w:val="auto"/>
              </w:rPr>
            </w:pPr>
            <w:r>
              <w:rPr>
                <w:rFonts w:ascii="Courier New" w:cs="Courier New" w:eastAsia="Courier New" w:hAnsi="Courier New"/>
                <w:sz w:val="15"/>
                <w:szCs w:val="15"/>
                <w:color w:val="auto"/>
              </w:rPr>
              <w:t>Unearned compensation</w:t>
            </w:r>
          </w:p>
        </w:tc>
        <w:tc>
          <w:tcPr>
            <w:tcW w:w="6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(370)</w:t>
            </w:r>
          </w:p>
        </w:tc>
        <w:tc>
          <w:tcPr>
            <w:tcW w:w="32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(1,164)</w:t>
            </w:r>
          </w:p>
        </w:tc>
      </w:tr>
      <w:tr>
        <w:trPr>
          <w:trHeight w:val="173"/>
        </w:trPr>
        <w:tc>
          <w:tcPr>
            <w:tcW w:w="7560" w:type="dxa"/>
            <w:vAlign w:val="bottom"/>
          </w:tcPr>
          <w:p>
            <w:pPr>
              <w:ind w:left="260"/>
              <w:spacing w:after="0"/>
              <w:rPr>
                <w:sz w:val="20"/>
                <w:szCs w:val="20"/>
                <w:color w:val="auto"/>
              </w:rPr>
            </w:pPr>
            <w:r>
              <w:rPr>
                <w:rFonts w:ascii="Courier New" w:cs="Courier New" w:eastAsia="Courier New" w:hAnsi="Courier New"/>
                <w:sz w:val="15"/>
                <w:szCs w:val="15"/>
                <w:color w:val="auto"/>
              </w:rPr>
              <w:t>Accumulated deficit</w:t>
            </w:r>
          </w:p>
        </w:tc>
        <w:tc>
          <w:tcPr>
            <w:tcW w:w="6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(311,097)</w:t>
            </w:r>
          </w:p>
        </w:tc>
        <w:tc>
          <w:tcPr>
            <w:tcW w:w="32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(357,578)</w:t>
            </w:r>
          </w:p>
        </w:tc>
      </w:tr>
      <w:tr>
        <w:trPr>
          <w:trHeight w:val="173"/>
        </w:trPr>
        <w:tc>
          <w:tcPr>
            <w:tcW w:w="7560" w:type="dxa"/>
            <w:vAlign w:val="bottom"/>
          </w:tcPr>
          <w:p>
            <w:pPr>
              <w:spacing w:after="0"/>
              <w:rPr>
                <w:sz w:val="15"/>
                <w:szCs w:val="15"/>
                <w:color w:val="auto"/>
              </w:rPr>
            </w:pPr>
          </w:p>
        </w:tc>
        <w:tc>
          <w:tcPr>
            <w:tcW w:w="1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7560" w:type="dxa"/>
            <w:vAlign w:val="bottom"/>
          </w:tcPr>
          <w:p>
            <w:pPr>
              <w:ind w:left="800"/>
              <w:spacing w:after="0"/>
              <w:rPr>
                <w:sz w:val="20"/>
                <w:szCs w:val="20"/>
                <w:color w:val="auto"/>
              </w:rPr>
            </w:pPr>
            <w:r>
              <w:rPr>
                <w:rFonts w:ascii="Courier New" w:cs="Courier New" w:eastAsia="Courier New" w:hAnsi="Courier New"/>
                <w:sz w:val="15"/>
                <w:szCs w:val="15"/>
                <w:color w:val="auto"/>
              </w:rPr>
              <w:t>Total shareholders' equity</w:t>
            </w:r>
          </w:p>
        </w:tc>
        <w:tc>
          <w:tcPr>
            <w:tcW w:w="6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1,493,153</w:t>
            </w:r>
          </w:p>
        </w:tc>
        <w:tc>
          <w:tcPr>
            <w:tcW w:w="3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1,430,772</w:t>
            </w:r>
          </w:p>
        </w:tc>
      </w:tr>
      <w:tr>
        <w:trPr>
          <w:trHeight w:val="173"/>
        </w:trPr>
        <w:tc>
          <w:tcPr>
            <w:tcW w:w="7560" w:type="dxa"/>
            <w:vAlign w:val="bottom"/>
          </w:tcPr>
          <w:p>
            <w:pPr>
              <w:spacing w:after="0"/>
              <w:rPr>
                <w:sz w:val="15"/>
                <w:szCs w:val="15"/>
                <w:color w:val="auto"/>
              </w:rPr>
            </w:pPr>
          </w:p>
        </w:tc>
        <w:tc>
          <w:tcPr>
            <w:tcW w:w="1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7560" w:type="dxa"/>
            <w:vAlign w:val="bottom"/>
          </w:tcPr>
          <w:p>
            <w:pPr>
              <w:ind w:left="80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64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2,542,763</w:t>
            </w:r>
          </w:p>
        </w:tc>
        <w:tc>
          <w:tcPr>
            <w:tcW w:w="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1,935,085</w:t>
            </w:r>
          </w:p>
        </w:tc>
      </w:tr>
      <w:tr>
        <w:trPr>
          <w:trHeight w:val="173"/>
        </w:trPr>
        <w:tc>
          <w:tcPr>
            <w:tcW w:w="7560" w:type="dxa"/>
            <w:vAlign w:val="bottom"/>
          </w:tcPr>
          <w:p>
            <w:pPr>
              <w:spacing w:after="0"/>
              <w:rPr>
                <w:sz w:val="15"/>
                <w:szCs w:val="15"/>
                <w:color w:val="auto"/>
              </w:rPr>
            </w:pPr>
          </w:p>
        </w:tc>
        <w:tc>
          <w:tcPr>
            <w:tcW w:w="1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See Note 2.</w:t>
      </w:r>
    </w:p>
    <w:p>
      <w:pPr>
        <w:spacing w:after="0" w:line="200" w:lineRule="exact"/>
        <w:rPr>
          <w:sz w:val="20"/>
          <w:szCs w:val="20"/>
          <w:color w:val="auto"/>
        </w:rPr>
      </w:pPr>
    </w:p>
    <w:p>
      <w:pPr>
        <w:spacing w:after="0" w:line="324"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See accompanying notes</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720"/>
          </w:cols>
          <w:pgMar w:left="240" w:top="291" w:right="939"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17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CONSOLIDATED STATEMENTS OF OPERATIONS (UNAUDITED)</w:t>
      </w:r>
    </w:p>
    <w:p>
      <w:pPr>
        <w:spacing w:after="0" w:line="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0"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4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0" w:type="dxa"/>
            <w:vAlign w:val="bottom"/>
            <w:gridSpan w:val="3"/>
          </w:tcPr>
          <w:p>
            <w:pPr>
              <w:jc w:val="right"/>
              <w:ind w:right="425"/>
              <w:spacing w:after="0"/>
              <w:rPr>
                <w:sz w:val="20"/>
                <w:szCs w:val="20"/>
                <w:color w:val="auto"/>
              </w:rPr>
            </w:pPr>
            <w:r>
              <w:rPr>
                <w:rFonts w:ascii="Courier New" w:cs="Courier New" w:eastAsia="Courier New" w:hAnsi="Courier New"/>
                <w:sz w:val="15"/>
                <w:szCs w:val="15"/>
                <w:color w:val="auto"/>
              </w:rPr>
              <w:t>THREE MONTHS ENDED</w:t>
            </w:r>
          </w:p>
        </w:tc>
        <w:tc>
          <w:tcPr>
            <w:tcW w:w="220" w:type="dxa"/>
            <w:vAlign w:val="bottom"/>
          </w:tcPr>
          <w:p>
            <w:pPr>
              <w:spacing w:after="0"/>
              <w:rPr>
                <w:sz w:val="14"/>
                <w:szCs w:val="14"/>
                <w:color w:val="auto"/>
              </w:rPr>
            </w:pPr>
          </w:p>
        </w:tc>
        <w:tc>
          <w:tcPr>
            <w:tcW w:w="216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NINE MONTHS ENDED</w:t>
            </w:r>
          </w:p>
        </w:tc>
      </w:tr>
      <w:tr>
        <w:trPr>
          <w:trHeight w:val="173"/>
        </w:trPr>
        <w:tc>
          <w:tcPr>
            <w:tcW w:w="4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30,</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30,</w:t>
            </w:r>
          </w:p>
        </w:tc>
        <w:tc>
          <w:tcPr>
            <w:tcW w:w="760" w:type="dxa"/>
            <w:vAlign w:val="bottom"/>
          </w:tcPr>
          <w:p>
            <w:pPr>
              <w:spacing w:after="0"/>
              <w:rPr>
                <w:sz w:val="15"/>
                <w:szCs w:val="15"/>
                <w:color w:val="auto"/>
              </w:rPr>
            </w:pPr>
          </w:p>
        </w:tc>
      </w:tr>
      <w:tr>
        <w:trPr>
          <w:trHeight w:val="173"/>
        </w:trPr>
        <w:tc>
          <w:tcPr>
            <w:tcW w:w="4100" w:type="dxa"/>
            <w:vAlign w:val="bottom"/>
          </w:tcPr>
          <w:p>
            <w:pPr>
              <w:spacing w:after="0"/>
              <w:rPr>
                <w:sz w:val="15"/>
                <w:szCs w:val="15"/>
                <w:color w:val="auto"/>
              </w:rPr>
            </w:pPr>
          </w:p>
        </w:tc>
        <w:tc>
          <w:tcPr>
            <w:tcW w:w="2800" w:type="dxa"/>
            <w:vAlign w:val="bottom"/>
            <w:gridSpan w:val="4"/>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2001</w:t>
            </w:r>
          </w:p>
        </w:tc>
        <w:tc>
          <w:tcPr>
            <w:tcW w:w="400" w:type="dxa"/>
            <w:vAlign w:val="bottom"/>
          </w:tcPr>
          <w:p>
            <w:pPr>
              <w:spacing w:after="0"/>
              <w:rPr>
                <w:sz w:val="15"/>
                <w:szCs w:val="15"/>
                <w:color w:val="auto"/>
              </w:rPr>
            </w:pPr>
          </w:p>
        </w:tc>
        <w:tc>
          <w:tcPr>
            <w:tcW w:w="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5"/>
                <w:szCs w:val="15"/>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2001</w:t>
            </w:r>
          </w:p>
        </w:tc>
        <w:tc>
          <w:tcPr>
            <w:tcW w:w="400" w:type="dxa"/>
            <w:vAlign w:val="bottom"/>
          </w:tcPr>
          <w:p>
            <w:pPr>
              <w:spacing w:after="0"/>
              <w:rPr>
                <w:sz w:val="15"/>
                <w:szCs w:val="15"/>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4100" w:type="dxa"/>
            <w:vAlign w:val="bottom"/>
          </w:tcPr>
          <w:p>
            <w:pPr>
              <w:spacing w:after="0"/>
              <w:rPr>
                <w:sz w:val="15"/>
                <w:szCs w:val="15"/>
                <w:color w:val="auto"/>
              </w:rPr>
            </w:pPr>
          </w:p>
        </w:tc>
        <w:tc>
          <w:tcPr>
            <w:tcW w:w="15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1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License (*)</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48,504</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32,663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129,870</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89,606</w:t>
            </w:r>
          </w:p>
        </w:tc>
      </w:tr>
      <w:tr>
        <w:trPr>
          <w:trHeight w:val="173"/>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Service (*)</w:t>
            </w:r>
          </w:p>
        </w:tc>
        <w:tc>
          <w:tcPr>
            <w:tcW w:w="60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355,503</w:t>
            </w:r>
          </w:p>
        </w:tc>
        <w:tc>
          <w:tcPr>
            <w:tcW w:w="40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264,339</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988,593</w:t>
            </w:r>
          </w:p>
        </w:tc>
        <w:tc>
          <w:tcPr>
            <w:tcW w:w="40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713,647</w:t>
            </w:r>
          </w:p>
        </w:tc>
      </w:tr>
      <w:tr>
        <w:trPr>
          <w:trHeight w:val="173"/>
        </w:trPr>
        <w:tc>
          <w:tcPr>
            <w:tcW w:w="4100" w:type="dxa"/>
            <w:vAlign w:val="bottom"/>
          </w:tcPr>
          <w:p>
            <w:pPr>
              <w:spacing w:after="0"/>
              <w:rPr>
                <w:sz w:val="15"/>
                <w:szCs w:val="15"/>
                <w:color w:val="auto"/>
              </w:rPr>
            </w:pPr>
          </w:p>
        </w:tc>
        <w:tc>
          <w:tcPr>
            <w:tcW w:w="15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404,007</w:t>
            </w:r>
          </w:p>
        </w:tc>
        <w:tc>
          <w:tcPr>
            <w:tcW w:w="40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297,002</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1,118,463</w:t>
            </w:r>
          </w:p>
        </w:tc>
        <w:tc>
          <w:tcPr>
            <w:tcW w:w="40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803,253</w:t>
            </w:r>
          </w:p>
        </w:tc>
      </w:tr>
      <w:tr>
        <w:trPr>
          <w:trHeight w:val="173"/>
        </w:trPr>
        <w:tc>
          <w:tcPr>
            <w:tcW w:w="4100" w:type="dxa"/>
            <w:vAlign w:val="bottom"/>
          </w:tcPr>
          <w:p>
            <w:pPr>
              <w:spacing w:after="0"/>
              <w:rPr>
                <w:sz w:val="15"/>
                <w:szCs w:val="15"/>
                <w:color w:val="auto"/>
              </w:rPr>
            </w:pPr>
          </w:p>
        </w:tc>
        <w:tc>
          <w:tcPr>
            <w:tcW w:w="15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Cost of license</w:t>
            </w:r>
          </w:p>
        </w:tc>
        <w:tc>
          <w:tcPr>
            <w:tcW w:w="60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1,772</w:t>
            </w:r>
          </w:p>
        </w:tc>
        <w:tc>
          <w:tcPr>
            <w:tcW w:w="40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1,715</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4,725</w:t>
            </w:r>
          </w:p>
        </w:tc>
        <w:tc>
          <w:tcPr>
            <w:tcW w:w="40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4,346</w:t>
            </w:r>
          </w:p>
        </w:tc>
      </w:tr>
      <w:tr>
        <w:trPr>
          <w:trHeight w:val="173"/>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Cost of service (*)</w:t>
            </w:r>
          </w:p>
        </w:tc>
        <w:tc>
          <w:tcPr>
            <w:tcW w:w="60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220,834</w:t>
            </w:r>
          </w:p>
        </w:tc>
        <w:tc>
          <w:tcPr>
            <w:tcW w:w="40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167,686</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618,776</w:t>
            </w:r>
          </w:p>
        </w:tc>
        <w:tc>
          <w:tcPr>
            <w:tcW w:w="40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462,425</w:t>
            </w:r>
          </w:p>
        </w:tc>
      </w:tr>
      <w:tr>
        <w:trPr>
          <w:trHeight w:val="173"/>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60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28,003</w:t>
            </w:r>
          </w:p>
        </w:tc>
        <w:tc>
          <w:tcPr>
            <w:tcW w:w="40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20,275</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76,734</w:t>
            </w:r>
          </w:p>
        </w:tc>
        <w:tc>
          <w:tcPr>
            <w:tcW w:w="40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52,958</w:t>
            </w:r>
          </w:p>
        </w:tc>
      </w:tr>
      <w:tr>
        <w:trPr>
          <w:trHeight w:val="173"/>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 administrative (*)</w:t>
            </w:r>
          </w:p>
        </w:tc>
        <w:tc>
          <w:tcPr>
            <w:tcW w:w="60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52,727</w:t>
            </w:r>
          </w:p>
        </w:tc>
        <w:tc>
          <w:tcPr>
            <w:tcW w:w="40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37,321</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144,344</w:t>
            </w:r>
          </w:p>
        </w:tc>
        <w:tc>
          <w:tcPr>
            <w:tcW w:w="40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97,868</w:t>
            </w:r>
          </w:p>
        </w:tc>
      </w:tr>
      <w:tr>
        <w:trPr>
          <w:trHeight w:val="173"/>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goodwill and purchased</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100" w:type="dxa"/>
            <w:vAlign w:val="bottom"/>
          </w:tcPr>
          <w:p>
            <w:pPr>
              <w:ind w:left="460"/>
              <w:spacing w:after="0"/>
              <w:rPr>
                <w:sz w:val="20"/>
                <w:szCs w:val="20"/>
                <w:color w:val="auto"/>
              </w:rPr>
            </w:pPr>
            <w:r>
              <w:rPr>
                <w:rFonts w:ascii="Courier New" w:cs="Courier New" w:eastAsia="Courier New" w:hAnsi="Courier New"/>
                <w:sz w:val="15"/>
                <w:szCs w:val="15"/>
                <w:color w:val="auto"/>
              </w:rPr>
              <w:t>intangible assets</w:t>
            </w:r>
          </w:p>
        </w:tc>
        <w:tc>
          <w:tcPr>
            <w:tcW w:w="60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55,807</w:t>
            </w:r>
          </w:p>
        </w:tc>
        <w:tc>
          <w:tcPr>
            <w:tcW w:w="40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54,070</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164,131</w:t>
            </w:r>
          </w:p>
        </w:tc>
        <w:tc>
          <w:tcPr>
            <w:tcW w:w="40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56,870</w:t>
            </w:r>
          </w:p>
        </w:tc>
      </w:tr>
      <w:tr>
        <w:trPr>
          <w:trHeight w:val="173"/>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In-process research and development</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100" w:type="dxa"/>
            <w:vAlign w:val="bottom"/>
          </w:tcPr>
          <w:p>
            <w:pPr>
              <w:ind w:left="460"/>
              <w:spacing w:after="0"/>
              <w:rPr>
                <w:sz w:val="20"/>
                <w:szCs w:val="20"/>
                <w:color w:val="auto"/>
              </w:rPr>
            </w:pPr>
            <w:r>
              <w:rPr>
                <w:rFonts w:ascii="Courier New" w:cs="Courier New" w:eastAsia="Courier New" w:hAnsi="Courier New"/>
                <w:sz w:val="15"/>
                <w:szCs w:val="15"/>
                <w:color w:val="auto"/>
              </w:rPr>
              <w:t>expenses and other indirect</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100" w:type="dxa"/>
            <w:vAlign w:val="bottom"/>
          </w:tcPr>
          <w:p>
            <w:pPr>
              <w:ind w:left="460"/>
              <w:spacing w:after="0"/>
              <w:rPr>
                <w:sz w:val="20"/>
                <w:szCs w:val="20"/>
                <w:color w:val="auto"/>
              </w:rPr>
            </w:pPr>
            <w:r>
              <w:rPr>
                <w:rFonts w:ascii="Courier New" w:cs="Courier New" w:eastAsia="Courier New" w:hAnsi="Courier New"/>
                <w:sz w:val="15"/>
                <w:szCs w:val="15"/>
                <w:color w:val="auto"/>
              </w:rPr>
              <w:t>acquisition related costs</w:t>
            </w:r>
          </w:p>
        </w:tc>
        <w:tc>
          <w:tcPr>
            <w:tcW w:w="60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55,741</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75,617</w:t>
            </w:r>
          </w:p>
        </w:tc>
      </w:tr>
      <w:tr>
        <w:trPr>
          <w:trHeight w:val="173"/>
        </w:trPr>
        <w:tc>
          <w:tcPr>
            <w:tcW w:w="4100" w:type="dxa"/>
            <w:vAlign w:val="bottom"/>
          </w:tcPr>
          <w:p>
            <w:pPr>
              <w:spacing w:after="0"/>
              <w:rPr>
                <w:sz w:val="15"/>
                <w:szCs w:val="15"/>
                <w:color w:val="auto"/>
              </w:rPr>
            </w:pPr>
          </w:p>
        </w:tc>
        <w:tc>
          <w:tcPr>
            <w:tcW w:w="15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359,143</w:t>
            </w:r>
          </w:p>
        </w:tc>
        <w:tc>
          <w:tcPr>
            <w:tcW w:w="40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336,808</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1,008,710</w:t>
            </w:r>
          </w:p>
        </w:tc>
        <w:tc>
          <w:tcPr>
            <w:tcW w:w="40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750,084</w:t>
            </w:r>
          </w:p>
        </w:tc>
      </w:tr>
      <w:tr>
        <w:trPr>
          <w:trHeight w:val="173"/>
        </w:trPr>
        <w:tc>
          <w:tcPr>
            <w:tcW w:w="4100" w:type="dxa"/>
            <w:vAlign w:val="bottom"/>
          </w:tcPr>
          <w:p>
            <w:pPr>
              <w:spacing w:after="0"/>
              <w:rPr>
                <w:sz w:val="15"/>
                <w:szCs w:val="15"/>
                <w:color w:val="auto"/>
              </w:rPr>
            </w:pPr>
          </w:p>
        </w:tc>
        <w:tc>
          <w:tcPr>
            <w:tcW w:w="15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60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44,864</w:t>
            </w:r>
          </w:p>
        </w:tc>
        <w:tc>
          <w:tcPr>
            <w:tcW w:w="40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(39,806)</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109,753</w:t>
            </w:r>
          </w:p>
        </w:tc>
        <w:tc>
          <w:tcPr>
            <w:tcW w:w="40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53,169</w:t>
            </w: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60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5,228</w:t>
            </w:r>
          </w:p>
        </w:tc>
        <w:tc>
          <w:tcPr>
            <w:tcW w:w="40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3,355</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15,885</w:t>
            </w:r>
          </w:p>
        </w:tc>
        <w:tc>
          <w:tcPr>
            <w:tcW w:w="40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6,018</w:t>
            </w:r>
          </w:p>
        </w:tc>
      </w:tr>
      <w:tr>
        <w:trPr>
          <w:trHeight w:val="173"/>
        </w:trPr>
        <w:tc>
          <w:tcPr>
            <w:tcW w:w="4100" w:type="dxa"/>
            <w:vAlign w:val="bottom"/>
          </w:tcPr>
          <w:p>
            <w:pPr>
              <w:spacing w:after="0"/>
              <w:rPr>
                <w:sz w:val="15"/>
                <w:szCs w:val="15"/>
                <w:color w:val="auto"/>
              </w:rPr>
            </w:pPr>
          </w:p>
        </w:tc>
        <w:tc>
          <w:tcPr>
            <w:tcW w:w="15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60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50,092</w:t>
            </w:r>
          </w:p>
        </w:tc>
        <w:tc>
          <w:tcPr>
            <w:tcW w:w="40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(36,451)</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125,638</w:t>
            </w:r>
          </w:p>
        </w:tc>
        <w:tc>
          <w:tcPr>
            <w:tcW w:w="40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59,187</w:t>
            </w: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60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31,600</w:t>
            </w:r>
          </w:p>
        </w:tc>
        <w:tc>
          <w:tcPr>
            <w:tcW w:w="40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30,708</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79,157</w:t>
            </w:r>
          </w:p>
        </w:tc>
        <w:tc>
          <w:tcPr>
            <w:tcW w:w="40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66,202</w:t>
            </w:r>
          </w:p>
        </w:tc>
      </w:tr>
      <w:tr>
        <w:trPr>
          <w:trHeight w:val="173"/>
        </w:trPr>
        <w:tc>
          <w:tcPr>
            <w:tcW w:w="4100" w:type="dxa"/>
            <w:vAlign w:val="bottom"/>
          </w:tcPr>
          <w:p>
            <w:pPr>
              <w:spacing w:after="0"/>
              <w:rPr>
                <w:sz w:val="15"/>
                <w:szCs w:val="15"/>
                <w:color w:val="auto"/>
              </w:rPr>
            </w:pPr>
          </w:p>
        </w:tc>
        <w:tc>
          <w:tcPr>
            <w:tcW w:w="15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18,492</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(67,159)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46,481</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(7,015)</w:t>
            </w:r>
          </w:p>
        </w:tc>
      </w:tr>
      <w:tr>
        <w:trPr>
          <w:trHeight w:val="173"/>
        </w:trPr>
        <w:tc>
          <w:tcPr>
            <w:tcW w:w="4100" w:type="dxa"/>
            <w:vAlign w:val="bottom"/>
          </w:tcPr>
          <w:p>
            <w:pPr>
              <w:spacing w:after="0"/>
              <w:rPr>
                <w:sz w:val="15"/>
                <w:szCs w:val="15"/>
                <w:color w:val="auto"/>
              </w:rPr>
            </w:pPr>
          </w:p>
        </w:tc>
        <w:tc>
          <w:tcPr>
            <w:tcW w:w="15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10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0.08</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0.21</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r>
      <w:tr>
        <w:trPr>
          <w:trHeight w:val="173"/>
        </w:trPr>
        <w:tc>
          <w:tcPr>
            <w:tcW w:w="4100" w:type="dxa"/>
            <w:vAlign w:val="bottom"/>
          </w:tcPr>
          <w:p>
            <w:pPr>
              <w:spacing w:after="0"/>
              <w:rPr>
                <w:sz w:val="15"/>
                <w:szCs w:val="15"/>
                <w:color w:val="auto"/>
              </w:rPr>
            </w:pPr>
          </w:p>
        </w:tc>
        <w:tc>
          <w:tcPr>
            <w:tcW w:w="15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0.08</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0.20</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r>
      <w:tr>
        <w:trPr>
          <w:trHeight w:val="173"/>
        </w:trPr>
        <w:tc>
          <w:tcPr>
            <w:tcW w:w="4100" w:type="dxa"/>
            <w:vAlign w:val="bottom"/>
          </w:tcPr>
          <w:p>
            <w:pPr>
              <w:spacing w:after="0"/>
              <w:rPr>
                <w:sz w:val="15"/>
                <w:szCs w:val="15"/>
                <w:color w:val="auto"/>
              </w:rPr>
            </w:pPr>
          </w:p>
        </w:tc>
        <w:tc>
          <w:tcPr>
            <w:tcW w:w="15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10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4100" w:type="dxa"/>
            <w:vAlign w:val="bottom"/>
          </w:tcPr>
          <w:p>
            <w:pPr>
              <w:ind w:left="460"/>
              <w:spacing w:after="0"/>
              <w:rPr>
                <w:sz w:val="20"/>
                <w:szCs w:val="20"/>
                <w:color w:val="auto"/>
              </w:rPr>
            </w:pPr>
            <w:r>
              <w:rPr>
                <w:rFonts w:ascii="Courier New" w:cs="Courier New" w:eastAsia="Courier New" w:hAnsi="Courier New"/>
                <w:sz w:val="15"/>
                <w:szCs w:val="15"/>
                <w:color w:val="auto"/>
              </w:rPr>
              <w:t>Outstanding</w:t>
            </w:r>
          </w:p>
        </w:tc>
        <w:tc>
          <w:tcPr>
            <w:tcW w:w="60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222,349</w:t>
            </w:r>
          </w:p>
        </w:tc>
        <w:tc>
          <w:tcPr>
            <w:tcW w:w="40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219,962</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221,814</w:t>
            </w:r>
          </w:p>
        </w:tc>
        <w:tc>
          <w:tcPr>
            <w:tcW w:w="40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208,706</w:t>
            </w:r>
          </w:p>
        </w:tc>
      </w:tr>
      <w:tr>
        <w:trPr>
          <w:trHeight w:val="173"/>
        </w:trPr>
        <w:tc>
          <w:tcPr>
            <w:tcW w:w="4100" w:type="dxa"/>
            <w:vAlign w:val="bottom"/>
          </w:tcPr>
          <w:p>
            <w:pPr>
              <w:spacing w:after="0"/>
              <w:rPr>
                <w:sz w:val="15"/>
                <w:szCs w:val="15"/>
                <w:color w:val="auto"/>
              </w:rPr>
            </w:pPr>
          </w:p>
        </w:tc>
        <w:tc>
          <w:tcPr>
            <w:tcW w:w="15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100" w:type="dxa"/>
            <w:vAlign w:val="bottom"/>
          </w:tcPr>
          <w:p>
            <w:pPr>
              <w:ind w:left="460"/>
              <w:spacing w:after="0"/>
              <w:rPr>
                <w:sz w:val="20"/>
                <w:szCs w:val="20"/>
                <w:color w:val="auto"/>
              </w:rPr>
            </w:pPr>
            <w:r>
              <w:rPr>
                <w:rFonts w:ascii="Courier New" w:cs="Courier New" w:eastAsia="Courier New" w:hAnsi="Courier New"/>
                <w:sz w:val="15"/>
                <w:szCs w:val="15"/>
                <w:color w:val="auto"/>
              </w:rPr>
              <w:t>shares outstanding</w:t>
            </w:r>
          </w:p>
        </w:tc>
        <w:tc>
          <w:tcPr>
            <w:tcW w:w="60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226,942</w:t>
            </w:r>
          </w:p>
        </w:tc>
        <w:tc>
          <w:tcPr>
            <w:tcW w:w="40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219,962</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226,961</w:t>
            </w:r>
          </w:p>
        </w:tc>
        <w:tc>
          <w:tcPr>
            <w:tcW w:w="40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208,706</w:t>
            </w:r>
          </w:p>
        </w:tc>
      </w:tr>
      <w:tr>
        <w:trPr>
          <w:trHeight w:val="173"/>
        </w:trPr>
        <w:tc>
          <w:tcPr>
            <w:tcW w:w="4100" w:type="dxa"/>
            <w:vAlign w:val="bottom"/>
          </w:tcPr>
          <w:p>
            <w:pPr>
              <w:spacing w:after="0"/>
              <w:rPr>
                <w:sz w:val="15"/>
                <w:szCs w:val="15"/>
                <w:color w:val="auto"/>
              </w:rPr>
            </w:pPr>
          </w:p>
        </w:tc>
        <w:tc>
          <w:tcPr>
            <w:tcW w:w="15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w:t>
        <w:tab/>
        <w:t>See Note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See accompanying notes</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1" w:right="1440" w:bottom="1440" w:gutter="0" w:footer="0" w:header="0"/>
        </w:sectPr>
      </w:pPr>
    </w:p>
    <w:bookmarkStart w:id="4" w:name="page5"/>
    <w:bookmarkEnd w:id="4"/>
    <w:p>
      <w:pPr>
        <w:ind w:left="180"/>
        <w:spacing w:after="0"/>
        <w:rPr>
          <w:sz w:val="20"/>
          <w:szCs w:val="20"/>
          <w:color w:val="auto"/>
        </w:rPr>
      </w:pPr>
      <w:r>
        <w:rPr>
          <w:rFonts w:ascii="Courier New" w:cs="Courier New" w:eastAsia="Courier New" w:hAnsi="Courier New"/>
          <w:sz w:val="15"/>
          <w:szCs w:val="15"/>
          <w:color w:val="auto"/>
        </w:rPr>
        <w:t>5</w:t>
      </w:r>
    </w:p>
    <w:p>
      <w:pPr>
        <w:spacing w:after="0" w:line="3"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5"/>
          <w:szCs w:val="15"/>
          <w:color w:val="auto"/>
        </w:rPr>
        <w:t>AMDOCS LIMITED</w:t>
      </w:r>
    </w:p>
    <w:p>
      <w:pPr>
        <w:spacing w:after="0" w:line="177" w:lineRule="exact"/>
        <w:rPr>
          <w:sz w:val="20"/>
          <w:szCs w:val="20"/>
          <w:color w:val="auto"/>
        </w:rPr>
      </w:pPr>
    </w:p>
    <w:p>
      <w:pPr>
        <w:jc w:val="center"/>
        <w:ind w:right="4320"/>
        <w:spacing w:after="0"/>
        <w:rPr>
          <w:sz w:val="20"/>
          <w:szCs w:val="20"/>
          <w:color w:val="auto"/>
        </w:rPr>
      </w:pPr>
      <w:r>
        <w:rPr>
          <w:rFonts w:ascii="Courier New" w:cs="Courier New" w:eastAsia="Courier New" w:hAnsi="Courier New"/>
          <w:sz w:val="15"/>
          <w:szCs w:val="15"/>
          <w:color w:val="auto"/>
        </w:rPr>
        <w:t>CONSOLIDATED STATEMENT OF CHANGES IN SHAREHOLDERS' EQUITY (UNAUDITED)</w:t>
      </w:r>
    </w:p>
    <w:p>
      <w:pPr>
        <w:spacing w:after="0" w:line="3"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5"/>
          <w:szCs w:val="15"/>
          <w:color w:val="auto"/>
        </w:rPr>
        <w:t>(in thousands)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248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ORDINARY SHARES</w:t>
            </w:r>
          </w:p>
        </w:tc>
        <w:tc>
          <w:tcPr>
            <w:tcW w:w="13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3"/>
        </w:trPr>
        <w:tc>
          <w:tcPr>
            <w:tcW w:w="2220" w:type="dxa"/>
            <w:vAlign w:val="bottom"/>
          </w:tcPr>
          <w:p>
            <w:pPr>
              <w:spacing w:after="0"/>
              <w:rPr>
                <w:sz w:val="15"/>
                <w:szCs w:val="15"/>
                <w:color w:val="auto"/>
              </w:rPr>
            </w:pPr>
          </w:p>
        </w:tc>
        <w:tc>
          <w:tcPr>
            <w:tcW w:w="24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ADDITIONAL</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OTHER</w:t>
            </w: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TOTAL</w:t>
            </w:r>
          </w:p>
        </w:tc>
      </w:tr>
      <w:tr>
        <w:trPr>
          <w:trHeight w:val="173"/>
        </w:trPr>
        <w:tc>
          <w:tcPr>
            <w:tcW w:w="2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PAID-IN</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COMPREHENSIVE</w:t>
            </w: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rPr>
              <w:t>UNEARNED</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ACCUMULATED</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SHAREHOLDERS'</w:t>
            </w:r>
          </w:p>
        </w:tc>
      </w:tr>
      <w:tr>
        <w:trPr>
          <w:trHeight w:val="173"/>
        </w:trPr>
        <w:tc>
          <w:tcPr>
            <w:tcW w:w="2220" w:type="dxa"/>
            <w:vAlign w:val="bottom"/>
          </w:tcPr>
          <w:p>
            <w:pPr>
              <w:spacing w:after="0"/>
              <w:rPr>
                <w:sz w:val="15"/>
                <w:szCs w:val="15"/>
                <w:color w:val="auto"/>
              </w:rPr>
            </w:pP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SHARES</w:t>
            </w:r>
          </w:p>
        </w:tc>
        <w:tc>
          <w:tcPr>
            <w:tcW w:w="12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AMOUNT</w:t>
            </w: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CAPITAL</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INCOME (LOSS)</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COMPENSATION</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DEFICIT</w:t>
            </w:r>
          </w:p>
        </w:tc>
        <w:tc>
          <w:tcPr>
            <w:tcW w:w="13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EQUITY</w:t>
            </w:r>
          </w:p>
        </w:tc>
      </w:tr>
      <w:tr>
        <w:trPr>
          <w:trHeight w:val="173"/>
        </w:trPr>
        <w:tc>
          <w:tcPr>
            <w:tcW w:w="2220" w:type="dxa"/>
            <w:vAlign w:val="bottom"/>
          </w:tcPr>
          <w:p>
            <w:pPr>
              <w:spacing w:after="0"/>
              <w:rPr>
                <w:sz w:val="15"/>
                <w:szCs w:val="15"/>
                <w:color w:val="auto"/>
              </w:rPr>
            </w:pP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347"/>
        </w:trPr>
        <w:tc>
          <w:tcPr>
            <w:tcW w:w="2220" w:type="dxa"/>
            <w:vAlign w:val="bottom"/>
          </w:tcPr>
          <w:p>
            <w:pPr>
              <w:spacing w:after="0"/>
              <w:rPr>
                <w:sz w:val="20"/>
                <w:szCs w:val="20"/>
                <w:color w:val="auto"/>
              </w:rPr>
            </w:pPr>
            <w:r>
              <w:rPr>
                <w:rFonts w:ascii="Courier New" w:cs="Courier New" w:eastAsia="Courier New" w:hAnsi="Courier New"/>
                <w:sz w:val="15"/>
                <w:szCs w:val="15"/>
                <w:color w:val="auto"/>
              </w:rPr>
              <w:t>Balance as of</w:t>
            </w: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3"/>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September 30, 2000</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221,165</w:t>
            </w:r>
          </w:p>
        </w:tc>
        <w:tc>
          <w:tcPr>
            <w:tcW w:w="12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$3,539</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$1,784,816</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1,159</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(1,164)</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(357,578)</w:t>
            </w:r>
          </w:p>
        </w:tc>
        <w:tc>
          <w:tcPr>
            <w:tcW w:w="13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$1,430,772</w:t>
            </w:r>
          </w:p>
        </w:tc>
      </w:tr>
      <w:tr>
        <w:trPr>
          <w:trHeight w:val="173"/>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46,481</w:t>
            </w:r>
          </w:p>
        </w:tc>
        <w:tc>
          <w:tcPr>
            <w:tcW w:w="13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46,481</w:t>
            </w:r>
          </w:p>
        </w:tc>
      </w:tr>
      <w:tr>
        <w:trPr>
          <w:trHeight w:val="173"/>
        </w:trPr>
        <w:tc>
          <w:tcPr>
            <w:tcW w:w="2220" w:type="dxa"/>
            <w:vAlign w:val="bottom"/>
          </w:tcPr>
          <w:p>
            <w:pPr>
              <w:spacing w:after="0"/>
              <w:rPr>
                <w:sz w:val="20"/>
                <w:szCs w:val="20"/>
                <w:color w:val="auto"/>
              </w:rPr>
            </w:pPr>
            <w:r>
              <w:rPr>
                <w:rFonts w:ascii="Courier New" w:cs="Courier New" w:eastAsia="Courier New" w:hAnsi="Courier New"/>
                <w:sz w:val="15"/>
                <w:szCs w:val="15"/>
                <w:color w:val="auto"/>
              </w:rPr>
              <w:t>Employee stock</w:t>
            </w: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3"/>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options exercised</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1,321</w:t>
            </w:r>
          </w:p>
        </w:tc>
        <w:tc>
          <w:tcPr>
            <w:tcW w:w="12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12,799</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12,818</w:t>
            </w:r>
          </w:p>
        </w:tc>
      </w:tr>
      <w:tr>
        <w:trPr>
          <w:trHeight w:val="173"/>
        </w:trPr>
        <w:tc>
          <w:tcPr>
            <w:tcW w:w="2220" w:type="dxa"/>
            <w:vAlign w:val="bottom"/>
          </w:tcPr>
          <w:p>
            <w:pPr>
              <w:spacing w:after="0"/>
              <w:rPr>
                <w:sz w:val="20"/>
                <w:szCs w:val="20"/>
                <w:color w:val="auto"/>
              </w:rPr>
            </w:pPr>
            <w:r>
              <w:rPr>
                <w:rFonts w:ascii="Courier New" w:cs="Courier New" w:eastAsia="Courier New" w:hAnsi="Courier New"/>
                <w:sz w:val="15"/>
                <w:szCs w:val="15"/>
                <w:color w:val="auto"/>
              </w:rPr>
              <w:t>Tax benefit of stock</w:t>
            </w: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3"/>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options exercised</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5,841</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5,841</w:t>
            </w:r>
          </w:p>
        </w:tc>
      </w:tr>
      <w:tr>
        <w:trPr>
          <w:trHeight w:val="173"/>
        </w:trPr>
        <w:tc>
          <w:tcPr>
            <w:tcW w:w="2220" w:type="dxa"/>
            <w:vAlign w:val="bottom"/>
          </w:tcPr>
          <w:p>
            <w:pPr>
              <w:spacing w:after="0"/>
              <w:rPr>
                <w:sz w:val="20"/>
                <w:szCs w:val="20"/>
                <w:color w:val="auto"/>
              </w:rPr>
            </w:pPr>
            <w:r>
              <w:rPr>
                <w:rFonts w:ascii="Courier New" w:cs="Courier New" w:eastAsia="Courier New" w:hAnsi="Courier New"/>
                <w:sz w:val="15"/>
                <w:szCs w:val="15"/>
                <w:color w:val="auto"/>
              </w:rPr>
              <w:t>Unrealized other</w:t>
            </w: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3"/>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comprehensive loss,</w:t>
            </w: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3"/>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net of $1,583 tax</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(3,694)</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(3,694)</w:t>
            </w:r>
          </w:p>
        </w:tc>
      </w:tr>
      <w:tr>
        <w:trPr>
          <w:trHeight w:val="173"/>
        </w:trPr>
        <w:tc>
          <w:tcPr>
            <w:tcW w:w="2220" w:type="dxa"/>
            <w:vAlign w:val="bottom"/>
          </w:tcPr>
          <w:p>
            <w:pPr>
              <w:spacing w:after="0"/>
              <w:rPr>
                <w:sz w:val="20"/>
                <w:szCs w:val="20"/>
                <w:color w:val="auto"/>
              </w:rPr>
            </w:pPr>
            <w:r>
              <w:rPr>
                <w:rFonts w:ascii="Courier New" w:cs="Courier New" w:eastAsia="Courier New" w:hAnsi="Courier New"/>
                <w:sz w:val="15"/>
                <w:szCs w:val="15"/>
                <w:color w:val="auto"/>
              </w:rPr>
              <w:t>Stock options granted</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141</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141</w:t>
            </w:r>
          </w:p>
        </w:tc>
      </w:tr>
      <w:tr>
        <w:trPr>
          <w:trHeight w:val="173"/>
        </w:trPr>
        <w:tc>
          <w:tcPr>
            <w:tcW w:w="2220" w:type="dxa"/>
            <w:vAlign w:val="bottom"/>
          </w:tcPr>
          <w:p>
            <w:pPr>
              <w:spacing w:after="0"/>
              <w:rPr>
                <w:sz w:val="20"/>
                <w:szCs w:val="20"/>
                <w:color w:val="auto"/>
              </w:rPr>
            </w:pPr>
            <w:r>
              <w:rPr>
                <w:rFonts w:ascii="Courier New" w:cs="Courier New" w:eastAsia="Courier New" w:hAnsi="Courier New"/>
                <w:sz w:val="15"/>
                <w:szCs w:val="15"/>
                <w:color w:val="auto"/>
              </w:rPr>
              <w:t>Amortization of</w:t>
            </w: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3"/>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unearned compensation</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794</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794</w:t>
            </w:r>
          </w:p>
        </w:tc>
      </w:tr>
      <w:tr>
        <w:trPr>
          <w:trHeight w:val="173"/>
        </w:trPr>
        <w:tc>
          <w:tcPr>
            <w:tcW w:w="2220" w:type="dxa"/>
            <w:vAlign w:val="bottom"/>
          </w:tcPr>
          <w:p>
            <w:pPr>
              <w:spacing w:after="0"/>
              <w:rPr>
                <w:sz w:val="15"/>
                <w:szCs w:val="15"/>
                <w:color w:val="auto"/>
              </w:rPr>
            </w:pP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3"/>
        </w:trPr>
        <w:tc>
          <w:tcPr>
            <w:tcW w:w="2220" w:type="dxa"/>
            <w:vAlign w:val="bottom"/>
          </w:tcPr>
          <w:p>
            <w:pPr>
              <w:spacing w:after="0"/>
              <w:rPr>
                <w:sz w:val="20"/>
                <w:szCs w:val="20"/>
                <w:color w:val="auto"/>
              </w:rPr>
            </w:pPr>
            <w:r>
              <w:rPr>
                <w:rFonts w:ascii="Courier New" w:cs="Courier New" w:eastAsia="Courier New" w:hAnsi="Courier New"/>
                <w:sz w:val="15"/>
                <w:szCs w:val="15"/>
                <w:color w:val="auto"/>
              </w:rPr>
              <w:t>Balance as of</w:t>
            </w: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3"/>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June 30, 2001</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222,486</w:t>
            </w:r>
          </w:p>
        </w:tc>
        <w:tc>
          <w:tcPr>
            <w:tcW w:w="12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$3,558</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$1,803,597</w:t>
            </w:r>
          </w:p>
        </w:tc>
        <w:tc>
          <w:tcPr>
            <w:tcW w:w="1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(2,535)</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(370)</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(311,097)</w:t>
            </w:r>
          </w:p>
        </w:tc>
        <w:tc>
          <w:tcPr>
            <w:tcW w:w="13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$1,493,153</w:t>
            </w:r>
          </w:p>
        </w:tc>
      </w:tr>
      <w:tr>
        <w:trPr>
          <w:trHeight w:val="173"/>
        </w:trPr>
        <w:tc>
          <w:tcPr>
            <w:tcW w:w="2220" w:type="dxa"/>
            <w:vAlign w:val="bottom"/>
          </w:tcPr>
          <w:p>
            <w:pPr>
              <w:spacing w:after="0"/>
              <w:rPr>
                <w:sz w:val="15"/>
                <w:szCs w:val="15"/>
                <w:color w:val="auto"/>
              </w:rPr>
            </w:pP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See accompanying notes</w:t>
      </w:r>
    </w:p>
    <w:p>
      <w:pPr>
        <w:spacing w:after="0" w:line="200" w:lineRule="exact"/>
        <w:rPr>
          <w:sz w:val="20"/>
          <w:szCs w:val="20"/>
          <w:color w:val="auto"/>
        </w:rPr>
      </w:pPr>
    </w:p>
    <w:p>
      <w:pPr>
        <w:spacing w:after="0" w:line="3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440"/>
          </w:cols>
          <w:pgMar w:left="320" w:top="291" w:right="139"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17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80" w:type="dxa"/>
            <w:vAlign w:val="bottom"/>
          </w:tcPr>
          <w:p>
            <w:pPr>
              <w:ind w:left="2960"/>
              <w:spacing w:after="0"/>
              <w:rPr>
                <w:sz w:val="20"/>
                <w:szCs w:val="20"/>
                <w:color w:val="auto"/>
              </w:rPr>
            </w:pPr>
            <w:r>
              <w:rPr>
                <w:rFonts w:ascii="Courier New" w:cs="Courier New" w:eastAsia="Courier New" w:hAnsi="Courier New"/>
                <w:sz w:val="15"/>
                <w:szCs w:val="15"/>
                <w:color w:val="auto"/>
              </w:rPr>
              <w:t>(in thousands)</w:t>
            </w: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520"/>
        </w:trPr>
        <w:tc>
          <w:tcPr>
            <w:tcW w:w="5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8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NINE MONTHS ENDED JUNE 30,</w:t>
            </w:r>
          </w:p>
        </w:tc>
      </w:tr>
      <w:tr>
        <w:trPr>
          <w:trHeight w:val="173"/>
        </w:trPr>
        <w:tc>
          <w:tcPr>
            <w:tcW w:w="5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2001</w:t>
            </w:r>
          </w:p>
        </w:tc>
        <w:tc>
          <w:tcPr>
            <w:tcW w:w="40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5680" w:type="dxa"/>
            <w:vAlign w:val="bottom"/>
          </w:tcPr>
          <w:p>
            <w:pPr>
              <w:spacing w:after="0"/>
              <w:rPr>
                <w:sz w:val="15"/>
                <w:szCs w:val="15"/>
                <w:color w:val="auto"/>
              </w:rPr>
            </w:pPr>
          </w:p>
        </w:tc>
        <w:tc>
          <w:tcPr>
            <w:tcW w:w="19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47"/>
        </w:trPr>
        <w:tc>
          <w:tcPr>
            <w:tcW w:w="56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76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46,481</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(7,015)</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rPr>
              <w:t>operating activities:</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 amortization</w:t>
            </w:r>
          </w:p>
        </w:tc>
        <w:tc>
          <w:tcPr>
            <w:tcW w:w="7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209,472</w:t>
            </w:r>
          </w:p>
        </w:tc>
        <w:tc>
          <w:tcPr>
            <w:tcW w:w="4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88,142</w:t>
            </w:r>
          </w:p>
        </w:tc>
      </w:tr>
      <w:tr>
        <w:trPr>
          <w:trHeight w:val="173"/>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Adjustment to the basis of investments</w:t>
            </w:r>
          </w:p>
        </w:tc>
        <w:tc>
          <w:tcPr>
            <w:tcW w:w="7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6,750</w:t>
            </w:r>
          </w:p>
        </w:tc>
        <w:tc>
          <w:tcPr>
            <w:tcW w:w="4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In-process research and development expenses</w:t>
            </w:r>
          </w:p>
        </w:tc>
        <w:tc>
          <w:tcPr>
            <w:tcW w:w="7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70,430</w:t>
            </w:r>
          </w:p>
        </w:tc>
      </w:tr>
      <w:tr>
        <w:trPr>
          <w:trHeight w:val="173"/>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Loss on sale of equipment</w:t>
            </w:r>
          </w:p>
        </w:tc>
        <w:tc>
          <w:tcPr>
            <w:tcW w:w="7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217</w:t>
            </w:r>
          </w:p>
        </w:tc>
        <w:tc>
          <w:tcPr>
            <w:tcW w:w="4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163</w:t>
            </w:r>
          </w:p>
        </w:tc>
      </w:tr>
      <w:tr>
        <w:trPr>
          <w:trHeight w:val="173"/>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7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2,894</w:t>
            </w:r>
          </w:p>
        </w:tc>
        <w:tc>
          <w:tcPr>
            <w:tcW w:w="4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w:t>
            </w:r>
          </w:p>
        </w:tc>
      </w:tr>
      <w:tr>
        <w:trPr>
          <w:trHeight w:val="173"/>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Tax benefit of stock options exercised</w:t>
            </w:r>
          </w:p>
        </w:tc>
        <w:tc>
          <w:tcPr>
            <w:tcW w:w="7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5,841</w:t>
            </w:r>
          </w:p>
        </w:tc>
        <w:tc>
          <w:tcPr>
            <w:tcW w:w="4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Unrealized other comprehensive income (loss)</w:t>
            </w:r>
          </w:p>
        </w:tc>
        <w:tc>
          <w:tcPr>
            <w:tcW w:w="76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(5,277)</w:t>
            </w:r>
          </w:p>
        </w:tc>
        <w:tc>
          <w:tcPr>
            <w:tcW w:w="4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5,304</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47"/>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w:t>
            </w:r>
          </w:p>
        </w:tc>
        <w:tc>
          <w:tcPr>
            <w:tcW w:w="760" w:type="dxa"/>
            <w:vAlign w:val="bottom"/>
          </w:tcPr>
          <w:p>
            <w:pPr>
              <w:spacing w:after="0"/>
              <w:rPr>
                <w:sz w:val="24"/>
                <w:szCs w:val="24"/>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(66,233)</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(48,585)</w:t>
            </w:r>
          </w:p>
        </w:tc>
      </w:tr>
      <w:tr>
        <w:trPr>
          <w:trHeight w:val="173"/>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76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(4,964)</w:t>
            </w: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(10,438)</w:t>
            </w:r>
          </w:p>
        </w:tc>
      </w:tr>
      <w:tr>
        <w:trPr>
          <w:trHeight w:val="173"/>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Other noncurrent assets</w:t>
            </w:r>
          </w:p>
        </w:tc>
        <w:tc>
          <w:tcPr>
            <w:tcW w:w="76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(6,274)</w:t>
            </w: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(6,687)</w:t>
            </w:r>
          </w:p>
        </w:tc>
      </w:tr>
      <w:tr>
        <w:trPr>
          <w:trHeight w:val="173"/>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7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28,177</w:t>
            </w:r>
          </w:p>
        </w:tc>
        <w:tc>
          <w:tcPr>
            <w:tcW w:w="4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21,768</w:t>
            </w:r>
          </w:p>
        </w:tc>
      </w:tr>
      <w:tr>
        <w:trPr>
          <w:trHeight w:val="173"/>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7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13,483</w:t>
            </w:r>
          </w:p>
        </w:tc>
        <w:tc>
          <w:tcPr>
            <w:tcW w:w="4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17,486</w:t>
            </w:r>
          </w:p>
        </w:tc>
      </w:tr>
      <w:tr>
        <w:trPr>
          <w:trHeight w:val="173"/>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Income taxes payable</w:t>
            </w:r>
          </w:p>
        </w:tc>
        <w:tc>
          <w:tcPr>
            <w:tcW w:w="76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(751)</w:t>
            </w:r>
          </w:p>
        </w:tc>
        <w:tc>
          <w:tcPr>
            <w:tcW w:w="4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39,614</w:t>
            </w:r>
          </w:p>
        </w:tc>
      </w:tr>
      <w:tr>
        <w:trPr>
          <w:trHeight w:val="173"/>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Other noncurrent liabilities</w:t>
            </w:r>
          </w:p>
        </w:tc>
        <w:tc>
          <w:tcPr>
            <w:tcW w:w="7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13,070</w:t>
            </w:r>
          </w:p>
        </w:tc>
        <w:tc>
          <w:tcPr>
            <w:tcW w:w="4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16,409</w:t>
            </w:r>
          </w:p>
        </w:tc>
      </w:tr>
      <w:tr>
        <w:trPr>
          <w:trHeight w:val="173"/>
        </w:trPr>
        <w:tc>
          <w:tcPr>
            <w:tcW w:w="5680" w:type="dxa"/>
            <w:vAlign w:val="bottom"/>
          </w:tcPr>
          <w:p>
            <w:pPr>
              <w:spacing w:after="0"/>
              <w:rPr>
                <w:sz w:val="15"/>
                <w:szCs w:val="15"/>
                <w:color w:val="auto"/>
              </w:rPr>
            </w:pPr>
          </w:p>
        </w:tc>
        <w:tc>
          <w:tcPr>
            <w:tcW w:w="19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7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242,886</w:t>
            </w:r>
          </w:p>
        </w:tc>
        <w:tc>
          <w:tcPr>
            <w:tcW w:w="4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186,596</w:t>
            </w:r>
          </w:p>
        </w:tc>
      </w:tr>
      <w:tr>
        <w:trPr>
          <w:trHeight w:val="173"/>
        </w:trPr>
        <w:tc>
          <w:tcPr>
            <w:tcW w:w="5680" w:type="dxa"/>
            <w:vAlign w:val="bottom"/>
          </w:tcPr>
          <w:p>
            <w:pPr>
              <w:spacing w:after="0"/>
              <w:rPr>
                <w:sz w:val="15"/>
                <w:szCs w:val="15"/>
                <w:color w:val="auto"/>
              </w:rPr>
            </w:pPr>
          </w:p>
        </w:tc>
        <w:tc>
          <w:tcPr>
            <w:tcW w:w="19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568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 leasehold</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rPr>
              <w:t>improvements</w:t>
            </w:r>
          </w:p>
        </w:tc>
        <w:tc>
          <w:tcPr>
            <w:tcW w:w="7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2,157</w:t>
            </w:r>
          </w:p>
        </w:tc>
        <w:tc>
          <w:tcPr>
            <w:tcW w:w="4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1,007</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leasehold</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rPr>
              <w:t>improvements</w:t>
            </w:r>
          </w:p>
        </w:tc>
        <w:tc>
          <w:tcPr>
            <w:tcW w:w="76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(71,701)</w:t>
            </w: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(42,320)</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Purchase of short-term interest-bearing investments, net</w:t>
            </w:r>
          </w:p>
        </w:tc>
        <w:tc>
          <w:tcPr>
            <w:tcW w:w="76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(214,767)</w:t>
            </w: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(7,880)</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Investment in noncurrent assets</w:t>
            </w:r>
          </w:p>
        </w:tc>
        <w:tc>
          <w:tcPr>
            <w:tcW w:w="76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(4,669)</w:t>
            </w:r>
          </w:p>
        </w:tc>
        <w:tc>
          <w:tcPr>
            <w:tcW w:w="4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Net cash acquired in acquisition</w:t>
            </w:r>
          </w:p>
        </w:tc>
        <w:tc>
          <w:tcPr>
            <w:tcW w:w="7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67,803</w:t>
            </w:r>
          </w:p>
        </w:tc>
      </w:tr>
      <w:tr>
        <w:trPr>
          <w:trHeight w:val="173"/>
        </w:trPr>
        <w:tc>
          <w:tcPr>
            <w:tcW w:w="5680" w:type="dxa"/>
            <w:vAlign w:val="bottom"/>
          </w:tcPr>
          <w:p>
            <w:pPr>
              <w:spacing w:after="0"/>
              <w:rPr>
                <w:sz w:val="15"/>
                <w:szCs w:val="15"/>
                <w:color w:val="auto"/>
              </w:rPr>
            </w:pPr>
          </w:p>
        </w:tc>
        <w:tc>
          <w:tcPr>
            <w:tcW w:w="19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investing activities</w:t>
            </w:r>
          </w:p>
        </w:tc>
        <w:tc>
          <w:tcPr>
            <w:tcW w:w="76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(288,980)</w:t>
            </w:r>
          </w:p>
        </w:tc>
        <w:tc>
          <w:tcPr>
            <w:tcW w:w="4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18,610</w:t>
            </w:r>
          </w:p>
        </w:tc>
      </w:tr>
      <w:tr>
        <w:trPr>
          <w:trHeight w:val="173"/>
        </w:trPr>
        <w:tc>
          <w:tcPr>
            <w:tcW w:w="5680" w:type="dxa"/>
            <w:vAlign w:val="bottom"/>
          </w:tcPr>
          <w:p>
            <w:pPr>
              <w:spacing w:after="0"/>
              <w:rPr>
                <w:sz w:val="15"/>
                <w:szCs w:val="15"/>
                <w:color w:val="auto"/>
              </w:rPr>
            </w:pPr>
          </w:p>
        </w:tc>
        <w:tc>
          <w:tcPr>
            <w:tcW w:w="19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568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7"/>
        </w:trPr>
        <w:tc>
          <w:tcPr>
            <w:tcW w:w="5680" w:type="dxa"/>
            <w:vAlign w:val="bottom"/>
          </w:tcPr>
          <w:p>
            <w:pPr>
              <w:spacing w:after="0"/>
              <w:rPr>
                <w:sz w:val="20"/>
                <w:szCs w:val="20"/>
                <w:color w:val="auto"/>
              </w:rPr>
            </w:pPr>
            <w:r>
              <w:rPr>
                <w:rFonts w:ascii="Courier New" w:cs="Courier New" w:eastAsia="Courier New" w:hAnsi="Courier New"/>
                <w:sz w:val="15"/>
                <w:szCs w:val="15"/>
                <w:color w:val="auto"/>
              </w:rPr>
              <w:t>Proceeds from employee stock options exercised</w:t>
            </w:r>
          </w:p>
        </w:tc>
        <w:tc>
          <w:tcPr>
            <w:tcW w:w="760" w:type="dxa"/>
            <w:vAlign w:val="bottom"/>
          </w:tcPr>
          <w:p>
            <w:pPr>
              <w:spacing w:after="0"/>
              <w:rPr>
                <w:sz w:val="24"/>
                <w:szCs w:val="24"/>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12,818</w:t>
            </w:r>
          </w:p>
        </w:tc>
        <w:tc>
          <w:tcPr>
            <w:tcW w:w="400" w:type="dxa"/>
            <w:vAlign w:val="bottom"/>
          </w:tcPr>
          <w:p>
            <w:pPr>
              <w:spacing w:after="0"/>
              <w:rPr>
                <w:sz w:val="24"/>
                <w:szCs w:val="2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19,844</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Payments under short-term finance arrangements</w:t>
            </w:r>
          </w:p>
        </w:tc>
        <w:tc>
          <w:tcPr>
            <w:tcW w:w="76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(20,000)</w:t>
            </w: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(284,464)</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Net proceeds from issue of long term convertible notes</w:t>
            </w:r>
          </w:p>
        </w:tc>
        <w:tc>
          <w:tcPr>
            <w:tcW w:w="7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488,000</w:t>
            </w:r>
          </w:p>
        </w:tc>
        <w:tc>
          <w:tcPr>
            <w:tcW w:w="4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Borrowings under short-term finance arrangements</w:t>
            </w:r>
          </w:p>
        </w:tc>
        <w:tc>
          <w:tcPr>
            <w:tcW w:w="7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282,083</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Principal payments on capital lease obligations</w:t>
            </w:r>
          </w:p>
        </w:tc>
        <w:tc>
          <w:tcPr>
            <w:tcW w:w="76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(7,611)</w:t>
            </w: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(4,871)</w:t>
            </w:r>
          </w:p>
        </w:tc>
      </w:tr>
      <w:tr>
        <w:trPr>
          <w:trHeight w:val="173"/>
        </w:trPr>
        <w:tc>
          <w:tcPr>
            <w:tcW w:w="5680" w:type="dxa"/>
            <w:vAlign w:val="bottom"/>
          </w:tcPr>
          <w:p>
            <w:pPr>
              <w:spacing w:after="0"/>
              <w:rPr>
                <w:sz w:val="15"/>
                <w:szCs w:val="15"/>
                <w:color w:val="auto"/>
              </w:rPr>
            </w:pPr>
          </w:p>
        </w:tc>
        <w:tc>
          <w:tcPr>
            <w:tcW w:w="19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Net cash provided by financing activities</w:t>
            </w:r>
          </w:p>
        </w:tc>
        <w:tc>
          <w:tcPr>
            <w:tcW w:w="7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473,207</w:t>
            </w:r>
          </w:p>
        </w:tc>
        <w:tc>
          <w:tcPr>
            <w:tcW w:w="4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12,592</w:t>
            </w:r>
          </w:p>
        </w:tc>
      </w:tr>
      <w:tr>
        <w:trPr>
          <w:trHeight w:val="173"/>
        </w:trPr>
        <w:tc>
          <w:tcPr>
            <w:tcW w:w="5680" w:type="dxa"/>
            <w:vAlign w:val="bottom"/>
          </w:tcPr>
          <w:p>
            <w:pPr>
              <w:spacing w:after="0"/>
              <w:rPr>
                <w:sz w:val="15"/>
                <w:szCs w:val="15"/>
                <w:color w:val="auto"/>
              </w:rPr>
            </w:pPr>
          </w:p>
        </w:tc>
        <w:tc>
          <w:tcPr>
            <w:tcW w:w="19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Net increase in cash and cash equivalents</w:t>
            </w:r>
          </w:p>
        </w:tc>
        <w:tc>
          <w:tcPr>
            <w:tcW w:w="7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427,113</w:t>
            </w:r>
          </w:p>
        </w:tc>
        <w:tc>
          <w:tcPr>
            <w:tcW w:w="4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217,798</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7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402,300</w:t>
            </w:r>
          </w:p>
        </w:tc>
        <w:tc>
          <w:tcPr>
            <w:tcW w:w="4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85,174</w:t>
            </w:r>
          </w:p>
        </w:tc>
      </w:tr>
      <w:tr>
        <w:trPr>
          <w:trHeight w:val="173"/>
        </w:trPr>
        <w:tc>
          <w:tcPr>
            <w:tcW w:w="5680" w:type="dxa"/>
            <w:vAlign w:val="bottom"/>
          </w:tcPr>
          <w:p>
            <w:pPr>
              <w:spacing w:after="0"/>
              <w:rPr>
                <w:sz w:val="15"/>
                <w:szCs w:val="15"/>
                <w:color w:val="auto"/>
              </w:rPr>
            </w:pPr>
          </w:p>
        </w:tc>
        <w:tc>
          <w:tcPr>
            <w:tcW w:w="19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76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829,413</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302,972</w:t>
            </w:r>
          </w:p>
        </w:tc>
      </w:tr>
      <w:tr>
        <w:trPr>
          <w:trHeight w:val="173"/>
        </w:trPr>
        <w:tc>
          <w:tcPr>
            <w:tcW w:w="5680" w:type="dxa"/>
            <w:vAlign w:val="bottom"/>
          </w:tcPr>
          <w:p>
            <w:pPr>
              <w:spacing w:after="0"/>
              <w:rPr>
                <w:sz w:val="15"/>
                <w:szCs w:val="15"/>
                <w:color w:val="auto"/>
              </w:rPr>
            </w:pPr>
          </w:p>
        </w:tc>
        <w:tc>
          <w:tcPr>
            <w:tcW w:w="19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5680" w:type="dxa"/>
            <w:vAlign w:val="bottom"/>
          </w:tcPr>
          <w:p>
            <w:pPr>
              <w:spacing w:after="0"/>
              <w:rPr>
                <w:sz w:val="20"/>
                <w:szCs w:val="20"/>
                <w:color w:val="auto"/>
              </w:rPr>
            </w:pPr>
            <w:r>
              <w:rPr>
                <w:rFonts w:ascii="Courier New" w:cs="Courier New" w:eastAsia="Courier New" w:hAnsi="Courier New"/>
                <w:sz w:val="15"/>
                <w:szCs w:val="15"/>
                <w:color w:val="auto"/>
              </w:rPr>
              <w:t>SUPPLEMENTARY CASH FLOW INFORMATION</w:t>
            </w: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Cash paid for:</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47"/>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Income taxes, net of refunds</w:t>
            </w:r>
          </w:p>
        </w:tc>
        <w:tc>
          <w:tcPr>
            <w:tcW w:w="76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65,741</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24,234</w:t>
            </w:r>
          </w:p>
        </w:tc>
      </w:tr>
      <w:tr>
        <w:trPr>
          <w:trHeight w:val="173"/>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Interest</w:t>
            </w:r>
          </w:p>
        </w:tc>
        <w:tc>
          <w:tcPr>
            <w:tcW w:w="7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2,149</w:t>
            </w:r>
          </w:p>
        </w:tc>
        <w:tc>
          <w:tcPr>
            <w:tcW w:w="4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1,988</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 CASH INVESTING AND FINANCING ACTIVITIES</w:t>
      </w:r>
    </w:p>
    <w:p>
      <w:pPr>
        <w:spacing w:after="0" w:line="178"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Capital lease obligations of $8,185 and $2,516 were incurred during the nine months ended June 30, 2001 and 2000, respectively, when the Company (as hereinafter defined) entered into lease agreements for the purchase of fixed assets.</w:t>
      </w:r>
    </w:p>
    <w:p>
      <w:pPr>
        <w:spacing w:after="0" w:line="17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See accompanying notes</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1" w:right="1440" w:bottom="1440" w:gutter="0" w:footer="0" w:header="0"/>
          <w:type w:val="continuous"/>
        </w:sectPr>
      </w:pPr>
    </w:p>
    <w:bookmarkStart w:id="6" w:name="page7"/>
    <w:bookmarkEnd w:id="6"/>
    <w:p>
      <w:pPr>
        <w:ind w:left="268"/>
        <w:spacing w:after="0"/>
        <w:rPr>
          <w:sz w:val="20"/>
          <w:szCs w:val="20"/>
          <w:color w:val="auto"/>
        </w:rPr>
      </w:pPr>
      <w:r>
        <w:rPr>
          <w:rFonts w:ascii="Courier New" w:cs="Courier New" w:eastAsia="Courier New" w:hAnsi="Courier New"/>
          <w:sz w:val="15"/>
          <w:szCs w:val="15"/>
          <w:color w:val="auto"/>
        </w:rPr>
        <w:t>7</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AMDOCS LIMITED</w:t>
      </w:r>
    </w:p>
    <w:p>
      <w:pPr>
        <w:spacing w:after="0" w:line="177" w:lineRule="exact"/>
        <w:rPr>
          <w:sz w:val="20"/>
          <w:szCs w:val="20"/>
          <w:color w:val="auto"/>
        </w:rPr>
      </w:pPr>
    </w:p>
    <w:p>
      <w:pPr>
        <w:ind w:left="1268"/>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77" w:lineRule="exact"/>
        <w:rPr>
          <w:sz w:val="20"/>
          <w:szCs w:val="20"/>
          <w:color w:val="auto"/>
        </w:rPr>
      </w:pPr>
    </w:p>
    <w:p>
      <w:pPr>
        <w:ind w:left="448" w:hanging="448"/>
        <w:spacing w:after="0"/>
        <w:tabs>
          <w:tab w:leader="none" w:pos="4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7" w:lineRule="exact"/>
        <w:rPr>
          <w:rFonts w:ascii="Courier New" w:cs="Courier New" w:eastAsia="Courier New" w:hAnsi="Courier New"/>
          <w:sz w:val="15"/>
          <w:szCs w:val="15"/>
          <w:color w:val="auto"/>
        </w:rPr>
      </w:pPr>
    </w:p>
    <w:p>
      <w:pPr>
        <w:ind w:left="448"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Amdocs Limited ("Amdocs" or the "Company") is a leading provider of software products and services to the communications industry. The Company and its subsidiaries operate in one business segment, providing business support systems and related services for the communications industry. The Company designs, develops, markets, supports and operates information system solutions to communications companies throughout the world.</w:t>
      </w:r>
    </w:p>
    <w:p>
      <w:pPr>
        <w:spacing w:after="0" w:line="177" w:lineRule="exact"/>
        <w:rPr>
          <w:rFonts w:ascii="Courier New" w:cs="Courier New" w:eastAsia="Courier New" w:hAnsi="Courier New"/>
          <w:sz w:val="15"/>
          <w:szCs w:val="15"/>
          <w:color w:val="auto"/>
        </w:rPr>
      </w:pPr>
    </w:p>
    <w:p>
      <w:pPr>
        <w:ind w:left="44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consolidated financial statements of the Company have been prepared in accordance with accounting principles generally accepted in the United States. In the opinion of management, all adjustments considered necessary for a fair presentation of the unaudited interim consolidated financial statements have been included herein and are of a normal recurring nature.</w:t>
      </w:r>
    </w:p>
    <w:p>
      <w:pPr>
        <w:spacing w:after="0" w:line="177" w:lineRule="exact"/>
        <w:rPr>
          <w:rFonts w:ascii="Courier New" w:cs="Courier New" w:eastAsia="Courier New" w:hAnsi="Courier New"/>
          <w:sz w:val="15"/>
          <w:szCs w:val="15"/>
          <w:color w:val="auto"/>
        </w:rPr>
      </w:pPr>
    </w:p>
    <w:p>
      <w:pPr>
        <w:ind w:left="448" w:right="327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77" w:lineRule="exact"/>
        <w:rPr>
          <w:rFonts w:ascii="Courier New" w:cs="Courier New" w:eastAsia="Courier New" w:hAnsi="Courier New"/>
          <w:sz w:val="15"/>
          <w:szCs w:val="15"/>
          <w:color w:val="auto"/>
        </w:rPr>
      </w:pPr>
    </w:p>
    <w:p>
      <w:pPr>
        <w:ind w:left="44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results of operations for the interim periods presented herein are not necessarily indicative of the results to be expected for the full year. These statements do not include all information and footnotes necessary for a complete presentation of financial position, results of operations and cash flows in conformity with generally accepted accounting principles. These statements should be read in conjunction with the Company's consolidated financial statements for the year ended September 30, 2000 set forth in the Company's Annual Report on Form 20-F/A filed with the Securities and Exchange Commission.</w:t>
      </w:r>
    </w:p>
    <w:p>
      <w:pPr>
        <w:spacing w:after="0" w:line="179" w:lineRule="exact"/>
        <w:rPr>
          <w:rFonts w:ascii="Courier New" w:cs="Courier New" w:eastAsia="Courier New" w:hAnsi="Courier New"/>
          <w:sz w:val="15"/>
          <w:szCs w:val="15"/>
          <w:color w:val="auto"/>
        </w:rPr>
      </w:pPr>
    </w:p>
    <w:p>
      <w:pPr>
        <w:ind w:left="448" w:right="399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amounts in prior periods' financial statements have been reclassified to conform to the current period's presentation.</w:t>
      </w:r>
    </w:p>
    <w:p>
      <w:pPr>
        <w:spacing w:after="0" w:line="175"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Related-Party Transactions</w:t>
      </w:r>
    </w:p>
    <w:p>
      <w:pPr>
        <w:spacing w:after="0" w:line="176"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related party balances are included in the balance sheet:</w:t>
      </w:r>
    </w:p>
    <w:p>
      <w:pPr>
        <w:spacing w:after="0" w:line="35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AS OF</w:t>
            </w:r>
          </w:p>
        </w:tc>
        <w:tc>
          <w:tcPr>
            <w:tcW w:w="5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3"/>
        </w:trPr>
        <w:tc>
          <w:tcPr>
            <w:tcW w:w="2380" w:type="dxa"/>
            <w:vAlign w:val="bottom"/>
          </w:tcPr>
          <w:p>
            <w:pPr>
              <w:spacing w:after="0"/>
              <w:rPr>
                <w:sz w:val="15"/>
                <w:szCs w:val="15"/>
                <w:color w:val="auto"/>
              </w:rPr>
            </w:pPr>
          </w:p>
        </w:tc>
        <w:tc>
          <w:tcPr>
            <w:tcW w:w="4780" w:type="dxa"/>
            <w:vAlign w:val="bottom"/>
            <w:gridSpan w:val="4"/>
          </w:tcPr>
          <w:p>
            <w:pPr>
              <w:jc w:val="right"/>
              <w:ind w:right="150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2380" w:type="dxa"/>
            <w:vAlign w:val="bottom"/>
          </w:tcPr>
          <w:p>
            <w:pPr>
              <w:spacing w:after="0"/>
              <w:rPr>
                <w:sz w:val="15"/>
                <w:szCs w:val="15"/>
                <w:color w:val="auto"/>
              </w:rPr>
            </w:pPr>
          </w:p>
        </w:tc>
        <w:tc>
          <w:tcPr>
            <w:tcW w:w="1480" w:type="dxa"/>
            <w:vAlign w:val="bottom"/>
          </w:tcPr>
          <w:p>
            <w:pPr>
              <w:jc w:val="center"/>
              <w:ind w:left="525"/>
              <w:spacing w:after="0"/>
              <w:rPr>
                <w:sz w:val="20"/>
                <w:szCs w:val="20"/>
                <w:color w:val="auto"/>
              </w:rPr>
            </w:pPr>
            <w:r>
              <w:rPr>
                <w:rFonts w:ascii="Courier New" w:cs="Courier New" w:eastAsia="Courier New" w:hAnsi="Courier New"/>
                <w:sz w:val="15"/>
                <w:szCs w:val="15"/>
                <w:color w:val="auto"/>
                <w:w w:val="99"/>
              </w:rPr>
              <w:t>JUNE 30,</w:t>
            </w:r>
          </w:p>
        </w:tc>
        <w:tc>
          <w:tcPr>
            <w:tcW w:w="1360" w:type="dxa"/>
            <w:vAlign w:val="bottom"/>
            <w:gridSpan w:val="2"/>
          </w:tcPr>
          <w:p>
            <w:pPr>
              <w:ind w:left="560"/>
              <w:spacing w:after="0"/>
              <w:rPr>
                <w:sz w:val="20"/>
                <w:szCs w:val="20"/>
                <w:color w:val="auto"/>
              </w:rPr>
            </w:pPr>
            <w:r>
              <w:rPr>
                <w:rFonts w:ascii="Courier New" w:cs="Courier New" w:eastAsia="Courier New" w:hAnsi="Courier New"/>
                <w:sz w:val="15"/>
                <w:szCs w:val="15"/>
                <w:color w:val="auto"/>
                <w:w w:val="96"/>
              </w:rPr>
              <w:t>SEPTEMBER</w:t>
            </w:r>
          </w:p>
        </w:tc>
        <w:tc>
          <w:tcPr>
            <w:tcW w:w="1940" w:type="dxa"/>
            <w:vAlign w:val="bottom"/>
          </w:tcPr>
          <w:p>
            <w:pPr>
              <w:jc w:val="right"/>
              <w:ind w:right="1505"/>
              <w:spacing w:after="0"/>
              <w:rPr>
                <w:sz w:val="20"/>
                <w:szCs w:val="20"/>
                <w:color w:val="auto"/>
              </w:rPr>
            </w:pPr>
            <w:r>
              <w:rPr>
                <w:rFonts w:ascii="Courier New" w:cs="Courier New" w:eastAsia="Courier New" w:hAnsi="Courier New"/>
                <w:sz w:val="15"/>
                <w:szCs w:val="15"/>
                <w:color w:val="auto"/>
              </w:rPr>
              <w:t>30,</w:t>
            </w: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2380" w:type="dxa"/>
            <w:vAlign w:val="bottom"/>
          </w:tcPr>
          <w:p>
            <w:pPr>
              <w:spacing w:after="0"/>
              <w:rPr>
                <w:sz w:val="15"/>
                <w:szCs w:val="15"/>
                <w:color w:val="auto"/>
              </w:rPr>
            </w:pPr>
          </w:p>
        </w:tc>
        <w:tc>
          <w:tcPr>
            <w:tcW w:w="1480" w:type="dxa"/>
            <w:vAlign w:val="bottom"/>
          </w:tcPr>
          <w:p>
            <w:pPr>
              <w:jc w:val="center"/>
              <w:ind w:left="525"/>
              <w:spacing w:after="0"/>
              <w:rPr>
                <w:sz w:val="20"/>
                <w:szCs w:val="20"/>
                <w:color w:val="auto"/>
              </w:rPr>
            </w:pPr>
            <w:r>
              <w:rPr>
                <w:rFonts w:ascii="Courier New" w:cs="Courier New" w:eastAsia="Courier New" w:hAnsi="Courier New"/>
                <w:sz w:val="15"/>
                <w:szCs w:val="15"/>
                <w:color w:val="auto"/>
                <w:w w:val="99"/>
              </w:rPr>
              <w:t>2001</w:t>
            </w:r>
          </w:p>
        </w:tc>
        <w:tc>
          <w:tcPr>
            <w:tcW w:w="820" w:type="dxa"/>
            <w:vAlign w:val="bottom"/>
          </w:tcPr>
          <w:p>
            <w:pPr>
              <w:spacing w:after="0"/>
              <w:rPr>
                <w:sz w:val="15"/>
                <w:szCs w:val="15"/>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2000</w:t>
            </w:r>
          </w:p>
        </w:tc>
        <w:tc>
          <w:tcPr>
            <w:tcW w:w="1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2380" w:type="dxa"/>
            <w:vAlign w:val="bottom"/>
          </w:tcPr>
          <w:p>
            <w:pPr>
              <w:spacing w:after="0"/>
              <w:rPr>
                <w:sz w:val="15"/>
                <w:szCs w:val="15"/>
                <w:color w:val="auto"/>
              </w:rPr>
            </w:pPr>
          </w:p>
        </w:tc>
        <w:tc>
          <w:tcPr>
            <w:tcW w:w="1480" w:type="dxa"/>
            <w:vAlign w:val="bottom"/>
          </w:tcPr>
          <w:p>
            <w:pPr>
              <w:jc w:val="center"/>
              <w:ind w:left="525"/>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tcPr>
          <w:p>
            <w:pPr>
              <w:spacing w:after="0"/>
              <w:rPr>
                <w:sz w:val="15"/>
                <w:szCs w:val="15"/>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47"/>
        </w:trPr>
        <w:tc>
          <w:tcPr>
            <w:tcW w:w="2380" w:type="dxa"/>
            <w:vAlign w:val="bottom"/>
          </w:tcPr>
          <w:p>
            <w:pPr>
              <w:spacing w:after="0"/>
              <w:rPr>
                <w:sz w:val="20"/>
                <w:szCs w:val="20"/>
                <w:color w:val="auto"/>
              </w:rPr>
            </w:pPr>
            <w:r>
              <w:rPr>
                <w:rFonts w:ascii="Courier New" w:cs="Courier New" w:eastAsia="Courier New" w:hAnsi="Courier New"/>
                <w:sz w:val="15"/>
                <w:szCs w:val="15"/>
                <w:color w:val="auto"/>
              </w:rPr>
              <w:t>Accounts receivable</w:t>
            </w:r>
          </w:p>
        </w:tc>
        <w:tc>
          <w:tcPr>
            <w:tcW w:w="1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57,537</w:t>
            </w:r>
          </w:p>
        </w:tc>
        <w:tc>
          <w:tcPr>
            <w:tcW w:w="82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27,116</w:t>
            </w:r>
          </w:p>
        </w:tc>
        <w:tc>
          <w:tcPr>
            <w:tcW w:w="1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20"/>
        </w:trPr>
        <w:tc>
          <w:tcPr>
            <w:tcW w:w="522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9"/>
              </w:rPr>
              <w:t>The following related party transactions are included</w:t>
            </w:r>
          </w:p>
        </w:tc>
        <w:tc>
          <w:tcPr>
            <w:tcW w:w="1940" w:type="dxa"/>
            <w:vAlign w:val="bottom"/>
          </w:tcPr>
          <w:p>
            <w:pPr>
              <w:ind w:left="100"/>
              <w:spacing w:after="0"/>
              <w:rPr>
                <w:sz w:val="20"/>
                <w:szCs w:val="20"/>
                <w:color w:val="auto"/>
              </w:rPr>
            </w:pPr>
            <w:r>
              <w:rPr>
                <w:rFonts w:ascii="Courier New" w:cs="Courier New" w:eastAsia="Courier New" w:hAnsi="Courier New"/>
                <w:sz w:val="15"/>
                <w:szCs w:val="15"/>
                <w:color w:val="auto"/>
              </w:rPr>
              <w:t>in the statement of</w:t>
            </w: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38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operations for the following periods:</w:t>
            </w: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520"/>
        </w:trPr>
        <w:tc>
          <w:tcPr>
            <w:tcW w:w="2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w w:val="93"/>
              </w:rPr>
              <w:t>THREE</w:t>
            </w:r>
          </w:p>
        </w:tc>
        <w:tc>
          <w:tcPr>
            <w:tcW w:w="1940" w:type="dxa"/>
            <w:vAlign w:val="bottom"/>
          </w:tcPr>
          <w:p>
            <w:pPr>
              <w:ind w:left="100"/>
              <w:spacing w:after="0"/>
              <w:rPr>
                <w:sz w:val="20"/>
                <w:szCs w:val="20"/>
                <w:color w:val="auto"/>
              </w:rPr>
            </w:pPr>
            <w:r>
              <w:rPr>
                <w:rFonts w:ascii="Courier New" w:cs="Courier New" w:eastAsia="Courier New" w:hAnsi="Courier New"/>
                <w:sz w:val="15"/>
                <w:szCs w:val="15"/>
                <w:color w:val="auto"/>
              </w:rPr>
              <w:t>MONTHS ENDED</w:t>
            </w:r>
          </w:p>
        </w:tc>
        <w:tc>
          <w:tcPr>
            <w:tcW w:w="2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NINE MONTHS ENDED</w:t>
            </w:r>
          </w:p>
        </w:tc>
      </w:tr>
      <w:tr>
        <w:trPr>
          <w:trHeight w:val="173"/>
        </w:trPr>
        <w:tc>
          <w:tcPr>
            <w:tcW w:w="2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40" w:type="dxa"/>
            <w:vAlign w:val="bottom"/>
          </w:tcPr>
          <w:p>
            <w:pPr>
              <w:jc w:val="right"/>
              <w:ind w:right="1145"/>
              <w:spacing w:after="0"/>
              <w:rPr>
                <w:sz w:val="20"/>
                <w:szCs w:val="20"/>
                <w:color w:val="auto"/>
              </w:rPr>
            </w:pPr>
            <w:r>
              <w:rPr>
                <w:rFonts w:ascii="Courier New" w:cs="Courier New" w:eastAsia="Courier New" w:hAnsi="Courier New"/>
                <w:sz w:val="15"/>
                <w:szCs w:val="15"/>
                <w:color w:val="auto"/>
                <w:w w:val="97"/>
              </w:rPr>
              <w:t>JUNE 30,</w:t>
            </w:r>
          </w:p>
        </w:tc>
        <w:tc>
          <w:tcPr>
            <w:tcW w:w="21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JUNE 30,</w:t>
            </w:r>
          </w:p>
        </w:tc>
      </w:tr>
      <w:tr>
        <w:trPr>
          <w:trHeight w:val="173"/>
        </w:trPr>
        <w:tc>
          <w:tcPr>
            <w:tcW w:w="2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w:t>
            </w:r>
          </w:p>
        </w:tc>
        <w:tc>
          <w:tcPr>
            <w:tcW w:w="1940" w:type="dxa"/>
            <w:vAlign w:val="bottom"/>
          </w:tcPr>
          <w:p>
            <w:pPr>
              <w:spacing w:after="0"/>
              <w:rPr>
                <w:sz w:val="15"/>
                <w:szCs w:val="15"/>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2001</w:t>
            </w:r>
          </w:p>
        </w:tc>
        <w:tc>
          <w:tcPr>
            <w:tcW w:w="1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2001</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2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3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2380" w:type="dxa"/>
            <w:vAlign w:val="bottom"/>
          </w:tcPr>
          <w:p>
            <w:pPr>
              <w:ind w:left="440"/>
              <w:spacing w:after="0"/>
              <w:rPr>
                <w:sz w:val="20"/>
                <w:szCs w:val="20"/>
                <w:color w:val="auto"/>
              </w:rPr>
            </w:pPr>
            <w:r>
              <w:rPr>
                <w:rFonts w:ascii="Courier New" w:cs="Courier New" w:eastAsia="Courier New" w:hAnsi="Courier New"/>
                <w:sz w:val="15"/>
                <w:szCs w:val="15"/>
                <w:color w:val="auto"/>
              </w:rPr>
              <w:t>License</w:t>
            </w:r>
          </w:p>
        </w:tc>
        <w:tc>
          <w:tcPr>
            <w:tcW w:w="1480" w:type="dxa"/>
            <w:vAlign w:val="bottom"/>
          </w:tcPr>
          <w:p>
            <w:pPr>
              <w:spacing w:after="0"/>
              <w:rPr>
                <w:sz w:val="15"/>
                <w:szCs w:val="15"/>
                <w:color w:val="auto"/>
              </w:rPr>
            </w:pPr>
          </w:p>
        </w:tc>
        <w:tc>
          <w:tcPr>
            <w:tcW w:w="82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9,256</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1,707</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22,567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8,737</w:t>
            </w:r>
          </w:p>
        </w:tc>
      </w:tr>
      <w:tr>
        <w:trPr>
          <w:trHeight w:val="173"/>
        </w:trPr>
        <w:tc>
          <w:tcPr>
            <w:tcW w:w="2380" w:type="dxa"/>
            <w:vAlign w:val="bottom"/>
          </w:tcPr>
          <w:p>
            <w:pPr>
              <w:ind w:left="440"/>
              <w:spacing w:after="0"/>
              <w:rPr>
                <w:sz w:val="20"/>
                <w:szCs w:val="20"/>
                <w:color w:val="auto"/>
              </w:rPr>
            </w:pPr>
            <w:r>
              <w:rPr>
                <w:rFonts w:ascii="Courier New" w:cs="Courier New" w:eastAsia="Courier New" w:hAnsi="Courier New"/>
                <w:sz w:val="15"/>
                <w:szCs w:val="15"/>
                <w:color w:val="auto"/>
              </w:rPr>
              <w:t>Service</w:t>
            </w:r>
          </w:p>
        </w:tc>
        <w:tc>
          <w:tcPr>
            <w:tcW w:w="1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61,159</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36,671</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170,937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102,650</w:t>
            </w: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2380" w:type="dxa"/>
            <w:vAlign w:val="bottom"/>
          </w:tcPr>
          <w:p>
            <w:pPr>
              <w:ind w:left="440"/>
              <w:spacing w:after="0"/>
              <w:rPr>
                <w:sz w:val="20"/>
                <w:szCs w:val="20"/>
                <w:color w:val="auto"/>
              </w:rPr>
            </w:pPr>
            <w:r>
              <w:rPr>
                <w:rFonts w:ascii="Courier New" w:cs="Courier New" w:eastAsia="Courier New" w:hAnsi="Courier New"/>
                <w:sz w:val="15"/>
                <w:szCs w:val="15"/>
                <w:color w:val="auto"/>
              </w:rPr>
              <w:t>Cost of service</w:t>
            </w:r>
          </w:p>
        </w:tc>
        <w:tc>
          <w:tcPr>
            <w:tcW w:w="1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1,187</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785</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2,476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2,413</w:t>
            </w:r>
          </w:p>
        </w:tc>
      </w:tr>
      <w:tr>
        <w:trPr>
          <w:trHeight w:val="173"/>
        </w:trPr>
        <w:tc>
          <w:tcPr>
            <w:tcW w:w="38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Selling, general and administrative</w:t>
            </w: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144</w:t>
            </w:r>
          </w:p>
        </w:tc>
        <w:tc>
          <w:tcPr>
            <w:tcW w:w="1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140</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575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538</w:t>
            </w:r>
          </w:p>
        </w:tc>
      </w:tr>
    </w:tbl>
    <w:p>
      <w:pPr>
        <w:spacing w:after="0" w:line="200" w:lineRule="exact"/>
        <w:rPr>
          <w:sz w:val="20"/>
          <w:szCs w:val="20"/>
          <w:color w:val="auto"/>
        </w:rPr>
      </w:pP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291" w:right="1440" w:bottom="1440" w:gutter="0" w:footer="0" w:header="0"/>
          <w:type w:val="continuous"/>
        </w:sectPr>
      </w:pPr>
    </w:p>
    <w:bookmarkStart w:id="7" w:name="page8"/>
    <w:bookmarkEnd w:id="7"/>
    <w:p>
      <w:pPr>
        <w:ind w:left="268"/>
        <w:spacing w:after="0"/>
        <w:rPr>
          <w:sz w:val="20"/>
          <w:szCs w:val="20"/>
          <w:color w:val="auto"/>
        </w:rPr>
      </w:pPr>
      <w:r>
        <w:rPr>
          <w:rFonts w:ascii="Courier New" w:cs="Courier New" w:eastAsia="Courier New" w:hAnsi="Courier New"/>
          <w:sz w:val="15"/>
          <w:szCs w:val="15"/>
          <w:color w:val="auto"/>
        </w:rPr>
        <w:t>8</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AMDOCS LIMITED</w:t>
      </w:r>
    </w:p>
    <w:p>
      <w:pPr>
        <w:spacing w:after="0" w:line="177"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77" w:lineRule="exact"/>
        <w:rPr>
          <w:sz w:val="20"/>
          <w:szCs w:val="20"/>
          <w:color w:val="auto"/>
        </w:rPr>
      </w:pPr>
    </w:p>
    <w:p>
      <w:pPr>
        <w:ind w:left="448" w:hanging="448"/>
        <w:spacing w:after="0"/>
        <w:tabs>
          <w:tab w:leader="none" w:pos="4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77" w:lineRule="exact"/>
        <w:rPr>
          <w:rFonts w:ascii="Courier New" w:cs="Courier New" w:eastAsia="Courier New" w:hAnsi="Courier New"/>
          <w:sz w:val="15"/>
          <w:szCs w:val="15"/>
          <w:color w:val="auto"/>
        </w:rPr>
      </w:pPr>
    </w:p>
    <w:p>
      <w:pPr>
        <w:ind w:left="44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75" w:lineRule="exact"/>
        <w:rPr>
          <w:rFonts w:ascii="Courier New" w:cs="Courier New" w:eastAsia="Courier New" w:hAnsi="Courier New"/>
          <w:sz w:val="15"/>
          <w:szCs w:val="15"/>
          <w:color w:val="auto"/>
        </w:rPr>
      </w:pPr>
    </w:p>
    <w:p>
      <w:pPr>
        <w:ind w:left="448" w:right="363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sets forth the reconciliation from net income to comprehensive income for the periods set forth below:</w:t>
      </w:r>
    </w:p>
    <w:p>
      <w:pPr>
        <w:spacing w:after="0" w:line="349"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560" w:type="dxa"/>
            <w:vAlign w:val="bottom"/>
            <w:gridSpan w:val="2"/>
          </w:tcPr>
          <w:p>
            <w:pPr>
              <w:jc w:val="right"/>
              <w:ind w:right="765"/>
              <w:spacing w:after="0"/>
              <w:rPr>
                <w:sz w:val="20"/>
                <w:szCs w:val="20"/>
                <w:color w:val="auto"/>
              </w:rPr>
            </w:pPr>
            <w:r>
              <w:rPr>
                <w:rFonts w:ascii="Courier New" w:cs="Courier New" w:eastAsia="Courier New" w:hAnsi="Courier New"/>
                <w:sz w:val="15"/>
                <w:szCs w:val="15"/>
                <w:color w:val="auto"/>
              </w:rPr>
              <w:t>THREE MONTHS ENDED</w:t>
            </w:r>
          </w:p>
        </w:tc>
        <w:tc>
          <w:tcPr>
            <w:tcW w:w="500" w:type="dxa"/>
            <w:vAlign w:val="bottom"/>
          </w:tcPr>
          <w:p>
            <w:pPr>
              <w:spacing w:after="0"/>
              <w:rPr>
                <w:sz w:val="14"/>
                <w:szCs w:val="14"/>
                <w:color w:val="auto"/>
              </w:rPr>
            </w:pPr>
          </w:p>
        </w:tc>
        <w:tc>
          <w:tcPr>
            <w:tcW w:w="234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NINE MONTHS ENDED</w:t>
            </w:r>
          </w:p>
        </w:tc>
      </w:tr>
      <w:tr>
        <w:trPr>
          <w:trHeight w:val="173"/>
        </w:trPr>
        <w:tc>
          <w:tcPr>
            <w:tcW w:w="3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920" w:type="dxa"/>
            <w:vAlign w:val="bottom"/>
          </w:tcPr>
          <w:p>
            <w:pPr>
              <w:spacing w:after="0"/>
              <w:rPr>
                <w:sz w:val="15"/>
                <w:szCs w:val="15"/>
                <w:color w:val="auto"/>
              </w:rPr>
            </w:pPr>
          </w:p>
        </w:tc>
        <w:tc>
          <w:tcPr>
            <w:tcW w:w="1880" w:type="dxa"/>
            <w:vAlign w:val="bottom"/>
            <w:gridSpan w:val="2"/>
          </w:tcPr>
          <w:p>
            <w:pPr>
              <w:ind w:left="300"/>
              <w:spacing w:after="0"/>
              <w:rPr>
                <w:sz w:val="20"/>
                <w:szCs w:val="20"/>
                <w:color w:val="auto"/>
              </w:rPr>
            </w:pPr>
            <w:r>
              <w:rPr>
                <w:rFonts w:ascii="Courier New" w:cs="Courier New" w:eastAsia="Courier New" w:hAnsi="Courier New"/>
                <w:sz w:val="13"/>
                <w:szCs w:val="13"/>
                <w:color w:val="auto"/>
                <w:w w:val="74"/>
              </w:rPr>
              <w:t>---------------------------</w:t>
            </w:r>
          </w:p>
        </w:tc>
        <w:tc>
          <w:tcPr>
            <w:tcW w:w="1260" w:type="dxa"/>
            <w:vAlign w:val="bottom"/>
          </w:tcPr>
          <w:p>
            <w:pPr>
              <w:spacing w:after="0"/>
              <w:rPr>
                <w:sz w:val="15"/>
                <w:szCs w:val="15"/>
                <w:color w:val="auto"/>
              </w:rPr>
            </w:pPr>
          </w:p>
        </w:tc>
        <w:tc>
          <w:tcPr>
            <w:tcW w:w="2840" w:type="dxa"/>
            <w:vAlign w:val="bottom"/>
            <w:gridSpan w:val="4"/>
          </w:tcPr>
          <w:p>
            <w:pPr>
              <w:ind w:left="32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00" w:type="dxa"/>
            <w:vAlign w:val="bottom"/>
          </w:tcPr>
          <w:p>
            <w:pPr>
              <w:jc w:val="right"/>
              <w:ind w:right="865"/>
              <w:spacing w:after="0"/>
              <w:rPr>
                <w:sz w:val="20"/>
                <w:szCs w:val="20"/>
                <w:color w:val="auto"/>
              </w:rPr>
            </w:pPr>
            <w:r>
              <w:rPr>
                <w:rFonts w:ascii="Courier New" w:cs="Courier New" w:eastAsia="Courier New" w:hAnsi="Courier New"/>
                <w:sz w:val="15"/>
                <w:szCs w:val="15"/>
                <w:color w:val="auto"/>
                <w:w w:val="94"/>
              </w:rPr>
              <w:t>2001</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2000</w:t>
            </w:r>
          </w:p>
        </w:tc>
        <w:tc>
          <w:tcPr>
            <w:tcW w:w="500" w:type="dxa"/>
            <w:vAlign w:val="bottom"/>
          </w:tcPr>
          <w:p>
            <w:pPr>
              <w:spacing w:after="0"/>
              <w:rPr>
                <w:sz w:val="15"/>
                <w:szCs w:val="15"/>
                <w:color w:val="auto"/>
              </w:rPr>
            </w:pPr>
          </w:p>
        </w:tc>
        <w:tc>
          <w:tcPr>
            <w:tcW w:w="14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5"/>
                <w:szCs w:val="15"/>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3920" w:type="dxa"/>
            <w:vAlign w:val="bottom"/>
          </w:tcPr>
          <w:p>
            <w:pPr>
              <w:spacing w:after="0"/>
              <w:rPr>
                <w:sz w:val="15"/>
                <w:szCs w:val="15"/>
                <w:color w:val="auto"/>
              </w:rPr>
            </w:pPr>
          </w:p>
        </w:tc>
        <w:tc>
          <w:tcPr>
            <w:tcW w:w="188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3920" w:type="dxa"/>
            <w:vAlign w:val="bottom"/>
          </w:tcPr>
          <w:p>
            <w:pPr>
              <w:jc w:val="right"/>
              <w:ind w:right="2325"/>
              <w:spacing w:after="0"/>
              <w:rPr>
                <w:sz w:val="20"/>
                <w:szCs w:val="20"/>
                <w:color w:val="auto"/>
              </w:rPr>
            </w:pPr>
            <w:r>
              <w:rPr>
                <w:rFonts w:ascii="Courier New" w:cs="Courier New" w:eastAsia="Courier New" w:hAnsi="Courier New"/>
                <w:sz w:val="15"/>
                <w:szCs w:val="15"/>
                <w:color w:val="auto"/>
                <w:w w:val="98"/>
              </w:rPr>
              <w:t>Net income (loss)</w:t>
            </w:r>
          </w:p>
        </w:tc>
        <w:tc>
          <w:tcPr>
            <w:tcW w:w="5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85"/>
              <w:spacing w:after="0"/>
              <w:rPr>
                <w:sz w:val="20"/>
                <w:szCs w:val="20"/>
                <w:color w:val="auto"/>
              </w:rPr>
            </w:pPr>
            <w:r>
              <w:rPr>
                <w:rFonts w:ascii="Courier New" w:cs="Courier New" w:eastAsia="Courier New" w:hAnsi="Courier New"/>
                <w:sz w:val="15"/>
                <w:szCs w:val="15"/>
                <w:color w:val="auto"/>
                <w:w w:val="96"/>
              </w:rPr>
              <w:t>18,492</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(67,159)</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46,481</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(7,015)</w:t>
            </w:r>
          </w:p>
        </w:tc>
      </w:tr>
      <w:tr>
        <w:trPr>
          <w:trHeight w:val="173"/>
        </w:trPr>
        <w:tc>
          <w:tcPr>
            <w:tcW w:w="3920" w:type="dxa"/>
            <w:vAlign w:val="bottom"/>
          </w:tcPr>
          <w:p>
            <w:pPr>
              <w:jc w:val="right"/>
              <w:ind w:right="1425"/>
              <w:spacing w:after="0"/>
              <w:rPr>
                <w:sz w:val="20"/>
                <w:szCs w:val="20"/>
                <w:color w:val="auto"/>
              </w:rPr>
            </w:pPr>
            <w:r>
              <w:rPr>
                <w:rFonts w:ascii="Courier New" w:cs="Courier New" w:eastAsia="Courier New" w:hAnsi="Courier New"/>
                <w:sz w:val="15"/>
                <w:szCs w:val="15"/>
                <w:color w:val="auto"/>
                <w:w w:val="98"/>
              </w:rPr>
              <w:t>Other comprehensive income:</w:t>
            </w:r>
          </w:p>
        </w:tc>
        <w:tc>
          <w:tcPr>
            <w:tcW w:w="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9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Unrealized income (loss) on derivative</w:t>
            </w:r>
          </w:p>
        </w:tc>
        <w:tc>
          <w:tcPr>
            <w:tcW w:w="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920" w:type="dxa"/>
            <w:vAlign w:val="bottom"/>
          </w:tcPr>
          <w:p>
            <w:pPr>
              <w:jc w:val="right"/>
              <w:ind w:right="1425"/>
              <w:spacing w:after="0"/>
              <w:rPr>
                <w:sz w:val="20"/>
                <w:szCs w:val="20"/>
                <w:color w:val="auto"/>
              </w:rPr>
            </w:pPr>
            <w:r>
              <w:rPr>
                <w:rFonts w:ascii="Courier New" w:cs="Courier New" w:eastAsia="Courier New" w:hAnsi="Courier New"/>
                <w:sz w:val="15"/>
                <w:szCs w:val="15"/>
                <w:color w:val="auto"/>
              </w:rPr>
              <w:t>instruments, net of tax</w:t>
            </w:r>
          </w:p>
        </w:tc>
        <w:tc>
          <w:tcPr>
            <w:tcW w:w="580" w:type="dxa"/>
            <w:vAlign w:val="bottom"/>
          </w:tcPr>
          <w:p>
            <w:pPr>
              <w:spacing w:after="0"/>
              <w:rPr>
                <w:sz w:val="15"/>
                <w:szCs w:val="15"/>
                <w:color w:val="auto"/>
              </w:rPr>
            </w:pPr>
          </w:p>
        </w:tc>
        <w:tc>
          <w:tcPr>
            <w:tcW w:w="13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2,821</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(2,677)</w:t>
            </w:r>
          </w:p>
        </w:tc>
        <w:tc>
          <w:tcPr>
            <w:tcW w:w="500" w:type="dxa"/>
            <w:vAlign w:val="bottom"/>
          </w:tcPr>
          <w:p>
            <w:pPr>
              <w:spacing w:after="0"/>
              <w:rPr>
                <w:sz w:val="15"/>
                <w:szCs w:val="15"/>
                <w:color w:val="auto"/>
              </w:rPr>
            </w:pPr>
          </w:p>
        </w:tc>
        <w:tc>
          <w:tcPr>
            <w:tcW w:w="14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(3,865)</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3,693</w:t>
            </w:r>
          </w:p>
        </w:tc>
      </w:tr>
      <w:tr>
        <w:trPr>
          <w:trHeight w:val="173"/>
        </w:trPr>
        <w:tc>
          <w:tcPr>
            <w:tcW w:w="39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Unrealized income (loss) on short-term</w:t>
            </w:r>
          </w:p>
        </w:tc>
        <w:tc>
          <w:tcPr>
            <w:tcW w:w="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9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interest-bearing investments, net of</w:t>
            </w:r>
          </w:p>
        </w:tc>
        <w:tc>
          <w:tcPr>
            <w:tcW w:w="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920" w:type="dxa"/>
            <w:vAlign w:val="bottom"/>
          </w:tcPr>
          <w:p>
            <w:pPr>
              <w:jc w:val="right"/>
              <w:ind w:right="3225"/>
              <w:spacing w:after="0"/>
              <w:rPr>
                <w:sz w:val="20"/>
                <w:szCs w:val="20"/>
                <w:color w:val="auto"/>
              </w:rPr>
            </w:pPr>
            <w:r>
              <w:rPr>
                <w:rFonts w:ascii="Courier New" w:cs="Courier New" w:eastAsia="Courier New" w:hAnsi="Courier New"/>
                <w:sz w:val="15"/>
                <w:szCs w:val="15"/>
                <w:color w:val="auto"/>
              </w:rPr>
              <w:t>tax</w:t>
            </w:r>
          </w:p>
        </w:tc>
        <w:tc>
          <w:tcPr>
            <w:tcW w:w="580" w:type="dxa"/>
            <w:vAlign w:val="bottom"/>
          </w:tcPr>
          <w:p>
            <w:pPr>
              <w:spacing w:after="0"/>
              <w:rPr>
                <w:sz w:val="15"/>
                <w:szCs w:val="15"/>
                <w:color w:val="auto"/>
              </w:rPr>
            </w:pPr>
          </w:p>
        </w:tc>
        <w:tc>
          <w:tcPr>
            <w:tcW w:w="130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(344)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w:t>
            </w:r>
          </w:p>
        </w:tc>
        <w:tc>
          <w:tcPr>
            <w:tcW w:w="500" w:type="dxa"/>
            <w:vAlign w:val="bottom"/>
          </w:tcPr>
          <w:p>
            <w:pPr>
              <w:spacing w:after="0"/>
              <w:rPr>
                <w:sz w:val="15"/>
                <w:szCs w:val="15"/>
                <w:color w:val="auto"/>
              </w:rPr>
            </w:pPr>
          </w:p>
        </w:tc>
        <w:tc>
          <w:tcPr>
            <w:tcW w:w="14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171</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w:t>
            </w:r>
          </w:p>
        </w:tc>
      </w:tr>
      <w:tr>
        <w:trPr>
          <w:trHeight w:val="173"/>
        </w:trPr>
        <w:tc>
          <w:tcPr>
            <w:tcW w:w="3920" w:type="dxa"/>
            <w:vAlign w:val="bottom"/>
          </w:tcPr>
          <w:p>
            <w:pPr>
              <w:spacing w:after="0"/>
              <w:rPr>
                <w:sz w:val="15"/>
                <w:szCs w:val="15"/>
                <w:color w:val="auto"/>
              </w:rPr>
            </w:pPr>
          </w:p>
        </w:tc>
        <w:tc>
          <w:tcPr>
            <w:tcW w:w="188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920" w:type="dxa"/>
            <w:vAlign w:val="bottom"/>
          </w:tcPr>
          <w:p>
            <w:pPr>
              <w:jc w:val="right"/>
              <w:ind w:right="1425"/>
              <w:spacing w:after="0"/>
              <w:rPr>
                <w:sz w:val="20"/>
                <w:szCs w:val="20"/>
                <w:color w:val="auto"/>
              </w:rPr>
            </w:pPr>
            <w:r>
              <w:rPr>
                <w:rFonts w:ascii="Courier New" w:cs="Courier New" w:eastAsia="Courier New" w:hAnsi="Courier New"/>
                <w:sz w:val="15"/>
                <w:szCs w:val="15"/>
                <w:color w:val="auto"/>
                <w:w w:val="98"/>
              </w:rPr>
              <w:t>Comprehensive income (loss)</w:t>
            </w:r>
          </w:p>
        </w:tc>
        <w:tc>
          <w:tcPr>
            <w:tcW w:w="5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85"/>
              <w:spacing w:after="0"/>
              <w:rPr>
                <w:sz w:val="20"/>
                <w:szCs w:val="20"/>
                <w:color w:val="auto"/>
              </w:rPr>
            </w:pPr>
            <w:r>
              <w:rPr>
                <w:rFonts w:ascii="Courier New" w:cs="Courier New" w:eastAsia="Courier New" w:hAnsi="Courier New"/>
                <w:sz w:val="15"/>
                <w:szCs w:val="15"/>
                <w:color w:val="auto"/>
                <w:w w:val="96"/>
              </w:rPr>
              <w:t>20,969</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(69,816)</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42,787</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(3,302)</w:t>
            </w:r>
          </w:p>
        </w:tc>
      </w:tr>
      <w:tr>
        <w:trPr>
          <w:trHeight w:val="173"/>
        </w:trPr>
        <w:tc>
          <w:tcPr>
            <w:tcW w:w="3920" w:type="dxa"/>
            <w:vAlign w:val="bottom"/>
          </w:tcPr>
          <w:p>
            <w:pPr>
              <w:spacing w:after="0"/>
              <w:rPr>
                <w:sz w:val="15"/>
                <w:szCs w:val="15"/>
                <w:color w:val="auto"/>
              </w:rPr>
            </w:pPr>
          </w:p>
        </w:tc>
        <w:tc>
          <w:tcPr>
            <w:tcW w:w="188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448" w:hanging="448"/>
        <w:spacing w:after="0"/>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6"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 for income taxes for the following periods consisted of:</w:t>
      </w:r>
    </w:p>
    <w:p>
      <w:pPr>
        <w:spacing w:after="0" w:line="35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60" w:type="dxa"/>
            <w:vAlign w:val="bottom"/>
            <w:gridSpan w:val="3"/>
          </w:tcPr>
          <w:p>
            <w:pPr>
              <w:jc w:val="right"/>
              <w:ind w:right="705"/>
              <w:spacing w:after="0"/>
              <w:rPr>
                <w:sz w:val="20"/>
                <w:szCs w:val="20"/>
                <w:color w:val="auto"/>
              </w:rPr>
            </w:pPr>
            <w:r>
              <w:rPr>
                <w:rFonts w:ascii="Courier New" w:cs="Courier New" w:eastAsia="Courier New" w:hAnsi="Courier New"/>
                <w:sz w:val="15"/>
                <w:szCs w:val="15"/>
                <w:color w:val="auto"/>
              </w:rPr>
              <w:t>THREE MONTHS ENDED</w:t>
            </w:r>
          </w:p>
        </w:tc>
        <w:tc>
          <w:tcPr>
            <w:tcW w:w="500" w:type="dxa"/>
            <w:vAlign w:val="bottom"/>
          </w:tcPr>
          <w:p>
            <w:pPr>
              <w:spacing w:after="0"/>
              <w:rPr>
                <w:sz w:val="14"/>
                <w:szCs w:val="14"/>
                <w:color w:val="auto"/>
              </w:rPr>
            </w:pPr>
          </w:p>
        </w:tc>
        <w:tc>
          <w:tcPr>
            <w:tcW w:w="224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NINE MONTHS ENDED</w:t>
            </w:r>
          </w:p>
        </w:tc>
      </w:tr>
      <w:tr>
        <w:trPr>
          <w:trHeight w:val="173"/>
        </w:trPr>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JUNE 30,</w:t>
            </w: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JUNE 30,</w:t>
            </w:r>
          </w:p>
        </w:tc>
        <w:tc>
          <w:tcPr>
            <w:tcW w:w="620" w:type="dxa"/>
            <w:vAlign w:val="bottom"/>
          </w:tcPr>
          <w:p>
            <w:pPr>
              <w:spacing w:after="0"/>
              <w:rPr>
                <w:sz w:val="15"/>
                <w:szCs w:val="15"/>
                <w:color w:val="auto"/>
              </w:rPr>
            </w:pPr>
          </w:p>
        </w:tc>
      </w:tr>
      <w:tr>
        <w:trPr>
          <w:trHeight w:val="173"/>
        </w:trPr>
        <w:tc>
          <w:tcPr>
            <w:tcW w:w="1260" w:type="dxa"/>
            <w:vAlign w:val="bottom"/>
          </w:tcPr>
          <w:p>
            <w:pPr>
              <w:spacing w:after="0"/>
              <w:rPr>
                <w:sz w:val="15"/>
                <w:szCs w:val="15"/>
                <w:color w:val="auto"/>
              </w:rPr>
            </w:pPr>
          </w:p>
        </w:tc>
        <w:tc>
          <w:tcPr>
            <w:tcW w:w="3380" w:type="dxa"/>
            <w:vAlign w:val="bottom"/>
            <w:gridSpan w:val="4"/>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27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2001</w:t>
            </w:r>
          </w:p>
        </w:tc>
        <w:tc>
          <w:tcPr>
            <w:tcW w:w="940" w:type="dxa"/>
            <w:vAlign w:val="bottom"/>
          </w:tcPr>
          <w:p>
            <w:pPr>
              <w:spacing w:after="0"/>
              <w:rPr>
                <w:sz w:val="15"/>
                <w:szCs w:val="15"/>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2000</w:t>
            </w:r>
          </w:p>
        </w:tc>
        <w:tc>
          <w:tcPr>
            <w:tcW w:w="500" w:type="dxa"/>
            <w:vAlign w:val="bottom"/>
          </w:tcPr>
          <w:p>
            <w:pPr>
              <w:spacing w:after="0"/>
              <w:rPr>
                <w:sz w:val="15"/>
                <w:szCs w:val="15"/>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2001</w:t>
            </w:r>
          </w:p>
        </w:tc>
        <w:tc>
          <w:tcPr>
            <w:tcW w:w="1000" w:type="dxa"/>
            <w:vAlign w:val="bottom"/>
          </w:tcPr>
          <w:p>
            <w:pPr>
              <w:spacing w:after="0"/>
              <w:rPr>
                <w:sz w:val="15"/>
                <w:szCs w:val="15"/>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12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2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26,129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35,728</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76,263</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66,197</w:t>
            </w:r>
          </w:p>
        </w:tc>
      </w:tr>
      <w:tr>
        <w:trPr>
          <w:trHeight w:val="173"/>
        </w:trPr>
        <w:tc>
          <w:tcPr>
            <w:tcW w:w="126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7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5,471</w:t>
            </w:r>
          </w:p>
        </w:tc>
        <w:tc>
          <w:tcPr>
            <w:tcW w:w="94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(5,020)</w:t>
            </w:r>
          </w:p>
        </w:tc>
        <w:tc>
          <w:tcPr>
            <w:tcW w:w="5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2,894</w:t>
            </w:r>
          </w:p>
        </w:tc>
        <w:tc>
          <w:tcPr>
            <w:tcW w:w="10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3"/>
        </w:trPr>
        <w:tc>
          <w:tcPr>
            <w:tcW w:w="12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31,600</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30,708</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79,157</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66,202</w:t>
            </w:r>
          </w:p>
        </w:tc>
      </w:tr>
      <w:tr>
        <w:trPr>
          <w:trHeight w:val="173"/>
        </w:trPr>
        <w:tc>
          <w:tcPr>
            <w:tcW w:w="12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left="448" w:right="3199"/>
        <w:spacing w:after="0" w:line="243" w:lineRule="auto"/>
        <w:rPr>
          <w:sz w:val="20"/>
          <w:szCs w:val="20"/>
          <w:color w:val="auto"/>
        </w:rPr>
      </w:pPr>
      <w:r>
        <w:rPr>
          <w:rFonts w:ascii="Courier New" w:cs="Courier New" w:eastAsia="Courier New" w:hAnsi="Courier New"/>
          <w:sz w:val="15"/>
          <w:szCs w:val="15"/>
          <w:color w:val="auto"/>
        </w:rPr>
        <w:t>The effective income tax rate varied from the statutory Guernsey tax rate as follows for the periods set forth below:</w:t>
      </w:r>
    </w:p>
    <w:p>
      <w:pPr>
        <w:spacing w:after="0" w:line="349"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THREE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MONTHS ENDED</w:t>
            </w: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w:t>
            </w:r>
          </w:p>
        </w:tc>
      </w:tr>
      <w:tr>
        <w:trPr>
          <w:trHeight w:val="173"/>
        </w:trPr>
        <w:tc>
          <w:tcPr>
            <w:tcW w:w="3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JUNE 30,</w:t>
            </w:r>
          </w:p>
        </w:tc>
        <w:tc>
          <w:tcPr>
            <w:tcW w:w="104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JUNE 30,</w:t>
            </w:r>
          </w:p>
        </w:tc>
      </w:tr>
      <w:tr>
        <w:trPr>
          <w:trHeight w:val="173"/>
        </w:trPr>
        <w:tc>
          <w:tcPr>
            <w:tcW w:w="3680" w:type="dxa"/>
            <w:vAlign w:val="bottom"/>
          </w:tcPr>
          <w:p>
            <w:pPr>
              <w:spacing w:after="0"/>
              <w:rPr>
                <w:sz w:val="15"/>
                <w:szCs w:val="15"/>
                <w:color w:val="auto"/>
              </w:rPr>
            </w:pPr>
          </w:p>
        </w:tc>
        <w:tc>
          <w:tcPr>
            <w:tcW w:w="2660" w:type="dxa"/>
            <w:vAlign w:val="bottom"/>
            <w:gridSpan w:val="2"/>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6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170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2000</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36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68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170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20%</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170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(20)</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w:t>
            </w:r>
          </w:p>
        </w:tc>
        <w:tc>
          <w:tcPr>
            <w:tcW w:w="17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30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Effect of acquisitions-related costs</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w:t>
            </w:r>
          </w:p>
        </w:tc>
        <w:tc>
          <w:tcPr>
            <w:tcW w:w="17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129</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w:t>
            </w:r>
          </w:p>
        </w:tc>
      </w:tr>
      <w:tr>
        <w:trPr>
          <w:trHeight w:val="173"/>
        </w:trPr>
        <w:tc>
          <w:tcPr>
            <w:tcW w:w="36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c>
          <w:tcPr>
            <w:tcW w:w="170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159%</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3"/>
        </w:trPr>
        <w:tc>
          <w:tcPr>
            <w:tcW w:w="36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left="448" w:right="3019"/>
        <w:spacing w:after="0" w:line="244" w:lineRule="auto"/>
        <w:rPr>
          <w:sz w:val="20"/>
          <w:szCs w:val="20"/>
          <w:color w:val="auto"/>
        </w:rPr>
      </w:pPr>
      <w:r>
        <w:rPr>
          <w:rFonts w:ascii="Courier New" w:cs="Courier New" w:eastAsia="Courier New" w:hAnsi="Courier New"/>
          <w:sz w:val="15"/>
          <w:szCs w:val="15"/>
          <w:color w:val="auto"/>
        </w:rPr>
        <w:t>As a Guernsey corporation with tax-exempt status, the Company's overall effective tax rate is attributable solely to foreign taxes and has historically approximated 30%. In conjunction with acquisitions, the Company has incurred indirect acquisition-related costs, as well as non-cash charges related to the amortization of purchased intangible assets and in-process research and development. Since a significant portion of such costs and charges are not deductible for tax purposes, the effective tax rate is adversely affected during the period such charges are recorded. Excluding the impact of these items, the Company's overall effective tax rate would have remained approximately 30% for the three- and nine-month periods ended June 30, 2001 and 2000. For the nine-month period ended June 30, 2001 and 2000, the Company's blended effective tax rate (calculated based on income before income taxes, excluding the impact in fiscal year 2000 of non-recurring charges for in-process research and development and indirect acquisition-related costs) was 63% and 49%, respectively.</w:t>
      </w:r>
    </w:p>
    <w:p>
      <w:pPr>
        <w:sectPr>
          <w:pgSz w:w="11900" w:h="16838" w:orient="portrait"/>
          <w:cols w:equalWidth="0" w:num="1">
            <w:col w:w="10227"/>
          </w:cols>
          <w:pgMar w:left="232" w:top="291" w:right="1440" w:bottom="555" w:gutter="0" w:footer="0" w:header="0"/>
        </w:sectPr>
      </w:pPr>
    </w:p>
    <w:p>
      <w:pPr>
        <w:spacing w:after="0" w:line="35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291" w:right="1440" w:bottom="555" w:gutter="0" w:footer="0" w:header="0"/>
          <w:type w:val="continuous"/>
        </w:sectPr>
      </w:pPr>
    </w:p>
    <w:bookmarkStart w:id="8" w:name="page9"/>
    <w:bookmarkEnd w:id="8"/>
    <w:p>
      <w:pPr>
        <w:ind w:left="268"/>
        <w:spacing w:after="0"/>
        <w:rPr>
          <w:sz w:val="20"/>
          <w:szCs w:val="20"/>
          <w:color w:val="auto"/>
        </w:rPr>
      </w:pPr>
      <w:r>
        <w:rPr>
          <w:rFonts w:ascii="Courier New" w:cs="Courier New" w:eastAsia="Courier New" w:hAnsi="Courier New"/>
          <w:sz w:val="15"/>
          <w:szCs w:val="15"/>
          <w:color w:val="auto"/>
        </w:rPr>
        <w:t>9</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AMDOCS LIMITED</w:t>
      </w:r>
    </w:p>
    <w:p>
      <w:pPr>
        <w:spacing w:after="0" w:line="177"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350" w:lineRule="exact"/>
        <w:rPr>
          <w:sz w:val="20"/>
          <w:szCs w:val="20"/>
          <w:color w:val="auto"/>
        </w:rPr>
      </w:pPr>
    </w:p>
    <w:p>
      <w:pPr>
        <w:ind w:left="448" w:hanging="448"/>
        <w:spacing w:after="0"/>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7" w:lineRule="exact"/>
        <w:rPr>
          <w:rFonts w:ascii="Courier New" w:cs="Courier New" w:eastAsia="Courier New" w:hAnsi="Courier New"/>
          <w:sz w:val="15"/>
          <w:szCs w:val="15"/>
          <w:color w:val="auto"/>
        </w:rPr>
      </w:pPr>
    </w:p>
    <w:p>
      <w:pPr>
        <w:ind w:left="448" w:right="373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349"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3"/>
          </w:tcPr>
          <w:p>
            <w:pPr>
              <w:jc w:val="center"/>
              <w:ind w:right="245"/>
              <w:spacing w:after="0"/>
              <w:rPr>
                <w:sz w:val="20"/>
                <w:szCs w:val="20"/>
                <w:color w:val="auto"/>
              </w:rPr>
            </w:pPr>
            <w:r>
              <w:rPr>
                <w:rFonts w:ascii="Courier New" w:cs="Courier New" w:eastAsia="Courier New" w:hAnsi="Courier New"/>
                <w:sz w:val="15"/>
                <w:szCs w:val="15"/>
                <w:color w:val="auto"/>
                <w:w w:val="99"/>
              </w:rPr>
              <w:t>THREE MONTHS ENDED</w:t>
            </w:r>
          </w:p>
        </w:tc>
        <w:tc>
          <w:tcPr>
            <w:tcW w:w="320" w:type="dxa"/>
            <w:vAlign w:val="bottom"/>
          </w:tcPr>
          <w:p>
            <w:pPr>
              <w:spacing w:after="0"/>
              <w:rPr>
                <w:sz w:val="14"/>
                <w:szCs w:val="14"/>
                <w:color w:val="auto"/>
              </w:rPr>
            </w:pPr>
          </w:p>
        </w:tc>
        <w:tc>
          <w:tcPr>
            <w:tcW w:w="208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NINE MONTHS ENDED</w:t>
            </w:r>
          </w:p>
        </w:tc>
      </w:tr>
      <w:tr>
        <w:trPr>
          <w:trHeight w:val="173"/>
        </w:trPr>
        <w:tc>
          <w:tcPr>
            <w:tcW w:w="4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center"/>
              <w:ind w:left="465"/>
              <w:spacing w:after="0"/>
              <w:rPr>
                <w:sz w:val="20"/>
                <w:szCs w:val="20"/>
                <w:color w:val="auto"/>
              </w:rPr>
            </w:pPr>
            <w:r>
              <w:rPr>
                <w:rFonts w:ascii="Courier New" w:cs="Courier New" w:eastAsia="Courier New" w:hAnsi="Courier New"/>
                <w:sz w:val="15"/>
                <w:szCs w:val="15"/>
                <w:color w:val="auto"/>
                <w:w w:val="99"/>
              </w:rPr>
              <w:t>JUNE 30,</w:t>
            </w: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JUNE 30,</w:t>
            </w:r>
          </w:p>
        </w:tc>
        <w:tc>
          <w:tcPr>
            <w:tcW w:w="720" w:type="dxa"/>
            <w:vAlign w:val="bottom"/>
          </w:tcPr>
          <w:p>
            <w:pPr>
              <w:spacing w:after="0"/>
              <w:rPr>
                <w:sz w:val="15"/>
                <w:szCs w:val="15"/>
                <w:color w:val="auto"/>
              </w:rPr>
            </w:pPr>
          </w:p>
        </w:tc>
      </w:tr>
      <w:tr>
        <w:trPr>
          <w:trHeight w:val="173"/>
        </w:trPr>
        <w:tc>
          <w:tcPr>
            <w:tcW w:w="4640" w:type="dxa"/>
            <w:vAlign w:val="bottom"/>
          </w:tcPr>
          <w:p>
            <w:pPr>
              <w:spacing w:after="0"/>
              <w:rPr>
                <w:sz w:val="15"/>
                <w:szCs w:val="15"/>
                <w:color w:val="auto"/>
              </w:rPr>
            </w:pPr>
          </w:p>
        </w:tc>
        <w:tc>
          <w:tcPr>
            <w:tcW w:w="2420" w:type="dxa"/>
            <w:vAlign w:val="bottom"/>
            <w:gridSpan w:val="4"/>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40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2001</w:t>
            </w:r>
          </w:p>
        </w:tc>
        <w:tc>
          <w:tcPr>
            <w:tcW w:w="460" w:type="dxa"/>
            <w:vAlign w:val="bottom"/>
          </w:tcPr>
          <w:p>
            <w:pPr>
              <w:spacing w:after="0"/>
              <w:rPr>
                <w:sz w:val="15"/>
                <w:szCs w:val="15"/>
                <w:color w:val="auto"/>
              </w:rPr>
            </w:pPr>
          </w:p>
        </w:tc>
        <w:tc>
          <w:tcPr>
            <w:tcW w:w="84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4"/>
              </w:rPr>
              <w:t>2000</w:t>
            </w:r>
          </w:p>
        </w:tc>
        <w:tc>
          <w:tcPr>
            <w:tcW w:w="320" w:type="dxa"/>
            <w:vAlign w:val="bottom"/>
          </w:tcPr>
          <w:p>
            <w:pPr>
              <w:spacing w:after="0"/>
              <w:rPr>
                <w:sz w:val="15"/>
                <w:szCs w:val="15"/>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2001</w:t>
            </w:r>
          </w:p>
        </w:tc>
        <w:tc>
          <w:tcPr>
            <w:tcW w:w="50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2000</w:t>
            </w:r>
          </w:p>
        </w:tc>
      </w:tr>
      <w:tr>
        <w:trPr>
          <w:trHeight w:val="173"/>
        </w:trPr>
        <w:tc>
          <w:tcPr>
            <w:tcW w:w="4640" w:type="dxa"/>
            <w:vAlign w:val="bottom"/>
          </w:tcPr>
          <w:p>
            <w:pPr>
              <w:spacing w:after="0"/>
              <w:rPr>
                <w:sz w:val="15"/>
                <w:szCs w:val="15"/>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64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4640" w:type="dxa"/>
            <w:vAlign w:val="bottom"/>
          </w:tcPr>
          <w:p>
            <w:pPr>
              <w:ind w:left="260"/>
              <w:spacing w:after="0"/>
              <w:rPr>
                <w:sz w:val="20"/>
                <w:szCs w:val="20"/>
                <w:color w:val="auto"/>
              </w:rPr>
            </w:pPr>
            <w:r>
              <w:rPr>
                <w:rFonts w:ascii="Courier New" w:cs="Courier New" w:eastAsia="Courier New" w:hAnsi="Courier New"/>
                <w:sz w:val="15"/>
                <w:szCs w:val="15"/>
                <w:color w:val="auto"/>
              </w:rPr>
              <w:t>Net income (loss)</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18,492</w:t>
            </w: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(67,159)</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46,481</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(7,015)</w:t>
            </w:r>
          </w:p>
        </w:tc>
      </w:tr>
      <w:tr>
        <w:trPr>
          <w:trHeight w:val="173"/>
        </w:trPr>
        <w:tc>
          <w:tcPr>
            <w:tcW w:w="4640" w:type="dxa"/>
            <w:vAlign w:val="bottom"/>
          </w:tcPr>
          <w:p>
            <w:pPr>
              <w:spacing w:after="0"/>
              <w:rPr>
                <w:sz w:val="15"/>
                <w:szCs w:val="15"/>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4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Denominator for basic earnings (loss) per share-</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64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 number of shares</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640" w:type="dxa"/>
            <w:vAlign w:val="bottom"/>
          </w:tcPr>
          <w:p>
            <w:pPr>
              <w:ind w:left="440"/>
              <w:spacing w:after="0"/>
              <w:rPr>
                <w:sz w:val="20"/>
                <w:szCs w:val="20"/>
                <w:color w:val="auto"/>
              </w:rPr>
            </w:pPr>
            <w:r>
              <w:rPr>
                <w:rFonts w:ascii="Courier New" w:cs="Courier New" w:eastAsia="Courier New" w:hAnsi="Courier New"/>
                <w:sz w:val="15"/>
                <w:szCs w:val="15"/>
                <w:color w:val="auto"/>
              </w:rPr>
              <w:t>outstanding</w:t>
            </w: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222,349</w:t>
            </w:r>
          </w:p>
        </w:tc>
        <w:tc>
          <w:tcPr>
            <w:tcW w:w="46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219,962</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221,814</w:t>
            </w:r>
          </w:p>
        </w:tc>
        <w:tc>
          <w:tcPr>
            <w:tcW w:w="5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208,706</w:t>
            </w:r>
          </w:p>
        </w:tc>
      </w:tr>
      <w:tr>
        <w:trPr>
          <w:trHeight w:val="173"/>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Effect of dilutive stock options granted</w:t>
            </w: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4,593</w:t>
            </w: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5,147</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w w:val="96"/>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40" w:type="dxa"/>
            <w:vAlign w:val="bottom"/>
          </w:tcPr>
          <w:p>
            <w:pPr>
              <w:spacing w:after="0"/>
              <w:rPr>
                <w:sz w:val="15"/>
                <w:szCs w:val="15"/>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Denominator for dilutive earnings per</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640" w:type="dxa"/>
            <w:vAlign w:val="bottom"/>
          </w:tcPr>
          <w:p>
            <w:pPr>
              <w:ind w:left="440"/>
              <w:spacing w:after="0"/>
              <w:rPr>
                <w:sz w:val="20"/>
                <w:szCs w:val="20"/>
                <w:color w:val="auto"/>
              </w:rPr>
            </w:pPr>
            <w:r>
              <w:rPr>
                <w:rFonts w:ascii="Courier New" w:cs="Courier New" w:eastAsia="Courier New" w:hAnsi="Courier New"/>
                <w:sz w:val="15"/>
                <w:szCs w:val="15"/>
                <w:color w:val="auto"/>
              </w:rPr>
              <w:t>share - adjusted weighted average shares and</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640" w:type="dxa"/>
            <w:vAlign w:val="bottom"/>
          </w:tcPr>
          <w:p>
            <w:pPr>
              <w:ind w:left="440"/>
              <w:spacing w:after="0"/>
              <w:rPr>
                <w:sz w:val="20"/>
                <w:szCs w:val="20"/>
                <w:color w:val="auto"/>
              </w:rPr>
            </w:pPr>
            <w:r>
              <w:rPr>
                <w:rFonts w:ascii="Courier New" w:cs="Courier New" w:eastAsia="Courier New" w:hAnsi="Courier New"/>
                <w:sz w:val="15"/>
                <w:szCs w:val="15"/>
                <w:color w:val="auto"/>
              </w:rPr>
              <w:t>assumed conversions</w:t>
            </w: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226,942</w:t>
            </w:r>
          </w:p>
        </w:tc>
        <w:tc>
          <w:tcPr>
            <w:tcW w:w="46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219,962</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226,961</w:t>
            </w:r>
          </w:p>
        </w:tc>
        <w:tc>
          <w:tcPr>
            <w:tcW w:w="5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208,706</w:t>
            </w:r>
          </w:p>
        </w:tc>
      </w:tr>
      <w:tr>
        <w:trPr>
          <w:trHeight w:val="173"/>
        </w:trPr>
        <w:tc>
          <w:tcPr>
            <w:tcW w:w="4640" w:type="dxa"/>
            <w:vAlign w:val="bottom"/>
          </w:tcPr>
          <w:p>
            <w:pPr>
              <w:spacing w:after="0"/>
              <w:rPr>
                <w:sz w:val="15"/>
                <w:szCs w:val="15"/>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Basic earnings (loss) per share</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0.08</w:t>
            </w: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(0.31)</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0.21</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r>
      <w:tr>
        <w:trPr>
          <w:trHeight w:val="173"/>
        </w:trPr>
        <w:tc>
          <w:tcPr>
            <w:tcW w:w="4640" w:type="dxa"/>
            <w:vAlign w:val="bottom"/>
          </w:tcPr>
          <w:p>
            <w:pPr>
              <w:spacing w:after="0"/>
              <w:rPr>
                <w:sz w:val="15"/>
                <w:szCs w:val="15"/>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Diluted earnings (loss) per share</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0.08</w:t>
            </w: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(0.31)</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0.20</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r>
      <w:tr>
        <w:trPr>
          <w:trHeight w:val="173"/>
        </w:trPr>
        <w:tc>
          <w:tcPr>
            <w:tcW w:w="4640" w:type="dxa"/>
            <w:vAlign w:val="bottom"/>
          </w:tcPr>
          <w:p>
            <w:pPr>
              <w:spacing w:after="0"/>
              <w:rPr>
                <w:sz w:val="15"/>
                <w:szCs w:val="15"/>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178" w:lineRule="exact"/>
        <w:rPr>
          <w:sz w:val="20"/>
          <w:szCs w:val="20"/>
          <w:color w:val="auto"/>
        </w:rPr>
      </w:pPr>
    </w:p>
    <w:p>
      <w:pPr>
        <w:ind w:left="448" w:right="3459" w:firstLine="3"/>
        <w:spacing w:after="0" w:line="243" w:lineRule="auto"/>
        <w:tabs>
          <w:tab w:leader="none" w:pos="80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to net loss, potentially issuable shares are excluded from the computation of diluted average number of shares outstanding.</w:t>
      </w:r>
    </w:p>
    <w:p>
      <w:pPr>
        <w:spacing w:after="0" w:line="175"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w:t>
      </w:r>
    </w:p>
    <w:p>
      <w:pPr>
        <w:spacing w:after="0" w:line="177" w:lineRule="exact"/>
        <w:rPr>
          <w:rFonts w:ascii="Courier New" w:cs="Courier New" w:eastAsia="Courier New" w:hAnsi="Courier New"/>
          <w:sz w:val="15"/>
          <w:szCs w:val="15"/>
          <w:color w:val="auto"/>
        </w:rPr>
      </w:pPr>
    </w:p>
    <w:p>
      <w:pPr>
        <w:jc w:val="both"/>
        <w:ind w:left="448" w:right="31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2001 the Company and Bell Canada formed Certen Inc. ("Certen") to provide customer care and billing solutions to Bell Canada and some of its affiliated companies.</w:t>
      </w:r>
    </w:p>
    <w:p>
      <w:pPr>
        <w:spacing w:after="0" w:line="175" w:lineRule="exact"/>
        <w:rPr>
          <w:rFonts w:ascii="Courier New" w:cs="Courier New" w:eastAsia="Courier New" w:hAnsi="Courier New"/>
          <w:sz w:val="15"/>
          <w:szCs w:val="15"/>
          <w:color w:val="auto"/>
        </w:rPr>
      </w:pPr>
    </w:p>
    <w:p>
      <w:pPr>
        <w:ind w:left="448" w:right="31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Certen is owned 90% by Bell Canada and 10% by the Company. Commencing on the 30-month anniversary of the transaction, a convertible note issued by Certen to the Company is convertible into an additional 35% ownership interest in Certen. The relative ownership interests of the shareholders might further be changed through a series of contractual conditions, commencing on the 30-month anniversary of the transaction.</w:t>
      </w:r>
    </w:p>
    <w:p>
      <w:pPr>
        <w:spacing w:after="0" w:line="177" w:lineRule="exact"/>
        <w:rPr>
          <w:rFonts w:ascii="Courier New" w:cs="Courier New" w:eastAsia="Courier New" w:hAnsi="Courier New"/>
          <w:sz w:val="15"/>
          <w:szCs w:val="15"/>
          <w:color w:val="auto"/>
        </w:rPr>
      </w:pPr>
    </w:p>
    <w:p>
      <w:pPr>
        <w:ind w:left="44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provide the customer care and billing software required by Certen, including customization, installation, maintenance and other services.</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Notes</w:t>
      </w:r>
    </w:p>
    <w:p>
      <w:pPr>
        <w:spacing w:after="0" w:line="177" w:lineRule="exact"/>
        <w:rPr>
          <w:rFonts w:ascii="Courier New" w:cs="Courier New" w:eastAsia="Courier New" w:hAnsi="Courier New"/>
          <w:sz w:val="15"/>
          <w:szCs w:val="15"/>
          <w:color w:val="auto"/>
        </w:rPr>
      </w:pPr>
    </w:p>
    <w:p>
      <w:pPr>
        <w:ind w:left="44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May 2001 the Company issued to qualified institutional buyers $500,000 aggregate principal amount of 2% Convertible Notes due June 1, 2008 (the "Notes"). The Company will pay interest on the Notes semi-annually on June 1 and December 1 of each year, commencing on December 1, 2001. The Notes are senior unsecured obligations of the Company and rank equal in right of payment with all existing and future senior unsecured indebtedness of the Company; are convertible, at the option of the holders, into ordinary shares at a conversion rate of 10.8587 shares per one thousand dollars principal amount of Notes, subject to adjustment in certain events; are convertible at any time before the maturity date, unless the Company has previously redeemed or repurchased the Notes; are subject to redemption at any time on or after June 1, 2006, all or in part, at the option of the Company, at a redemption price of 100% of the principal amount plus accrued and unpaid interest; and are subject to repurchase, at the holders' option, on June 1, 2004 and June 1, 2006, at a repurchase price equal to 100% of the principal amount plus accrued and unpaid interest, if any, on such repurchase date. The Company may choose to pay the repurchase price in ordinary shares or a combination of cash and ordinary shares.</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291" w:right="1440" w:bottom="1440" w:gutter="0" w:footer="0" w:header="0"/>
          <w:type w:val="continuous"/>
        </w:sectPr>
      </w:pPr>
    </w:p>
    <w:bookmarkStart w:id="9" w:name="page10"/>
    <w:bookmarkEnd w:id="9"/>
    <w:p>
      <w:pPr>
        <w:ind w:left="268"/>
        <w:spacing w:after="0"/>
        <w:rPr>
          <w:sz w:val="20"/>
          <w:szCs w:val="20"/>
          <w:color w:val="auto"/>
        </w:rPr>
      </w:pPr>
      <w:r>
        <w:rPr>
          <w:rFonts w:ascii="Courier New" w:cs="Courier New" w:eastAsia="Courier New" w:hAnsi="Courier New"/>
          <w:sz w:val="15"/>
          <w:szCs w:val="15"/>
          <w:color w:val="auto"/>
        </w:rPr>
        <w:t>10</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AMDOCS LIMITED</w:t>
      </w:r>
    </w:p>
    <w:p>
      <w:pPr>
        <w:spacing w:after="0" w:line="177"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350" w:lineRule="exact"/>
        <w:rPr>
          <w:sz w:val="20"/>
          <w:szCs w:val="20"/>
          <w:color w:val="auto"/>
        </w:rPr>
      </w:pPr>
    </w:p>
    <w:p>
      <w:pPr>
        <w:ind w:left="448" w:hanging="448"/>
        <w:spacing w:after="0"/>
        <w:tabs>
          <w:tab w:leader="none" w:pos="4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the Basis of Investments</w:t>
      </w:r>
    </w:p>
    <w:p>
      <w:pPr>
        <w:spacing w:after="0" w:line="177" w:lineRule="exact"/>
        <w:rPr>
          <w:rFonts w:ascii="Courier New" w:cs="Courier New" w:eastAsia="Courier New" w:hAnsi="Courier New"/>
          <w:sz w:val="15"/>
          <w:szCs w:val="15"/>
          <w:color w:val="auto"/>
        </w:rPr>
      </w:pPr>
    </w:p>
    <w:p>
      <w:pPr>
        <w:ind w:left="448"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third quarter of fiscal 2001 the Company recorded pretax charges of $6,750 to adjust the carrying value of four investments, accounted for by the Company under the cost method. The Company continues to monitor the economic and financial aspects of its remaining interests in these investments.</w:t>
      </w:r>
    </w:p>
    <w:p>
      <w:pPr>
        <w:spacing w:after="0" w:line="175"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Standard</w:t>
      </w:r>
    </w:p>
    <w:p>
      <w:pPr>
        <w:spacing w:after="0" w:line="177" w:lineRule="exact"/>
        <w:rPr>
          <w:rFonts w:ascii="Courier New" w:cs="Courier New" w:eastAsia="Courier New" w:hAnsi="Courier New"/>
          <w:sz w:val="15"/>
          <w:szCs w:val="15"/>
          <w:color w:val="auto"/>
        </w:rPr>
      </w:pPr>
    </w:p>
    <w:p>
      <w:pPr>
        <w:ind w:left="44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June 2001, the Financial Accounting Standards Board issued Statements of Financial Accounting Standards No. 141, "Business Combinations", and No. 142, "Goodwill and Other Intangible Assets", effective for fiscal years beginning after December 15, 2001. Under the new rules, goodwill and intangible assets deemed to have indefinite lives will no longer be amortized but will be subject to annual impairment tests in accordance with the Statements. Other intangible assets will continue to be amortized over their useful lives.</w:t>
      </w:r>
    </w:p>
    <w:p>
      <w:pPr>
        <w:spacing w:after="0" w:line="178" w:lineRule="exact"/>
        <w:rPr>
          <w:rFonts w:ascii="Courier New" w:cs="Courier New" w:eastAsia="Courier New" w:hAnsi="Courier New"/>
          <w:sz w:val="15"/>
          <w:szCs w:val="15"/>
          <w:color w:val="auto"/>
        </w:rPr>
      </w:pPr>
    </w:p>
    <w:p>
      <w:pPr>
        <w:ind w:left="44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effective date of the new rules, the Company has the option of applying the new standard on accounting for goodwill and other intangible assets beginning either in the quarter ended on December 31, 2001 or December 31, 2002. Subsequent to the adoption of the new rules, the Company will perform the first of the required impairment tests of goodwill and intangible assets recorded as of the date of adoption and has not</w:t>
      </w:r>
    </w:p>
    <w:p>
      <w:pPr>
        <w:spacing w:after="0" w:line="3" w:lineRule="exact"/>
        <w:rPr>
          <w:rFonts w:ascii="Courier New" w:cs="Courier New" w:eastAsia="Courier New" w:hAnsi="Courier New"/>
          <w:sz w:val="15"/>
          <w:szCs w:val="15"/>
          <w:color w:val="auto"/>
        </w:rPr>
      </w:pPr>
    </w:p>
    <w:p>
      <w:pPr>
        <w:ind w:left="44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yet determined what the effect of these tests will be on the Company's earnings and financial position. The Company recorded $50,587, and $151,762 of goodwill amortization during the three and nine months ended June 30, 2001, respectively.</w:t>
      </w:r>
    </w:p>
    <w:p>
      <w:pPr>
        <w:spacing w:after="0" w:line="200" w:lineRule="exact"/>
        <w:rPr>
          <w:sz w:val="20"/>
          <w:szCs w:val="20"/>
          <w:color w:val="auto"/>
        </w:rPr>
      </w:pPr>
    </w:p>
    <w:p>
      <w:pPr>
        <w:spacing w:after="0" w:line="32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291"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OPERATING AND FINANCIAL REVIEW AND PROSPECTS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STATEMENTS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Some of the information in this section contains forward looking statements that involve substantial risks and uncertainties. You can identify these statements by forward looking words such as "expect", "anticipate", "believe", "seek", "estimate" and similar words. Statements that we make in this section that are not statements of historical fact also may be forward looking statements. Forward looking statements are not guarantees of our future performance, and involve risks, uncertainties and assumptions that may cause our actual results to differ materially from the expectations we describe in our forward looking statements. There may be events in the future that we are not accurately able to predict, or over which we have no control. You should not place undue reliance on forward looking statements. We do not promise to notify you if we learn that our assumptions or projections are wrong for any reason. We disclaim any obligation to update our forward looking statements.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8"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In this section, we discuss the general financial condition and the results of operations for Amdocs and its subsidiaries including:</w:t>
      </w:r>
    </w:p>
    <w:p>
      <w:pPr>
        <w:spacing w:after="0" w:line="175" w:lineRule="exact"/>
        <w:rPr>
          <w:sz w:val="20"/>
          <w:szCs w:val="20"/>
          <w:color w:val="auto"/>
        </w:rPr>
      </w:pPr>
    </w:p>
    <w:p>
      <w:pPr>
        <w:ind w:left="900" w:hanging="457"/>
        <w:spacing w:after="0"/>
        <w:tabs>
          <w:tab w:leader="none" w:pos="9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factors affect our business,</w:t>
      </w:r>
    </w:p>
    <w:p>
      <w:pPr>
        <w:spacing w:after="0" w:line="177" w:lineRule="exact"/>
        <w:rPr>
          <w:rFonts w:ascii="Courier New" w:cs="Courier New" w:eastAsia="Courier New" w:hAnsi="Courier New"/>
          <w:sz w:val="15"/>
          <w:szCs w:val="15"/>
          <w:color w:val="auto"/>
        </w:rPr>
      </w:pPr>
    </w:p>
    <w:p>
      <w:pPr>
        <w:ind w:left="900" w:right="3279" w:hanging="457"/>
        <w:spacing w:after="0" w:line="243" w:lineRule="auto"/>
        <w:tabs>
          <w:tab w:leader="none" w:pos="9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revenue and costs were in the nine months and three months ended June 30, 2001 and 2000,</w:t>
      </w:r>
    </w:p>
    <w:p>
      <w:pPr>
        <w:spacing w:after="0" w:line="175"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those revenue and costs were different from period to period,</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revenue,</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all of this affects our overall financial condition,</w:t>
      </w:r>
    </w:p>
    <w:p>
      <w:pPr>
        <w:spacing w:after="0" w:line="177" w:lineRule="exact"/>
        <w:rPr>
          <w:rFonts w:ascii="Courier New" w:cs="Courier New" w:eastAsia="Courier New" w:hAnsi="Courier New"/>
          <w:sz w:val="15"/>
          <w:szCs w:val="15"/>
          <w:color w:val="auto"/>
        </w:rPr>
      </w:pPr>
    </w:p>
    <w:p>
      <w:pPr>
        <w:ind w:left="900" w:right="3199" w:hanging="457"/>
        <w:spacing w:after="0" w:line="243" w:lineRule="auto"/>
        <w:tabs>
          <w:tab w:leader="none" w:pos="9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expenditures were in the nine months and three months ended June 30, 2001 and 2000, and</w:t>
      </w:r>
    </w:p>
    <w:p>
      <w:pPr>
        <w:spacing w:after="0" w:line="175"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cash to pay for future capital expenditures.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this section, we also analyze and explain the nine months to nine months and three months to three months changes in the specific line items in our consolidated statements of operations. This section should be read in conjunction with our consolidated financial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OF BUSINESS AND TREND INFORMATION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are a leading provider of software products and services to the communications industry. Our Business Support Systems ("BSS") consist of families of customized software products and services designed to meet the mission-critical needs of specific communications market sectors. We provide primarily Customer Care and Billing, CRM or Customer Relationship Management, and Order Management Systems (collectively, "CC&amp;B Systems") for communications service providers. Our systems support a wide range of communications services, including wireline, wireless, broadband, electronic and mobile commerce and Internet Protocol ("IP") services. We also support companies that offer multiple service packages, commonly referred to as convergent services. In addition, we provide a full range of Directory Sales and Publishing Systems ("Directory Systems") to publishers of both traditional printed yellow page and white page directories and electronic Internet directories. Due to the complexity of BSS projects and the expertise required for system support, we also provide extensive customization, implementation, system integration, ongoing support, system enhancement, maintenance and outsourcing services.</w:t>
      </w:r>
    </w:p>
    <w:p>
      <w:pPr>
        <w:spacing w:after="0" w:line="183"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In the future, we may consider, as part of our strategy, acquisitions and other initiatives, in order to offer new products or services or otherwise enhance our market position or strategic strength.</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8" w:lineRule="exact"/>
        <w:rPr>
          <w:sz w:val="20"/>
          <w:szCs w:val="20"/>
          <w:color w:val="auto"/>
        </w:rPr>
      </w:pPr>
    </w:p>
    <w:p>
      <w:pPr>
        <w:ind w:left="900" w:right="3559" w:hanging="457"/>
        <w:spacing w:after="0" w:line="244" w:lineRule="auto"/>
        <w:tabs>
          <w:tab w:leader="none" w:pos="9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sale of our products and related services, including license fees and customization, implementation and integration services, and</w:t>
      </w:r>
    </w:p>
    <w:p>
      <w:pPr>
        <w:spacing w:after="0" w:line="175" w:lineRule="exact"/>
        <w:rPr>
          <w:rFonts w:ascii="Courier New" w:cs="Courier New" w:eastAsia="Courier New" w:hAnsi="Courier New"/>
          <w:sz w:val="15"/>
          <w:szCs w:val="15"/>
          <w:color w:val="auto"/>
        </w:rPr>
      </w:pPr>
    </w:p>
    <w:p>
      <w:pPr>
        <w:ind w:left="900" w:right="3099" w:hanging="457"/>
        <w:spacing w:after="0" w:line="244" w:lineRule="auto"/>
        <w:tabs>
          <w:tab w:leader="none" w:pos="9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recurring revenue from ongoing maintenance, support, outsourcing and other related services provided to our customers and, to a lesser degree, from incremental license fees resulting from increases in the number of a customer's subscribers.</w:t>
      </w:r>
    </w:p>
    <w:p>
      <w:pPr>
        <w:sectPr>
          <w:pgSz w:w="11900" w:h="16838" w:orient="portrait"/>
          <w:cols w:equalWidth="0" w:num="1">
            <w:col w:w="10219"/>
          </w:cols>
          <w:pgMar w:left="240" w:top="291" w:right="1440" w:bottom="1440" w:gutter="0" w:footer="0" w:header="0"/>
        </w:sectPr>
      </w:pP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1"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4"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License revenue is primarily recognized as work is performed, using the percentage of completion method of accounting. Service revenue that involves significant ongoing obligations, including fees for customization, implementation and initial support services, is also recognized as work is performed, under the percentage of completion method of accounting. In outsourcing contracts, revenue from the operation and maintenance of customers' billing systems is recognized in the period in which the bills are produced. Revenue from ongoing support services is recognized as work is performed. Revenue from third party hardware and software sales is recognized upon installation and delivery, respectively. Maintenance revenue is recognized ratably over the term of the maintenance agreement. As a result of our percentage of completion accounting method, the size and timing of customer projects and our progress in completing such projects may significantly affect our annual and quarterly operating results.</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Our business is subject to the effects of general global economic conditions and, in particular, market conditions in the communications industry. Recently, these conditions have reduced the high growth that the communications industry had experienced over the past several years. As a result, the market value, financial results and prospects, and capital spending levels of many communications companies have declined or degraded.</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As a result of the current slowdown in the growth of the global communications market, we have recently experienced a lengthening in our sales cycle, which means that the time between our initial contact with a prospective customer and the signing of a sales contract has increased. Our sales cycle currently ranges from between six to twelve months. We believe that such lengthening of our sales cycle timing could reduce growth in our revenue.</w:t>
      </w:r>
    </w:p>
    <w:p>
      <w:pPr>
        <w:spacing w:after="0" w:line="177"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The current general economic downturn and its impact on the communications industry may result in slower revenue growth rates for us than had been achieved in recent quarters.</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License and service fee revenue from the sale of CC&amp;B Systems amounted to $1,001.8 million and $703.1 million in the nine months ended June 30, 2001 and 2000, respectively, representing 89.6% and 87.5%, respectively, of our total revenue for such periods. License and service fee revenue from the sale of CC&amp;B Systems amounted to $364.1 million and $264.4 million in the three months ended June 30, 2001 and 2000, respectively, representing 90.1% and 89.0%, respectively, of our total revenue for such periods.</w:t>
      </w:r>
    </w:p>
    <w:p>
      <w:pPr>
        <w:spacing w:after="0" w:line="178" w:lineRule="exact"/>
        <w:rPr>
          <w:sz w:val="20"/>
          <w:szCs w:val="20"/>
          <w:color w:val="auto"/>
        </w:rPr>
      </w:pPr>
    </w:p>
    <w:p>
      <w:pPr>
        <w:ind w:right="3379" w:firstLine="451"/>
        <w:spacing w:after="0" w:line="243" w:lineRule="auto"/>
        <w:rPr>
          <w:sz w:val="20"/>
          <w:szCs w:val="20"/>
          <w:color w:val="auto"/>
        </w:rPr>
      </w:pPr>
      <w:r>
        <w:rPr>
          <w:rFonts w:ascii="Courier New" w:cs="Courier New" w:eastAsia="Courier New" w:hAnsi="Courier New"/>
          <w:sz w:val="15"/>
          <w:szCs w:val="15"/>
          <w:color w:val="auto"/>
        </w:rPr>
        <w:t>We believe that the demand for CC&amp;B Systems will increase due to, among other key factors:</w:t>
      </w:r>
    </w:p>
    <w:p>
      <w:pPr>
        <w:spacing w:after="0" w:line="175" w:lineRule="exact"/>
        <w:rPr>
          <w:sz w:val="20"/>
          <w:szCs w:val="20"/>
          <w:color w:val="auto"/>
        </w:rPr>
      </w:pPr>
    </w:p>
    <w:p>
      <w:pPr>
        <w:ind w:left="900" w:hanging="457"/>
        <w:spacing w:after="0"/>
        <w:tabs>
          <w:tab w:leader="none" w:pos="9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long term growth and globalization of the communications market,</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intensifying competition among communications carriers,</w:t>
      </w:r>
    </w:p>
    <w:p>
      <w:pPr>
        <w:spacing w:after="0" w:line="177" w:lineRule="exact"/>
        <w:rPr>
          <w:rFonts w:ascii="Courier New" w:cs="Courier New" w:eastAsia="Courier New" w:hAnsi="Courier New"/>
          <w:sz w:val="15"/>
          <w:szCs w:val="15"/>
          <w:color w:val="auto"/>
        </w:rPr>
      </w:pPr>
    </w:p>
    <w:p>
      <w:pPr>
        <w:ind w:left="900" w:right="3739" w:hanging="457"/>
        <w:spacing w:after="0" w:line="243" w:lineRule="auto"/>
        <w:tabs>
          <w:tab w:leader="none" w:pos="9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proliferation of new communications products and services, especially IP and data services, and</w:t>
      </w:r>
    </w:p>
    <w:p>
      <w:pPr>
        <w:spacing w:after="0" w:line="175"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shift from in-house management to vendor solutions and outsourcing.</w:t>
      </w:r>
    </w:p>
    <w:p>
      <w:pPr>
        <w:spacing w:after="0" w:line="177" w:lineRule="exact"/>
        <w:rPr>
          <w:rFonts w:ascii="Courier New" w:cs="Courier New" w:eastAsia="Courier New" w:hAnsi="Courier New"/>
          <w:sz w:val="15"/>
          <w:szCs w:val="15"/>
          <w:color w:val="auto"/>
        </w:rPr>
      </w:pPr>
    </w:p>
    <w:p>
      <w:pPr>
        <w:ind w:left="900" w:right="3279" w:hanging="457"/>
        <w:spacing w:after="0" w:line="244" w:lineRule="auto"/>
        <w:tabs>
          <w:tab w:leader="none" w:pos="9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rapid technological changes, such as the introduction of wireless Internet services via GPRS (General Packet Radio Services) and UMTS (Universal Mobile Telecommunications System) technology,</w:t>
      </w:r>
    </w:p>
    <w:p>
      <w:pPr>
        <w:spacing w:after="0" w:line="34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also believe that a key driver of demand is the continuing trend for communications service providers to offer to their subscribers multiple service packages, commonly referred to as convergent services (combinations of voice, broadband, electronic and mobile commerce and IP services).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Another significant current market trend impacting our business is the long term growth of the IP services market. The emergence and expansion of IP services in both wireline and mobile environments create significant opportunities for companies like us that offer CC&amp;B Systems. Specifically, the continued long term development of this market permits us to offer our CC&amp;B Systems to new customers and to enhance our offerings to existing customers to facilitate their entry into the IP services market.</w:t>
      </w:r>
    </w:p>
    <w:p>
      <w:pPr>
        <w:spacing w:after="0" w:line="178"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In addition, we believe that our CC&amp;B solutions can enable communications providers to improve productivity and reduce costs.</w:t>
      </w:r>
    </w:p>
    <w:p>
      <w:pPr>
        <w:spacing w:after="0" w:line="176"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We believe that we are a leading provider of Directory Systems in most of the markets that we serve.</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License and service fee revenue from the sale of Directory Systems totaled $116.7 million and $100.2 million in the nine months ended June 30, 2001 and 2000, respectively, accounting for 10.4% and 12.5%, respectively, of our total revenue for such periods. License and service fee revenue from the sale of Directory Systems totaled $39.9 million and $32.6 million in the three months ended June 30, 2001 and 2000, respectively, accounting for 9.9% and 11.0%, respectively, of our total revenue for such periods.</w:t>
      </w:r>
    </w:p>
    <w:p>
      <w:pPr>
        <w:spacing w:after="0" w:line="178"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We expect that the demand for our Directory Systems will remain relatively stable in future periods and that the contribution to</w:t>
      </w:r>
    </w:p>
    <w:p>
      <w:pPr>
        <w:sectPr>
          <w:pgSz w:w="11900" w:h="16838" w:orient="portrait"/>
          <w:cols w:equalWidth="0" w:num="1">
            <w:col w:w="10219"/>
          </w:cols>
          <w:pgMar w:left="240" w:top="291" w:right="1440" w:bottom="208" w:gutter="0" w:footer="0" w:header="0"/>
        </w:sectPr>
      </w:pP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1" w:right="1440" w:bottom="208" w:gutter="0" w:footer="0" w:header="0"/>
          <w:type w:val="continuous"/>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4"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total revenue, as a percentage of revenue, of license and service fees from Directory Systems services will continue to decrease over time.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PATENTS AND LICENSES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Our research and development activities involve the development of new software modules and product offerings in response to an identified market demand, either in conjunction with a customer project or as part of our product development program. We also expend additional amounts on applied research and software development activities to keep abreast of new technologies in the communications and IP market. Research and development expenditures amounted to $76.7 million and $53.0 million in the nine months ended June 30, 2001 and 2000, respectively, representing 6.9% and 6.6% of our revenue in these periods, respectively. Research and development expenditures amounted to $28.0 million and $20.3 million in the three months ended June 30, 2001 and 2000, respectively, representing 6.9% and 6.8% of our revenue in these periods, respectively. In the next several years we intend to continue to make substantial investments in our research and development activities.</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regard significant portions of our software products and systems as proprietary and rely on a combination of statutory and common law copyright, trademark and trade secret laws, customer licensing agreements, employee and third-party nondisclosure agreements and other methods to protect our proprietary rights. We generally enter into confidentiality agreements with our employees, consultants, customers and potential customers and limit access to, and distribution of, our proprietary information. We believe that the sophistication and complexity of our BSS offerings make it very difficult to copy such information or to subject such information to unauthorized use. We maintain sole ownership of our products.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January 2001 we formed Certen Inc. ("Certen") with Bell Canada to provide customer care and billing solutions to Bell Canada and some of its affiliated companies. Certen is owned 90% by Bell Canada and 10% by us. Commencing on the 30-month anniversary of the transaction, a convertible note issued by Certen to us is convertible into an additional 35% ownership interest in Certen. The relative ownership interests of the shareholders might further be changed through a series of contractual conditions, commencing on the 30-month anniversary of the transaction. We will provide the customer care and billing software required by Certen, including customization, installation, maintenance and other services.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NOTES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May 2001 we issued to qualified institutional buyers $500.0 million aggregate principal amount of 2% Convertible Notes due June 1, 2008 (the "Notes"). We will pay interest on the Notes semi-annually on June 1 and December 1 of each year, commencing on December 1, 2001. The Notes are senior unsecured obligations of the Company and rank equal in right of payment with all our existing and future senior unsecured indebtedness; are convertible, at the option of the holders, into ordinary shares at a conversion rate of 10.8587 shares per $1,000 principal amount of Notes, subject to adjustment in certain events; are convertible at any time before the maturity date, unless we have previously redeemed or repurchased the Notes; are subject to redemption at any time on or after June 1, 2006, all or in part, at our option, at a redemption price of 100% of the principal amount plus accrued and unpaid interest; and are subject to repurchase, at the holders' option, on June 1, 2004 and June 1, 2006, at a repurchase price equal to 100% of the principal amount plus accrued and unpaid interest, if any, on such repurchase date. We may choose to pay the repurchase price in ordinary shares or a combination of cash and ordinary shares.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ADJUSTMENT TO THE BASIS OF INVESTMENTS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the third quarter of fiscal 2001 we recorded pretax charges of $6.8 million to adjust the carrying value of four investments, accounted for by us under the cost method. We continue to monitor the economic and financial aspects of our remaining interests in these investments.</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1" w:right="1440" w:bottom="1440" w:gutter="0" w:footer="0" w:header="0"/>
        </w:sectPr>
      </w:pPr>
    </w:p>
    <w:bookmarkStart w:id="13" w:name="page14"/>
    <w:bookmarkEnd w:id="13"/>
    <w:p>
      <w:pPr>
        <w:ind w:left="268"/>
        <w:spacing w:after="0"/>
        <w:rPr>
          <w:sz w:val="20"/>
          <w:szCs w:val="20"/>
          <w:color w:val="auto"/>
        </w:rPr>
      </w:pPr>
      <w:r>
        <w:rPr>
          <w:rFonts w:ascii="Courier New" w:cs="Courier New" w:eastAsia="Courier New" w:hAnsi="Courier New"/>
          <w:sz w:val="15"/>
          <w:szCs w:val="15"/>
          <w:color w:val="auto"/>
        </w:rPr>
        <w:t>14</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Results of Operations</w:t>
      </w:r>
    </w:p>
    <w:p>
      <w:pPr>
        <w:spacing w:after="0" w:line="17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following table sets forth for the nine and three months ended June 30,</w:t>
      </w:r>
    </w:p>
    <w:p>
      <w:pPr>
        <w:spacing w:after="0" w:line="4" w:lineRule="exact"/>
        <w:rPr>
          <w:sz w:val="20"/>
          <w:szCs w:val="20"/>
          <w:color w:val="auto"/>
        </w:rPr>
      </w:pPr>
    </w:p>
    <w:p>
      <w:pPr>
        <w:ind w:left="8" w:right="3379"/>
        <w:spacing w:after="0" w:line="243" w:lineRule="auto"/>
        <w:rPr>
          <w:sz w:val="20"/>
          <w:szCs w:val="20"/>
          <w:color w:val="auto"/>
        </w:rPr>
      </w:pPr>
      <w:r>
        <w:rPr>
          <w:rFonts w:ascii="Courier New" w:cs="Courier New" w:eastAsia="Courier New" w:hAnsi="Courier New"/>
          <w:sz w:val="15"/>
          <w:szCs w:val="15"/>
          <w:color w:val="auto"/>
        </w:rPr>
        <w:t>2001 and 2000, respectively, certain items in our consolidated statements of operations reflected as a percentage of total revenue:</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NINE MONTHS ENDED</w:t>
            </w:r>
          </w:p>
        </w:tc>
        <w:tc>
          <w:tcPr>
            <w:tcW w:w="1000" w:type="dxa"/>
            <w:vAlign w:val="bottom"/>
          </w:tcPr>
          <w:p>
            <w:pPr>
              <w:spacing w:after="0"/>
              <w:rPr>
                <w:sz w:val="14"/>
                <w:szCs w:val="14"/>
                <w:color w:val="auto"/>
              </w:rPr>
            </w:pPr>
          </w:p>
        </w:tc>
      </w:tr>
      <w:tr>
        <w:trPr>
          <w:trHeight w:val="173"/>
        </w:trPr>
        <w:tc>
          <w:tcPr>
            <w:tcW w:w="3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3500" w:type="dxa"/>
            <w:vAlign w:val="bottom"/>
          </w:tcPr>
          <w:p>
            <w:pPr>
              <w:spacing w:after="0"/>
              <w:rPr>
                <w:sz w:val="15"/>
                <w:szCs w:val="15"/>
                <w:color w:val="auto"/>
              </w:rPr>
            </w:pPr>
          </w:p>
        </w:tc>
        <w:tc>
          <w:tcPr>
            <w:tcW w:w="4700" w:type="dxa"/>
            <w:vAlign w:val="bottom"/>
            <w:gridSpan w:val="4"/>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280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PRO FORMA (*)</w:t>
            </w:r>
          </w:p>
        </w:tc>
        <w:tc>
          <w:tcPr>
            <w:tcW w:w="19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AS REPORTED</w:t>
            </w:r>
          </w:p>
        </w:tc>
      </w:tr>
      <w:tr>
        <w:trPr>
          <w:trHeight w:val="173"/>
        </w:trPr>
        <w:tc>
          <w:tcPr>
            <w:tcW w:w="3500" w:type="dxa"/>
            <w:vAlign w:val="bottom"/>
          </w:tcPr>
          <w:p>
            <w:pPr>
              <w:spacing w:after="0"/>
              <w:rPr>
                <w:sz w:val="15"/>
                <w:szCs w:val="15"/>
                <w:color w:val="auto"/>
              </w:rPr>
            </w:pPr>
          </w:p>
        </w:tc>
        <w:tc>
          <w:tcPr>
            <w:tcW w:w="280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500" w:type="dxa"/>
            <w:vAlign w:val="bottom"/>
          </w:tcPr>
          <w:p>
            <w:pPr>
              <w:spacing w:after="0"/>
              <w:rPr>
                <w:sz w:val="15"/>
                <w:szCs w:val="15"/>
                <w:color w:val="auto"/>
              </w:rPr>
            </w:pPr>
          </w:p>
        </w:tc>
        <w:tc>
          <w:tcPr>
            <w:tcW w:w="15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2001</w:t>
            </w:r>
          </w:p>
        </w:tc>
        <w:tc>
          <w:tcPr>
            <w:tcW w:w="1260" w:type="dxa"/>
            <w:vAlign w:val="bottom"/>
          </w:tcPr>
          <w:p>
            <w:pPr>
              <w:ind w:left="100"/>
              <w:spacing w:after="0"/>
              <w:rPr>
                <w:sz w:val="20"/>
                <w:szCs w:val="20"/>
                <w:color w:val="auto"/>
              </w:rPr>
            </w:pPr>
            <w:r>
              <w:rPr>
                <w:rFonts w:ascii="Courier New" w:cs="Courier New" w:eastAsia="Courier New" w:hAnsi="Courier New"/>
                <w:sz w:val="15"/>
                <w:szCs w:val="15"/>
                <w:color w:val="auto"/>
              </w:rPr>
              <w:t>2000</w:t>
            </w: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2001</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3500" w:type="dxa"/>
            <w:vAlign w:val="bottom"/>
          </w:tcPr>
          <w:p>
            <w:pPr>
              <w:spacing w:after="0"/>
              <w:rPr>
                <w:sz w:val="15"/>
                <w:szCs w:val="15"/>
                <w:color w:val="auto"/>
              </w:rPr>
            </w:pP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35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3500" w:type="dxa"/>
            <w:vAlign w:val="bottom"/>
          </w:tcPr>
          <w:p>
            <w:pPr>
              <w:ind w:left="440"/>
              <w:spacing w:after="0"/>
              <w:rPr>
                <w:sz w:val="20"/>
                <w:szCs w:val="20"/>
                <w:color w:val="auto"/>
              </w:rPr>
            </w:pPr>
            <w:r>
              <w:rPr>
                <w:rFonts w:ascii="Courier New" w:cs="Courier New" w:eastAsia="Courier New" w:hAnsi="Courier New"/>
                <w:sz w:val="15"/>
                <w:szCs w:val="15"/>
                <w:color w:val="auto"/>
              </w:rPr>
              <w:t>License</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11.6%</w:t>
            </w: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11.2%</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11.6%</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11.2%</w:t>
            </w:r>
          </w:p>
        </w:tc>
      </w:tr>
      <w:tr>
        <w:trPr>
          <w:trHeight w:val="173"/>
        </w:trPr>
        <w:tc>
          <w:tcPr>
            <w:tcW w:w="3500" w:type="dxa"/>
            <w:vAlign w:val="bottom"/>
          </w:tcPr>
          <w:p>
            <w:pPr>
              <w:ind w:left="440"/>
              <w:spacing w:after="0"/>
              <w:rPr>
                <w:sz w:val="20"/>
                <w:szCs w:val="20"/>
                <w:color w:val="auto"/>
              </w:rPr>
            </w:pPr>
            <w:r>
              <w:rPr>
                <w:rFonts w:ascii="Courier New" w:cs="Courier New" w:eastAsia="Courier New" w:hAnsi="Courier New"/>
                <w:sz w:val="15"/>
                <w:szCs w:val="15"/>
                <w:color w:val="auto"/>
              </w:rPr>
              <w:t>Service</w:t>
            </w:r>
          </w:p>
        </w:tc>
        <w:tc>
          <w:tcPr>
            <w:tcW w:w="15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88.4</w:t>
            </w: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88.8</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88.4</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88.8</w:t>
            </w:r>
          </w:p>
        </w:tc>
      </w:tr>
      <w:tr>
        <w:trPr>
          <w:trHeight w:val="173"/>
        </w:trPr>
        <w:tc>
          <w:tcPr>
            <w:tcW w:w="3500" w:type="dxa"/>
            <w:vAlign w:val="bottom"/>
          </w:tcPr>
          <w:p>
            <w:pPr>
              <w:spacing w:after="0"/>
              <w:rPr>
                <w:sz w:val="15"/>
                <w:szCs w:val="15"/>
                <w:color w:val="auto"/>
              </w:rPr>
            </w:pPr>
          </w:p>
        </w:tc>
        <w:tc>
          <w:tcPr>
            <w:tcW w:w="15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15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100.0</w:t>
            </w: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100.0</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w:t>
            </w:r>
          </w:p>
        </w:tc>
      </w:tr>
      <w:tr>
        <w:trPr>
          <w:trHeight w:val="173"/>
        </w:trPr>
        <w:tc>
          <w:tcPr>
            <w:tcW w:w="3500" w:type="dxa"/>
            <w:vAlign w:val="bottom"/>
          </w:tcPr>
          <w:p>
            <w:pPr>
              <w:spacing w:after="0"/>
              <w:rPr>
                <w:sz w:val="15"/>
                <w:szCs w:val="15"/>
                <w:color w:val="auto"/>
              </w:rPr>
            </w:pPr>
          </w:p>
        </w:tc>
        <w:tc>
          <w:tcPr>
            <w:tcW w:w="15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5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3500" w:type="dxa"/>
            <w:vAlign w:val="bottom"/>
          </w:tcPr>
          <w:p>
            <w:pPr>
              <w:ind w:left="440"/>
              <w:spacing w:after="0"/>
              <w:rPr>
                <w:sz w:val="20"/>
                <w:szCs w:val="20"/>
                <w:color w:val="auto"/>
              </w:rPr>
            </w:pPr>
            <w:r>
              <w:rPr>
                <w:rFonts w:ascii="Courier New" w:cs="Courier New" w:eastAsia="Courier New" w:hAnsi="Courier New"/>
                <w:sz w:val="15"/>
                <w:szCs w:val="15"/>
                <w:color w:val="auto"/>
              </w:rPr>
              <w:t>Cost of license</w:t>
            </w:r>
          </w:p>
        </w:tc>
        <w:tc>
          <w:tcPr>
            <w:tcW w:w="15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0.4</w:t>
            </w: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0.5</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0.4</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w:t>
            </w:r>
          </w:p>
        </w:tc>
      </w:tr>
      <w:tr>
        <w:trPr>
          <w:trHeight w:val="173"/>
        </w:trPr>
        <w:tc>
          <w:tcPr>
            <w:tcW w:w="3500" w:type="dxa"/>
            <w:vAlign w:val="bottom"/>
          </w:tcPr>
          <w:p>
            <w:pPr>
              <w:ind w:left="440"/>
              <w:spacing w:after="0"/>
              <w:rPr>
                <w:sz w:val="20"/>
                <w:szCs w:val="20"/>
                <w:color w:val="auto"/>
              </w:rPr>
            </w:pPr>
            <w:r>
              <w:rPr>
                <w:rFonts w:ascii="Courier New" w:cs="Courier New" w:eastAsia="Courier New" w:hAnsi="Courier New"/>
                <w:sz w:val="15"/>
                <w:szCs w:val="15"/>
                <w:color w:val="auto"/>
              </w:rPr>
              <w:t>Cost of service</w:t>
            </w:r>
          </w:p>
        </w:tc>
        <w:tc>
          <w:tcPr>
            <w:tcW w:w="15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55.3</w:t>
            </w: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57.6</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55.3</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57.6</w:t>
            </w:r>
          </w:p>
        </w:tc>
      </w:tr>
      <w:tr>
        <w:trPr>
          <w:trHeight w:val="173"/>
        </w:trPr>
        <w:tc>
          <w:tcPr>
            <w:tcW w:w="3500" w:type="dxa"/>
            <w:vAlign w:val="bottom"/>
          </w:tcPr>
          <w:p>
            <w:pPr>
              <w:ind w:left="440"/>
              <w:spacing w:after="0"/>
              <w:rPr>
                <w:sz w:val="20"/>
                <w:szCs w:val="20"/>
                <w:color w:val="auto"/>
              </w:rPr>
            </w:pPr>
            <w:r>
              <w:rPr>
                <w:rFonts w:ascii="Courier New" w:cs="Courier New" w:eastAsia="Courier New" w:hAnsi="Courier New"/>
                <w:sz w:val="15"/>
                <w:szCs w:val="15"/>
                <w:color w:val="auto"/>
              </w:rPr>
              <w:t>Research and development</w:t>
            </w:r>
          </w:p>
        </w:tc>
        <w:tc>
          <w:tcPr>
            <w:tcW w:w="15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6.9</w:t>
            </w: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6.6</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6.9</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w:t>
            </w:r>
          </w:p>
        </w:tc>
      </w:tr>
      <w:tr>
        <w:trPr>
          <w:trHeight w:val="173"/>
        </w:trPr>
        <w:tc>
          <w:tcPr>
            <w:tcW w:w="3500" w:type="dxa"/>
            <w:vAlign w:val="bottom"/>
          </w:tcPr>
          <w:p>
            <w:pPr>
              <w:ind w:left="440"/>
              <w:spacing w:after="0"/>
              <w:rPr>
                <w:sz w:val="20"/>
                <w:szCs w:val="20"/>
                <w:color w:val="auto"/>
              </w:rPr>
            </w:pPr>
            <w:r>
              <w:rPr>
                <w:rFonts w:ascii="Courier New" w:cs="Courier New" w:eastAsia="Courier New" w:hAnsi="Courier New"/>
                <w:sz w:val="15"/>
                <w:szCs w:val="15"/>
                <w:color w:val="auto"/>
              </w:rPr>
              <w:t>Selling, general and</w:t>
            </w:r>
          </w:p>
        </w:tc>
        <w:tc>
          <w:tcPr>
            <w:tcW w:w="15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3500" w:type="dxa"/>
            <w:vAlign w:val="bottom"/>
          </w:tcPr>
          <w:p>
            <w:pPr>
              <w:ind w:left="540"/>
              <w:spacing w:after="0"/>
              <w:rPr>
                <w:sz w:val="20"/>
                <w:szCs w:val="20"/>
                <w:color w:val="auto"/>
              </w:rPr>
            </w:pPr>
            <w:r>
              <w:rPr>
                <w:rFonts w:ascii="Courier New" w:cs="Courier New" w:eastAsia="Courier New" w:hAnsi="Courier New"/>
                <w:sz w:val="15"/>
                <w:szCs w:val="15"/>
                <w:color w:val="auto"/>
              </w:rPr>
              <w:t>administrative</w:t>
            </w:r>
          </w:p>
        </w:tc>
        <w:tc>
          <w:tcPr>
            <w:tcW w:w="15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12.9</w:t>
            </w: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12.2</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12.9</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12.2</w:t>
            </w:r>
          </w:p>
        </w:tc>
      </w:tr>
      <w:tr>
        <w:trPr>
          <w:trHeight w:val="173"/>
        </w:trPr>
        <w:tc>
          <w:tcPr>
            <w:tcW w:w="3500" w:type="dxa"/>
            <w:vAlign w:val="bottom"/>
          </w:tcPr>
          <w:p>
            <w:pPr>
              <w:ind w:left="440"/>
              <w:spacing w:after="0"/>
              <w:rPr>
                <w:sz w:val="20"/>
                <w:szCs w:val="20"/>
                <w:color w:val="auto"/>
              </w:rPr>
            </w:pPr>
            <w:r>
              <w:rPr>
                <w:rFonts w:ascii="Courier New" w:cs="Courier New" w:eastAsia="Courier New" w:hAnsi="Courier New"/>
                <w:sz w:val="15"/>
                <w:szCs w:val="15"/>
                <w:color w:val="auto"/>
              </w:rPr>
              <w:t>Amortization of goodwill and</w:t>
            </w:r>
          </w:p>
        </w:tc>
        <w:tc>
          <w:tcPr>
            <w:tcW w:w="15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3500" w:type="dxa"/>
            <w:vAlign w:val="bottom"/>
          </w:tcPr>
          <w:p>
            <w:pPr>
              <w:ind w:left="620"/>
              <w:spacing w:after="0"/>
              <w:rPr>
                <w:sz w:val="20"/>
                <w:szCs w:val="20"/>
                <w:color w:val="auto"/>
              </w:rPr>
            </w:pPr>
            <w:r>
              <w:rPr>
                <w:rFonts w:ascii="Courier New" w:cs="Courier New" w:eastAsia="Courier New" w:hAnsi="Courier New"/>
                <w:sz w:val="15"/>
                <w:szCs w:val="15"/>
                <w:color w:val="auto"/>
              </w:rPr>
              <w:t>purchased intangible assets</w:t>
            </w:r>
          </w:p>
        </w:tc>
        <w:tc>
          <w:tcPr>
            <w:tcW w:w="15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14.7</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w:t>
            </w:r>
          </w:p>
        </w:tc>
      </w:tr>
      <w:tr>
        <w:trPr>
          <w:trHeight w:val="173"/>
        </w:trPr>
        <w:tc>
          <w:tcPr>
            <w:tcW w:w="3500" w:type="dxa"/>
            <w:vAlign w:val="bottom"/>
          </w:tcPr>
          <w:p>
            <w:pPr>
              <w:ind w:left="440"/>
              <w:spacing w:after="0"/>
              <w:rPr>
                <w:sz w:val="20"/>
                <w:szCs w:val="20"/>
                <w:color w:val="auto"/>
              </w:rPr>
            </w:pPr>
            <w:r>
              <w:rPr>
                <w:rFonts w:ascii="Courier New" w:cs="Courier New" w:eastAsia="Courier New" w:hAnsi="Courier New"/>
                <w:sz w:val="15"/>
                <w:szCs w:val="15"/>
                <w:color w:val="auto"/>
              </w:rPr>
              <w:t>In-process research and</w:t>
            </w:r>
          </w:p>
        </w:tc>
        <w:tc>
          <w:tcPr>
            <w:tcW w:w="15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3500" w:type="dxa"/>
            <w:vAlign w:val="bottom"/>
          </w:tcPr>
          <w:p>
            <w:pPr>
              <w:ind w:left="620"/>
              <w:spacing w:after="0"/>
              <w:rPr>
                <w:sz w:val="20"/>
                <w:szCs w:val="20"/>
                <w:color w:val="auto"/>
              </w:rPr>
            </w:pPr>
            <w:r>
              <w:rPr>
                <w:rFonts w:ascii="Courier New" w:cs="Courier New" w:eastAsia="Courier New" w:hAnsi="Courier New"/>
                <w:sz w:val="15"/>
                <w:szCs w:val="15"/>
                <w:color w:val="auto"/>
              </w:rPr>
              <w:t>development and other</w:t>
            </w:r>
          </w:p>
        </w:tc>
        <w:tc>
          <w:tcPr>
            <w:tcW w:w="15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3500" w:type="dxa"/>
            <w:vAlign w:val="bottom"/>
          </w:tcPr>
          <w:p>
            <w:pPr>
              <w:ind w:left="620"/>
              <w:spacing w:after="0"/>
              <w:rPr>
                <w:sz w:val="20"/>
                <w:szCs w:val="20"/>
                <w:color w:val="auto"/>
              </w:rPr>
            </w:pPr>
            <w:r>
              <w:rPr>
                <w:rFonts w:ascii="Courier New" w:cs="Courier New" w:eastAsia="Courier New" w:hAnsi="Courier New"/>
                <w:sz w:val="15"/>
                <w:szCs w:val="15"/>
                <w:color w:val="auto"/>
              </w:rPr>
              <w:t>indirect acquisition related</w:t>
            </w:r>
          </w:p>
        </w:tc>
        <w:tc>
          <w:tcPr>
            <w:tcW w:w="15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3500" w:type="dxa"/>
            <w:vAlign w:val="bottom"/>
          </w:tcPr>
          <w:p>
            <w:pPr>
              <w:ind w:left="620"/>
              <w:spacing w:after="0"/>
              <w:rPr>
                <w:sz w:val="20"/>
                <w:szCs w:val="20"/>
                <w:color w:val="auto"/>
              </w:rPr>
            </w:pPr>
            <w:r>
              <w:rPr>
                <w:rFonts w:ascii="Courier New" w:cs="Courier New" w:eastAsia="Courier New" w:hAnsi="Courier New"/>
                <w:sz w:val="15"/>
                <w:szCs w:val="15"/>
                <w:color w:val="auto"/>
              </w:rPr>
              <w:t>Costs</w:t>
            </w:r>
          </w:p>
        </w:tc>
        <w:tc>
          <w:tcPr>
            <w:tcW w:w="15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w:t>
            </w:r>
          </w:p>
        </w:tc>
      </w:tr>
      <w:tr>
        <w:trPr>
          <w:trHeight w:val="173"/>
        </w:trPr>
        <w:tc>
          <w:tcPr>
            <w:tcW w:w="3500" w:type="dxa"/>
            <w:vAlign w:val="bottom"/>
          </w:tcPr>
          <w:p>
            <w:pPr>
              <w:spacing w:after="0"/>
              <w:rPr>
                <w:sz w:val="15"/>
                <w:szCs w:val="15"/>
                <w:color w:val="auto"/>
              </w:rPr>
            </w:pPr>
          </w:p>
        </w:tc>
        <w:tc>
          <w:tcPr>
            <w:tcW w:w="15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15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75.5</w:t>
            </w: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76.9</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90.2</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93.4</w:t>
            </w:r>
          </w:p>
        </w:tc>
      </w:tr>
      <w:tr>
        <w:trPr>
          <w:trHeight w:val="173"/>
        </w:trPr>
        <w:tc>
          <w:tcPr>
            <w:tcW w:w="3500" w:type="dxa"/>
            <w:vAlign w:val="bottom"/>
          </w:tcPr>
          <w:p>
            <w:pPr>
              <w:spacing w:after="0"/>
              <w:rPr>
                <w:sz w:val="15"/>
                <w:szCs w:val="15"/>
                <w:color w:val="auto"/>
              </w:rPr>
            </w:pPr>
          </w:p>
        </w:tc>
        <w:tc>
          <w:tcPr>
            <w:tcW w:w="15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5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24.5</w:t>
            </w: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23.1</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9.8</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15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1.4</w:t>
            </w: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0.8</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w:t>
            </w:r>
          </w:p>
        </w:tc>
      </w:tr>
      <w:tr>
        <w:trPr>
          <w:trHeight w:val="173"/>
        </w:trPr>
        <w:tc>
          <w:tcPr>
            <w:tcW w:w="3500" w:type="dxa"/>
            <w:vAlign w:val="bottom"/>
          </w:tcPr>
          <w:p>
            <w:pPr>
              <w:spacing w:after="0"/>
              <w:rPr>
                <w:sz w:val="15"/>
                <w:szCs w:val="15"/>
                <w:color w:val="auto"/>
              </w:rPr>
            </w:pPr>
          </w:p>
        </w:tc>
        <w:tc>
          <w:tcPr>
            <w:tcW w:w="15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5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25.9</w:t>
            </w: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23.9</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11.2</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5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7.8</w:t>
            </w: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7.2</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7.1</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w:t>
            </w:r>
          </w:p>
        </w:tc>
      </w:tr>
      <w:tr>
        <w:trPr>
          <w:trHeight w:val="173"/>
        </w:trPr>
        <w:tc>
          <w:tcPr>
            <w:tcW w:w="3500" w:type="dxa"/>
            <w:vAlign w:val="bottom"/>
          </w:tcPr>
          <w:p>
            <w:pPr>
              <w:spacing w:after="0"/>
              <w:rPr>
                <w:sz w:val="15"/>
                <w:szCs w:val="15"/>
                <w:color w:val="auto"/>
              </w:rPr>
            </w:pPr>
          </w:p>
        </w:tc>
        <w:tc>
          <w:tcPr>
            <w:tcW w:w="15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18.1%</w:t>
            </w: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16.7%</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r>
        <w:trPr>
          <w:trHeight w:val="173"/>
        </w:trPr>
        <w:tc>
          <w:tcPr>
            <w:tcW w:w="3500" w:type="dxa"/>
            <w:vAlign w:val="bottom"/>
          </w:tcPr>
          <w:p>
            <w:pPr>
              <w:spacing w:after="0"/>
              <w:rPr>
                <w:sz w:val="15"/>
                <w:szCs w:val="15"/>
                <w:color w:val="auto"/>
              </w:rPr>
            </w:pPr>
          </w:p>
        </w:tc>
        <w:tc>
          <w:tcPr>
            <w:tcW w:w="15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left="448" w:right="3099" w:hanging="448"/>
        <w:spacing w:after="0" w:line="244" w:lineRule="auto"/>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acquired International Telecommunications Data Services, Inc. ("ITDS") and Solect Technology Group Inc. ("Solect") in fiscal year 2000. The pro forma financial information excludes purchased in-process research and development charges and other indirect acquisition related costs, amortization of goodwill and purchased intangible assets and related tax effects attributable to the acquisitions of ITDS and Solect (collectively, the "ITDS and Solect acquisition related charges").</w:t>
      </w:r>
    </w:p>
    <w:p>
      <w:pPr>
        <w:spacing w:after="0" w:line="200" w:lineRule="exact"/>
        <w:rPr>
          <w:sz w:val="20"/>
          <w:szCs w:val="20"/>
          <w:color w:val="auto"/>
        </w:rPr>
      </w:pPr>
    </w:p>
    <w:p>
      <w:pPr>
        <w:spacing w:after="0" w:line="324"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291"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0"/>
        </w:trPr>
        <w:tc>
          <w:tcPr>
            <w:tcW w:w="3380" w:type="dxa"/>
            <w:vAlign w:val="bottom"/>
          </w:tcPr>
          <w:p>
            <w:pPr>
              <w:ind w:left="260"/>
              <w:spacing w:after="0"/>
              <w:rPr>
                <w:sz w:val="20"/>
                <w:szCs w:val="20"/>
                <w:color w:val="auto"/>
              </w:rPr>
            </w:pPr>
            <w:r>
              <w:rPr>
                <w:rFonts w:ascii="Courier New" w:cs="Courier New" w:eastAsia="Courier New" w:hAnsi="Courier New"/>
                <w:sz w:val="15"/>
                <w:szCs w:val="15"/>
                <w:color w:val="auto"/>
              </w:rPr>
              <w:t>15</w:t>
            </w: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520"/>
        </w:trPr>
        <w:tc>
          <w:tcPr>
            <w:tcW w:w="3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THREE MONTHS ENDED</w:t>
            </w:r>
          </w:p>
        </w:tc>
        <w:tc>
          <w:tcPr>
            <w:tcW w:w="900" w:type="dxa"/>
            <w:vAlign w:val="bottom"/>
          </w:tcPr>
          <w:p>
            <w:pPr>
              <w:spacing w:after="0"/>
              <w:rPr>
                <w:sz w:val="24"/>
                <w:szCs w:val="24"/>
                <w:color w:val="auto"/>
              </w:rPr>
            </w:pPr>
          </w:p>
        </w:tc>
      </w:tr>
      <w:tr>
        <w:trPr>
          <w:trHeight w:val="347"/>
        </w:trPr>
        <w:tc>
          <w:tcPr>
            <w:tcW w:w="3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4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JUNE 30,</w:t>
            </w:r>
          </w:p>
        </w:tc>
        <w:tc>
          <w:tcPr>
            <w:tcW w:w="900" w:type="dxa"/>
            <w:vAlign w:val="bottom"/>
          </w:tcPr>
          <w:p>
            <w:pPr>
              <w:spacing w:after="0"/>
              <w:rPr>
                <w:sz w:val="24"/>
                <w:szCs w:val="24"/>
                <w:color w:val="auto"/>
              </w:rPr>
            </w:pPr>
          </w:p>
        </w:tc>
      </w:tr>
      <w:tr>
        <w:trPr>
          <w:trHeight w:val="173"/>
        </w:trPr>
        <w:tc>
          <w:tcPr>
            <w:tcW w:w="3380" w:type="dxa"/>
            <w:vAlign w:val="bottom"/>
          </w:tcPr>
          <w:p>
            <w:pPr>
              <w:spacing w:after="0"/>
              <w:rPr>
                <w:sz w:val="15"/>
                <w:szCs w:val="15"/>
                <w:color w:val="auto"/>
              </w:rPr>
            </w:pPr>
          </w:p>
        </w:tc>
        <w:tc>
          <w:tcPr>
            <w:tcW w:w="4100" w:type="dxa"/>
            <w:vAlign w:val="bottom"/>
            <w:gridSpan w:val="4"/>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380" w:type="dxa"/>
            <w:vAlign w:val="bottom"/>
          </w:tcPr>
          <w:p>
            <w:pPr>
              <w:spacing w:after="0"/>
              <w:rPr>
                <w:sz w:val="15"/>
                <w:szCs w:val="15"/>
                <w:color w:val="auto"/>
              </w:rPr>
            </w:pPr>
          </w:p>
        </w:tc>
        <w:tc>
          <w:tcPr>
            <w:tcW w:w="2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PRO FORMA (*)</w:t>
            </w:r>
          </w:p>
        </w:tc>
        <w:tc>
          <w:tcPr>
            <w:tcW w:w="19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AS REPORTED</w:t>
            </w:r>
          </w:p>
        </w:tc>
      </w:tr>
      <w:tr>
        <w:trPr>
          <w:trHeight w:val="173"/>
        </w:trPr>
        <w:tc>
          <w:tcPr>
            <w:tcW w:w="3380" w:type="dxa"/>
            <w:vAlign w:val="bottom"/>
          </w:tcPr>
          <w:p>
            <w:pPr>
              <w:spacing w:after="0"/>
              <w:rPr>
                <w:sz w:val="15"/>
                <w:szCs w:val="15"/>
                <w:color w:val="auto"/>
              </w:rPr>
            </w:pPr>
          </w:p>
        </w:tc>
        <w:tc>
          <w:tcPr>
            <w:tcW w:w="2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380" w:type="dxa"/>
            <w:vAlign w:val="bottom"/>
          </w:tcPr>
          <w:p>
            <w:pPr>
              <w:spacing w:after="0"/>
              <w:rPr>
                <w:sz w:val="15"/>
                <w:szCs w:val="15"/>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2001</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2001</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3380" w:type="dxa"/>
            <w:vAlign w:val="bottom"/>
          </w:tcPr>
          <w:p>
            <w:pPr>
              <w:spacing w:after="0"/>
              <w:rPr>
                <w:sz w:val="15"/>
                <w:szCs w:val="15"/>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33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3380" w:type="dxa"/>
            <w:vAlign w:val="bottom"/>
          </w:tcPr>
          <w:p>
            <w:pPr>
              <w:ind w:left="440"/>
              <w:spacing w:after="0"/>
              <w:rPr>
                <w:sz w:val="20"/>
                <w:szCs w:val="20"/>
                <w:color w:val="auto"/>
              </w:rPr>
            </w:pPr>
            <w:r>
              <w:rPr>
                <w:rFonts w:ascii="Courier New" w:cs="Courier New" w:eastAsia="Courier New" w:hAnsi="Courier New"/>
                <w:sz w:val="15"/>
                <w:szCs w:val="15"/>
                <w:color w:val="auto"/>
              </w:rPr>
              <w:t>License</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11.0%</w:t>
            </w:r>
          </w:p>
        </w:tc>
      </w:tr>
      <w:tr>
        <w:trPr>
          <w:trHeight w:val="173"/>
        </w:trPr>
        <w:tc>
          <w:tcPr>
            <w:tcW w:w="3380" w:type="dxa"/>
            <w:vAlign w:val="bottom"/>
          </w:tcPr>
          <w:p>
            <w:pPr>
              <w:ind w:left="440"/>
              <w:spacing w:after="0"/>
              <w:rPr>
                <w:sz w:val="20"/>
                <w:szCs w:val="20"/>
                <w:color w:val="auto"/>
              </w:rPr>
            </w:pPr>
            <w:r>
              <w:rPr>
                <w:rFonts w:ascii="Courier New" w:cs="Courier New" w:eastAsia="Courier New" w:hAnsi="Courier New"/>
                <w:sz w:val="15"/>
                <w:szCs w:val="15"/>
                <w:color w:val="auto"/>
              </w:rPr>
              <w:t>Service</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88.0</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89.0</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88.0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89.0</w:t>
            </w:r>
          </w:p>
        </w:tc>
      </w:tr>
      <w:tr>
        <w:trPr>
          <w:trHeight w:val="173"/>
        </w:trPr>
        <w:tc>
          <w:tcPr>
            <w:tcW w:w="3380" w:type="dxa"/>
            <w:vAlign w:val="bottom"/>
          </w:tcPr>
          <w:p>
            <w:pPr>
              <w:spacing w:after="0"/>
              <w:rPr>
                <w:sz w:val="15"/>
                <w:szCs w:val="15"/>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380" w:type="dxa"/>
            <w:vAlign w:val="bottom"/>
          </w:tcPr>
          <w:p>
            <w:pPr>
              <w:spacing w:after="0"/>
              <w:rPr>
                <w:sz w:val="15"/>
                <w:szCs w:val="15"/>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100.0</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w:t>
            </w:r>
          </w:p>
        </w:tc>
      </w:tr>
      <w:tr>
        <w:trPr>
          <w:trHeight w:val="173"/>
        </w:trPr>
        <w:tc>
          <w:tcPr>
            <w:tcW w:w="3380" w:type="dxa"/>
            <w:vAlign w:val="bottom"/>
          </w:tcPr>
          <w:p>
            <w:pPr>
              <w:spacing w:after="0"/>
              <w:rPr>
                <w:sz w:val="15"/>
                <w:szCs w:val="15"/>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380" w:type="dxa"/>
            <w:vAlign w:val="bottom"/>
          </w:tcPr>
          <w:p>
            <w:pPr>
              <w:ind w:left="440"/>
              <w:spacing w:after="0"/>
              <w:rPr>
                <w:sz w:val="20"/>
                <w:szCs w:val="20"/>
                <w:color w:val="auto"/>
              </w:rPr>
            </w:pPr>
            <w:r>
              <w:rPr>
                <w:rFonts w:ascii="Courier New" w:cs="Courier New" w:eastAsia="Courier New" w:hAnsi="Courier New"/>
                <w:sz w:val="15"/>
                <w:szCs w:val="15"/>
                <w:color w:val="auto"/>
              </w:rPr>
              <w:t>Cost of license</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0.4</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0.6</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w:t>
            </w:r>
          </w:p>
        </w:tc>
      </w:tr>
      <w:tr>
        <w:trPr>
          <w:trHeight w:val="173"/>
        </w:trPr>
        <w:tc>
          <w:tcPr>
            <w:tcW w:w="3380" w:type="dxa"/>
            <w:vAlign w:val="bottom"/>
          </w:tcPr>
          <w:p>
            <w:pPr>
              <w:ind w:left="440"/>
              <w:spacing w:after="0"/>
              <w:rPr>
                <w:sz w:val="20"/>
                <w:szCs w:val="20"/>
                <w:color w:val="auto"/>
              </w:rPr>
            </w:pPr>
            <w:r>
              <w:rPr>
                <w:rFonts w:ascii="Courier New" w:cs="Courier New" w:eastAsia="Courier New" w:hAnsi="Courier New"/>
                <w:sz w:val="15"/>
                <w:szCs w:val="15"/>
                <w:color w:val="auto"/>
              </w:rPr>
              <w:t>Cost of service</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54.7</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56.5</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54.7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56.5</w:t>
            </w:r>
          </w:p>
        </w:tc>
      </w:tr>
      <w:tr>
        <w:trPr>
          <w:trHeight w:val="173"/>
        </w:trPr>
        <w:tc>
          <w:tcPr>
            <w:tcW w:w="3380" w:type="dxa"/>
            <w:vAlign w:val="bottom"/>
          </w:tcPr>
          <w:p>
            <w:pPr>
              <w:ind w:left="440"/>
              <w:spacing w:after="0"/>
              <w:rPr>
                <w:sz w:val="20"/>
                <w:szCs w:val="20"/>
                <w:color w:val="auto"/>
              </w:rPr>
            </w:pPr>
            <w:r>
              <w:rPr>
                <w:rFonts w:ascii="Courier New" w:cs="Courier New" w:eastAsia="Courier New" w:hAnsi="Courier New"/>
                <w:sz w:val="15"/>
                <w:szCs w:val="15"/>
                <w:color w:val="auto"/>
              </w:rPr>
              <w:t>Research and development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6.9</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6.8</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w:t>
            </w:r>
          </w:p>
        </w:tc>
      </w:tr>
      <w:tr>
        <w:trPr>
          <w:trHeight w:val="173"/>
        </w:trPr>
        <w:tc>
          <w:tcPr>
            <w:tcW w:w="3380" w:type="dxa"/>
            <w:vAlign w:val="bottom"/>
          </w:tcPr>
          <w:p>
            <w:pPr>
              <w:ind w:left="440"/>
              <w:spacing w:after="0"/>
              <w:rPr>
                <w:sz w:val="20"/>
                <w:szCs w:val="20"/>
                <w:color w:val="auto"/>
              </w:rPr>
            </w:pPr>
            <w:r>
              <w:rPr>
                <w:rFonts w:ascii="Courier New" w:cs="Courier New" w:eastAsia="Courier New" w:hAnsi="Courier New"/>
                <w:sz w:val="15"/>
                <w:szCs w:val="15"/>
                <w:color w:val="auto"/>
              </w:rPr>
              <w:t>Selling, general and</w:t>
            </w: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380" w:type="dxa"/>
            <w:vAlign w:val="bottom"/>
          </w:tcPr>
          <w:p>
            <w:pPr>
              <w:ind w:left="440"/>
              <w:spacing w:after="0"/>
              <w:rPr>
                <w:sz w:val="20"/>
                <w:szCs w:val="20"/>
                <w:color w:val="auto"/>
              </w:rPr>
            </w:pPr>
            <w:r>
              <w:rPr>
                <w:rFonts w:ascii="Courier New" w:cs="Courier New" w:eastAsia="Courier New" w:hAnsi="Courier New"/>
                <w:sz w:val="15"/>
                <w:szCs w:val="15"/>
                <w:color w:val="auto"/>
              </w:rPr>
              <w:t>administrative</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13.1</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12.5</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w:t>
            </w:r>
          </w:p>
        </w:tc>
      </w:tr>
      <w:tr>
        <w:trPr>
          <w:trHeight w:val="173"/>
        </w:trPr>
        <w:tc>
          <w:tcPr>
            <w:tcW w:w="3380" w:type="dxa"/>
            <w:vAlign w:val="bottom"/>
          </w:tcPr>
          <w:p>
            <w:pPr>
              <w:ind w:left="440"/>
              <w:spacing w:after="0"/>
              <w:rPr>
                <w:sz w:val="20"/>
                <w:szCs w:val="20"/>
                <w:color w:val="auto"/>
              </w:rPr>
            </w:pPr>
            <w:r>
              <w:rPr>
                <w:rFonts w:ascii="Courier New" w:cs="Courier New" w:eastAsia="Courier New" w:hAnsi="Courier New"/>
                <w:sz w:val="15"/>
                <w:szCs w:val="15"/>
                <w:color w:val="auto"/>
              </w:rPr>
              <w:t>Amortization of goodwill and</w:t>
            </w: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380" w:type="dxa"/>
            <w:vAlign w:val="bottom"/>
          </w:tcPr>
          <w:p>
            <w:pPr>
              <w:ind w:left="620"/>
              <w:spacing w:after="0"/>
              <w:rPr>
                <w:sz w:val="20"/>
                <w:szCs w:val="20"/>
                <w:color w:val="auto"/>
              </w:rPr>
            </w:pPr>
            <w:r>
              <w:rPr>
                <w:rFonts w:ascii="Courier New" w:cs="Courier New" w:eastAsia="Courier New" w:hAnsi="Courier New"/>
                <w:sz w:val="15"/>
                <w:szCs w:val="15"/>
                <w:color w:val="auto"/>
              </w:rPr>
              <w:t>purchased intangible assets</w:t>
            </w:r>
          </w:p>
        </w:tc>
        <w:tc>
          <w:tcPr>
            <w:tcW w:w="116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w:t>
            </w:r>
          </w:p>
        </w:tc>
      </w:tr>
      <w:tr>
        <w:trPr>
          <w:trHeight w:val="173"/>
        </w:trPr>
        <w:tc>
          <w:tcPr>
            <w:tcW w:w="3380" w:type="dxa"/>
            <w:vAlign w:val="bottom"/>
          </w:tcPr>
          <w:p>
            <w:pPr>
              <w:ind w:left="440"/>
              <w:spacing w:after="0"/>
              <w:rPr>
                <w:sz w:val="20"/>
                <w:szCs w:val="20"/>
                <w:color w:val="auto"/>
              </w:rPr>
            </w:pPr>
            <w:r>
              <w:rPr>
                <w:rFonts w:ascii="Courier New" w:cs="Courier New" w:eastAsia="Courier New" w:hAnsi="Courier New"/>
                <w:sz w:val="15"/>
                <w:szCs w:val="15"/>
                <w:color w:val="auto"/>
              </w:rPr>
              <w:t>In-process research and</w:t>
            </w: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380" w:type="dxa"/>
            <w:vAlign w:val="bottom"/>
          </w:tcPr>
          <w:p>
            <w:pPr>
              <w:ind w:left="620"/>
              <w:spacing w:after="0"/>
              <w:rPr>
                <w:sz w:val="20"/>
                <w:szCs w:val="20"/>
                <w:color w:val="auto"/>
              </w:rPr>
            </w:pPr>
            <w:r>
              <w:rPr>
                <w:rFonts w:ascii="Courier New" w:cs="Courier New" w:eastAsia="Courier New" w:hAnsi="Courier New"/>
                <w:sz w:val="15"/>
                <w:szCs w:val="15"/>
                <w:color w:val="auto"/>
              </w:rPr>
              <w:t>development and other</w:t>
            </w: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380" w:type="dxa"/>
            <w:vAlign w:val="bottom"/>
          </w:tcPr>
          <w:p>
            <w:pPr>
              <w:ind w:left="620"/>
              <w:spacing w:after="0"/>
              <w:rPr>
                <w:sz w:val="20"/>
                <w:szCs w:val="20"/>
                <w:color w:val="auto"/>
              </w:rPr>
            </w:pPr>
            <w:r>
              <w:rPr>
                <w:rFonts w:ascii="Courier New" w:cs="Courier New" w:eastAsia="Courier New" w:hAnsi="Courier New"/>
                <w:sz w:val="15"/>
                <w:szCs w:val="15"/>
                <w:color w:val="auto"/>
              </w:rPr>
              <w:t>indirect acquisition related</w:t>
            </w: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380" w:type="dxa"/>
            <w:vAlign w:val="bottom"/>
          </w:tcPr>
          <w:p>
            <w:pPr>
              <w:ind w:left="620"/>
              <w:spacing w:after="0"/>
              <w:rPr>
                <w:sz w:val="20"/>
                <w:szCs w:val="20"/>
                <w:color w:val="auto"/>
              </w:rPr>
            </w:pPr>
            <w:r>
              <w:rPr>
                <w:rFonts w:ascii="Courier New" w:cs="Courier New" w:eastAsia="Courier New" w:hAnsi="Courier New"/>
                <w:sz w:val="15"/>
                <w:szCs w:val="15"/>
                <w:color w:val="auto"/>
              </w:rPr>
              <w:t>costs</w:t>
            </w:r>
          </w:p>
        </w:tc>
        <w:tc>
          <w:tcPr>
            <w:tcW w:w="116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18.8</w:t>
            </w:r>
          </w:p>
        </w:tc>
      </w:tr>
      <w:tr>
        <w:trPr>
          <w:trHeight w:val="173"/>
        </w:trPr>
        <w:tc>
          <w:tcPr>
            <w:tcW w:w="3380" w:type="dxa"/>
            <w:vAlign w:val="bottom"/>
          </w:tcPr>
          <w:p>
            <w:pPr>
              <w:spacing w:after="0"/>
              <w:rPr>
                <w:sz w:val="15"/>
                <w:szCs w:val="15"/>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380" w:type="dxa"/>
            <w:vAlign w:val="bottom"/>
          </w:tcPr>
          <w:p>
            <w:pPr>
              <w:spacing w:after="0"/>
              <w:rPr>
                <w:sz w:val="15"/>
                <w:szCs w:val="15"/>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75.1</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76.4</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88.9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113.4</w:t>
            </w:r>
          </w:p>
        </w:tc>
      </w:tr>
      <w:tr>
        <w:trPr>
          <w:trHeight w:val="173"/>
        </w:trPr>
        <w:tc>
          <w:tcPr>
            <w:tcW w:w="3380" w:type="dxa"/>
            <w:vAlign w:val="bottom"/>
          </w:tcPr>
          <w:p>
            <w:pPr>
              <w:spacing w:after="0"/>
              <w:rPr>
                <w:sz w:val="15"/>
                <w:szCs w:val="15"/>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24.9</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23.6</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11.1</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(13.4)</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w:t>
            </w:r>
          </w:p>
        </w:tc>
      </w:tr>
      <w:tr>
        <w:trPr>
          <w:trHeight w:val="173"/>
        </w:trPr>
        <w:tc>
          <w:tcPr>
            <w:tcW w:w="3380" w:type="dxa"/>
            <w:vAlign w:val="bottom"/>
          </w:tcPr>
          <w:p>
            <w:pPr>
              <w:spacing w:after="0"/>
              <w:rPr>
                <w:sz w:val="15"/>
                <w:szCs w:val="15"/>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26.2</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24.7</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12.4</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(12.3)</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7.9</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w:t>
            </w:r>
          </w:p>
        </w:tc>
      </w:tr>
      <w:tr>
        <w:trPr>
          <w:trHeight w:val="173"/>
        </w:trPr>
        <w:tc>
          <w:tcPr>
            <w:tcW w:w="3380" w:type="dxa"/>
            <w:vAlign w:val="bottom"/>
          </w:tcPr>
          <w:p>
            <w:pPr>
              <w:spacing w:after="0"/>
              <w:rPr>
                <w:sz w:val="15"/>
                <w:szCs w:val="15"/>
                <w:color w:val="auto"/>
              </w:rPr>
            </w:pPr>
          </w:p>
        </w:tc>
        <w:tc>
          <w:tcPr>
            <w:tcW w:w="116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18.3%</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17.3%</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(22.6%)</w:t>
            </w:r>
          </w:p>
        </w:tc>
      </w:tr>
      <w:tr>
        <w:trPr>
          <w:trHeight w:val="173"/>
        </w:trPr>
        <w:tc>
          <w:tcPr>
            <w:tcW w:w="3380" w:type="dxa"/>
            <w:vAlign w:val="bottom"/>
          </w:tcPr>
          <w:p>
            <w:pPr>
              <w:spacing w:after="0"/>
              <w:rPr>
                <w:sz w:val="15"/>
                <w:szCs w:val="15"/>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left="900" w:right="3559" w:hanging="6"/>
        <w:spacing w:after="0" w:line="243" w:lineRule="auto"/>
        <w:tabs>
          <w:tab w:leader="none" w:pos="126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financial information excludes ITDS and Solect acquisition related charges.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NINE MONTHS ENDED JUNE 30, 2001 AND 2000</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Revenue. Revenue for the nine months ended June 30, 2001 was $1,118.5 million, an increase of $315.2 million, or 39.2%, over the nine months ended June 30, 2000. The increase in revenue was due to the continued growth in the demand for our CC&amp;B Systems solutions in our traditional target markets of high-end and mid-tier communications companies. License revenue increased from $89.6 million in the nine months ended June 30, 2000 to $129.9 million during the nine months ended June 30, 2001, an increase of 44.9%, and service revenue increased 38.5% from $713.6 million in the nine months ended June 30, 2000 to $988.6 million in the nine months ended June 30, 2001. Total CC&amp;B Systems revenue for the nine months ended June 30, 2001 was $1,001.8 million, an increase of $298.7 million, or 42.5%, over the nine months ended June 30, 2000. In the nine months ended June 30, 2001, the demand for our CC&amp;B Systems was primarily driven by the need for communications companies to upgrade their customer care, billing and order management systems in response to growth in their subscriber base, increased competition in the subscriber markets, and the need to offer convergent and IP services. Revenue from Directory Systems was $116.7 million for the nine months ended June 30, 2001, an increase of $16.5 million, or 16.5%, over the nine months ended June 30, 2000. The increase is attributable primarily to extensions of agreements with and additional services rendered to existing customers.</w:t>
      </w:r>
    </w:p>
    <w:p>
      <w:pPr>
        <w:spacing w:after="0" w:line="18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the nine months ended June 30, 2001, revenue from customers in North America, Europe and the rest of the world accounted for 52.7%, 36.8% and 10.5%, respectively, compared to 45.6%, 41.7% and 12.7%, respectively, for the nine months ended June 30, 2000. The growth in North America was attributable primarily to revenue we gained from forming or expanding relationships with new or existing customers in North America in the nine months ended June 30, 2001.</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Cost of License. Cost of license for the nine months ended June 30, 2001 was $4.7 million, an increase of $0.4 million, or 8.7%, over the cost of license for the nine months ended June 30, 2000. Cost of license includes amortization of purchased computer software and intellectual property rights. The increase in cost of license was attributable primarily to new purchases of computer software and the related amortization.</w:t>
      </w:r>
    </w:p>
    <w:p>
      <w:pPr>
        <w:sectPr>
          <w:pgSz w:w="11900" w:h="16838" w:orient="portrait"/>
          <w:cols w:equalWidth="0" w:num="1">
            <w:col w:w="10219"/>
          </w:cols>
          <w:pgMar w:left="240" w:top="291" w:right="1440" w:bottom="1075" w:gutter="0" w:footer="0" w:header="0"/>
        </w:sectPr>
      </w:pPr>
    </w:p>
    <w:p>
      <w:pPr>
        <w:spacing w:after="0" w:line="200" w:lineRule="exact"/>
        <w:rPr>
          <w:sz w:val="20"/>
          <w:szCs w:val="20"/>
          <w:color w:val="auto"/>
        </w:rPr>
      </w:pPr>
    </w:p>
    <w:p>
      <w:pPr>
        <w:spacing w:after="0" w:line="3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1" w:right="1440" w:bottom="1075"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4"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Cost of Service. Cost of service for the nine months ended June 30, 2001 was $618.8 million, an increase of $156.4 million, or 33.8%, over the cost of service of $462.4 million for the nine months ended June 30, 2000. As a percentage of revenue, cost of service decreased to 55.3% in the nine months ended June 30, 2001 from 57.6% in the nine months ended June 30, 2000. The decrease in cost of service as a percentage of revenue is primarily due to increases in our operational efficiency in the nine months ended June 30, 2001.</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Research and Development. Research and development expense was primarily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comprised of compensation expense attributed to research and development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activities, either in conjunction with customer projects or as part of 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development program. In the nine months ended June 30, 2001, research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development expense was $76.7 million, or 6.9% of revenue, compared with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$53.0 million, or 6.6% of revenue, in the nine months ended June 30, 2000.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represents ongoing expenditures primarily for CC&amp;B Systems.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was primarily comprised of compensation expense and increased by 47.5% to $144.3 million, or 12.9% of revenue, in the nine months ended June 30, 2001, from $97.9 million, or 12.2% of revenue, in the nine months ended June 30, 2000. The increase is attributable primarily to increases in our selling and marketing efforts in the nine months ended June 30, 2001.</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Amortization of Goodwill and Purchased Intangible Assets. Amortization of goodwill and purchased intangible assets for the nine months ended June 30, 2001 was $164.1 million, compared to $56.9 million in the nine months ended June 30, 2000. Amortization of goodwill and purchased intangible relates to the acquisitions of ITDS and Solect.</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In-process Research and Development and Other Indirect Acquisition Related Costs. In-process research and development and other indirect acquisition related costs were last incurred in the nine months ended June 30, 2000 and consisted primarily of a one-time charge of $75.6 million related to the acquisitions of ITDS and Solect.</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Operating Income. Operating income in the nine months ended June 30, 2001 was $109.8 million, compared to $53.2 million in the nine months ended June 30, 2000, an increase of 106%, primarily due to a one-time charge for write-off of purchased in-process research and development related to the acquisitions of ITDS and Solect in the nine months ended June 30, 2000. Pro forma operating income for the nine months ended June 30, 2001, excluding ITDS and Solect acquisition related charges, was $273.9 million, or 24.5% of revenue, compared to $185.7 million, or 23.1% of revenue, for the nine months ended June 30, 2000, an increase of 47.5%.</w:t>
      </w:r>
    </w:p>
    <w:p>
      <w:pPr>
        <w:spacing w:after="0" w:line="17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Interest Income and Other, Net. In the nine months ended June 30, 2001, interest income and other, net, was $15.9 million, an increase of $9.9 million over the nine months ended June 30, 2000. The increase in interest income and other, net, is primarily attributed to the increase in our cash equivalents and short-term interest-bearing investments partially offset by overall interest rate declines.</w:t>
      </w:r>
    </w:p>
    <w:p>
      <w:pPr>
        <w:spacing w:after="0" w:line="176"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Income Taxes. Income taxes in the nine months ended June 30, 2001 were</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$79.2 million on income before income taxes of $125.6 million. Our effective tax rate in the nine months ended June 30, 2001 was 63%, resulting from the non-cash amortization of goodwill related to the ITDS and Solect acquisitions, much of which is not tax deductible. In the nine months ended June 30, 2000, income taxes were $66.2 million on income before taxes of $59.2 million. In the nine months ended June 30, 2000, the effective tax rate (calculated based on the income taxes out of the income before income taxes, excluding non recurring charges for write-offs of purchased in-process research and development and other indirect acquisition related costs) was 49%. The pro forma effective tax rate for each of the nine months ended June 30, 2001 and 2000, excluding ITDS and Solect acquisition related charges, was 30%. See discussion below - "Effective Tax Rate".</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Net Income (Loss). Net income was $46.5 million in the nine months ended June 30, 2001, compared to a net loss of $7.0 million in the nine months ended June 30, 2000. Pro forma net income in the nine months ended June 30, 2001, excluding ITDS and Solect acquisition related charges, increased by 51.2% over the nine months ended June 30, 2000, reaching $202.8 million, representing 18.1% of revenue.</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Diluted Earnings (Loss) per Share. Diluted earnings per share were $0.20 for the nine months ended June 30, 2001, compared to a loss of $0.03 per diluted share in the nine months ended June 30, 2000. Pro forma diluted earnings per share in the nine months ended June 30, 2001, excluding ITDS and Solect acquisition related charges, increased by 41.3% from the nine months ended June 30, 2000, reaching $0.89 per diluted share.</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1"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THREE MONTHS ENDED JUNE 30, 2001 AND 2000</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Revenue. Revenue for the three months ended June 30, 2001 was $404.0 million, an increase of $107.0 million, or 36.0%, over the three months ended June 30, 2000. The increase in revenue was due to the continued growth in the demand for our CC&amp;B Systems solutions in our traditional target markets of high-end and mid-tier communications companies. License revenue increased from $32.7 million in the three months ended June 30, 2000 to $48.5 million during the three months ended June 30, 2001, an increase of 48.5%, and service revenue increased 34.5% from $264.3 million in the three months ended June 30, 2000 to $355.5 million in the three months ended June 30, 2001. Total CC&amp;B Systems revenue for the three months ended June 30, 2001 was $364.1 million, an increase of $99.7 million, or 37.7%, over the three months ended June 30, 2000. In the three months ended June 30, 2001, the demand for our CC&amp;B Systems was primarily driven by the need for communications companies to upgrade their customer care, billing and order management systems in response to growth in their subscriber base, increased competition in the subscriber markets, and the need to offer convergent and IP services. Revenue from Directory Systems was $39.9 million for the three months ended June 30, 2001, an increase of $7.3 million, or 22.4%, over the three months ended June 30, 2000. The increase was attributable primarily to extensions of agreements with and additional services rendered to existing customers.</w:t>
      </w:r>
    </w:p>
    <w:p>
      <w:pPr>
        <w:spacing w:after="0" w:line="18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the three months ended June 30, 2001, revenue from customers in North America, Europe and the rest of the world accounted for 51.5%, 38.1% and 10.4%, respectively, compared to 45.3%, 42.4% and 12.3%, respectively, for the three months ended June 30, 2000. The growth in North America was attributable primarily to revenue we gained from forming or expanding relationships with new or existing customers in North America in the three months ended June 30, 2001.</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Cost of License. Cost of license for the three months ended June 30, 2001 was $1.8 million, an increase of $0.1 million, or 3.3%, over the cost of license for the three months ended June 30, 2000. Cost of license includes amortization of purchased computer software and intellectual property rights. The increase in cost of license was attributable primarily to new purchases of computer software and the related amortization.</w:t>
      </w:r>
    </w:p>
    <w:p>
      <w:pPr>
        <w:spacing w:after="0" w:line="177"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Cost of Service. Cost of service for the three months ended June 30, 2001 was $220.8 million, an increase of $53.1 million, or 31.7%, over the cost of service of $167.7 million for the three months ended June 30, 2000. As a percentage of revenue, cost of service decreased to 54.7% in the three months ended June 30, 2001 from 56.5% in the three months ended June 30, 2000. The decrease in cost of service as a percentage of revenue is primarily due to increases in our operational efficiency in the three months ended June 30, 2001.</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Research and Development. Research and development expense was primarily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comprised of compensation expense attributed to research and development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activities, either in conjunction with customer projects or as part of 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development program. In the three months ended June 30, 2001, research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development expense was $28.0 million, or 6.9% of revenue, compared with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$20.3 million, or 6.8% of revenue, in the three months ended June 30, 2000.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represents ongoing expenditures primarily for CC&amp;B Systems.</w:t>
      </w:r>
    </w:p>
    <w:p>
      <w:pPr>
        <w:spacing w:after="0" w:line="178" w:lineRule="exact"/>
        <w:rPr>
          <w:sz w:val="20"/>
          <w:szCs w:val="20"/>
          <w:color w:val="auto"/>
        </w:rPr>
      </w:pPr>
    </w:p>
    <w:p>
      <w:pPr>
        <w:ind w:right="3199" w:firstLine="451"/>
        <w:spacing w:after="0" w:line="262"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was primarily comprised of compensation expense and increased by 41.3% to $52.7 million, or 13.1% of revenue, in the three months ended June 30, 2001 from $37.3 million, or 12.5% of revenue, in the three months ended June 30,</w:t>
      </w:r>
    </w:p>
    <w:p>
      <w:pPr>
        <w:spacing w:after="0" w:line="1"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2000. The increase was attributable primarily to the increase in our selling and marketing efforts in the three months ended June 30, 2001.</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Amortization of Goodwill and Purchased Intangible Assets. Amortization of goodwill and purchased intangible assets for the three months ended June 30, 2001 was $55.8 million, compared to $54.1 million in the three months ended June 30, 2000. Amortization of goodwill and purchased intangible assets related to the acquisitions of ITDS and Solect.</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In-process Research and Development and Other Indirect Acquisition Related Costs. In-process research and development and other indirect acquisition related costs were incurred only in the three months ended June 30, 2000 and consisted of a one time charge of $55.7 million related to the acquisition of Solect.</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Operating Income (Loss). Operating income in the three months ended June 30, 2001, was $44.9 million, compared to an operating loss of $39.8 million in the three months ended June 30, 2000, an increase of $84.7 million, primarily due to a one-time charge for write-off of purchased in-process research and development related to the acquisition of Solect in the three months ended June 30, 2000, and due to increases in our operational efficiency in the three months ended June 30, 2001. Pro forma operating income for the three months ended June 30, 2001, excluding ITDS and Solect acquisition related charges, was $100.7 million, or 24.9% of revenue, compared to $70.0 million, or 23.6% of revenue, for the three months ended June 30, 2000, an increase of 43.8%.</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Interest Income and Other, Net. In the three months ended June 30, 2001, interest income and other, net, was $5.2 million, an increase of $1.9 million over the three months ended June 30, 2000. The increase in interest income and other, net, was primarily attributed to the increase in our cash equivalents and short-term interest-bearing investments partially offset by overall interest rate declines.</w:t>
      </w:r>
    </w:p>
    <w:p>
      <w:pPr>
        <w:sectPr>
          <w:pgSz w:w="11900" w:h="16838" w:orient="portrait"/>
          <w:cols w:equalWidth="0" w:num="1">
            <w:col w:w="10219"/>
          </w:cols>
          <w:pgMar w:left="240" w:top="291" w:right="1440" w:bottom="35" w:gutter="0" w:footer="0" w:header="0"/>
        </w:sectPr>
      </w:pP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1" w:right="1440" w:bottom="35"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Income Taxes. Income taxes in the three months ended June 30, 2001 were $31.6 million on income before income taxes of $50.1 million. In the three months ended June 30, 2000, income taxes were $30.7 million on a loss before taxes of $36.5 million. Our effective tax rate in the three months ended June 30, 2001 was 63%, resulting from the non-cash amortization of goodwill related to the acquisitions of ITDS and Solect, much of which is not tax deductible. The pro forma effective tax rate for each of the three months ended June 30, 2001 and 2000, excluding ITDS and Solect acquisition related charges, was 30%. See discussion below - "Effective Tax Rate".</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Net Income (Loss). Net income was $18.5 million in the three months ended June 30, 2001, compared to a loss of $67.2 million in the three months ended June 30, 2000. Pro forma net income in the three months ended June 30, 2001, excluding ITDS and Solect acquisition related charges, increased by 44.4% over the three months ended June 30, 2000, reaching $74.1 million, representing 18.3% of revenue.</w:t>
      </w:r>
    </w:p>
    <w:p>
      <w:pPr>
        <w:spacing w:after="0" w:line="177"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Diluted Earnings (Loss) per Share. Diluted earnings per share were $0.08 for the three months ended June 30, 2001, compared to a loss of $0.31 per diluted share in the three months ended June 30, 2000. Pro forma diluted earnings per share in the three months ended June 30, 2001, excluding ITDS and Solect acquisition related charges, increased by 43.5% from the three months ended June 30, 2000, reaching $0.33 per diluted share.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Cash, cash equivalents and short-term interest-bearing investments totaled $1,044.2 million as of June 30, 2001, compared to $402.3 million as of September 30, 2000. The increase is primarily attributable to net proceeds from the issuance of the Notes and cash flows from operations. Net cash provided by operating activities amounted to $242.9 million and $186.6 million for the nine months ended June 30, 2001 and 2000, respectively. The increase in cash flows from operations was due to increased net income before depreciation and amortization offset by increases in working capital, principally from accounts receivable. A significant portion of our cash flow from operations during the nine months ended June 30, 2001 was used to invest in cash equivalents and short-term interest-bearing investments. We currently intend to retain our future earnings to support the further expansion of our business.</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of June 30, 2001, we had positive working capital of $995.1 million, compared to positive working capital of $319.0 million as of September 30, 2000. The increase is attributable primarily to cash generated from the issuance of the Notes and operating activities. We believe that current cash balances, cash generated from operations and our current lines of credit will provide sufficient resources to meet our needs in the near future.</w:t>
      </w:r>
    </w:p>
    <w:p>
      <w:pPr>
        <w:spacing w:after="0" w:line="177" w:lineRule="exact"/>
        <w:rPr>
          <w:sz w:val="20"/>
          <w:szCs w:val="20"/>
          <w:color w:val="auto"/>
        </w:rPr>
      </w:pPr>
    </w:p>
    <w:p>
      <w:pPr>
        <w:ind w:right="3459" w:firstLine="451"/>
        <w:spacing w:after="0" w:line="244" w:lineRule="auto"/>
        <w:rPr>
          <w:sz w:val="20"/>
          <w:szCs w:val="20"/>
          <w:color w:val="auto"/>
        </w:rPr>
      </w:pPr>
      <w:r>
        <w:rPr>
          <w:rFonts w:ascii="Courier New" w:cs="Courier New" w:eastAsia="Courier New" w:hAnsi="Courier New"/>
          <w:sz w:val="15"/>
          <w:szCs w:val="15"/>
          <w:color w:val="auto"/>
        </w:rPr>
        <w:t>All of the Notes were outstanding as of June 30, 2001, representing an aggregate principal amount of $500.0 million owed by us to qualified institutional buyers. See discussion above - "Convertible Notes".</w:t>
      </w:r>
    </w:p>
    <w:p>
      <w:pPr>
        <w:spacing w:after="0" w:line="175"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As of June 30, 2001, we had short-term revolving lines of credit totaling $41.0 million from various banks or bank groups, none of which was outstanding.</w:t>
      </w:r>
    </w:p>
    <w:p>
      <w:pPr>
        <w:spacing w:after="0" w:line="176" w:lineRule="exact"/>
        <w:rPr>
          <w:sz w:val="20"/>
          <w:szCs w:val="20"/>
          <w:color w:val="auto"/>
        </w:rPr>
      </w:pPr>
    </w:p>
    <w:p>
      <w:pPr>
        <w:ind w:right="3019" w:firstLine="451"/>
        <w:spacing w:after="0" w:line="278" w:lineRule="auto"/>
        <w:rPr>
          <w:sz w:val="20"/>
          <w:szCs w:val="20"/>
          <w:color w:val="auto"/>
        </w:rPr>
      </w:pPr>
      <w:r>
        <w:rPr>
          <w:rFonts w:ascii="Courier New" w:cs="Courier New" w:eastAsia="Courier New" w:hAnsi="Courier New"/>
          <w:sz w:val="14"/>
          <w:szCs w:val="14"/>
          <w:color w:val="auto"/>
        </w:rPr>
        <w:t>We had utilized approximately $22.7 million of revolving credit facilities to support outstanding letters of credit or bank guarantees as of June 30, 2001.</w:t>
      </w:r>
    </w:p>
    <w:p>
      <w:pPr>
        <w:spacing w:after="0" w:line="15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had outstanding long-term obligations of $32.7 million in connection with leasing arrangements as of June 30, 2001. Currently, our capital expenditures consist primarily of computer equipment and vehicles and are funded principally by operating cash flows and capital leasing arrangements. We do not anticipate any change to this policy in the foreseeable future.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DEFERRED TAX ASSETS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As of June 30, 2001, deferred tax assets of $26.3 million, derived primarily from carry-forward net operating losses relating to Solect pre-acquisition losses, were offset by valuation allowances due to the uncertainty of realizing any tax benefit for such losses. Upon the subsequent realization of any such net operating losses, the valuation allowance will be released, resulting primarily in an offsetting reduction of the goodwill recorded in the Solect acquisition.</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1"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TAX RATE</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Our overall effective tax rate has historically been approximately 30% due to the corporate income tax rates in the various countries in which we operate and the relative magnitude of our business in those countries. Our consolidated effective tax rate (calculated based on the income taxes out of the income before income taxes, excluding the impact in fiscal year 2000 of non recurring charges for write-offs of purchased in-process research and development and other indirect acquisition related costs) for the nine months ended June 30, 2001 was 63%, compared to 49% in the nine months ended June 30, 2000. This higher effective tax rate was attributable to amortization of goodwill related to our acquisitions of ITDS and Solect, much of which is not tax deductible. Excluding the impact of the ITDS and Solect acquisition related charges, the effective tax rate for the nine months ended June 30, 2001 was 30%.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FLUCTUATIONS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Approximately 90% of our revenue is in U.S. dollars or linked to the dollar and therefore the dollar is our functional currency. Approximately 60% of our operating expenses are paid in dollars or linked to dollars. Other significant currencies in which we receive revenue or pay expenses are Australian dollars, British pounds, Canadian dollars, the European Monetary Union currency ("euro") and Israeli shekels. Historically, the effect of fluctuations in currency exchange rates has had a minimal impact on our operations. If we expand our operations outside of the United States, our exposure to fluctuations in currency exchange rates could increase. In managing our foreign exchange risk, we enter from time to time into various foreign exchange contracts. As of June 30, 2001, we had hedged most of our significant exposures in currencies other than the dollar.</w:t>
      </w:r>
    </w:p>
    <w:p>
      <w:pPr>
        <w:spacing w:after="0" w:line="200" w:lineRule="exact"/>
        <w:rPr>
          <w:sz w:val="20"/>
          <w:szCs w:val="20"/>
          <w:color w:val="auto"/>
        </w:rPr>
      </w:pPr>
    </w:p>
    <w:p>
      <w:pPr>
        <w:spacing w:after="0" w:line="32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1"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tab/>
        <w:t>EXHIBITS AND REPORTS ON FORM 6-K.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Exhibits</w:t>
      </w:r>
    </w:p>
    <w:p>
      <w:pPr>
        <w:spacing w:after="0" w:line="177" w:lineRule="exact"/>
        <w:rPr>
          <w:sz w:val="20"/>
          <w:szCs w:val="20"/>
          <w:color w:val="auto"/>
        </w:rPr>
      </w:pPr>
    </w:p>
    <w:p>
      <w:pPr>
        <w:spacing w:after="0"/>
        <w:tabs>
          <w:tab w:leader="none" w:pos="2140" w:val="left"/>
        </w:tabs>
        <w:rPr>
          <w:sz w:val="20"/>
          <w:szCs w:val="20"/>
          <w:color w:val="auto"/>
        </w:rPr>
      </w:pPr>
      <w:r>
        <w:rPr>
          <w:rFonts w:ascii="Courier New" w:cs="Courier New" w:eastAsia="Courier New" w:hAnsi="Courier New"/>
          <w:sz w:val="15"/>
          <w:szCs w:val="15"/>
          <w:color w:val="auto"/>
        </w:rPr>
        <w:t>EXHIBIT NO.</w:t>
      </w:r>
      <w:r>
        <w:rPr>
          <w:sz w:val="20"/>
          <w:szCs w:val="20"/>
          <w:color w:val="auto"/>
        </w:rPr>
        <w:tab/>
      </w:r>
      <w:r>
        <w:rPr>
          <w:rFonts w:ascii="Courier New" w:cs="Courier New" w:eastAsia="Courier New" w:hAnsi="Courier New"/>
          <w:sz w:val="14"/>
          <w:szCs w:val="14"/>
          <w:color w:val="auto"/>
        </w:rPr>
        <w:t>DESCRIPTION</w:t>
      </w:r>
    </w:p>
    <w:p>
      <w:pPr>
        <w:spacing w:after="0" w:line="177" w:lineRule="exact"/>
        <w:rPr>
          <w:sz w:val="20"/>
          <w:szCs w:val="20"/>
          <w:color w:val="auto"/>
        </w:rPr>
      </w:pPr>
    </w:p>
    <w:p>
      <w:pPr>
        <w:spacing w:after="0"/>
        <w:tabs>
          <w:tab w:leader="none" w:pos="214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Amdocs Limited Press Release dated July 24, 2001.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Reports on Form 6-K.</w:t>
      </w:r>
    </w:p>
    <w:p>
      <w:pPr>
        <w:spacing w:after="0" w:line="178"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The Company filed the following reports on Form 6-K during the three months ended June 30, 2001:</w:t>
      </w:r>
    </w:p>
    <w:p>
      <w:pPr>
        <w:spacing w:after="0" w:line="175" w:lineRule="exact"/>
        <w:rPr>
          <w:sz w:val="20"/>
          <w:szCs w:val="20"/>
          <w:color w:val="auto"/>
        </w:rPr>
      </w:pPr>
    </w:p>
    <w:p>
      <w:pPr>
        <w:ind w:left="900" w:hanging="457"/>
        <w:spacing w:after="0"/>
        <w:tabs>
          <w:tab w:leader="none" w:pos="9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May 10, 2001.</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May 24, 2001.</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May 31, 2001.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1"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jc w:val="both"/>
        <w:ind w:right="3739"/>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Amdocs Limited</w:t>
      </w:r>
    </w:p>
    <w:p>
      <w:pPr>
        <w:spacing w:after="0" w:line="177"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/s/ Thomas G. O'Brien</w:t>
      </w:r>
    </w:p>
    <w:p>
      <w:pPr>
        <w:spacing w:after="0" w:line="3"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Thomas G. O'Brien</w:t>
      </w:r>
    </w:p>
    <w:p>
      <w:pPr>
        <w:spacing w:after="0" w:line="3"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Treasurer and Secretary</w:t>
      </w:r>
    </w:p>
    <w:p>
      <w:pPr>
        <w:spacing w:after="0" w:line="3"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Authorized U.S.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August 9, 2001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1"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22</w:t>
      </w:r>
    </w:p>
    <w:p>
      <w:pPr>
        <w:spacing w:after="0" w:line="4"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9959"/>
          </w:cols>
          <w:pgMar w:left="500" w:top="291" w:right="1440" w:bottom="1440" w:gutter="0" w:footer="0" w:header="0"/>
        </w:sectPr>
      </w:pPr>
    </w:p>
    <w:p>
      <w:pPr>
        <w:spacing w:after="0" w:line="18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EXHIBIT NO.</w:t>
      </w:r>
    </w:p>
    <w:p>
      <w:pPr>
        <w:spacing w:after="0" w:line="4" w:lineRule="exact"/>
        <w:rPr>
          <w:sz w:val="20"/>
          <w:szCs w:val="20"/>
          <w:color w:val="auto"/>
        </w:rPr>
      </w:pPr>
    </w:p>
    <w:p>
      <w:pPr>
        <w:ind w:left="8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99.1</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DESCRIPTION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 Press Release dated July 24, 2001.</w:t>
      </w:r>
    </w:p>
    <w:p>
      <w:pPr>
        <w:spacing w:after="0" w:line="200" w:lineRule="exact"/>
        <w:rPr>
          <w:sz w:val="20"/>
          <w:szCs w:val="20"/>
          <w:color w:val="auto"/>
        </w:rPr>
      </w:pPr>
    </w:p>
    <w:p>
      <w:pPr>
        <w:sectPr>
          <w:pgSz w:w="11900" w:h="16838" w:orient="portrait"/>
          <w:cols w:equalWidth="0" w:num="2">
            <w:col w:w="2160" w:space="360"/>
            <w:col w:w="7439"/>
          </w:cols>
          <w:pgMar w:left="500" w:top="29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959"/>
          </w:cols>
          <w:pgMar w:left="500" w:top="291" w:right="1440" w:bottom="1440" w:gutter="0" w:footer="0" w:header="0"/>
          <w:type w:val="continuous"/>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AMDOCS LIMITED THIRD QUARTER PRO FORMA EARNINGS PER SHARE INCREASED BY 43.5% TO</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$0.33</w:t>
      </w:r>
    </w:p>
    <w:p>
      <w:pPr>
        <w:spacing w:after="0" w:line="350"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REVENUE INCREASED BY 36.0% TO A RECORD $404.0 MILLION</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ST. LOUIS, MO - - JULY 24, 2001 -- Amdocs Limited (NYSE: DOX) today reported that for the third quarter ended June 30, 2001, revenue reached $404.0 million, an increase of 36.0% over last year's third quarter. Excluding acquisition-related charges, net income increased 44.4% to $74.1 million, while earnings per share increased 43.5% to $0.33 per diluted share, compared to net income of $51.4 million, or $0.23 per diluted share, in the third quarter of fiscal 2000. The Company's as-reported net income, which includes acquisition-related charges for amortization of goodwill and purchased intangible assets and related tax effects, and in fiscal 2000 also included in-process research and development write-offs and other indirect acquisition costs, was $18.5 million, or $0.08 per diluted share, compared to a net loss of $67.2 million, or $0.31 per diluted share, in the third quarter of fiscal 2000.</w:t>
      </w:r>
    </w:p>
    <w:p>
      <w:pPr>
        <w:spacing w:after="0" w:line="18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Avi Naor, Chief Executive Officer of Amdocs Management Limited, noted, "We had an excellent quarter. These results continue our consistent track record of strong business performance and stable growth. We continued to expand our penetration in both the wireline and mobile sectors for both voice and IP applications. We have great stability due to our business model, which emphasizes long-term customer relationships, as well as our extensive portfolio which includes CRM, billing and order management; the variety of service alternatives we offer including licensed solutions and outsourcing projects; and the geographic diversity spanning all major global markets."</w:t>
      </w:r>
    </w:p>
    <w:p>
      <w:pPr>
        <w:spacing w:after="0" w:line="17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Naor continued, "We continue to be very confident moving forward. For Amdocs, the market for customer care and billing systems remains strong. With our broad product offering and complete service coverage, Amdocs is uniquely positioned to leverage its existing relationships with Tier 1 and Tier 2 carriers, the strongest players in the market. Carriers recognize that powerful customer care and billing capabilities are mission-critical for their operations, and enable them to be more competitive. This also holds for our existing customers, where we have significant ongoing support programs and additional system expansion and enhancement projects."</w:t>
      </w:r>
    </w:p>
    <w:p>
      <w:pPr>
        <w:spacing w:after="0" w:line="179"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Naor added, "Due to the slowdown in the global communications market, we have recently experienced a lengthening in our sales cycle, which means that it may take us longer to close deals for new business. Nonetheless, our future outlook is very positive. We continue to have a strong pipeline, and our visibility remains high. With our leading position among the top tier communications carriers, together with our long-term customer relationships, solutions-based business model and diverse product portfolio, our future business prospects remain strong in the current market."</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141"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w:t>
      </w:r>
    </w:p>
    <w:p>
      <w:pPr>
        <w:spacing w:after="0" w:line="4" w:lineRule="exact"/>
        <w:rPr>
          <w:sz w:val="20"/>
          <w:szCs w:val="20"/>
          <w:color w:val="auto"/>
        </w:rPr>
      </w:pPr>
    </w:p>
    <w:p>
      <w:pPr>
        <w:ind w:right="3019"/>
        <w:spacing w:after="0" w:line="266" w:lineRule="auto"/>
        <w:rPr>
          <w:sz w:val="20"/>
          <w:szCs w:val="20"/>
          <w:color w:val="auto"/>
        </w:rPr>
      </w:pPr>
      <w:r>
        <w:rPr>
          <w:rFonts w:ascii="Courier New" w:cs="Courier New" w:eastAsia="Courier New" w:hAnsi="Courier New"/>
          <w:sz w:val="14"/>
          <w:szCs w:val="14"/>
          <w:color w:val="auto"/>
        </w:rPr>
        <w:t>Amdocs is the world's leading provider of CRM, billing and order management systems for the communications industry. Amdocs has an unparalleled success record in project delivery of its mission-critical products. With human resources of over 8,450 information systems professionals, Amdocs supports a global customer base. For more information visit our Web site at www.amdocs.com.</w:t>
      </w:r>
    </w:p>
    <w:p>
      <w:pPr>
        <w:spacing w:after="0" w:line="16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Amdocs will host a conference call on July 24 at 5 p.m. Eastern Daylight Time to discuss the Company's third quarter results. The call will be carried live on the Internet via www.vcall.com and the Amdocs website, www.amdocs.com.</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THIS PRESS RELEASE MAY CONTAIN FORWARD-LOOKING STATEMENTS AS DEFINED UNDER THE SECURITIES ACT OF 1933, AS AMENDED,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MOBILE, WIRELINE AND IP BUSINESS SEGMENTS, ADVERSE EFFECTS OF MARKET COMPETITION, RAPID TECHNOLOGICAL SHIFTS THAT MAY RENDER THE COMPANY'S PRODUCTS AND SERVICES OBSOLETE, POTENTIAL LOSS OF A MAJOR CUSTOMER, AND RISKS ASSOCIATED WITH OPERATING BUSINESSES IN THE INTERNATIONAL MARKET. THESE AND OTHER RISKS ARE DISCUSSED AT GREATER LENGTH IN THE COMPANY'S FILINGS WITH THE SECURITIES AND EXCHANGE COMMISSION, INCLUDING IN OUR FORM 6-K FILED ON MAY 10, 2001 AND IN OUR FORM 20-F/A FILED ON APRIL 3, 2001.</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CONTACT: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G. O'Brien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Treasurer and Director of Investor Relations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314/212-8328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E-mail: dox_info@amdocs.com</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 TABLES FOLLOW -</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91"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3</w:t>
      </w:r>
    </w:p>
    <w:p>
      <w:pPr>
        <w:spacing w:after="0" w:line="3"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5"/>
          <w:szCs w:val="15"/>
          <w:color w:val="auto"/>
        </w:rPr>
        <w:t>AMDOCS LIMITED</w:t>
      </w:r>
    </w:p>
    <w:p>
      <w:pPr>
        <w:spacing w:after="0" w:line="17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PRO FORMA CONSOLIDATED STATEMENTS OF OPERATIONS (UNAUDITED)</w:t>
      </w:r>
    </w:p>
    <w:p>
      <w:pPr>
        <w:spacing w:after="0" w:line="178" w:lineRule="exact"/>
        <w:rPr>
          <w:sz w:val="20"/>
          <w:szCs w:val="20"/>
          <w:color w:val="auto"/>
        </w:rPr>
      </w:pPr>
    </w:p>
    <w:p>
      <w:pPr>
        <w:jc w:val="center"/>
        <w:ind w:right="3880"/>
        <w:spacing w:after="0" w:line="244" w:lineRule="auto"/>
        <w:rPr>
          <w:sz w:val="20"/>
          <w:szCs w:val="20"/>
          <w:color w:val="auto"/>
        </w:rPr>
      </w:pPr>
      <w:r>
        <w:rPr>
          <w:rFonts w:ascii="Courier New" w:cs="Courier New" w:eastAsia="Courier New" w:hAnsi="Courier New"/>
          <w:sz w:val="15"/>
          <w:szCs w:val="15"/>
          <w:color w:val="auto"/>
        </w:rPr>
        <w:t>EXCLUDING PURCHASED IN-PROCESS RESEARCH AND DEVELOPMENT, ACQUISITION RELATED COSTS, AMORTIZATION OF GOODWILL AND PURCHASED INTANGIBLE ASSETS AND RELATED TAX EFFECTS</w:t>
      </w:r>
    </w:p>
    <w:p>
      <w:pPr>
        <w:spacing w:after="0" w:line="1"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THREE MONTHS</w:t>
            </w:r>
          </w:p>
        </w:tc>
        <w:tc>
          <w:tcPr>
            <w:tcW w:w="132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ENDED</w:t>
            </w:r>
          </w:p>
        </w:tc>
        <w:tc>
          <w:tcPr>
            <w:tcW w:w="360" w:type="dxa"/>
            <w:vAlign w:val="bottom"/>
          </w:tcPr>
          <w:p>
            <w:pPr>
              <w:spacing w:after="0"/>
              <w:rPr>
                <w:sz w:val="14"/>
                <w:szCs w:val="14"/>
                <w:color w:val="auto"/>
              </w:rPr>
            </w:pPr>
          </w:p>
        </w:tc>
        <w:tc>
          <w:tcPr>
            <w:tcW w:w="270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NINE MONTHS ENDED</w:t>
            </w:r>
          </w:p>
        </w:tc>
      </w:tr>
      <w:tr>
        <w:trPr>
          <w:trHeight w:val="173"/>
        </w:trPr>
        <w:tc>
          <w:tcPr>
            <w:tcW w:w="4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w w:val="88"/>
              </w:rPr>
              <w:t>(1)</w:t>
            </w: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00" w:type="dxa"/>
            <w:vAlign w:val="bottom"/>
            <w:gridSpan w:val="3"/>
          </w:tcPr>
          <w:p>
            <w:pPr>
              <w:jc w:val="right"/>
              <w:ind w:right="725"/>
              <w:spacing w:after="0"/>
              <w:rPr>
                <w:sz w:val="20"/>
                <w:szCs w:val="20"/>
                <w:color w:val="auto"/>
              </w:rPr>
            </w:pPr>
            <w:r>
              <w:rPr>
                <w:rFonts w:ascii="Courier New" w:cs="Courier New" w:eastAsia="Courier New" w:hAnsi="Courier New"/>
                <w:sz w:val="15"/>
                <w:szCs w:val="15"/>
                <w:color w:val="auto"/>
              </w:rPr>
              <w:t>JUNE 30, (2)</w:t>
            </w:r>
          </w:p>
        </w:tc>
      </w:tr>
      <w:tr>
        <w:trPr>
          <w:trHeight w:val="173"/>
        </w:trPr>
        <w:tc>
          <w:tcPr>
            <w:tcW w:w="4960" w:type="dxa"/>
            <w:vAlign w:val="bottom"/>
          </w:tcPr>
          <w:p>
            <w:pPr>
              <w:spacing w:after="0"/>
              <w:rPr>
                <w:sz w:val="15"/>
                <w:szCs w:val="15"/>
                <w:color w:val="auto"/>
              </w:rPr>
            </w:pPr>
          </w:p>
        </w:tc>
        <w:tc>
          <w:tcPr>
            <w:tcW w:w="3060" w:type="dxa"/>
            <w:vAlign w:val="bottom"/>
            <w:gridSpan w:val="4"/>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06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94"/>
              </w:rPr>
              <w:t>2000</w:t>
            </w:r>
          </w:p>
        </w:tc>
        <w:tc>
          <w:tcPr>
            <w:tcW w:w="360" w:type="dxa"/>
            <w:vAlign w:val="bottom"/>
          </w:tcPr>
          <w:p>
            <w:pPr>
              <w:spacing w:after="0"/>
              <w:rPr>
                <w:sz w:val="15"/>
                <w:szCs w:val="15"/>
                <w:color w:val="auto"/>
              </w:rPr>
            </w:pPr>
          </w:p>
        </w:tc>
        <w:tc>
          <w:tcPr>
            <w:tcW w:w="13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2001</w:t>
            </w:r>
          </w:p>
        </w:tc>
        <w:tc>
          <w:tcPr>
            <w:tcW w:w="4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4960" w:type="dxa"/>
            <w:vAlign w:val="bottom"/>
          </w:tcPr>
          <w:p>
            <w:pPr>
              <w:spacing w:after="0"/>
              <w:rPr>
                <w:sz w:val="15"/>
                <w:szCs w:val="15"/>
                <w:color w:val="auto"/>
              </w:rPr>
            </w:pPr>
          </w:p>
        </w:tc>
        <w:tc>
          <w:tcPr>
            <w:tcW w:w="1740" w:type="dxa"/>
            <w:vAlign w:val="bottom"/>
            <w:gridSpan w:val="2"/>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9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3"/>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License</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48,504</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32,663</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129,870</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89,606</w:t>
            </w:r>
          </w:p>
        </w:tc>
      </w:tr>
      <w:tr>
        <w:trPr>
          <w:trHeight w:val="173"/>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Service</w:t>
            </w:r>
          </w:p>
        </w:tc>
        <w:tc>
          <w:tcPr>
            <w:tcW w:w="360" w:type="dxa"/>
            <w:vAlign w:val="bottom"/>
          </w:tcPr>
          <w:p>
            <w:pPr>
              <w:spacing w:after="0"/>
              <w:rPr>
                <w:sz w:val="15"/>
                <w:szCs w:val="15"/>
                <w:color w:val="auto"/>
              </w:rPr>
            </w:pP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355,503</w:t>
            </w:r>
          </w:p>
        </w:tc>
        <w:tc>
          <w:tcPr>
            <w:tcW w:w="32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264,339</w:t>
            </w:r>
          </w:p>
        </w:tc>
        <w:tc>
          <w:tcPr>
            <w:tcW w:w="360" w:type="dxa"/>
            <w:vAlign w:val="bottom"/>
          </w:tcPr>
          <w:p>
            <w:pPr>
              <w:spacing w:after="0"/>
              <w:rPr>
                <w:sz w:val="15"/>
                <w:szCs w:val="15"/>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988,593</w:t>
            </w:r>
          </w:p>
        </w:tc>
        <w:tc>
          <w:tcPr>
            <w:tcW w:w="42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713,647</w:t>
            </w:r>
          </w:p>
        </w:tc>
      </w:tr>
      <w:tr>
        <w:trPr>
          <w:trHeight w:val="173"/>
        </w:trPr>
        <w:tc>
          <w:tcPr>
            <w:tcW w:w="4960" w:type="dxa"/>
            <w:vAlign w:val="bottom"/>
          </w:tcPr>
          <w:p>
            <w:pPr>
              <w:spacing w:after="0"/>
              <w:rPr>
                <w:sz w:val="15"/>
                <w:szCs w:val="15"/>
                <w:color w:val="auto"/>
              </w:rPr>
            </w:pPr>
          </w:p>
        </w:tc>
        <w:tc>
          <w:tcPr>
            <w:tcW w:w="1740" w:type="dxa"/>
            <w:vAlign w:val="bottom"/>
            <w:gridSpan w:val="2"/>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7"/>
              </w:rPr>
              <w:t>----------</w:t>
            </w:r>
          </w:p>
        </w:tc>
        <w:tc>
          <w:tcPr>
            <w:tcW w:w="42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4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404,007</w:t>
            </w:r>
          </w:p>
        </w:tc>
        <w:tc>
          <w:tcPr>
            <w:tcW w:w="32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297,002</w:t>
            </w:r>
          </w:p>
        </w:tc>
        <w:tc>
          <w:tcPr>
            <w:tcW w:w="360" w:type="dxa"/>
            <w:vAlign w:val="bottom"/>
          </w:tcPr>
          <w:p>
            <w:pPr>
              <w:spacing w:after="0"/>
              <w:rPr>
                <w:sz w:val="15"/>
                <w:szCs w:val="15"/>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1,118,463</w:t>
            </w:r>
          </w:p>
        </w:tc>
        <w:tc>
          <w:tcPr>
            <w:tcW w:w="42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803,253</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Cost of license</w:t>
            </w:r>
          </w:p>
        </w:tc>
        <w:tc>
          <w:tcPr>
            <w:tcW w:w="360" w:type="dxa"/>
            <w:vAlign w:val="bottom"/>
          </w:tcPr>
          <w:p>
            <w:pPr>
              <w:spacing w:after="0"/>
              <w:rPr>
                <w:sz w:val="15"/>
                <w:szCs w:val="15"/>
                <w:color w:val="auto"/>
              </w:rPr>
            </w:pP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1,772</w:t>
            </w:r>
          </w:p>
        </w:tc>
        <w:tc>
          <w:tcPr>
            <w:tcW w:w="32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1,715</w:t>
            </w:r>
          </w:p>
        </w:tc>
        <w:tc>
          <w:tcPr>
            <w:tcW w:w="360" w:type="dxa"/>
            <w:vAlign w:val="bottom"/>
          </w:tcPr>
          <w:p>
            <w:pPr>
              <w:spacing w:after="0"/>
              <w:rPr>
                <w:sz w:val="15"/>
                <w:szCs w:val="15"/>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4,725</w:t>
            </w:r>
          </w:p>
        </w:tc>
        <w:tc>
          <w:tcPr>
            <w:tcW w:w="42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4,346</w:t>
            </w:r>
          </w:p>
        </w:tc>
      </w:tr>
      <w:tr>
        <w:trPr>
          <w:trHeight w:val="173"/>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Cost of service</w:t>
            </w:r>
          </w:p>
        </w:tc>
        <w:tc>
          <w:tcPr>
            <w:tcW w:w="360" w:type="dxa"/>
            <w:vAlign w:val="bottom"/>
          </w:tcPr>
          <w:p>
            <w:pPr>
              <w:spacing w:after="0"/>
              <w:rPr>
                <w:sz w:val="15"/>
                <w:szCs w:val="15"/>
                <w:color w:val="auto"/>
              </w:rPr>
            </w:pP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220,834</w:t>
            </w:r>
          </w:p>
        </w:tc>
        <w:tc>
          <w:tcPr>
            <w:tcW w:w="32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167,686</w:t>
            </w:r>
          </w:p>
        </w:tc>
        <w:tc>
          <w:tcPr>
            <w:tcW w:w="360" w:type="dxa"/>
            <w:vAlign w:val="bottom"/>
          </w:tcPr>
          <w:p>
            <w:pPr>
              <w:spacing w:after="0"/>
              <w:rPr>
                <w:sz w:val="15"/>
                <w:szCs w:val="15"/>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618,776</w:t>
            </w:r>
          </w:p>
        </w:tc>
        <w:tc>
          <w:tcPr>
            <w:tcW w:w="42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462,425</w:t>
            </w:r>
          </w:p>
        </w:tc>
      </w:tr>
      <w:tr>
        <w:trPr>
          <w:trHeight w:val="173"/>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360" w:type="dxa"/>
            <w:vAlign w:val="bottom"/>
          </w:tcPr>
          <w:p>
            <w:pPr>
              <w:spacing w:after="0"/>
              <w:rPr>
                <w:sz w:val="15"/>
                <w:szCs w:val="15"/>
                <w:color w:val="auto"/>
              </w:rPr>
            </w:pP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28,003</w:t>
            </w:r>
          </w:p>
        </w:tc>
        <w:tc>
          <w:tcPr>
            <w:tcW w:w="32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20,275</w:t>
            </w:r>
          </w:p>
        </w:tc>
        <w:tc>
          <w:tcPr>
            <w:tcW w:w="360" w:type="dxa"/>
            <w:vAlign w:val="bottom"/>
          </w:tcPr>
          <w:p>
            <w:pPr>
              <w:spacing w:after="0"/>
              <w:rPr>
                <w:sz w:val="15"/>
                <w:szCs w:val="15"/>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76,734</w:t>
            </w:r>
          </w:p>
        </w:tc>
        <w:tc>
          <w:tcPr>
            <w:tcW w:w="42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52,958</w:t>
            </w:r>
          </w:p>
        </w:tc>
      </w:tr>
      <w:tr>
        <w:trPr>
          <w:trHeight w:val="173"/>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 administrative</w:t>
            </w:r>
          </w:p>
        </w:tc>
        <w:tc>
          <w:tcPr>
            <w:tcW w:w="360" w:type="dxa"/>
            <w:vAlign w:val="bottom"/>
          </w:tcPr>
          <w:p>
            <w:pPr>
              <w:spacing w:after="0"/>
              <w:rPr>
                <w:sz w:val="15"/>
                <w:szCs w:val="15"/>
                <w:color w:val="auto"/>
              </w:rPr>
            </w:pP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52,727</w:t>
            </w:r>
          </w:p>
        </w:tc>
        <w:tc>
          <w:tcPr>
            <w:tcW w:w="32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37,321</w:t>
            </w:r>
          </w:p>
        </w:tc>
        <w:tc>
          <w:tcPr>
            <w:tcW w:w="360" w:type="dxa"/>
            <w:vAlign w:val="bottom"/>
          </w:tcPr>
          <w:p>
            <w:pPr>
              <w:spacing w:after="0"/>
              <w:rPr>
                <w:sz w:val="15"/>
                <w:szCs w:val="15"/>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144,344</w:t>
            </w:r>
          </w:p>
        </w:tc>
        <w:tc>
          <w:tcPr>
            <w:tcW w:w="42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97,868</w:t>
            </w:r>
          </w:p>
        </w:tc>
      </w:tr>
      <w:tr>
        <w:trPr>
          <w:trHeight w:val="173"/>
        </w:trPr>
        <w:tc>
          <w:tcPr>
            <w:tcW w:w="4960" w:type="dxa"/>
            <w:vAlign w:val="bottom"/>
          </w:tcPr>
          <w:p>
            <w:pPr>
              <w:spacing w:after="0"/>
              <w:rPr>
                <w:sz w:val="15"/>
                <w:szCs w:val="15"/>
                <w:color w:val="auto"/>
              </w:rPr>
            </w:pPr>
          </w:p>
        </w:tc>
        <w:tc>
          <w:tcPr>
            <w:tcW w:w="1740" w:type="dxa"/>
            <w:vAlign w:val="bottom"/>
            <w:gridSpan w:val="2"/>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7"/>
              </w:rPr>
              <w:t>----------</w:t>
            </w:r>
          </w:p>
        </w:tc>
        <w:tc>
          <w:tcPr>
            <w:tcW w:w="42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4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303,336</w:t>
            </w:r>
          </w:p>
        </w:tc>
        <w:tc>
          <w:tcPr>
            <w:tcW w:w="32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226,997</w:t>
            </w:r>
          </w:p>
        </w:tc>
        <w:tc>
          <w:tcPr>
            <w:tcW w:w="360" w:type="dxa"/>
            <w:vAlign w:val="bottom"/>
          </w:tcPr>
          <w:p>
            <w:pPr>
              <w:spacing w:after="0"/>
              <w:rPr>
                <w:sz w:val="15"/>
                <w:szCs w:val="15"/>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844,579</w:t>
            </w:r>
          </w:p>
        </w:tc>
        <w:tc>
          <w:tcPr>
            <w:tcW w:w="42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617,597</w:t>
            </w:r>
          </w:p>
        </w:tc>
      </w:tr>
      <w:tr>
        <w:trPr>
          <w:trHeight w:val="173"/>
        </w:trPr>
        <w:tc>
          <w:tcPr>
            <w:tcW w:w="4960" w:type="dxa"/>
            <w:vAlign w:val="bottom"/>
          </w:tcPr>
          <w:p>
            <w:pPr>
              <w:spacing w:after="0"/>
              <w:rPr>
                <w:sz w:val="15"/>
                <w:szCs w:val="15"/>
                <w:color w:val="auto"/>
              </w:rPr>
            </w:pPr>
          </w:p>
        </w:tc>
        <w:tc>
          <w:tcPr>
            <w:tcW w:w="1740" w:type="dxa"/>
            <w:vAlign w:val="bottom"/>
            <w:gridSpan w:val="2"/>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7"/>
              </w:rPr>
              <w:t>----------</w:t>
            </w:r>
          </w:p>
        </w:tc>
        <w:tc>
          <w:tcPr>
            <w:tcW w:w="42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60" w:type="dxa"/>
            <w:vAlign w:val="bottom"/>
          </w:tcPr>
          <w:p>
            <w:pPr>
              <w:spacing w:after="0"/>
              <w:rPr>
                <w:sz w:val="15"/>
                <w:szCs w:val="15"/>
                <w:color w:val="auto"/>
              </w:rPr>
            </w:pP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100,671</w:t>
            </w:r>
          </w:p>
        </w:tc>
        <w:tc>
          <w:tcPr>
            <w:tcW w:w="32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70,005</w:t>
            </w:r>
          </w:p>
        </w:tc>
        <w:tc>
          <w:tcPr>
            <w:tcW w:w="360" w:type="dxa"/>
            <w:vAlign w:val="bottom"/>
          </w:tcPr>
          <w:p>
            <w:pPr>
              <w:spacing w:after="0"/>
              <w:rPr>
                <w:sz w:val="15"/>
                <w:szCs w:val="15"/>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273,884</w:t>
            </w:r>
          </w:p>
        </w:tc>
        <w:tc>
          <w:tcPr>
            <w:tcW w:w="42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185,656</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360" w:type="dxa"/>
            <w:vAlign w:val="bottom"/>
          </w:tcPr>
          <w:p>
            <w:pPr>
              <w:spacing w:after="0"/>
              <w:rPr>
                <w:sz w:val="15"/>
                <w:szCs w:val="15"/>
                <w:color w:val="auto"/>
              </w:rPr>
            </w:pP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5,228</w:t>
            </w:r>
          </w:p>
        </w:tc>
        <w:tc>
          <w:tcPr>
            <w:tcW w:w="32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3,355</w:t>
            </w:r>
          </w:p>
        </w:tc>
        <w:tc>
          <w:tcPr>
            <w:tcW w:w="360" w:type="dxa"/>
            <w:vAlign w:val="bottom"/>
          </w:tcPr>
          <w:p>
            <w:pPr>
              <w:spacing w:after="0"/>
              <w:rPr>
                <w:sz w:val="15"/>
                <w:szCs w:val="15"/>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15,885</w:t>
            </w:r>
          </w:p>
        </w:tc>
        <w:tc>
          <w:tcPr>
            <w:tcW w:w="42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6,018</w:t>
            </w:r>
          </w:p>
        </w:tc>
      </w:tr>
      <w:tr>
        <w:trPr>
          <w:trHeight w:val="173"/>
        </w:trPr>
        <w:tc>
          <w:tcPr>
            <w:tcW w:w="4960" w:type="dxa"/>
            <w:vAlign w:val="bottom"/>
          </w:tcPr>
          <w:p>
            <w:pPr>
              <w:spacing w:after="0"/>
              <w:rPr>
                <w:sz w:val="15"/>
                <w:szCs w:val="15"/>
                <w:color w:val="auto"/>
              </w:rPr>
            </w:pPr>
          </w:p>
        </w:tc>
        <w:tc>
          <w:tcPr>
            <w:tcW w:w="1740" w:type="dxa"/>
            <w:vAlign w:val="bottom"/>
            <w:gridSpan w:val="2"/>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7"/>
              </w:rPr>
              <w:t>----------</w:t>
            </w:r>
          </w:p>
        </w:tc>
        <w:tc>
          <w:tcPr>
            <w:tcW w:w="42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360" w:type="dxa"/>
            <w:vAlign w:val="bottom"/>
          </w:tcPr>
          <w:p>
            <w:pPr>
              <w:spacing w:after="0"/>
              <w:rPr>
                <w:sz w:val="15"/>
                <w:szCs w:val="15"/>
                <w:color w:val="auto"/>
              </w:rPr>
            </w:pP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105,899</w:t>
            </w:r>
          </w:p>
        </w:tc>
        <w:tc>
          <w:tcPr>
            <w:tcW w:w="32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73,360</w:t>
            </w:r>
          </w:p>
        </w:tc>
        <w:tc>
          <w:tcPr>
            <w:tcW w:w="360" w:type="dxa"/>
            <w:vAlign w:val="bottom"/>
          </w:tcPr>
          <w:p>
            <w:pPr>
              <w:spacing w:after="0"/>
              <w:rPr>
                <w:sz w:val="15"/>
                <w:szCs w:val="15"/>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289,769</w:t>
            </w:r>
          </w:p>
        </w:tc>
        <w:tc>
          <w:tcPr>
            <w:tcW w:w="42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191,674</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360" w:type="dxa"/>
            <w:vAlign w:val="bottom"/>
          </w:tcPr>
          <w:p>
            <w:pPr>
              <w:spacing w:after="0"/>
              <w:rPr>
                <w:sz w:val="15"/>
                <w:szCs w:val="15"/>
                <w:color w:val="auto"/>
              </w:rPr>
            </w:pP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31,769</w:t>
            </w:r>
          </w:p>
        </w:tc>
        <w:tc>
          <w:tcPr>
            <w:tcW w:w="32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22,008</w:t>
            </w:r>
          </w:p>
        </w:tc>
        <w:tc>
          <w:tcPr>
            <w:tcW w:w="360" w:type="dxa"/>
            <w:vAlign w:val="bottom"/>
          </w:tcPr>
          <w:p>
            <w:pPr>
              <w:spacing w:after="0"/>
              <w:rPr>
                <w:sz w:val="15"/>
                <w:szCs w:val="15"/>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86,931</w:t>
            </w:r>
          </w:p>
        </w:tc>
        <w:tc>
          <w:tcPr>
            <w:tcW w:w="42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57,502</w:t>
            </w:r>
          </w:p>
        </w:tc>
      </w:tr>
      <w:tr>
        <w:trPr>
          <w:trHeight w:val="173"/>
        </w:trPr>
        <w:tc>
          <w:tcPr>
            <w:tcW w:w="4960" w:type="dxa"/>
            <w:vAlign w:val="bottom"/>
          </w:tcPr>
          <w:p>
            <w:pPr>
              <w:spacing w:after="0"/>
              <w:rPr>
                <w:sz w:val="15"/>
                <w:szCs w:val="15"/>
                <w:color w:val="auto"/>
              </w:rPr>
            </w:pPr>
          </w:p>
        </w:tc>
        <w:tc>
          <w:tcPr>
            <w:tcW w:w="1740" w:type="dxa"/>
            <w:vAlign w:val="bottom"/>
            <w:gridSpan w:val="2"/>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7"/>
              </w:rPr>
              <w:t>----------</w:t>
            </w:r>
          </w:p>
        </w:tc>
        <w:tc>
          <w:tcPr>
            <w:tcW w:w="42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74,130</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51,352</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202,838</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134,172</w:t>
            </w:r>
          </w:p>
        </w:tc>
      </w:tr>
      <w:tr>
        <w:trPr>
          <w:trHeight w:val="173"/>
        </w:trPr>
        <w:tc>
          <w:tcPr>
            <w:tcW w:w="4960" w:type="dxa"/>
            <w:vAlign w:val="bottom"/>
          </w:tcPr>
          <w:p>
            <w:pPr>
              <w:spacing w:after="0"/>
              <w:rPr>
                <w:sz w:val="15"/>
                <w:szCs w:val="15"/>
                <w:color w:val="auto"/>
              </w:rPr>
            </w:pPr>
          </w:p>
        </w:tc>
        <w:tc>
          <w:tcPr>
            <w:tcW w:w="1740" w:type="dxa"/>
            <w:vAlign w:val="bottom"/>
            <w:gridSpan w:val="2"/>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0.33</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0.23</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0.89</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0.63</w:t>
            </w:r>
          </w:p>
        </w:tc>
      </w:tr>
      <w:tr>
        <w:trPr>
          <w:trHeight w:val="173"/>
        </w:trPr>
        <w:tc>
          <w:tcPr>
            <w:tcW w:w="4960" w:type="dxa"/>
            <w:vAlign w:val="bottom"/>
          </w:tcPr>
          <w:p>
            <w:pPr>
              <w:spacing w:after="0"/>
              <w:rPr>
                <w:sz w:val="15"/>
                <w:szCs w:val="15"/>
                <w:color w:val="auto"/>
              </w:rPr>
            </w:pPr>
          </w:p>
        </w:tc>
        <w:tc>
          <w:tcPr>
            <w:tcW w:w="1740" w:type="dxa"/>
            <w:vAlign w:val="bottom"/>
            <w:gridSpan w:val="2"/>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 outstanding</w:t>
            </w:r>
          </w:p>
        </w:tc>
        <w:tc>
          <w:tcPr>
            <w:tcW w:w="360" w:type="dxa"/>
            <w:vAlign w:val="bottom"/>
          </w:tcPr>
          <w:p>
            <w:pPr>
              <w:spacing w:after="0"/>
              <w:rPr>
                <w:sz w:val="15"/>
                <w:szCs w:val="15"/>
                <w:color w:val="auto"/>
              </w:rPr>
            </w:pP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226,942</w:t>
            </w:r>
          </w:p>
        </w:tc>
        <w:tc>
          <w:tcPr>
            <w:tcW w:w="32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226,304</w:t>
            </w:r>
          </w:p>
        </w:tc>
        <w:tc>
          <w:tcPr>
            <w:tcW w:w="360" w:type="dxa"/>
            <w:vAlign w:val="bottom"/>
          </w:tcPr>
          <w:p>
            <w:pPr>
              <w:spacing w:after="0"/>
              <w:rPr>
                <w:sz w:val="15"/>
                <w:szCs w:val="15"/>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226,961</w:t>
            </w:r>
          </w:p>
        </w:tc>
        <w:tc>
          <w:tcPr>
            <w:tcW w:w="42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213,898</w:t>
            </w:r>
          </w:p>
        </w:tc>
      </w:tr>
      <w:tr>
        <w:trPr>
          <w:trHeight w:val="173"/>
        </w:trPr>
        <w:tc>
          <w:tcPr>
            <w:tcW w:w="4960" w:type="dxa"/>
            <w:vAlign w:val="bottom"/>
          </w:tcPr>
          <w:p>
            <w:pPr>
              <w:spacing w:after="0"/>
              <w:rPr>
                <w:sz w:val="15"/>
                <w:szCs w:val="15"/>
                <w:color w:val="auto"/>
              </w:rPr>
            </w:pPr>
          </w:p>
        </w:tc>
        <w:tc>
          <w:tcPr>
            <w:tcW w:w="1740" w:type="dxa"/>
            <w:vAlign w:val="bottom"/>
            <w:gridSpan w:val="2"/>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7"/>
              </w:rPr>
              <w:t>==========</w:t>
            </w:r>
          </w:p>
        </w:tc>
        <w:tc>
          <w:tcPr>
            <w:tcW w:w="42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bl>
    <w:p>
      <w:pPr>
        <w:spacing w:after="0" w:line="200" w:lineRule="exact"/>
        <w:rPr>
          <w:sz w:val="20"/>
          <w:szCs w:val="20"/>
          <w:color w:val="auto"/>
        </w:rPr>
      </w:pPr>
    </w:p>
    <w:p>
      <w:pPr>
        <w:spacing w:after="0" w:line="324" w:lineRule="exact"/>
        <w:rPr>
          <w:sz w:val="20"/>
          <w:szCs w:val="20"/>
          <w:color w:val="auto"/>
        </w:rPr>
      </w:pPr>
    </w:p>
    <w:p>
      <w:pPr>
        <w:ind w:left="900" w:right="3880" w:hanging="457"/>
        <w:spacing w:after="0" w:line="264" w:lineRule="auto"/>
        <w:tabs>
          <w:tab w:leader="none" w:pos="9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$55,807 and $54,070 of amortization of goodwill and purchased intangible assets, $0 and $50,554 write-off of purchased in-process research and development, $0 and $5,187 of acquisition-related costs, and tax effects related to the above of $(169) and $8,700 for the three months ended June 30, 2001 and 2000, respectively. Including the above items, income (loss) before income taxes was $50,092 and $(36,451) and diluted earnings (loss) per share were $0.08 and $(0.31) for the three months ended June 30, 2001 and 2000, respectively.</w:t>
      </w:r>
    </w:p>
    <w:p>
      <w:pPr>
        <w:spacing w:after="0" w:line="164" w:lineRule="exact"/>
        <w:rPr>
          <w:rFonts w:ascii="Courier New" w:cs="Courier New" w:eastAsia="Courier New" w:hAnsi="Courier New"/>
          <w:sz w:val="14"/>
          <w:szCs w:val="14"/>
          <w:color w:val="auto"/>
        </w:rPr>
      </w:pPr>
    </w:p>
    <w:p>
      <w:pPr>
        <w:ind w:left="900" w:right="3960" w:hanging="457"/>
        <w:spacing w:after="0" w:line="244" w:lineRule="auto"/>
        <w:tabs>
          <w:tab w:leader="none" w:pos="9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$164,131 and $56,870 of amortization of goodwill and purchased intangible assets, $0 and $70,430 write-off of purchased in-process research and development, $0 and $5,187 of acquisition-related costs, and tax effects related to the above of $(7,774) and $8,700 for the nine months ended June 30, 2001 and 2000, respectively. Including the above items, income before income taxes was $125,638 and $59,187 and diluted earnings (loss) per share were $0.20 and $(0.03) for the nine months ended June 30, 2001 and 2000, respectively.</w:t>
      </w:r>
    </w:p>
    <w:p>
      <w:pPr>
        <w:spacing w:after="0" w:line="200" w:lineRule="exact"/>
        <w:rPr>
          <w:sz w:val="20"/>
          <w:szCs w:val="20"/>
          <w:color w:val="auto"/>
        </w:rPr>
      </w:pPr>
    </w:p>
    <w:p>
      <w:pPr>
        <w:spacing w:after="0" w:line="32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1080"/>
          </w:cols>
          <w:pgMar w:left="240" w:top="291" w:right="579" w:bottom="1440" w:gutter="0" w:footer="0" w:header="0"/>
        </w:sectPr>
      </w:pPr>
    </w:p>
    <w:bookmarkStart w:id="25" w:name="page26"/>
    <w:bookmarkEnd w:id="25"/>
    <w:p>
      <w:pPr>
        <w:ind w:left="268"/>
        <w:spacing w:after="0"/>
        <w:rPr>
          <w:sz w:val="20"/>
          <w:szCs w:val="20"/>
          <w:color w:val="auto"/>
        </w:rPr>
      </w:pPr>
      <w:r>
        <w:rPr>
          <w:rFonts w:ascii="Courier New" w:cs="Courier New" w:eastAsia="Courier New" w:hAnsi="Courier New"/>
          <w:sz w:val="15"/>
          <w:szCs w:val="15"/>
          <w:color w:val="auto"/>
        </w:rPr>
        <w:t>4</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820" w:type="dxa"/>
            <w:vAlign w:val="bottom"/>
          </w:tcPr>
          <w:p>
            <w:pPr>
              <w:ind w:left="2960"/>
              <w:spacing w:after="0"/>
              <w:rPr>
                <w:sz w:val="20"/>
                <w:szCs w:val="20"/>
                <w:color w:val="auto"/>
              </w:rPr>
            </w:pPr>
            <w:r>
              <w:rPr>
                <w:rFonts w:ascii="Courier New" w:cs="Courier New" w:eastAsia="Courier New" w:hAnsi="Courier New"/>
                <w:sz w:val="15"/>
                <w:szCs w:val="15"/>
                <w:color w:val="auto"/>
              </w:rPr>
              <w:t>AMDOCS LIMITED</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7"/>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rPr>
              <w:t>CONSOLIDATED STATEMENTS OF OPERATIONS</w:t>
            </w:r>
          </w:p>
        </w:tc>
        <w:tc>
          <w:tcPr>
            <w:tcW w:w="1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(UNAUDITED)</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7"/>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rPr>
              <w:t>(IN THOUSANDS, EXCEPT PER SHARE</w:t>
            </w:r>
          </w:p>
        </w:tc>
        <w:tc>
          <w:tcPr>
            <w:tcW w:w="1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DATA)</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20"/>
        </w:trPr>
        <w:tc>
          <w:tcPr>
            <w:tcW w:w="4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THREE MONTHS ENDED</w:t>
            </w:r>
          </w:p>
        </w:tc>
        <w:tc>
          <w:tcPr>
            <w:tcW w:w="180" w:type="dxa"/>
            <w:vAlign w:val="bottom"/>
          </w:tcPr>
          <w:p>
            <w:pPr>
              <w:spacing w:after="0"/>
              <w:rPr>
                <w:sz w:val="24"/>
                <w:szCs w:val="24"/>
                <w:color w:val="auto"/>
              </w:rPr>
            </w:pPr>
          </w:p>
        </w:tc>
        <w:tc>
          <w:tcPr>
            <w:tcW w:w="226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NINE MONTHS ENDED</w:t>
            </w:r>
          </w:p>
        </w:tc>
      </w:tr>
      <w:tr>
        <w:trPr>
          <w:trHeight w:val="173"/>
        </w:trPr>
        <w:tc>
          <w:tcPr>
            <w:tcW w:w="4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30,</w:t>
            </w: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JUNE</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w w:val="96"/>
              </w:rPr>
              <w:t>30,</w:t>
            </w:r>
          </w:p>
        </w:tc>
        <w:tc>
          <w:tcPr>
            <w:tcW w:w="900" w:type="dxa"/>
            <w:vAlign w:val="bottom"/>
          </w:tcPr>
          <w:p>
            <w:pPr>
              <w:spacing w:after="0"/>
              <w:rPr>
                <w:sz w:val="15"/>
                <w:szCs w:val="15"/>
                <w:color w:val="auto"/>
              </w:rPr>
            </w:pPr>
          </w:p>
        </w:tc>
      </w:tr>
      <w:tr>
        <w:trPr>
          <w:trHeight w:val="173"/>
        </w:trPr>
        <w:tc>
          <w:tcPr>
            <w:tcW w:w="4820" w:type="dxa"/>
            <w:vAlign w:val="bottom"/>
          </w:tcPr>
          <w:p>
            <w:pPr>
              <w:spacing w:after="0"/>
              <w:rPr>
                <w:sz w:val="15"/>
                <w:szCs w:val="15"/>
                <w:color w:val="auto"/>
              </w:rPr>
            </w:pPr>
          </w:p>
        </w:tc>
        <w:tc>
          <w:tcPr>
            <w:tcW w:w="2560" w:type="dxa"/>
            <w:vAlign w:val="bottom"/>
            <w:gridSpan w:val="4"/>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440" w:type="dxa"/>
            <w:vAlign w:val="bottom"/>
            <w:gridSpan w:val="4"/>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4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5"/>
                <w:szCs w:val="15"/>
                <w:color w:val="auto"/>
              </w:rPr>
            </w:pPr>
          </w:p>
        </w:tc>
        <w:tc>
          <w:tcPr>
            <w:tcW w:w="10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5"/>
                <w:szCs w:val="15"/>
                <w:color w:val="auto"/>
              </w:rPr>
            </w:pPr>
          </w:p>
        </w:tc>
        <w:tc>
          <w:tcPr>
            <w:tcW w:w="1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5"/>
                <w:szCs w:val="15"/>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2000</w:t>
            </w:r>
          </w:p>
        </w:tc>
      </w:tr>
      <w:tr>
        <w:trPr>
          <w:trHeight w:val="173"/>
        </w:trPr>
        <w:tc>
          <w:tcPr>
            <w:tcW w:w="4820" w:type="dxa"/>
            <w:vAlign w:val="bottom"/>
          </w:tcPr>
          <w:p>
            <w:pPr>
              <w:spacing w:after="0"/>
              <w:rPr>
                <w:sz w:val="15"/>
                <w:szCs w:val="15"/>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7"/>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License</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48,504</w:t>
            </w:r>
          </w:p>
        </w:tc>
        <w:tc>
          <w:tcPr>
            <w:tcW w:w="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32,663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129,870</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89,606</w:t>
            </w:r>
          </w:p>
        </w:tc>
      </w:tr>
      <w:tr>
        <w:trPr>
          <w:trHeight w:val="173"/>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Service</w:t>
            </w:r>
          </w:p>
        </w:tc>
        <w:tc>
          <w:tcPr>
            <w:tcW w:w="2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355,503</w:t>
            </w:r>
          </w:p>
        </w:tc>
        <w:tc>
          <w:tcPr>
            <w:tcW w:w="3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264,339</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988,593</w:t>
            </w:r>
          </w:p>
        </w:tc>
        <w:tc>
          <w:tcPr>
            <w:tcW w:w="32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713,647</w:t>
            </w:r>
          </w:p>
        </w:tc>
      </w:tr>
      <w:tr>
        <w:trPr>
          <w:trHeight w:val="173"/>
        </w:trPr>
        <w:tc>
          <w:tcPr>
            <w:tcW w:w="4820" w:type="dxa"/>
            <w:vAlign w:val="bottom"/>
          </w:tcPr>
          <w:p>
            <w:pPr>
              <w:spacing w:after="0"/>
              <w:rPr>
                <w:sz w:val="15"/>
                <w:szCs w:val="15"/>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4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404,007</w:t>
            </w:r>
          </w:p>
        </w:tc>
        <w:tc>
          <w:tcPr>
            <w:tcW w:w="3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297,002</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1,118,463</w:t>
            </w:r>
          </w:p>
        </w:tc>
        <w:tc>
          <w:tcPr>
            <w:tcW w:w="32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803,253</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Cost of license</w:t>
            </w:r>
          </w:p>
        </w:tc>
        <w:tc>
          <w:tcPr>
            <w:tcW w:w="2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1,772</w:t>
            </w:r>
          </w:p>
        </w:tc>
        <w:tc>
          <w:tcPr>
            <w:tcW w:w="3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1,715</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4,725</w:t>
            </w:r>
          </w:p>
        </w:tc>
        <w:tc>
          <w:tcPr>
            <w:tcW w:w="32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4,346</w:t>
            </w:r>
          </w:p>
        </w:tc>
      </w:tr>
      <w:tr>
        <w:trPr>
          <w:trHeight w:val="173"/>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Cost of service</w:t>
            </w:r>
          </w:p>
        </w:tc>
        <w:tc>
          <w:tcPr>
            <w:tcW w:w="2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220,834</w:t>
            </w:r>
          </w:p>
        </w:tc>
        <w:tc>
          <w:tcPr>
            <w:tcW w:w="3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167,686</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618,776</w:t>
            </w:r>
          </w:p>
        </w:tc>
        <w:tc>
          <w:tcPr>
            <w:tcW w:w="32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462,425</w:t>
            </w:r>
          </w:p>
        </w:tc>
      </w:tr>
      <w:tr>
        <w:trPr>
          <w:trHeight w:val="173"/>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2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28,003</w:t>
            </w:r>
          </w:p>
        </w:tc>
        <w:tc>
          <w:tcPr>
            <w:tcW w:w="3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20,275</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76,734</w:t>
            </w:r>
          </w:p>
        </w:tc>
        <w:tc>
          <w:tcPr>
            <w:tcW w:w="32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52,958</w:t>
            </w:r>
          </w:p>
        </w:tc>
      </w:tr>
      <w:tr>
        <w:trPr>
          <w:trHeight w:val="173"/>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 administrative</w:t>
            </w:r>
          </w:p>
        </w:tc>
        <w:tc>
          <w:tcPr>
            <w:tcW w:w="2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52,727</w:t>
            </w:r>
          </w:p>
        </w:tc>
        <w:tc>
          <w:tcPr>
            <w:tcW w:w="3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37,321</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144,344</w:t>
            </w:r>
          </w:p>
        </w:tc>
        <w:tc>
          <w:tcPr>
            <w:tcW w:w="32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97,868</w:t>
            </w:r>
          </w:p>
        </w:tc>
      </w:tr>
      <w:tr>
        <w:trPr>
          <w:trHeight w:val="173"/>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goodwill and purchased</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820" w:type="dxa"/>
            <w:vAlign w:val="bottom"/>
          </w:tcPr>
          <w:p>
            <w:pPr>
              <w:ind w:left="440"/>
              <w:spacing w:after="0"/>
              <w:rPr>
                <w:sz w:val="20"/>
                <w:szCs w:val="20"/>
                <w:color w:val="auto"/>
              </w:rPr>
            </w:pPr>
            <w:r>
              <w:rPr>
                <w:rFonts w:ascii="Courier New" w:cs="Courier New" w:eastAsia="Courier New" w:hAnsi="Courier New"/>
                <w:sz w:val="15"/>
                <w:szCs w:val="15"/>
                <w:color w:val="auto"/>
              </w:rPr>
              <w:t>intangible assets</w:t>
            </w:r>
          </w:p>
        </w:tc>
        <w:tc>
          <w:tcPr>
            <w:tcW w:w="2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55,807</w:t>
            </w:r>
          </w:p>
        </w:tc>
        <w:tc>
          <w:tcPr>
            <w:tcW w:w="3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54,070</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164,131</w:t>
            </w:r>
          </w:p>
        </w:tc>
        <w:tc>
          <w:tcPr>
            <w:tcW w:w="32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56,870</w:t>
            </w:r>
          </w:p>
        </w:tc>
      </w:tr>
      <w:tr>
        <w:trPr>
          <w:trHeight w:val="173"/>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In-process research and development and other</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820" w:type="dxa"/>
            <w:vAlign w:val="bottom"/>
          </w:tcPr>
          <w:p>
            <w:pPr>
              <w:ind w:left="440"/>
              <w:spacing w:after="0"/>
              <w:rPr>
                <w:sz w:val="20"/>
                <w:szCs w:val="20"/>
                <w:color w:val="auto"/>
              </w:rPr>
            </w:pPr>
            <w:r>
              <w:rPr>
                <w:rFonts w:ascii="Courier New" w:cs="Courier New" w:eastAsia="Courier New" w:hAnsi="Courier New"/>
                <w:sz w:val="15"/>
                <w:szCs w:val="15"/>
                <w:color w:val="auto"/>
              </w:rPr>
              <w:t>indirect acquisition-related costs</w:t>
            </w:r>
          </w:p>
        </w:tc>
        <w:tc>
          <w:tcPr>
            <w:tcW w:w="2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55,741</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75,617</w:t>
            </w:r>
          </w:p>
        </w:tc>
      </w:tr>
      <w:tr>
        <w:trPr>
          <w:trHeight w:val="173"/>
        </w:trPr>
        <w:tc>
          <w:tcPr>
            <w:tcW w:w="4820" w:type="dxa"/>
            <w:vAlign w:val="bottom"/>
          </w:tcPr>
          <w:p>
            <w:pPr>
              <w:spacing w:after="0"/>
              <w:rPr>
                <w:sz w:val="15"/>
                <w:szCs w:val="15"/>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4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359,143</w:t>
            </w:r>
          </w:p>
        </w:tc>
        <w:tc>
          <w:tcPr>
            <w:tcW w:w="3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336,808</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1,008,710</w:t>
            </w:r>
          </w:p>
        </w:tc>
        <w:tc>
          <w:tcPr>
            <w:tcW w:w="32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750,084</w:t>
            </w:r>
          </w:p>
        </w:tc>
      </w:tr>
      <w:tr>
        <w:trPr>
          <w:trHeight w:val="173"/>
        </w:trPr>
        <w:tc>
          <w:tcPr>
            <w:tcW w:w="4820" w:type="dxa"/>
            <w:vAlign w:val="bottom"/>
          </w:tcPr>
          <w:p>
            <w:pPr>
              <w:spacing w:after="0"/>
              <w:rPr>
                <w:sz w:val="15"/>
                <w:szCs w:val="15"/>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2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44,864</w:t>
            </w:r>
          </w:p>
        </w:tc>
        <w:tc>
          <w:tcPr>
            <w:tcW w:w="3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(39,806)</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109,753</w:t>
            </w:r>
          </w:p>
        </w:tc>
        <w:tc>
          <w:tcPr>
            <w:tcW w:w="32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53,169</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2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5,228</w:t>
            </w:r>
          </w:p>
        </w:tc>
        <w:tc>
          <w:tcPr>
            <w:tcW w:w="3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3,355</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15,885</w:t>
            </w:r>
          </w:p>
        </w:tc>
        <w:tc>
          <w:tcPr>
            <w:tcW w:w="32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6,018</w:t>
            </w:r>
          </w:p>
        </w:tc>
      </w:tr>
      <w:tr>
        <w:trPr>
          <w:trHeight w:val="173"/>
        </w:trPr>
        <w:tc>
          <w:tcPr>
            <w:tcW w:w="4820" w:type="dxa"/>
            <w:vAlign w:val="bottom"/>
          </w:tcPr>
          <w:p>
            <w:pPr>
              <w:spacing w:after="0"/>
              <w:rPr>
                <w:sz w:val="15"/>
                <w:szCs w:val="15"/>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2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50,092</w:t>
            </w:r>
          </w:p>
        </w:tc>
        <w:tc>
          <w:tcPr>
            <w:tcW w:w="3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(36,451)</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125,638</w:t>
            </w:r>
          </w:p>
        </w:tc>
        <w:tc>
          <w:tcPr>
            <w:tcW w:w="32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59,187</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31,600</w:t>
            </w:r>
          </w:p>
        </w:tc>
        <w:tc>
          <w:tcPr>
            <w:tcW w:w="3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30,708</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79,157</w:t>
            </w:r>
          </w:p>
        </w:tc>
        <w:tc>
          <w:tcPr>
            <w:tcW w:w="32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66,202</w:t>
            </w:r>
          </w:p>
        </w:tc>
      </w:tr>
      <w:tr>
        <w:trPr>
          <w:trHeight w:val="173"/>
        </w:trPr>
        <w:tc>
          <w:tcPr>
            <w:tcW w:w="4820" w:type="dxa"/>
            <w:vAlign w:val="bottom"/>
          </w:tcPr>
          <w:p>
            <w:pPr>
              <w:spacing w:after="0"/>
              <w:rPr>
                <w:sz w:val="15"/>
                <w:szCs w:val="15"/>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18,492</w:t>
            </w:r>
          </w:p>
        </w:tc>
        <w:tc>
          <w:tcPr>
            <w:tcW w:w="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(67,159)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46,481</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(7,015)</w:t>
            </w:r>
          </w:p>
        </w:tc>
      </w:tr>
      <w:tr>
        <w:trPr>
          <w:trHeight w:val="173"/>
        </w:trPr>
        <w:tc>
          <w:tcPr>
            <w:tcW w:w="4820" w:type="dxa"/>
            <w:vAlign w:val="bottom"/>
          </w:tcPr>
          <w:p>
            <w:pPr>
              <w:spacing w:after="0"/>
              <w:rPr>
                <w:sz w:val="15"/>
                <w:szCs w:val="15"/>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0.08</w:t>
            </w:r>
          </w:p>
        </w:tc>
        <w:tc>
          <w:tcPr>
            <w:tcW w:w="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0.21</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(0.03)</w:t>
            </w:r>
          </w:p>
        </w:tc>
      </w:tr>
      <w:tr>
        <w:trPr>
          <w:trHeight w:val="173"/>
        </w:trPr>
        <w:tc>
          <w:tcPr>
            <w:tcW w:w="4820" w:type="dxa"/>
            <w:vAlign w:val="bottom"/>
          </w:tcPr>
          <w:p>
            <w:pPr>
              <w:spacing w:after="0"/>
              <w:rPr>
                <w:sz w:val="15"/>
                <w:szCs w:val="15"/>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0.08</w:t>
            </w:r>
          </w:p>
        </w:tc>
        <w:tc>
          <w:tcPr>
            <w:tcW w:w="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0.20</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(0.03)</w:t>
            </w:r>
          </w:p>
        </w:tc>
      </w:tr>
      <w:tr>
        <w:trPr>
          <w:trHeight w:val="173"/>
        </w:trPr>
        <w:tc>
          <w:tcPr>
            <w:tcW w:w="4820" w:type="dxa"/>
            <w:vAlign w:val="bottom"/>
          </w:tcPr>
          <w:p>
            <w:pPr>
              <w:spacing w:after="0"/>
              <w:rPr>
                <w:sz w:val="15"/>
                <w:szCs w:val="15"/>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 outstanding</w:t>
            </w:r>
          </w:p>
        </w:tc>
        <w:tc>
          <w:tcPr>
            <w:tcW w:w="2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222,349</w:t>
            </w:r>
          </w:p>
        </w:tc>
        <w:tc>
          <w:tcPr>
            <w:tcW w:w="3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219,962</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221,814</w:t>
            </w:r>
          </w:p>
        </w:tc>
        <w:tc>
          <w:tcPr>
            <w:tcW w:w="32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208,706</w:t>
            </w:r>
          </w:p>
        </w:tc>
      </w:tr>
      <w:tr>
        <w:trPr>
          <w:trHeight w:val="173"/>
        </w:trPr>
        <w:tc>
          <w:tcPr>
            <w:tcW w:w="4820" w:type="dxa"/>
            <w:vAlign w:val="bottom"/>
          </w:tcPr>
          <w:p>
            <w:pPr>
              <w:spacing w:after="0"/>
              <w:rPr>
                <w:sz w:val="15"/>
                <w:szCs w:val="15"/>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 outstanding</w:t>
            </w:r>
          </w:p>
        </w:tc>
        <w:tc>
          <w:tcPr>
            <w:tcW w:w="2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226,942</w:t>
            </w:r>
          </w:p>
        </w:tc>
        <w:tc>
          <w:tcPr>
            <w:tcW w:w="36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219,962(1)</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226,961</w:t>
            </w: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208,706(1)</w:t>
            </w:r>
          </w:p>
        </w:tc>
      </w:tr>
      <w:tr>
        <w:trPr>
          <w:trHeight w:val="173"/>
        </w:trPr>
        <w:tc>
          <w:tcPr>
            <w:tcW w:w="4820" w:type="dxa"/>
            <w:vAlign w:val="bottom"/>
          </w:tcPr>
          <w:p>
            <w:pPr>
              <w:spacing w:after="0"/>
              <w:rPr>
                <w:sz w:val="15"/>
                <w:szCs w:val="15"/>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ind w:left="448" w:right="3739" w:hanging="448"/>
        <w:spacing w:after="0" w:line="243" w:lineRule="auto"/>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to net loss, contingently issuable shares are excluded from the computation of diluted weighted average number of shares.</w:t>
      </w:r>
    </w:p>
    <w:p>
      <w:pPr>
        <w:spacing w:after="0" w:line="200" w:lineRule="exact"/>
        <w:rPr>
          <w:sz w:val="20"/>
          <w:szCs w:val="20"/>
          <w:color w:val="auto"/>
        </w:rPr>
      </w:pPr>
    </w:p>
    <w:p>
      <w:pPr>
        <w:spacing w:after="0" w:line="32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7"/>
          </w:cols>
          <w:pgMar w:left="232" w:top="291"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5</w:t>
      </w:r>
    </w:p>
    <w:p>
      <w:pPr>
        <w:spacing w:after="0" w:line="3"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5"/>
          <w:szCs w:val="15"/>
          <w:color w:val="auto"/>
        </w:rPr>
        <w:t>AMDOCS LIMITED</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60" w:type="dxa"/>
            <w:vAlign w:val="bottom"/>
          </w:tcPr>
          <w:p>
            <w:pPr>
              <w:ind w:left="2960"/>
              <w:spacing w:after="0"/>
              <w:rPr>
                <w:sz w:val="20"/>
                <w:szCs w:val="20"/>
                <w:color w:val="auto"/>
              </w:rPr>
            </w:pPr>
            <w:r>
              <w:rPr>
                <w:rFonts w:ascii="Courier New" w:cs="Courier New" w:eastAsia="Courier New" w:hAnsi="Courier New"/>
                <w:sz w:val="15"/>
                <w:szCs w:val="15"/>
                <w:color w:val="auto"/>
              </w:rPr>
              <w:t>(IN THOUSANDS)</w:t>
            </w:r>
          </w:p>
        </w:tc>
        <w:tc>
          <w:tcPr>
            <w:tcW w:w="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520"/>
        </w:trPr>
        <w:tc>
          <w:tcPr>
            <w:tcW w:w="6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Courier New" w:cs="Courier New" w:eastAsia="Courier New" w:hAnsi="Courier New"/>
                <w:sz w:val="15"/>
                <w:szCs w:val="15"/>
                <w:color w:val="auto"/>
              </w:rPr>
              <w:t>AS OF</w:t>
            </w:r>
          </w:p>
        </w:tc>
        <w:tc>
          <w:tcPr>
            <w:tcW w:w="1580" w:type="dxa"/>
            <w:vAlign w:val="bottom"/>
          </w:tcPr>
          <w:p>
            <w:pPr>
              <w:spacing w:after="0"/>
              <w:rPr>
                <w:sz w:val="24"/>
                <w:szCs w:val="24"/>
                <w:color w:val="auto"/>
              </w:rPr>
            </w:pPr>
          </w:p>
        </w:tc>
      </w:tr>
      <w:tr>
        <w:trPr>
          <w:trHeight w:val="173"/>
        </w:trPr>
        <w:tc>
          <w:tcPr>
            <w:tcW w:w="6260" w:type="dxa"/>
            <w:vAlign w:val="bottom"/>
          </w:tcPr>
          <w:p>
            <w:pPr>
              <w:spacing w:after="0"/>
              <w:rPr>
                <w:sz w:val="15"/>
                <w:szCs w:val="15"/>
                <w:color w:val="auto"/>
              </w:rPr>
            </w:pPr>
          </w:p>
        </w:tc>
        <w:tc>
          <w:tcPr>
            <w:tcW w:w="4200" w:type="dxa"/>
            <w:vAlign w:val="bottom"/>
            <w:gridSpan w:val="4"/>
          </w:tcPr>
          <w:p>
            <w:pPr>
              <w:ind w:left="40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JUNE 30,</w:t>
            </w:r>
          </w:p>
        </w:tc>
        <w:tc>
          <w:tcPr>
            <w:tcW w:w="500" w:type="dxa"/>
            <w:vAlign w:val="bottom"/>
          </w:tcPr>
          <w:p>
            <w:pPr>
              <w:spacing w:after="0"/>
              <w:rPr>
                <w:sz w:val="15"/>
                <w:szCs w:val="15"/>
                <w:color w:val="auto"/>
              </w:rPr>
            </w:pPr>
          </w:p>
        </w:tc>
        <w:tc>
          <w:tcPr>
            <w:tcW w:w="15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SEPTEMBER 30,</w:t>
            </w:r>
          </w:p>
        </w:tc>
      </w:tr>
      <w:tr>
        <w:trPr>
          <w:trHeight w:val="173"/>
        </w:trPr>
        <w:tc>
          <w:tcPr>
            <w:tcW w:w="6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2001</w:t>
            </w:r>
          </w:p>
        </w:tc>
        <w:tc>
          <w:tcPr>
            <w:tcW w:w="500" w:type="dxa"/>
            <w:vAlign w:val="bottom"/>
          </w:tcPr>
          <w:p>
            <w:pPr>
              <w:spacing w:after="0"/>
              <w:rPr>
                <w:sz w:val="15"/>
                <w:szCs w:val="15"/>
                <w:color w:val="auto"/>
              </w:rPr>
            </w:pPr>
          </w:p>
        </w:tc>
        <w:tc>
          <w:tcPr>
            <w:tcW w:w="1580" w:type="dxa"/>
            <w:vAlign w:val="bottom"/>
          </w:tcPr>
          <w:p>
            <w:pPr>
              <w:jc w:val="right"/>
              <w:ind w:right="66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6260" w:type="dxa"/>
            <w:vAlign w:val="bottom"/>
          </w:tcPr>
          <w:p>
            <w:pPr>
              <w:spacing w:after="0"/>
              <w:rPr>
                <w:sz w:val="15"/>
                <w:szCs w:val="15"/>
                <w:color w:val="auto"/>
              </w:rPr>
            </w:pPr>
          </w:p>
        </w:tc>
        <w:tc>
          <w:tcPr>
            <w:tcW w:w="2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0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6"/>
              </w:rPr>
              <w:t>(UNAUDITED)</w:t>
            </w:r>
          </w:p>
        </w:tc>
        <w:tc>
          <w:tcPr>
            <w:tcW w:w="5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47"/>
        </w:trPr>
        <w:tc>
          <w:tcPr>
            <w:tcW w:w="62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47"/>
        </w:trPr>
        <w:tc>
          <w:tcPr>
            <w:tcW w:w="62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3"/>
        </w:trPr>
        <w:tc>
          <w:tcPr>
            <w:tcW w:w="6260" w:type="dxa"/>
            <w:vAlign w:val="bottom"/>
          </w:tcPr>
          <w:p>
            <w:pPr>
              <w:ind w:left="260"/>
              <w:spacing w:after="0"/>
              <w:rPr>
                <w:sz w:val="20"/>
                <w:szCs w:val="20"/>
                <w:color w:val="auto"/>
              </w:rPr>
            </w:pPr>
            <w:r>
              <w:rPr>
                <w:rFonts w:ascii="Courier New" w:cs="Courier New" w:eastAsia="Courier New" w:hAnsi="Courier New"/>
                <w:sz w:val="15"/>
                <w:szCs w:val="15"/>
                <w:color w:val="auto"/>
              </w:rPr>
              <w:t>Cash, cash equivalents and short-term interest-bearing</w:t>
            </w:r>
          </w:p>
        </w:tc>
        <w:tc>
          <w:tcPr>
            <w:tcW w:w="6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1,044,180</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402,300</w:t>
            </w:r>
          </w:p>
        </w:tc>
      </w:tr>
      <w:tr>
        <w:trPr>
          <w:trHeight w:val="173"/>
        </w:trPr>
        <w:tc>
          <w:tcPr>
            <w:tcW w:w="6260" w:type="dxa"/>
            <w:vAlign w:val="bottom"/>
          </w:tcPr>
          <w:p>
            <w:pPr>
              <w:ind w:left="440"/>
              <w:spacing w:after="0"/>
              <w:rPr>
                <w:sz w:val="20"/>
                <w:szCs w:val="20"/>
                <w:color w:val="auto"/>
              </w:rPr>
            </w:pPr>
            <w:r>
              <w:rPr>
                <w:rFonts w:ascii="Courier New" w:cs="Courier New" w:eastAsia="Courier New" w:hAnsi="Courier New"/>
                <w:sz w:val="15"/>
                <w:szCs w:val="15"/>
                <w:color w:val="auto"/>
              </w:rPr>
              <w:t>investments</w:t>
            </w:r>
          </w:p>
        </w:tc>
        <w:tc>
          <w:tcPr>
            <w:tcW w:w="6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47"/>
        </w:trPr>
        <w:tc>
          <w:tcPr>
            <w:tcW w:w="626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including unbilled of $22,598 and $4,203,</w:t>
            </w:r>
          </w:p>
        </w:tc>
        <w:tc>
          <w:tcPr>
            <w:tcW w:w="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3"/>
        </w:trPr>
        <w:tc>
          <w:tcPr>
            <w:tcW w:w="6260" w:type="dxa"/>
            <w:vAlign w:val="bottom"/>
          </w:tcPr>
          <w:p>
            <w:pPr>
              <w:ind w:left="440"/>
              <w:spacing w:after="0"/>
              <w:rPr>
                <w:sz w:val="20"/>
                <w:szCs w:val="20"/>
                <w:color w:val="auto"/>
              </w:rPr>
            </w:pPr>
            <w:r>
              <w:rPr>
                <w:rFonts w:ascii="Courier New" w:cs="Courier New" w:eastAsia="Courier New" w:hAnsi="Courier New"/>
                <w:sz w:val="15"/>
                <w:szCs w:val="15"/>
                <w:color w:val="auto"/>
              </w:rPr>
              <w:t>respectively</w:t>
            </w:r>
          </w:p>
        </w:tc>
        <w:tc>
          <w:tcPr>
            <w:tcW w:w="680" w:type="dxa"/>
            <w:vAlign w:val="bottom"/>
          </w:tcPr>
          <w:p>
            <w:pPr>
              <w:spacing w:after="0"/>
              <w:rPr>
                <w:sz w:val="15"/>
                <w:szCs w:val="15"/>
                <w:color w:val="auto"/>
              </w:rPr>
            </w:pP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329,333</w:t>
            </w:r>
          </w:p>
        </w:tc>
        <w:tc>
          <w:tcPr>
            <w:tcW w:w="500" w:type="dxa"/>
            <w:vAlign w:val="bottom"/>
          </w:tcPr>
          <w:p>
            <w:pPr>
              <w:spacing w:after="0"/>
              <w:rPr>
                <w:sz w:val="15"/>
                <w:szCs w:val="15"/>
                <w:color w:val="auto"/>
              </w:rPr>
            </w:pPr>
          </w:p>
        </w:tc>
        <w:tc>
          <w:tcPr>
            <w:tcW w:w="1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263,100</w:t>
            </w:r>
          </w:p>
        </w:tc>
      </w:tr>
      <w:tr>
        <w:trPr>
          <w:trHeight w:val="173"/>
        </w:trPr>
        <w:tc>
          <w:tcPr>
            <w:tcW w:w="626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receivable</w:t>
            </w:r>
          </w:p>
        </w:tc>
        <w:tc>
          <w:tcPr>
            <w:tcW w:w="680" w:type="dxa"/>
            <w:vAlign w:val="bottom"/>
          </w:tcPr>
          <w:p>
            <w:pPr>
              <w:spacing w:after="0"/>
              <w:rPr>
                <w:sz w:val="15"/>
                <w:szCs w:val="15"/>
                <w:color w:val="auto"/>
              </w:rPr>
            </w:pP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34,021</w:t>
            </w:r>
          </w:p>
        </w:tc>
        <w:tc>
          <w:tcPr>
            <w:tcW w:w="500" w:type="dxa"/>
            <w:vAlign w:val="bottom"/>
          </w:tcPr>
          <w:p>
            <w:pPr>
              <w:spacing w:after="0"/>
              <w:rPr>
                <w:sz w:val="15"/>
                <w:szCs w:val="15"/>
                <w:color w:val="auto"/>
              </w:rPr>
            </w:pPr>
          </w:p>
        </w:tc>
        <w:tc>
          <w:tcPr>
            <w:tcW w:w="1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35,179</w:t>
            </w:r>
          </w:p>
        </w:tc>
      </w:tr>
      <w:tr>
        <w:trPr>
          <w:trHeight w:val="173"/>
        </w:trPr>
        <w:tc>
          <w:tcPr>
            <w:tcW w:w="626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680" w:type="dxa"/>
            <w:vAlign w:val="bottom"/>
          </w:tcPr>
          <w:p>
            <w:pPr>
              <w:spacing w:after="0"/>
              <w:rPr>
                <w:sz w:val="15"/>
                <w:szCs w:val="15"/>
                <w:color w:val="auto"/>
              </w:rPr>
            </w:pP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39,291</w:t>
            </w:r>
          </w:p>
        </w:tc>
        <w:tc>
          <w:tcPr>
            <w:tcW w:w="500" w:type="dxa"/>
            <w:vAlign w:val="bottom"/>
          </w:tcPr>
          <w:p>
            <w:pPr>
              <w:spacing w:after="0"/>
              <w:rPr>
                <w:sz w:val="15"/>
                <w:szCs w:val="15"/>
                <w:color w:val="auto"/>
              </w:rPr>
            </w:pPr>
          </w:p>
        </w:tc>
        <w:tc>
          <w:tcPr>
            <w:tcW w:w="1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34,327</w:t>
            </w:r>
          </w:p>
        </w:tc>
      </w:tr>
      <w:tr>
        <w:trPr>
          <w:trHeight w:val="173"/>
        </w:trPr>
        <w:tc>
          <w:tcPr>
            <w:tcW w:w="6260" w:type="dxa"/>
            <w:vAlign w:val="bottom"/>
          </w:tcPr>
          <w:p>
            <w:pPr>
              <w:spacing w:after="0"/>
              <w:rPr>
                <w:sz w:val="15"/>
                <w:szCs w:val="15"/>
                <w:color w:val="auto"/>
              </w:rPr>
            </w:pPr>
          </w:p>
        </w:tc>
        <w:tc>
          <w:tcPr>
            <w:tcW w:w="212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9"/>
              </w:rPr>
              <w:t>-------------------</w:t>
            </w:r>
          </w:p>
        </w:tc>
        <w:tc>
          <w:tcPr>
            <w:tcW w:w="20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6260" w:type="dxa"/>
            <w:vAlign w:val="bottom"/>
          </w:tcPr>
          <w:p>
            <w:pPr>
              <w:ind w:left="360"/>
              <w:spacing w:after="0"/>
              <w:rPr>
                <w:sz w:val="20"/>
                <w:szCs w:val="20"/>
                <w:color w:val="auto"/>
              </w:rPr>
            </w:pPr>
            <w:r>
              <w:rPr>
                <w:rFonts w:ascii="Courier New" w:cs="Courier New" w:eastAsia="Courier New" w:hAnsi="Courier New"/>
                <w:sz w:val="15"/>
                <w:szCs w:val="15"/>
                <w:color w:val="auto"/>
              </w:rPr>
              <w:t>Total current assets</w:t>
            </w:r>
          </w:p>
        </w:tc>
        <w:tc>
          <w:tcPr>
            <w:tcW w:w="680" w:type="dxa"/>
            <w:vAlign w:val="bottom"/>
          </w:tcPr>
          <w:p>
            <w:pPr>
              <w:spacing w:after="0"/>
              <w:rPr>
                <w:sz w:val="24"/>
                <w:szCs w:val="24"/>
                <w:color w:val="auto"/>
              </w:rPr>
            </w:pP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1,446,825</w:t>
            </w:r>
          </w:p>
        </w:tc>
        <w:tc>
          <w:tcPr>
            <w:tcW w:w="500" w:type="dxa"/>
            <w:vAlign w:val="bottom"/>
          </w:tcPr>
          <w:p>
            <w:pPr>
              <w:spacing w:after="0"/>
              <w:rPr>
                <w:sz w:val="24"/>
                <w:szCs w:val="24"/>
                <w:color w:val="auto"/>
              </w:rPr>
            </w:pPr>
          </w:p>
        </w:tc>
        <w:tc>
          <w:tcPr>
            <w:tcW w:w="1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734,906</w:t>
            </w:r>
          </w:p>
        </w:tc>
      </w:tr>
      <w:tr>
        <w:trPr>
          <w:trHeight w:val="347"/>
        </w:trPr>
        <w:tc>
          <w:tcPr>
            <w:tcW w:w="626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680" w:type="dxa"/>
            <w:vAlign w:val="bottom"/>
          </w:tcPr>
          <w:p>
            <w:pPr>
              <w:spacing w:after="0"/>
              <w:rPr>
                <w:sz w:val="24"/>
                <w:szCs w:val="24"/>
                <w:color w:val="auto"/>
              </w:rPr>
            </w:pP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167,257</w:t>
            </w:r>
          </w:p>
        </w:tc>
        <w:tc>
          <w:tcPr>
            <w:tcW w:w="500" w:type="dxa"/>
            <w:vAlign w:val="bottom"/>
          </w:tcPr>
          <w:p>
            <w:pPr>
              <w:spacing w:after="0"/>
              <w:rPr>
                <w:sz w:val="24"/>
                <w:szCs w:val="24"/>
                <w:color w:val="auto"/>
              </w:rPr>
            </w:pPr>
          </w:p>
        </w:tc>
        <w:tc>
          <w:tcPr>
            <w:tcW w:w="1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128,081</w:t>
            </w:r>
          </w:p>
        </w:tc>
      </w:tr>
      <w:tr>
        <w:trPr>
          <w:trHeight w:val="173"/>
        </w:trPr>
        <w:tc>
          <w:tcPr>
            <w:tcW w:w="626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 net</w:t>
            </w:r>
          </w:p>
        </w:tc>
        <w:tc>
          <w:tcPr>
            <w:tcW w:w="680" w:type="dxa"/>
            <w:vAlign w:val="bottom"/>
          </w:tcPr>
          <w:p>
            <w:pPr>
              <w:spacing w:after="0"/>
              <w:rPr>
                <w:sz w:val="15"/>
                <w:szCs w:val="15"/>
                <w:color w:val="auto"/>
              </w:rPr>
            </w:pP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842,680</w:t>
            </w:r>
          </w:p>
        </w:tc>
        <w:tc>
          <w:tcPr>
            <w:tcW w:w="500" w:type="dxa"/>
            <w:vAlign w:val="bottom"/>
          </w:tcPr>
          <w:p>
            <w:pPr>
              <w:spacing w:after="0"/>
              <w:rPr>
                <w:sz w:val="15"/>
                <w:szCs w:val="15"/>
                <w:color w:val="auto"/>
              </w:rPr>
            </w:pPr>
          </w:p>
        </w:tc>
        <w:tc>
          <w:tcPr>
            <w:tcW w:w="1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1,011,053</w:t>
            </w:r>
          </w:p>
        </w:tc>
      </w:tr>
      <w:tr>
        <w:trPr>
          <w:trHeight w:val="173"/>
        </w:trPr>
        <w:tc>
          <w:tcPr>
            <w:tcW w:w="626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680" w:type="dxa"/>
            <w:vAlign w:val="bottom"/>
          </w:tcPr>
          <w:p>
            <w:pPr>
              <w:spacing w:after="0"/>
              <w:rPr>
                <w:sz w:val="15"/>
                <w:szCs w:val="15"/>
                <w:color w:val="auto"/>
              </w:rPr>
            </w:pP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86,001</w:t>
            </w:r>
          </w:p>
        </w:tc>
        <w:tc>
          <w:tcPr>
            <w:tcW w:w="500" w:type="dxa"/>
            <w:vAlign w:val="bottom"/>
          </w:tcPr>
          <w:p>
            <w:pPr>
              <w:spacing w:after="0"/>
              <w:rPr>
                <w:sz w:val="15"/>
                <w:szCs w:val="15"/>
                <w:color w:val="auto"/>
              </w:rPr>
            </w:pPr>
          </w:p>
        </w:tc>
        <w:tc>
          <w:tcPr>
            <w:tcW w:w="1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61,045</w:t>
            </w:r>
          </w:p>
        </w:tc>
      </w:tr>
      <w:tr>
        <w:trPr>
          <w:trHeight w:val="173"/>
        </w:trPr>
        <w:tc>
          <w:tcPr>
            <w:tcW w:w="6260" w:type="dxa"/>
            <w:vAlign w:val="bottom"/>
          </w:tcPr>
          <w:p>
            <w:pPr>
              <w:spacing w:after="0"/>
              <w:rPr>
                <w:sz w:val="15"/>
                <w:szCs w:val="15"/>
                <w:color w:val="auto"/>
              </w:rPr>
            </w:pPr>
          </w:p>
        </w:tc>
        <w:tc>
          <w:tcPr>
            <w:tcW w:w="212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9"/>
              </w:rPr>
              <w:t>-------------------</w:t>
            </w:r>
          </w:p>
        </w:tc>
        <w:tc>
          <w:tcPr>
            <w:tcW w:w="20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2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6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2,542,763</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1,935,085</w:t>
            </w:r>
          </w:p>
        </w:tc>
      </w:tr>
      <w:tr>
        <w:trPr>
          <w:trHeight w:val="173"/>
        </w:trPr>
        <w:tc>
          <w:tcPr>
            <w:tcW w:w="6260" w:type="dxa"/>
            <w:vAlign w:val="bottom"/>
          </w:tcPr>
          <w:p>
            <w:pPr>
              <w:spacing w:after="0"/>
              <w:rPr>
                <w:sz w:val="15"/>
                <w:szCs w:val="15"/>
                <w:color w:val="auto"/>
              </w:rPr>
            </w:pPr>
          </w:p>
        </w:tc>
        <w:tc>
          <w:tcPr>
            <w:tcW w:w="212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9"/>
              </w:rPr>
              <w:t>===================</w:t>
            </w:r>
          </w:p>
        </w:tc>
        <w:tc>
          <w:tcPr>
            <w:tcW w:w="20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w:t>
            </w:r>
          </w:p>
        </w:tc>
      </w:tr>
      <w:tr>
        <w:trPr>
          <w:trHeight w:val="520"/>
        </w:trPr>
        <w:tc>
          <w:tcPr>
            <w:tcW w:w="626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3"/>
        </w:trPr>
        <w:tc>
          <w:tcPr>
            <w:tcW w:w="62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6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47"/>
        </w:trPr>
        <w:tc>
          <w:tcPr>
            <w:tcW w:w="626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accruals</w:t>
            </w:r>
          </w:p>
        </w:tc>
        <w:tc>
          <w:tcPr>
            <w:tcW w:w="6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227,912</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198,445</w:t>
            </w:r>
          </w:p>
        </w:tc>
      </w:tr>
      <w:tr>
        <w:trPr>
          <w:trHeight w:val="173"/>
        </w:trPr>
        <w:tc>
          <w:tcPr>
            <w:tcW w:w="6260" w:type="dxa"/>
            <w:vAlign w:val="bottom"/>
          </w:tcPr>
          <w:p>
            <w:pPr>
              <w:ind w:left="260"/>
              <w:spacing w:after="0"/>
              <w:rPr>
                <w:sz w:val="20"/>
                <w:szCs w:val="20"/>
                <w:color w:val="auto"/>
              </w:rPr>
            </w:pPr>
            <w:r>
              <w:rPr>
                <w:rFonts w:ascii="Courier New" w:cs="Courier New" w:eastAsia="Courier New" w:hAnsi="Courier New"/>
                <w:sz w:val="15"/>
                <w:szCs w:val="15"/>
                <w:color w:val="auto"/>
              </w:rPr>
              <w:t>Short-term financing arrangements</w:t>
            </w:r>
          </w:p>
        </w:tc>
        <w:tc>
          <w:tcPr>
            <w:tcW w:w="680" w:type="dxa"/>
            <w:vAlign w:val="bottom"/>
          </w:tcPr>
          <w:p>
            <w:pPr>
              <w:spacing w:after="0"/>
              <w:rPr>
                <w:sz w:val="15"/>
                <w:szCs w:val="15"/>
                <w:color w:val="auto"/>
              </w:rPr>
            </w:pP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9,522</w:t>
            </w:r>
          </w:p>
        </w:tc>
        <w:tc>
          <w:tcPr>
            <w:tcW w:w="500" w:type="dxa"/>
            <w:vAlign w:val="bottom"/>
          </w:tcPr>
          <w:p>
            <w:pPr>
              <w:spacing w:after="0"/>
              <w:rPr>
                <w:sz w:val="15"/>
                <w:szCs w:val="15"/>
                <w:color w:val="auto"/>
              </w:rPr>
            </w:pPr>
          </w:p>
        </w:tc>
        <w:tc>
          <w:tcPr>
            <w:tcW w:w="1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28,713</w:t>
            </w:r>
          </w:p>
        </w:tc>
      </w:tr>
      <w:tr>
        <w:trPr>
          <w:trHeight w:val="173"/>
        </w:trPr>
        <w:tc>
          <w:tcPr>
            <w:tcW w:w="626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680" w:type="dxa"/>
            <w:vAlign w:val="bottom"/>
          </w:tcPr>
          <w:p>
            <w:pPr>
              <w:spacing w:after="0"/>
              <w:rPr>
                <w:sz w:val="15"/>
                <w:szCs w:val="15"/>
                <w:color w:val="auto"/>
              </w:rPr>
            </w:pP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147,029</w:t>
            </w:r>
          </w:p>
        </w:tc>
        <w:tc>
          <w:tcPr>
            <w:tcW w:w="500" w:type="dxa"/>
            <w:vAlign w:val="bottom"/>
          </w:tcPr>
          <w:p>
            <w:pPr>
              <w:spacing w:after="0"/>
              <w:rPr>
                <w:sz w:val="15"/>
                <w:szCs w:val="15"/>
                <w:color w:val="auto"/>
              </w:rPr>
            </w:pPr>
          </w:p>
        </w:tc>
        <w:tc>
          <w:tcPr>
            <w:tcW w:w="1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133,546</w:t>
            </w:r>
          </w:p>
        </w:tc>
      </w:tr>
      <w:tr>
        <w:trPr>
          <w:trHeight w:val="173"/>
        </w:trPr>
        <w:tc>
          <w:tcPr>
            <w:tcW w:w="626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income taxes payable</w:t>
            </w:r>
          </w:p>
        </w:tc>
        <w:tc>
          <w:tcPr>
            <w:tcW w:w="680" w:type="dxa"/>
            <w:vAlign w:val="bottom"/>
          </w:tcPr>
          <w:p>
            <w:pPr>
              <w:spacing w:after="0"/>
              <w:rPr>
                <w:sz w:val="15"/>
                <w:szCs w:val="15"/>
                <w:color w:val="auto"/>
              </w:rPr>
            </w:pP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67,278</w:t>
            </w:r>
          </w:p>
        </w:tc>
        <w:tc>
          <w:tcPr>
            <w:tcW w:w="500" w:type="dxa"/>
            <w:vAlign w:val="bottom"/>
          </w:tcPr>
          <w:p>
            <w:pPr>
              <w:spacing w:after="0"/>
              <w:rPr>
                <w:sz w:val="15"/>
                <w:szCs w:val="15"/>
                <w:color w:val="auto"/>
              </w:rPr>
            </w:pPr>
          </w:p>
        </w:tc>
        <w:tc>
          <w:tcPr>
            <w:tcW w:w="1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55,197</w:t>
            </w:r>
          </w:p>
        </w:tc>
      </w:tr>
      <w:tr>
        <w:trPr>
          <w:trHeight w:val="173"/>
        </w:trPr>
        <w:tc>
          <w:tcPr>
            <w:tcW w:w="6260" w:type="dxa"/>
            <w:vAlign w:val="bottom"/>
          </w:tcPr>
          <w:p>
            <w:pPr>
              <w:spacing w:after="0"/>
              <w:rPr>
                <w:sz w:val="15"/>
                <w:szCs w:val="15"/>
                <w:color w:val="auto"/>
              </w:rPr>
            </w:pPr>
          </w:p>
        </w:tc>
        <w:tc>
          <w:tcPr>
            <w:tcW w:w="212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9"/>
              </w:rPr>
              <w:t>-------------------</w:t>
            </w:r>
          </w:p>
        </w:tc>
        <w:tc>
          <w:tcPr>
            <w:tcW w:w="20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260" w:type="dxa"/>
            <w:vAlign w:val="bottom"/>
          </w:tcPr>
          <w:p>
            <w:pPr>
              <w:ind w:left="360"/>
              <w:spacing w:after="0"/>
              <w:rPr>
                <w:sz w:val="20"/>
                <w:szCs w:val="20"/>
                <w:color w:val="auto"/>
              </w:rPr>
            </w:pPr>
            <w:r>
              <w:rPr>
                <w:rFonts w:ascii="Courier New" w:cs="Courier New" w:eastAsia="Courier New" w:hAnsi="Courier New"/>
                <w:sz w:val="15"/>
                <w:szCs w:val="15"/>
                <w:color w:val="auto"/>
              </w:rPr>
              <w:t>Total current liabilities</w:t>
            </w:r>
          </w:p>
        </w:tc>
        <w:tc>
          <w:tcPr>
            <w:tcW w:w="680" w:type="dxa"/>
            <w:vAlign w:val="bottom"/>
          </w:tcPr>
          <w:p>
            <w:pPr>
              <w:spacing w:after="0"/>
              <w:rPr>
                <w:sz w:val="15"/>
                <w:szCs w:val="15"/>
                <w:color w:val="auto"/>
              </w:rPr>
            </w:pP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451,741</w:t>
            </w:r>
          </w:p>
        </w:tc>
        <w:tc>
          <w:tcPr>
            <w:tcW w:w="500" w:type="dxa"/>
            <w:vAlign w:val="bottom"/>
          </w:tcPr>
          <w:p>
            <w:pPr>
              <w:spacing w:after="0"/>
              <w:rPr>
                <w:sz w:val="15"/>
                <w:szCs w:val="15"/>
                <w:color w:val="auto"/>
              </w:rPr>
            </w:pPr>
          </w:p>
        </w:tc>
        <w:tc>
          <w:tcPr>
            <w:tcW w:w="1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415,901</w:t>
            </w:r>
          </w:p>
        </w:tc>
      </w:tr>
      <w:tr>
        <w:trPr>
          <w:trHeight w:val="173"/>
        </w:trPr>
        <w:tc>
          <w:tcPr>
            <w:tcW w:w="6260" w:type="dxa"/>
            <w:vAlign w:val="bottom"/>
          </w:tcPr>
          <w:p>
            <w:pPr>
              <w:spacing w:after="0"/>
              <w:rPr>
                <w:sz w:val="20"/>
                <w:szCs w:val="20"/>
                <w:color w:val="auto"/>
              </w:rPr>
            </w:pPr>
            <w:r>
              <w:rPr>
                <w:rFonts w:ascii="Courier New" w:cs="Courier New" w:eastAsia="Courier New" w:hAnsi="Courier New"/>
                <w:sz w:val="15"/>
                <w:szCs w:val="15"/>
                <w:color w:val="auto"/>
              </w:rPr>
              <w:t>Convertible notes and other non-current liabilities</w:t>
            </w:r>
          </w:p>
        </w:tc>
        <w:tc>
          <w:tcPr>
            <w:tcW w:w="680" w:type="dxa"/>
            <w:vAlign w:val="bottom"/>
          </w:tcPr>
          <w:p>
            <w:pPr>
              <w:spacing w:after="0"/>
              <w:rPr>
                <w:sz w:val="15"/>
                <w:szCs w:val="15"/>
                <w:color w:val="auto"/>
              </w:rPr>
            </w:pP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597,869</w:t>
            </w:r>
          </w:p>
        </w:tc>
        <w:tc>
          <w:tcPr>
            <w:tcW w:w="500" w:type="dxa"/>
            <w:vAlign w:val="bottom"/>
          </w:tcPr>
          <w:p>
            <w:pPr>
              <w:spacing w:after="0"/>
              <w:rPr>
                <w:sz w:val="15"/>
                <w:szCs w:val="15"/>
                <w:color w:val="auto"/>
              </w:rPr>
            </w:pPr>
          </w:p>
        </w:tc>
        <w:tc>
          <w:tcPr>
            <w:tcW w:w="1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88,412</w:t>
            </w:r>
          </w:p>
        </w:tc>
      </w:tr>
      <w:tr>
        <w:trPr>
          <w:trHeight w:val="173"/>
        </w:trPr>
        <w:tc>
          <w:tcPr>
            <w:tcW w:w="62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680" w:type="dxa"/>
            <w:vAlign w:val="bottom"/>
          </w:tcPr>
          <w:p>
            <w:pPr>
              <w:spacing w:after="0"/>
              <w:rPr>
                <w:sz w:val="15"/>
                <w:szCs w:val="15"/>
                <w:color w:val="auto"/>
              </w:rPr>
            </w:pP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1,493,153</w:t>
            </w:r>
          </w:p>
        </w:tc>
        <w:tc>
          <w:tcPr>
            <w:tcW w:w="500" w:type="dxa"/>
            <w:vAlign w:val="bottom"/>
          </w:tcPr>
          <w:p>
            <w:pPr>
              <w:spacing w:after="0"/>
              <w:rPr>
                <w:sz w:val="15"/>
                <w:szCs w:val="15"/>
                <w:color w:val="auto"/>
              </w:rPr>
            </w:pPr>
          </w:p>
        </w:tc>
        <w:tc>
          <w:tcPr>
            <w:tcW w:w="1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1,430,772</w:t>
            </w:r>
          </w:p>
        </w:tc>
      </w:tr>
      <w:tr>
        <w:trPr>
          <w:trHeight w:val="173"/>
        </w:trPr>
        <w:tc>
          <w:tcPr>
            <w:tcW w:w="6260" w:type="dxa"/>
            <w:vAlign w:val="bottom"/>
          </w:tcPr>
          <w:p>
            <w:pPr>
              <w:spacing w:after="0"/>
              <w:rPr>
                <w:sz w:val="15"/>
                <w:szCs w:val="15"/>
                <w:color w:val="auto"/>
              </w:rPr>
            </w:pPr>
          </w:p>
        </w:tc>
        <w:tc>
          <w:tcPr>
            <w:tcW w:w="212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9"/>
              </w:rPr>
              <w:t>-------------------</w:t>
            </w:r>
          </w:p>
        </w:tc>
        <w:tc>
          <w:tcPr>
            <w:tcW w:w="20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26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6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2,542,763</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1,935,085</w:t>
            </w:r>
          </w:p>
        </w:tc>
      </w:tr>
      <w:tr>
        <w:trPr>
          <w:trHeight w:val="173"/>
        </w:trPr>
        <w:tc>
          <w:tcPr>
            <w:tcW w:w="6260" w:type="dxa"/>
            <w:vAlign w:val="bottom"/>
          </w:tcPr>
          <w:p>
            <w:pPr>
              <w:spacing w:after="0"/>
              <w:rPr>
                <w:sz w:val="15"/>
                <w:szCs w:val="15"/>
                <w:color w:val="auto"/>
              </w:rPr>
            </w:pPr>
          </w:p>
        </w:tc>
        <w:tc>
          <w:tcPr>
            <w:tcW w:w="212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9"/>
              </w:rPr>
              <w:t>===================</w:t>
            </w:r>
          </w:p>
        </w:tc>
        <w:tc>
          <w:tcPr>
            <w:tcW w:w="20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w:t>
            </w:r>
          </w:p>
        </w:tc>
      </w:tr>
    </w:tbl>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sectPr>
      <w:pgSz w:w="11900" w:h="16838" w:orient="portrait"/>
      <w:cols w:equalWidth="0" w:num="1">
        <w:col w:w="10460"/>
      </w:cols>
      <w:pgMar w:left="240" w:top="291"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3"/>
    </w:lvl>
  </w:abstractNum>
  <w:abstractNum w:abstractNumId="2">
    <w:nsid w:val="515F007C"/>
    <w:multiLevelType w:val="hybridMultilevel"/>
    <w:lvl w:ilvl="0">
      <w:lvlJc w:val="left"/>
      <w:lvlText w:val="%1."/>
      <w:numFmt w:val="decimal"/>
      <w:start w:val="4"/>
    </w:lvl>
  </w:abstractNum>
  <w:abstractNum w:abstractNumId="3">
    <w:nsid w:val="5BD062C2"/>
    <w:multiLevelType w:val="hybridMultilevel"/>
    <w:lvl w:ilvl="0">
      <w:lvlJc w:val="left"/>
      <w:lvlText w:val="%1."/>
      <w:numFmt w:val="decimal"/>
      <w:start w:val="5"/>
    </w:lvl>
  </w:abstractNum>
  <w:abstractNum w:abstractNumId="4">
    <w:nsid w:val="12200854"/>
    <w:multiLevelType w:val="hybridMultilevel"/>
    <w:lvl w:ilvl="0">
      <w:lvlJc w:val="left"/>
      <w:lvlText w:val="%1."/>
      <w:numFmt w:val="decimal"/>
      <w:start w:val="5"/>
    </w:lvl>
    <w:lvl w:ilvl="1">
      <w:lvlJc w:val="left"/>
      <w:lvlText w:val="(*)"/>
      <w:numFmt w:val="bullet"/>
      <w:start w:val="1"/>
    </w:lvl>
  </w:abstractNum>
  <w:abstractNum w:abstractNumId="5">
    <w:nsid w:val="4DB127F8"/>
    <w:multiLevelType w:val="hybridMultilevel"/>
    <w:lvl w:ilvl="0">
      <w:lvlJc w:val="left"/>
      <w:lvlText w:val="%1."/>
      <w:numFmt w:val="decimal"/>
      <w:start w:val="8"/>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2019-12-14T20:57:10Z</dcterms:created>
  <dcterms:modified xsi:type="dcterms:W3CDTF">2019-12-14T20:57:10Z</dcterms:modified>
</cp:coreProperties>
</file>