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8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2017</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230"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40" w:type="dxa"/>
            <w:vAlign w:val="bottom"/>
          </w:tcPr>
          <w:p>
            <w:pPr>
              <w:spacing w:after="0"/>
              <w:rPr>
                <w:sz w:val="17"/>
                <w:szCs w:val="17"/>
                <w:color w:val="auto"/>
              </w:rPr>
            </w:pPr>
          </w:p>
        </w:tc>
      </w:tr>
      <w:tr>
        <w:trPr>
          <w:trHeight w:val="534"/>
        </w:trPr>
        <w:tc>
          <w:tcPr>
            <w:tcW w:w="3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00" w:type="dxa"/>
            <w:vAlign w:val="bottom"/>
            <w:gridSpan w:val="3"/>
          </w:tcPr>
          <w:p>
            <w:pPr>
              <w:jc w:val="center"/>
              <w:ind w:right="2700"/>
              <w:spacing w:after="0"/>
              <w:rPr>
                <w:sz w:val="20"/>
                <w:szCs w:val="20"/>
                <w:color w:val="auto"/>
              </w:rPr>
            </w:pPr>
            <w:r>
              <w:rPr>
                <w:rFonts w:ascii="Arial" w:cs="Arial" w:eastAsia="Arial" w:hAnsi="Arial"/>
                <w:sz w:val="18"/>
                <w:szCs w:val="18"/>
                <w:color w:val="auto"/>
              </w:rPr>
              <w:t>AMDOCS LIMITED</w:t>
            </w:r>
          </w:p>
        </w:tc>
        <w:tc>
          <w:tcPr>
            <w:tcW w:w="20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gridSpan w:val="2"/>
          </w:tcPr>
          <w:p>
            <w:pPr>
              <w:jc w:val="center"/>
              <w:ind w:right="2920"/>
              <w:spacing w:after="0"/>
              <w:rPr>
                <w:sz w:val="20"/>
                <w:szCs w:val="20"/>
                <w:color w:val="auto"/>
              </w:rPr>
            </w:pPr>
            <w:r>
              <w:rPr>
                <w:rFonts w:ascii="Arial" w:cs="Arial" w:eastAsia="Arial" w:hAnsi="Arial"/>
                <w:sz w:val="18"/>
                <w:szCs w:val="18"/>
                <w:color w:val="auto"/>
                <w:w w:val="97"/>
              </w:rPr>
              <w:t>FORM 6-K</w:t>
            </w:r>
          </w:p>
        </w:tc>
        <w:tc>
          <w:tcPr>
            <w:tcW w:w="204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5"/>
          </w:tcPr>
          <w:p>
            <w:pPr>
              <w:jc w:val="center"/>
              <w:ind w:right="1840"/>
              <w:spacing w:after="0"/>
              <w:rPr>
                <w:sz w:val="20"/>
                <w:szCs w:val="20"/>
                <w:color w:val="auto"/>
              </w:rPr>
            </w:pPr>
            <w:r>
              <w:rPr>
                <w:rFonts w:ascii="Arial" w:cs="Arial" w:eastAsia="Arial" w:hAnsi="Arial"/>
                <w:sz w:val="18"/>
                <w:szCs w:val="18"/>
                <w:color w:val="auto"/>
                <w:w w:val="92"/>
              </w:rPr>
              <w:t>REPORT OF FOREIGN PRIVATE ISSUER</w:t>
            </w:r>
          </w:p>
        </w:tc>
        <w:tc>
          <w:tcPr>
            <w:tcW w:w="204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5"/>
          </w:tcPr>
          <w:p>
            <w:pPr>
              <w:jc w:val="center"/>
              <w:ind w:right="1840"/>
              <w:spacing w:after="0"/>
              <w:rPr>
                <w:sz w:val="20"/>
                <w:szCs w:val="20"/>
                <w:color w:val="auto"/>
              </w:rPr>
            </w:pPr>
            <w:r>
              <w:rPr>
                <w:rFonts w:ascii="Arial" w:cs="Arial" w:eastAsia="Arial" w:hAnsi="Arial"/>
                <w:sz w:val="18"/>
                <w:szCs w:val="18"/>
                <w:color w:val="auto"/>
                <w:w w:val="93"/>
              </w:rPr>
              <w:t>FOR THE QUARTER ENDED JUNE 30, 2017</w:t>
            </w:r>
          </w:p>
        </w:tc>
        <w:tc>
          <w:tcPr>
            <w:tcW w:w="20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gridSpan w:val="2"/>
          </w:tcPr>
          <w:p>
            <w:pPr>
              <w:jc w:val="center"/>
              <w:ind w:right="2920"/>
              <w:spacing w:after="0"/>
              <w:rPr>
                <w:sz w:val="20"/>
                <w:szCs w:val="20"/>
                <w:color w:val="auto"/>
              </w:rPr>
            </w:pPr>
            <w:r>
              <w:rPr>
                <w:rFonts w:ascii="Arial" w:cs="Arial" w:eastAsia="Arial" w:hAnsi="Arial"/>
                <w:sz w:val="18"/>
                <w:szCs w:val="18"/>
                <w:color w:val="auto"/>
              </w:rPr>
              <w:t>INDEX</w:t>
            </w:r>
          </w:p>
        </w:tc>
        <w:tc>
          <w:tcPr>
            <w:tcW w:w="2040" w:type="dxa"/>
            <w:vAlign w:val="bottom"/>
          </w:tcPr>
          <w:p>
            <w:pPr>
              <w:spacing w:after="0"/>
              <w:rPr>
                <w:sz w:val="20"/>
                <w:szCs w:val="20"/>
                <w:color w:val="auto"/>
              </w:rPr>
            </w:pPr>
          </w:p>
        </w:tc>
      </w:tr>
      <w:tr>
        <w:trPr>
          <w:trHeight w:val="419"/>
        </w:trPr>
        <w:tc>
          <w:tcPr>
            <w:tcW w:w="93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Item 1.</w:t>
              </w:r>
            </w:hyperlink>
          </w:p>
        </w:tc>
        <w:tc>
          <w:tcPr>
            <w:tcW w:w="1940" w:type="dxa"/>
            <w:vAlign w:val="bottom"/>
            <w:tcBorders>
              <w:top w:val="single" w:sz="8" w:color="0000EE"/>
            </w:tcBorders>
            <w:gridSpan w:val="6"/>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480" w:type="dxa"/>
            <w:vAlign w:val="bottom"/>
            <w:gridSpan w:val="8"/>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2"/>
        </w:trPr>
        <w:tc>
          <w:tcPr>
            <w:tcW w:w="360" w:type="dxa"/>
            <w:vAlign w:val="bottom"/>
          </w:tcPr>
          <w:p>
            <w:pPr>
              <w:spacing w:after="0"/>
              <w:rPr>
                <w:sz w:val="19"/>
                <w:szCs w:val="19"/>
                <w:color w:val="auto"/>
              </w:rPr>
            </w:pPr>
          </w:p>
        </w:tc>
        <w:tc>
          <w:tcPr>
            <w:tcW w:w="8960" w:type="dxa"/>
            <w:vAlign w:val="bottom"/>
            <w:gridSpan w:val="15"/>
          </w:tcPr>
          <w:p>
            <w:pPr>
              <w:ind w:left="360"/>
              <w:spacing w:after="0"/>
              <w:rPr>
                <w:sz w:val="20"/>
                <w:szCs w:val="20"/>
                <w:color w:val="auto"/>
              </w:rPr>
            </w:pPr>
            <w:r>
              <w:rPr>
                <w:rFonts w:ascii="Arial" w:cs="Arial" w:eastAsia="Arial" w:hAnsi="Arial"/>
                <w:sz w:val="18"/>
                <w:szCs w:val="18"/>
                <w:color w:val="auto"/>
              </w:rPr>
              <w:t>Unaudited Consolidated Financial Statements</w:t>
            </w:r>
          </w:p>
        </w:tc>
        <w:tc>
          <w:tcPr>
            <w:tcW w:w="2040" w:type="dxa"/>
            <w:vAlign w:val="bottom"/>
          </w:tcPr>
          <w:p>
            <w:pPr>
              <w:spacing w:after="0"/>
              <w:rPr>
                <w:sz w:val="19"/>
                <w:szCs w:val="19"/>
                <w:color w:val="auto"/>
              </w:rPr>
            </w:pPr>
          </w:p>
        </w:tc>
      </w:tr>
      <w:tr>
        <w:trPr>
          <w:trHeight w:val="190"/>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tcBorders>
              <w:bottom w:val="single" w:sz="8" w:color="0000EE"/>
            </w:tcBorders>
            <w:gridSpan w:val="6"/>
          </w:tcPr>
          <w:p>
            <w:pPr>
              <w:spacing w:after="0" w:line="190"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w:t>
              </w:r>
            </w:hyperlink>
          </w:p>
        </w:tc>
        <w:tc>
          <w:tcPr>
            <w:tcW w:w="6140" w:type="dxa"/>
            <w:vAlign w:val="bottom"/>
            <w:gridSpan w:val="7"/>
          </w:tcPr>
          <w:p>
            <w:pPr>
              <w:spacing w:after="0"/>
              <w:rPr>
                <w:sz w:val="16"/>
                <w:szCs w:val="16"/>
                <w:color w:val="auto"/>
              </w:rPr>
            </w:pPr>
          </w:p>
        </w:tc>
        <w:tc>
          <w:tcPr>
            <w:tcW w:w="20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w:t>
              </w:r>
            </w:hyperlink>
          </w:p>
        </w:tc>
        <w:tc>
          <w:tcPr>
            <w:tcW w:w="5660" w:type="dxa"/>
            <w:vAlign w:val="bottom"/>
            <w:gridSpan w:val="6"/>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2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w:t>
              </w:r>
            </w:hyperlink>
          </w:p>
        </w:tc>
        <w:tc>
          <w:tcPr>
            <w:tcW w:w="860" w:type="dxa"/>
            <w:vAlign w:val="bottom"/>
            <w:tcBorders>
              <w:top w:val="single" w:sz="8" w:color="0000EE"/>
            </w:tcBorders>
            <w:gridSpan w:val="2"/>
          </w:tcPr>
          <w:p>
            <w:pPr>
              <w:spacing w:after="0"/>
              <w:rPr>
                <w:sz w:val="17"/>
                <w:szCs w:val="17"/>
                <w:color w:val="auto"/>
              </w:rPr>
            </w:pPr>
          </w:p>
        </w:tc>
        <w:tc>
          <w:tcPr>
            <w:tcW w:w="4500" w:type="dxa"/>
            <w:vAlign w:val="bottom"/>
            <w:gridSpan w:val="3"/>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Consolidated Financial Statements</w:t>
              </w:r>
            </w:hyperlink>
          </w:p>
        </w:tc>
        <w:tc>
          <w:tcPr>
            <w:tcW w:w="4280" w:type="dxa"/>
            <w:vAlign w:val="bottom"/>
            <w:gridSpan w:val="2"/>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Item 2.</w:t>
              </w:r>
            </w:hyperlink>
          </w:p>
        </w:tc>
        <w:tc>
          <w:tcPr>
            <w:tcW w:w="340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Operating and Financial Review and Prospects</w:t>
              </w:r>
            </w:hyperlink>
          </w:p>
        </w:tc>
        <w:tc>
          <w:tcPr>
            <w:tcW w:w="5020" w:type="dxa"/>
            <w:vAlign w:val="bottom"/>
            <w:gridSpan w:val="4"/>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5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PART II OTHER INFORMATION</w:t>
              </w:r>
            </w:hyperlink>
          </w:p>
        </w:tc>
        <w:tc>
          <w:tcPr>
            <w:tcW w:w="6780" w:type="dxa"/>
            <w:vAlign w:val="bottom"/>
            <w:gridSpan w:val="9"/>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1.</w:t>
              </w:r>
            </w:hyperlink>
          </w:p>
        </w:tc>
        <w:tc>
          <w:tcPr>
            <w:tcW w:w="8420" w:type="dxa"/>
            <w:vAlign w:val="bottom"/>
            <w:gridSpan w:val="14"/>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Changes in Securities, Use of Proceeds and Issuer Purchases of Equity Securities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6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2.</w:t>
              </w:r>
            </w:hyperlink>
          </w:p>
        </w:tc>
        <w:tc>
          <w:tcPr>
            <w:tcW w:w="586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Reports on Form 6-K</w:t>
              </w:r>
            </w:hyperlink>
          </w:p>
        </w:tc>
        <w:tc>
          <w:tcPr>
            <w:tcW w:w="256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96"/>
        </w:trPr>
        <w:tc>
          <w:tcPr>
            <w:tcW w:w="932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20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8" w:lineRule="auto"/>
        <w:rPr>
          <w:sz w:val="20"/>
          <w:szCs w:val="20"/>
          <w:color w:val="auto"/>
        </w:rPr>
      </w:pPr>
      <w:r>
        <w:rPr>
          <w:rFonts w:ascii="Arial" w:cs="Arial" w:eastAsia="Arial" w:hAnsi="Arial"/>
          <w:sz w:val="17"/>
          <w:szCs w:val="17"/>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46"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42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00" w:type="dxa"/>
            <w:vAlign w:val="bottom"/>
          </w:tcPr>
          <w:p>
            <w:pPr>
              <w:spacing w:after="0"/>
              <w:rPr>
                <w:sz w:val="24"/>
                <w:szCs w:val="24"/>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b w:val="1"/>
                <w:bCs w:val="1"/>
                <w:color w:val="auto"/>
              </w:rPr>
              <w:t>AMDOCS LIMITED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00" w:type="dxa"/>
            <w:vAlign w:val="bottom"/>
          </w:tcPr>
          <w:p>
            <w:pPr>
              <w:spacing w:after="0"/>
              <w:rPr>
                <w:sz w:val="19"/>
                <w:szCs w:val="19"/>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8420" w:type="dxa"/>
            <w:vAlign w:val="bottom"/>
          </w:tcPr>
          <w:p>
            <w:pPr>
              <w:jc w:val="center"/>
              <w:ind w:left="1530"/>
              <w:spacing w:after="0"/>
              <w:rPr>
                <w:sz w:val="20"/>
                <w:szCs w:val="20"/>
                <w:color w:val="auto"/>
              </w:rPr>
            </w:pPr>
            <w:r>
              <w:rPr>
                <w:rFonts w:ascii="Arial" w:cs="Arial" w:eastAsia="Arial" w:hAnsi="Arial"/>
                <w:sz w:val="18"/>
                <w:szCs w:val="18"/>
                <w:color w:val="auto"/>
                <w:w w:val="88"/>
              </w:rPr>
              <w:t>(dollar and share amounts in thousands, except per share data)</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700" w:type="dxa"/>
            <w:vAlign w:val="bottom"/>
          </w:tcPr>
          <w:p>
            <w:pPr>
              <w:spacing w:after="0"/>
              <w:rPr>
                <w:sz w:val="10"/>
                <w:szCs w:val="10"/>
                <w:color w:val="auto"/>
              </w:rPr>
            </w:pPr>
          </w:p>
        </w:tc>
        <w:tc>
          <w:tcPr>
            <w:tcW w:w="8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6"/>
              </w:rPr>
              <w:t>June 30,</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70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70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ASSETS</w:t>
            </w: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636,526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768,660</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Short-term interest-bearing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327,063</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818,531</w:t>
            </w:r>
          </w:p>
        </w:tc>
      </w:tr>
      <w:tr>
        <w:trPr>
          <w:trHeight w:val="223"/>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228,611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186,137</w:t>
            </w:r>
          </w:p>
        </w:tc>
      </w:tr>
      <w:tr>
        <w:trPr>
          <w:trHeight w:val="216"/>
        </w:trPr>
        <w:tc>
          <w:tcPr>
            <w:tcW w:w="70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2,085,036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2,100,391</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336,791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331,728</w:t>
            </w: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Goodwill</w:t>
            </w:r>
          </w:p>
        </w:tc>
        <w:tc>
          <w:tcPr>
            <w:tcW w:w="8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2,197,383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2,211,639</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197,870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281,527</w:t>
            </w: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406,070</w:t>
            </w:r>
          </w:p>
        </w:tc>
      </w:tr>
      <w:tr>
        <w:trPr>
          <w:trHeight w:val="223"/>
        </w:trPr>
        <w:tc>
          <w:tcPr>
            <w:tcW w:w="7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5,293,617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136,675</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632,811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611,705</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personnel costs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244,299</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Short-term financing arrangements</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173,331</w:t>
            </w:r>
          </w:p>
        </w:tc>
      </w:tr>
      <w:tr>
        <w:trPr>
          <w:trHeight w:val="223"/>
        </w:trPr>
        <w:tc>
          <w:tcPr>
            <w:tcW w:w="7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1,177,169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1,366,010</w:t>
            </w:r>
          </w:p>
        </w:tc>
        <w:tc>
          <w:tcPr>
            <w:tcW w:w="10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227,099</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284,685</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1,711,928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1,877,794</w:t>
            </w: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12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Ordinary Shares — Authorized 700,000 shares; £0.01 par value; 273,331 and 270,997 issued and 145,355 and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120" w:type="dxa"/>
            <w:vAlign w:val="bottom"/>
            <w:gridSpan w:val="2"/>
          </w:tcPr>
          <w:p>
            <w:pPr>
              <w:ind w:left="540"/>
              <w:spacing w:after="0"/>
              <w:rPr>
                <w:sz w:val="20"/>
                <w:szCs w:val="20"/>
                <w:color w:val="auto"/>
              </w:rPr>
            </w:pPr>
            <w:r>
              <w:rPr>
                <w:rFonts w:ascii="Arial" w:cs="Arial" w:eastAsia="Arial" w:hAnsi="Arial"/>
                <w:sz w:val="18"/>
                <w:szCs w:val="18"/>
                <w:color w:val="auto"/>
              </w:rPr>
              <w:t>147,134 outstanding, respectively</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4,377</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3,435,438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3,322,789</w:t>
            </w:r>
          </w:p>
        </w:tc>
      </w:tr>
      <w:tr>
        <w:trPr>
          <w:trHeight w:val="216"/>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Treasury stock, at cost 127,976 and 123,863 ordinary shares, respectively</w:t>
            </w: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(4,274,758)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(4,024,527)</w:t>
            </w: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34,970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w:t>
            </w:r>
          </w:p>
        </w:tc>
      </w:tr>
      <w:tr>
        <w:trPr>
          <w:trHeight w:val="223"/>
        </w:trPr>
        <w:tc>
          <w:tcPr>
            <w:tcW w:w="912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4,381,634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4,144,827</w:t>
            </w:r>
          </w:p>
        </w:tc>
        <w:tc>
          <w:tcPr>
            <w:tcW w:w="100" w:type="dxa"/>
            <w:vAlign w:val="bottom"/>
          </w:tcPr>
          <w:p>
            <w:pPr>
              <w:spacing w:after="0"/>
              <w:rPr>
                <w:sz w:val="19"/>
                <w:szCs w:val="19"/>
                <w:color w:val="auto"/>
              </w:rPr>
            </w:pPr>
          </w:p>
        </w:tc>
      </w:tr>
      <w:tr>
        <w:trPr>
          <w:trHeight w:val="216"/>
        </w:trPr>
        <w:tc>
          <w:tcPr>
            <w:tcW w:w="700" w:type="dxa"/>
            <w:vAlign w:val="bottom"/>
            <w:shd w:val="clear" w:color="auto" w:fill="CCEEFF"/>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3,581,689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3,453,561</w:t>
            </w:r>
          </w:p>
        </w:tc>
      </w:tr>
      <w:tr>
        <w:trPr>
          <w:trHeight w:val="223"/>
        </w:trPr>
        <w:tc>
          <w:tcPr>
            <w:tcW w:w="700" w:type="dxa"/>
            <w:vAlign w:val="bottom"/>
          </w:tcPr>
          <w:p>
            <w:pPr>
              <w:spacing w:after="0"/>
              <w:rPr>
                <w:sz w:val="19"/>
                <w:szCs w:val="19"/>
                <w:color w:val="auto"/>
              </w:rPr>
            </w:pPr>
          </w:p>
        </w:tc>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5,293,617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5,331,355</w:t>
            </w:r>
          </w:p>
        </w:tc>
        <w:tc>
          <w:tcPr>
            <w:tcW w:w="10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966,695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930,133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2,887,431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628,640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601,249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1,871,211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1,796,933</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67,118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65,051</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194,411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191,249</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113,997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113,831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347,853</w:t>
            </w:r>
          </w:p>
        </w:tc>
        <w:tc>
          <w:tcPr>
            <w:tcW w:w="0" w:type="dxa"/>
            <w:vAlign w:val="bottom"/>
          </w:tcPr>
          <w:p>
            <w:pPr>
              <w:spacing w:after="0"/>
              <w:rPr>
                <w:sz w:val="1"/>
                <w:szCs w:val="1"/>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27,028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25,040</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83,982</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76,894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836,783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805,171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2,502,145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2,412,929</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income</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129,912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124,962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385,286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131,064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126,075</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383,207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51,930</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income</w:t>
            </w:r>
          </w:p>
        </w:tc>
        <w:tc>
          <w:tcPr>
            <w:tcW w:w="1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119,264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105,060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329,617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ordinary share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0.560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8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7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$ 119,264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$329,617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fair value of cash flow hedges(1)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(13,928)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Net change in fair value of available-for-sale securities(2)</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(1,076)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(13,409)</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28,875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12,119</w:t>
            </w:r>
          </w:p>
        </w:tc>
        <w:tc>
          <w:tcPr>
            <w:tcW w:w="0" w:type="dxa"/>
            <w:vAlign w:val="bottom"/>
          </w:tcPr>
          <w:p>
            <w:pPr>
              <w:spacing w:after="0"/>
              <w:rPr>
                <w:sz w:val="1"/>
                <w:szCs w:val="1"/>
                <w:color w:val="auto"/>
              </w:rPr>
            </w:pP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126,724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91,651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358,492</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325,741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$)1,633) and $3,774 for the three months ended June 30, 2017 and 2016, respectively, and of $(1,724) and $(2,946) for the nine months ended June 30, 2017 and 2016, respectively.</w:t>
      </w:r>
    </w:p>
    <w:p>
      <w:pPr>
        <w:spacing w:after="0" w:line="1" w:lineRule="exact"/>
        <w:rPr>
          <w:rFonts w:ascii="Arial" w:cs="Arial" w:eastAsia="Arial" w:hAnsi="Arial"/>
          <w:sz w:val="18"/>
          <w:szCs w:val="18"/>
          <w:color w:val="auto"/>
        </w:rPr>
      </w:pPr>
    </w:p>
    <w:p>
      <w:pPr>
        <w:ind w:left="460" w:right="1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(expense) of $(8) and $(6) for the three months ended June 30, 2017 and 2016, respectively, and of $(5) and $(2) for the nine months ended June 30, 2017 and 2016,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329,617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163,533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34,698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(3,716)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(Gain) loss from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rPr>
              <w:t>(73,033)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rPr>
              <w:t>(60,949)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75,178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rPr>
              <w:t>(38,817)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(7,726)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3"/>
              <w:spacing w:after="0"/>
              <w:rPr>
                <w:sz w:val="20"/>
                <w:szCs w:val="20"/>
                <w:color w:val="auto"/>
              </w:rPr>
            </w:pPr>
            <w:r>
              <w:rPr>
                <w:rFonts w:ascii="Arial" w:cs="Arial" w:eastAsia="Arial" w:hAnsi="Arial"/>
                <w:sz w:val="18"/>
                <w:szCs w:val="18"/>
                <w:color w:val="auto"/>
              </w:rPr>
              <w:t>12,520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437,104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(98,565)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218,395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88"/>
              </w:rPr>
              <w:t>(218,772)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(10,022)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(108,964</w:t>
            </w:r>
          </w:p>
        </w:tc>
        <w:tc>
          <w:tcPr>
            <w:tcW w:w="260" w:type="dxa"/>
            <w:vAlign w:val="bottom"/>
          </w:tcPr>
          <w:p>
            <w:pPr>
              <w:jc w:val="right"/>
              <w:ind w:right="123"/>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(151,260)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88"/>
              </w:rPr>
              <w:t>(400,000)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Repurchase of shares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w w:val="88"/>
              </w:rPr>
              <w:t>(250,231)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75,763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Payments of dividends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3"/>
              <w:spacing w:after="0"/>
              <w:rPr>
                <w:sz w:val="20"/>
                <w:szCs w:val="20"/>
                <w:color w:val="auto"/>
              </w:rPr>
            </w:pPr>
            <w:r>
              <w:rPr>
                <w:rFonts w:ascii="Arial" w:cs="Arial" w:eastAsia="Arial" w:hAnsi="Arial"/>
                <w:sz w:val="18"/>
                <w:szCs w:val="18"/>
                <w:color w:val="auto"/>
              </w:rPr>
              <w:t>(89,522)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(80,468)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equity-based compensation and 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2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(460,274</w:t>
            </w:r>
          </w:p>
        </w:tc>
        <w:tc>
          <w:tcPr>
            <w:tcW w:w="260" w:type="dxa"/>
            <w:vAlign w:val="bottom"/>
          </w:tcPr>
          <w:p>
            <w:pPr>
              <w:jc w:val="right"/>
              <w:ind w:right="123"/>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(550,652)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w w:val="88"/>
              </w:rPr>
              <w:t>(132,134)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768,660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1,035,573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636,526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801,187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3"/>
              <w:spacing w:after="0"/>
              <w:rPr>
                <w:sz w:val="20"/>
                <w:szCs w:val="20"/>
                <w:color w:val="auto"/>
              </w:rPr>
            </w:pPr>
            <w:r>
              <w:rPr>
                <w:rFonts w:ascii="Arial" w:cs="Arial" w:eastAsia="Arial" w:hAnsi="Arial"/>
                <w:sz w:val="18"/>
                <w:szCs w:val="18"/>
                <w:color w:val="auto"/>
              </w:rPr>
              <w:t>44,092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Amdocs Limited (the “Company”) is a leading provider of software and services for communications, Pay TV, entertainment and media industry service providers, in developed countries and emerging markets. The Company and its subsidiaries operate in one segment, providing integrated products and services. The Company designs, develops, markets, supports, implements and operates customer experience solutions primarily for leading wireless, wireline, broadband, cable and satellite service providers throughout the world.</w:t>
      </w:r>
    </w:p>
    <w:p>
      <w:pPr>
        <w:spacing w:after="0" w:line="18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Mexico, the Philippines, the United Kingdom and the United States.</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2016, set forth in the Company’s Annual Report on Form 20-F filed on December 12, 2016 with the U.S. Securities and Exchange Commission, or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certain immaterial amounts in prior year financial statements may be reclassified to conform to the current year presentation.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the Company’s annual or any interim goodwill impairment tests in fiscal year 2021 and thereafter.</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the Company with respect to transactions occurring on or after October 1, 2018 and early adoption is permitted.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the Company beginning in the first quarter of fiscal year 2019, and early adoption is permitted. The Company currently expects adoption of this ASU will not have a material impact on its statement of cash flows.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the Company on October 1, 2018, and early adoption in the first interim period of a fiscal year is permitted. The Company currently expects adoption of this ASU will not have a material impact on its consolidated financial statements.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the Company on October 1, 2018, and early adoption is permitted. The Company currently expects adoption of this ASU will result in reclassification of certain cash payments of contingent considerations included in acquisition agreements from investing activities to financing activities and will not have a material impact on its statement of cash flows.</w:t>
      </w:r>
    </w:p>
    <w:p>
      <w:pPr>
        <w:spacing w:after="0" w:line="187" w:lineRule="exact"/>
        <w:rPr>
          <w:sz w:val="20"/>
          <w:szCs w:val="20"/>
          <w:color w:val="auto"/>
        </w:rPr>
      </w:pPr>
    </w:p>
    <w:p>
      <w:pPr>
        <w:jc w:val="both"/>
        <w:ind w:right="160" w:firstLine="456"/>
        <w:spacing w:after="0" w:line="279" w:lineRule="auto"/>
        <w:rPr>
          <w:sz w:val="20"/>
          <w:szCs w:val="20"/>
          <w:color w:val="auto"/>
        </w:rPr>
      </w:pPr>
      <w:r>
        <w:rPr>
          <w:rFonts w:ascii="Arial" w:cs="Arial" w:eastAsia="Arial" w:hAnsi="Arial"/>
          <w:sz w:val="17"/>
          <w:szCs w:val="17"/>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the Company beginning in the first quarter of fiscal year 2021 and earlier adoption by one year is permitted. The Company is currently evaluating the impact of adoption of this ASU on its consolidated financial statements.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the Company on October 1, 2017, and early adoption is permitted. The Company currently expects adoption of this ASU will not have a material impact on its consolidated financial statements.</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the Company beginning in the first quarter of fiscal year 2020, must be adopted using a modified retrospective method and its early adoption is permitted. The Company is currently evaluating the impact of adoption of this ASU on its consolidated financial statements.</w:t>
      </w:r>
    </w:p>
    <w:p>
      <w:pPr>
        <w:spacing w:after="0" w:line="1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the Company on October 1, 2018, and early adoption is permitted. The Company expects adoption of this ASU may result in changes in its financial statements presentation but will not affect the content of its consolidated financial statements.</w:t>
      </w:r>
    </w:p>
    <w:p>
      <w:pPr>
        <w:spacing w:after="0" w:line="171"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the Company with respect to measurement-period adjustments that occur after October 1, 2017.</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the Company beginning in the first quarter of fiscal year 2019. In March 2016, the FASB issued ASU 2016-08 that clarifies the implementation guidance for principal versus agent considerations in the new revenue standard. In April 2016, the FASB issued ASU</w:t>
      </w:r>
    </w:p>
    <w:p>
      <w:pPr>
        <w:spacing w:after="0" w:line="2"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The Company is evaluating the methods of its adoption, as well as the effect that adoption of the new revenue standard will have on its consolidated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7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Level 3: Unobservable inputs that are supported by little or no market activity that is significant to the fair value of the assets or liabilities.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2017 and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As of June 30, 2017</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$203,916</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$203,916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1040" w:type="dxa"/>
            <w:vAlign w:val="bottom"/>
            <w:gridSpan w:val="3"/>
          </w:tcPr>
          <w:p>
            <w:pPr>
              <w:jc w:val="right"/>
              <w:ind w:right="360"/>
              <w:spacing w:after="0"/>
              <w:rPr>
                <w:sz w:val="20"/>
                <w:szCs w:val="20"/>
                <w:color w:val="auto"/>
              </w:rPr>
            </w:pPr>
            <w:r>
              <w:rPr>
                <w:rFonts w:ascii="Arial" w:cs="Arial" w:eastAsia="Arial" w:hAnsi="Arial"/>
                <w:sz w:val="18"/>
                <w:szCs w:val="18"/>
                <w:color w:val="auto"/>
              </w:rPr>
              <w:t>87,433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46,335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291,349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242,112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533,461</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(12,266)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291,349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288,676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(12,266</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567,759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September 30, 2016</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8"/>
              </w:rPr>
              <w:t>Level 3</w:t>
            </w: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$449,288</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105,513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agency securities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Asset backed obligations</w:t>
            </w:r>
          </w:p>
        </w:tc>
        <w:tc>
          <w:tcPr>
            <w:tcW w:w="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8,342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554,801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225,581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780,382</w:t>
            </w:r>
          </w:p>
        </w:tc>
        <w:tc>
          <w:tcPr>
            <w:tcW w:w="0" w:type="dxa"/>
            <w:vAlign w:val="bottom"/>
          </w:tcPr>
          <w:p>
            <w:pPr>
              <w:spacing w:after="0"/>
              <w:rPr>
                <w:sz w:val="1"/>
                <w:szCs w:val="1"/>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(24,597)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(24,597)</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554,801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241,648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(24,597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771,852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2017. Level 3 amounts relate to certain acquisition-related liabilities, which were valued using a Monte-Carlo simulation model. These liabilities were included in accrued expenses and other current liabilities as of June 30, 2017 and in both accrued expenses and other current liabilities and other noncurrent liabilities as of September 30, 2016. Part of the reduction in Level 3 liabilities during the nine months ended June 30, 2017 was recorded in the consolidated statements of income and the rest of the reduction resulted from settlement of the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accounts payable, accrued personnel costs, short-term financing arrangements and other current liabilities approximate their fair value because of the relatively short maturity of these items.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As of June 30, 2017</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$203,916</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$203,916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96,722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217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96,667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87,679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87,433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57,273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132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57,141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46,335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33,177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8,792</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533,959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162</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533,461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2017, $326,513 of securities were classified as short-term interest-bearing investments and $206,948 of securities were classified as cash and cash equivalents.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September 30, 2016</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Amortized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Gross</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$449,288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95,852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96,154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105,377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48,339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48,393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Commercial paper and certificates of deposit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42,498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42,498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8,342</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60"/>
              <w:spacing w:after="0"/>
              <w:rPr>
                <w:sz w:val="20"/>
                <w:szCs w:val="20"/>
                <w:color w:val="auto"/>
              </w:rPr>
            </w:pPr>
            <w:r>
              <w:rPr>
                <w:rFonts w:ascii="Arial" w:cs="Arial" w:eastAsia="Arial" w:hAnsi="Arial"/>
                <w:sz w:val="18"/>
                <w:szCs w:val="18"/>
                <w:color w:val="auto"/>
              </w:rPr>
              <w:t>Total(2)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779,809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780,382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2016, $327,063 of securities were classified as short-term interest-bearing investments and $453,319 of securities were classified as cash and cash equivalents.</w:t>
      </w:r>
    </w:p>
    <w:p>
      <w:pPr>
        <w:spacing w:after="0" w:line="1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As of June 30, 2017, the unrealized losses attributable to the Company’s available-for-sale securities were primarily due to credit spreads and interest rate movements. The Company assessed whether such unrealized losses for the investments in its portfolio were other-than-temporary. Based on this assessment, the Company did not recognize any credit losses in the nine months ended June 30, 2017 and 2016. Realized gains and losses on available-for-sale securities are included in earnings and are derived using the first-in-first-out (FIFO) method for determining the cost of securities.</w:t>
      </w:r>
    </w:p>
    <w:p>
      <w:pPr>
        <w:spacing w:after="0" w:line="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2017, the Company’s available-for-sale securities had the following maturity dates: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96,254</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89,713</w:t>
            </w: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10,762</w:t>
            </w: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60" w:type="dxa"/>
            <w:vAlign w:val="bottom"/>
            <w:shd w:val="clear" w:color="auto" w:fill="CCEEFF"/>
          </w:tcPr>
          <w:p>
            <w:pPr>
              <w:spacing w:after="0"/>
              <w:rPr>
                <w:sz w:val="18"/>
                <w:szCs w:val="18"/>
                <w:color w:val="auto"/>
              </w:rPr>
            </w:pP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533,461</w:t>
            </w:r>
          </w:p>
        </w:tc>
        <w:tc>
          <w:tcPr>
            <w:tcW w:w="6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$51,121 as of June 30, 2017. The Company has limited its credit risk by entering into derivative transactions exclusively with investment-grade rated financial institutions and monitors the creditworthiness of these financial institutions on an ongoing basis.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2017. Notional values are in U.S. dollars and are translated and calculated based on forward rates as of June 30, 2017 for forward contracts, and based on spot rates as of June 30, 2017 for options.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420" w:type="dxa"/>
            <w:vAlign w:val="bottom"/>
            <w:gridSpan w:val="3"/>
          </w:tcPr>
          <w:p>
            <w:pPr>
              <w:ind w:left="2380"/>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3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1,240,704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right="520" w:hanging="212"/>
        <w:spacing w:after="0" w:line="277"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3 to the consolidated financial statements. The fair value of the open foreign exchange contracts recorded as an asset or a liability by the Company on its consolidated balance sheets as of June 30, 2017 and September 30, 2016, is as follows:</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130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1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Derivatives designated as hedging instruments</w:t>
            </w:r>
          </w:p>
        </w:tc>
        <w:tc>
          <w:tcPr>
            <w:tcW w:w="2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$43,119</w:t>
            </w:r>
          </w:p>
        </w:tc>
        <w:tc>
          <w:tcPr>
            <w:tcW w:w="160" w:type="dxa"/>
            <w:vAlign w:val="bottom"/>
          </w:tcPr>
          <w:p>
            <w:pPr>
              <w:spacing w:after="0"/>
              <w:rPr>
                <w:sz w:val="18"/>
                <w:szCs w:val="18"/>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3280" w:type="dxa"/>
            <w:vAlign w:val="bottom"/>
            <w:gridSpan w:val="3"/>
          </w:tcPr>
          <w:p>
            <w:pPr>
              <w:jc w:val="right"/>
              <w:ind w:right="100"/>
              <w:spacing w:after="0"/>
              <w:rPr>
                <w:sz w:val="20"/>
                <w:szCs w:val="20"/>
                <w:color w:val="auto"/>
              </w:rPr>
            </w:pPr>
            <w:r>
              <w:rPr>
                <w:rFonts w:ascii="Arial" w:cs="Arial" w:eastAsia="Arial" w:hAnsi="Arial"/>
                <w:sz w:val="18"/>
                <w:szCs w:val="18"/>
                <w:color w:val="auto"/>
              </w:rPr>
              <w:t>(1,339)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48,222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0"/>
              </w:rPr>
              <w:t>Derivatives not designated as hedging instruments</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3,934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Accrued expenses and other current liabilities</w:t>
            </w:r>
          </w:p>
        </w:tc>
        <w:tc>
          <w:tcPr>
            <w:tcW w:w="3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46,564</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40" w:type="dxa"/>
            <w:vAlign w:val="bottom"/>
            <w:vMerge w:val="restart"/>
          </w:tcPr>
          <w:p>
            <w:pPr>
              <w:jc w:val="right"/>
              <w:ind w:right="2012"/>
              <w:spacing w:after="0"/>
              <w:rPr>
                <w:sz w:val="20"/>
                <w:szCs w:val="20"/>
                <w:color w:val="auto"/>
              </w:rPr>
            </w:pPr>
            <w:r>
              <w:rPr>
                <w:rFonts w:ascii="Arial" w:cs="Arial" w:eastAsia="Arial" w:hAnsi="Arial"/>
                <w:sz w:val="18"/>
                <w:szCs w:val="18"/>
                <w:color w:val="auto"/>
              </w:rPr>
              <w:t>11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two years. A significant portion of the forward and option contracts outstanding as of June 30, 2017 is scheduled to mature within the next 12 months.</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income (loss),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6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three and nine months ended June 30, 2017 and 2016, respectively, which partially offsets the foreign currency impact from the underlying exposures, is summarized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Gains (Losses) Reclassified from</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160" w:type="dxa"/>
            <w:vAlign w:val="bottom"/>
            <w:gridSpan w:val="13"/>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Other Comprehensive Income (loss) (Effective Portion)</w:t>
            </w:r>
          </w:p>
        </w:tc>
      </w:t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20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13,042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2,533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17,991</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net of tax, is as follows:</w:t>
      </w:r>
    </w:p>
    <w:p>
      <w:pPr>
        <w:spacing w:after="0" w:line="189"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Nine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2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unrealized gains (losses) on cash flow hedges, net of tax, beginning of period</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$ 12,514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(12,152)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45,538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losses into earnings, net of tax</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$ 42,465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24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Net gains from cash flow hedges recognized in other comprehensive income (loss) were $49,666 and $8,433, or $45,538 and $6,354 net of taxes, during the nine months ended June 30, 2017 and 2016, respectively.</w:t>
      </w:r>
    </w:p>
    <w:p>
      <w:pPr>
        <w:spacing w:after="0" w:line="17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Of the net gains related to derivatives designated as cash flow hedges and recorded in accumulated other comprehensive income as of June 30, 2017, a net gain of $36,723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2017 and 2016, was not material.</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2017 and 2016, respectively, which partially offsets the foreign currency impact from the underlying exposure, is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w w:val="92"/>
              </w:rPr>
              <w:t>Gains (Losses) Recognized in Income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4"/>
              </w:rPr>
              <w:t>Three months ended June 30,</w:t>
            </w:r>
          </w:p>
        </w:tc>
        <w:tc>
          <w:tcPr>
            <w:tcW w:w="280" w:type="dxa"/>
            <w:vAlign w:val="bottom"/>
          </w:tcPr>
          <w:p>
            <w:pPr>
              <w:spacing w:after="0"/>
              <w:rPr>
                <w:sz w:val="14"/>
                <w:szCs w:val="14"/>
                <w:color w:val="auto"/>
              </w:rPr>
            </w:pPr>
          </w:p>
        </w:tc>
        <w:tc>
          <w:tcPr>
            <w:tcW w:w="2000" w:type="dxa"/>
            <w:vAlign w:val="bottom"/>
            <w:gridSpan w:val="9"/>
          </w:tcPr>
          <w:p>
            <w:pPr>
              <w:jc w:val="right"/>
              <w:ind w:right="10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360"/>
              <w:spacing w:after="0"/>
              <w:rPr>
                <w:sz w:val="20"/>
                <w:szCs w:val="20"/>
                <w:color w:val="auto"/>
              </w:rPr>
            </w:pPr>
            <w:r>
              <w:rPr>
                <w:rFonts w:ascii="Arial" w:cs="Arial" w:eastAsia="Arial" w:hAnsi="Arial"/>
                <w:sz w:val="18"/>
                <w:szCs w:val="18"/>
                <w:color w:val="auto"/>
              </w:rPr>
              <w:t>Interest and other income (expense), net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23"/>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Accounts Receivable, Net</w:t>
            </w: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3"/>
          </w:tcPr>
          <w:p>
            <w:pPr>
              <w:ind w:left="460"/>
              <w:spacing w:after="0"/>
              <w:rPr>
                <w:sz w:val="20"/>
                <w:szCs w:val="20"/>
                <w:color w:val="auto"/>
              </w:rPr>
            </w:pPr>
            <w:r>
              <w:rPr>
                <w:rFonts w:ascii="Arial" w:cs="Arial" w:eastAsia="Arial" w:hAnsi="Arial"/>
                <w:sz w:val="18"/>
                <w:szCs w:val="18"/>
                <w:color w:val="auto"/>
              </w:rPr>
              <w:t>Accounts receivable, net consists of the following:</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4"/>
          </w:tcPr>
          <w:p>
            <w:pPr>
              <w:jc w:val="right"/>
              <w:ind w:right="2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980" w:type="dxa"/>
            <w:vAlign w:val="bottom"/>
            <w:gridSpan w:val="4"/>
          </w:tcPr>
          <w:p>
            <w:pPr>
              <w:ind w:left="1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749,345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723,921</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Accounts receivable — unbilled</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174,898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134,122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(39,512)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00" w:type="dxa"/>
            <w:vAlign w:val="bottom"/>
            <w:gridSpan w:val="2"/>
          </w:tcPr>
          <w:p>
            <w:pPr>
              <w:ind w:left="920"/>
              <w:spacing w:after="0"/>
              <w:rPr>
                <w:sz w:val="20"/>
                <w:szCs w:val="20"/>
                <w:color w:val="auto"/>
              </w:rPr>
            </w:pPr>
            <w:r>
              <w:rPr>
                <w:rFonts w:ascii="Arial" w:cs="Arial" w:eastAsia="Arial" w:hAnsi="Arial"/>
                <w:sz w:val="18"/>
                <w:szCs w:val="18"/>
                <w:color w:val="auto"/>
              </w:rPr>
              <w:t>Accounts receivable, net</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893,386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818,531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760" w:type="dxa"/>
            <w:vAlign w:val="bottom"/>
            <w:vMerge w:val="restart"/>
          </w:tcPr>
          <w:p>
            <w:pPr>
              <w:jc w:val="right"/>
              <w:ind w:right="73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tcPr>
          <w:p>
            <w:pPr>
              <w:jc w:val="right"/>
              <w:ind w:right="620"/>
              <w:spacing w:after="0" w:line="119" w:lineRule="exact"/>
              <w:rPr>
                <w:sz w:val="20"/>
                <w:szCs w:val="20"/>
                <w:color w:val="auto"/>
              </w:rPr>
            </w:pPr>
            <w:r>
              <w:rPr>
                <w:rFonts w:ascii="Arial" w:cs="Arial" w:eastAsia="Arial" w:hAnsi="Arial"/>
                <w:sz w:val="13"/>
                <w:szCs w:val="13"/>
                <w:b w:val="1"/>
                <w:bCs w:val="1"/>
                <w:color w:val="auto"/>
                <w:w w:val="99"/>
              </w:rPr>
              <w:t>June 30,</w:t>
            </w:r>
          </w:p>
        </w:tc>
        <w:tc>
          <w:tcPr>
            <w:tcW w:w="960" w:type="dxa"/>
            <w:vAlign w:val="bottom"/>
            <w:gridSpan w:val="5"/>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provisions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$221,175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208,357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Taxes payable</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37,531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38,430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4,407</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335,193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331,818</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260" w:type="dxa"/>
            <w:vAlign w:val="bottom"/>
            <w:gridSpan w:val="2"/>
          </w:tcPr>
          <w:p>
            <w:pPr>
              <w:ind w:left="92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632,811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611,705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Income Taxes</w:t>
            </w: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The provision (benefit) for income taxes for the following periods consisted of:</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2"/>
              </w:rPr>
              <w:t>Three months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6"/>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88"/>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$21,488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$27,655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46,389</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$ 66,184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(9,688)</w:t>
            </w: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(6,640)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8"/>
              <w:spacing w:after="0"/>
              <w:rPr>
                <w:sz w:val="20"/>
                <w:szCs w:val="20"/>
                <w:color w:val="auto"/>
              </w:rPr>
            </w:pPr>
            <w:r>
              <w:rPr>
                <w:rFonts w:ascii="Arial" w:cs="Arial" w:eastAsia="Arial" w:hAnsi="Arial"/>
                <w:sz w:val="18"/>
                <w:szCs w:val="18"/>
                <w:color w:val="auto"/>
              </w:rPr>
              <w:t>7,201</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(14,254)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11,800</w:t>
            </w: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21,015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87"/>
              </w:rPr>
              <w:t>53,590</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$ 51,930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6"/>
              </w:rPr>
              <w:t>0%</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Foreign taxes</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17</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6"/>
              </w:rPr>
              <w:t>9%</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2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Foreign taxes in the nine months ended June 30, 2017 included $5,307 of deferred income tax expense as a result of enacted changes in tax laws or rates during the three months ended December 31, 2016. Foreign taxes in the nine months ended June 30, 2017 also included a benefit of $7,986 due to conclusions of tax audits in certain jurisdictions during the three months ended December 31, 2016, which resulted in a reduction to the Company’s provision for gross unrecognized tax benefits. In addition, foreign taxes in the nine months ended June 30, 2017 included a net benefit of $9,037 due to a reduction of taxes payable, partially offset by a reduction of deferred tax asset on operating loss carryforwards of certain of the Company’s subsidiaries resulting from internal structural changes during the three months ended March 31, 2017, in certain jurisdictions in which the Company operates. Foreign taxes in the nine months ended June 30, 2017 also included a benefit of $21,352 that was attributable to the expiration, during the three months ended June 30, 2017, of the periods set forth in statutes of limitations related to unrecognized tax benefits accumulated over several years in certain jurisdictions.</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Foreign taxes in the nine months ended June 30, 2016 included a net benefit of $15,264 due to settlements and conclusions of tax audits in certain jurisdictions during the three months ended March 31, 2016, that resulted in a reduction to the Company’s provision for gross unrecognized tax benefits, partially offset by a decrease to the Company’s taxes receivable. Foreign taxes in the nine months ended June 30, 2016 also included a provision for new uncertain tax positions of $21,214 recognized during the nine months ended June 30, 2016. In addition, foreign taxes in the nine months ended June 30, 2016 included a benefit of $19,963 as a result of a release of tax provision in light of a non-taxable internal capital gain recognized during the three months ended March 31, 2016.</w:t>
      </w:r>
    </w:p>
    <w:p>
      <w:pPr>
        <w:spacing w:after="0" w:line="193"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As of June 30, 2017, deferred tax assets of $97,655, derived primarily from tax credits, net capital and operating loss carry forwards related to some of the Company’s subsidiaries, were offset by valuation allowances due to the uncertainty of realizing tax benefit for such credits and losses.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total amount of gross unrecognized tax benefits, which includes interest and penalties, was $188,562 as of June 30, 2017, all of which would affect the effective tax rate if realized. As of June 30, 2017, the Company had accrued $26,774 in income taxes payable for interest and penalties relating to unrecognized tax benefits.</w:t>
      </w:r>
    </w:p>
    <w:p>
      <w:pPr>
        <w:spacing w:after="0" w:line="18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119,264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105,060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329,617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313,622</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and dividends attributable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118,315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326,940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118,322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104,198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326,958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310,822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145,904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148,844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146,439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149,802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(1,232)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144,745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147,612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145,249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148,451</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360"/>
              <w:spacing w:after="0"/>
              <w:rPr>
                <w:sz w:val="20"/>
                <w:szCs w:val="20"/>
                <w:color w:val="auto"/>
              </w:rPr>
            </w:pPr>
            <w:r>
              <w:rPr>
                <w:rFonts w:ascii="Arial" w:cs="Arial" w:eastAsia="Arial" w:hAnsi="Arial"/>
                <w:sz w:val="18"/>
                <w:szCs w:val="18"/>
                <w:color w:val="auto"/>
              </w:rPr>
              <w:t>Effect of assumed conversion of 0.5% convertible notes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146,100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149,494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146,675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and nine months ended June 30, 2017, 1,664 and 1,686 shares, respectively, on a weighted average basis, were attributable to antidilutive outstanding stock options. For the three and nine months ended June 30, 2016, 2,284 and 1,734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Repurchase of Shares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From time to time, the Company’s Board of Directors has adopted share repurchase plans authorizing the repurchase of the Company’s outstanding ordinary shares. The current share repurchase plan, adopted by the Company’s Board of Directors on February 2, 2016, authorizes the repurchase of up to $750,000 of the Company’s outstanding ordinary shares with no expiration date. In the nine months ended June 30, 2017, the Company repurchased approximately 4,113 ordinary shares at an average price of $60.82 per share (excluding broker and transaction fees). As of June 30, 2017, the Company had remaining authority to repurchase up to $346,605 of its outstanding ordinary shares. The authorization permits the Company to purchase its ordinary shares in open market or privately negotiated transactions at times and prices that it considers appropriate.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Financing Arrangements</w:t>
      </w:r>
    </w:p>
    <w:p>
      <w:pPr>
        <w:spacing w:after="0" w:line="12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March 2017, the Company borrowed an aggregate of $200,000 under its unsecured $500,000 five-year revolving credit facility with a syndicate of banks and repaid it in April 2017. As of June 30, 2017, the Company was in compliance with the financial covenants under the revolving credit facility and had no outstanding borrowings under this facility.</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of June 30, 2017, the Company had additional uncommitted lines of credit available for general corporate and other specific purposes and had outstanding letters of credit and bank guarantees from various banks totaling $38,555. These were supported by a combination of the uncommitted lines of credit that the Company maintains with various banks.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Option and Incentive Plan</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2017, the maximum number of ordinary shares authorized to be granted under the Equity Incentive Plan was increased from 62,300 to 67,550. Awards granted under the Equity Incentive Plan generally vest over a period of four years and stock options have a term of ten years.</w:t>
      </w:r>
    </w:p>
    <w:p>
      <w:pPr>
        <w:spacing w:after="0" w:line="15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During the nine months ended June 30, 2017, the Company granted 493 restricted shares and options to purchase 2,015 ordinary shares. The weighted average fair values associated with these grants were $58.65 per restricted share and $7.61 per option.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on their fair values.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2017 and 2016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28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96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142"/>
        </w:trPr>
        <w:tc>
          <w:tcPr>
            <w:tcW w:w="6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2,714</w:t>
            </w: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2,813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4,453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17,250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16,838</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9,812</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34,698</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33,098</w:t>
            </w:r>
          </w:p>
        </w:tc>
        <w:tc>
          <w:tcPr>
            <w:tcW w:w="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of June 30, 2017, there was $47,357 of unrecognized compensation expense related to unvested stock options and unvested restricted shares. The Company recognizes compensation costs using the graded vesting attribution method which results in a weighted average period of approximately one year over which the unrecognized compensation expense is expected to be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2017 and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60" w:type="dxa"/>
            <w:vAlign w:val="bottom"/>
          </w:tcPr>
          <w:p>
            <w:pPr>
              <w:spacing w:after="0"/>
              <w:rPr>
                <w:sz w:val="14"/>
                <w:szCs w:val="14"/>
                <w:color w:val="auto"/>
              </w:rPr>
            </w:pPr>
          </w:p>
        </w:tc>
        <w:tc>
          <w:tcPr>
            <w:tcW w:w="14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9, 2017</w:t>
            </w:r>
          </w:p>
        </w:tc>
        <w:tc>
          <w:tcPr>
            <w:tcW w:w="3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February 1, 2017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0.220</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March 31, 2017</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32,223</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November 8, 2016</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168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88"/>
              </w:rPr>
              <w:t>December 30, 2016</w:t>
            </w:r>
          </w:p>
        </w:tc>
        <w:tc>
          <w:tcPr>
            <w:tcW w:w="68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28,606</w:t>
            </w:r>
          </w:p>
        </w:tc>
        <w:tc>
          <w:tcPr>
            <w:tcW w:w="15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Arial" w:cs="Arial" w:eastAsia="Arial" w:hAnsi="Arial"/>
                <w:sz w:val="18"/>
                <w:szCs w:val="18"/>
                <w:color w:val="auto"/>
              </w:rPr>
              <w:t>May 4, 2016</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0.195</w:t>
            </w: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June 30, 2016</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28,836</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July 15, 2016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March 31, 2016</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29,206</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November 10, 2015</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0.170</w:t>
            </w:r>
          </w:p>
        </w:tc>
        <w:tc>
          <w:tcPr>
            <w:tcW w:w="16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88"/>
              </w:rPr>
              <w:t>December 31, 2015</w:t>
            </w:r>
          </w:p>
        </w:tc>
        <w:tc>
          <w:tcPr>
            <w:tcW w:w="68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25,565</w:t>
            </w: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amounts payable as a result of the May 9, 2017 and May 4, 2016 declarations were included in accrued expenses and other current liabilities as of June 30, 2017 and 2016, respectively.</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2, 2017, the Company’s Board of Directors approved a quarterly dividend payment of $0.22 per share, and set September 29, 2017 as the record date for determining the shareholders entitled to receive the dividend, which is payable on October 20, 2017.</w:t>
      </w:r>
    </w:p>
    <w:p>
      <w:pPr>
        <w:spacing w:after="0" w:line="275" w:lineRule="exact"/>
        <w:rPr>
          <w:sz w:val="20"/>
          <w:szCs w:val="20"/>
          <w:color w:val="auto"/>
        </w:rPr>
      </w:pPr>
    </w:p>
    <w:p>
      <w:pPr>
        <w:ind w:left="460" w:right="9600" w:hanging="452"/>
        <w:spacing w:after="0" w:line="425" w:lineRule="auto"/>
        <w:tabs>
          <w:tab w:leader="none" w:pos="2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i w:val="1"/>
          <w:iCs w:val="1"/>
          <w:color w:val="auto"/>
        </w:rPr>
        <w:t>Legal Proceedings</w:t>
      </w:r>
    </w:p>
    <w:p>
      <w:pPr>
        <w:spacing w:after="0" w:line="1"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Company is currently defending a lawsuit against certain of its subsidiaries in the U.S. District Court in Oregon alleging breach of contract and trade secret misappropriation. According to the suit, the Company improperly utilized information received in connection with its electronic payment processing solution, which is one of several components of its mobile financial services offerings. During fiscal year 2016, the District Court denied the Company’s motions to dismiss and to compel arbitration with respect to certain of the claims, and the proceedings will continue. The Company intends to continue to vigorously defend against the allegations set forth in the complaint. At this stage, the Company cannot determine that a loss amount is probable and is unable to reasonably estimate the ultimate outcome of the above suit, therefore no amounts have been accrued related to the outcome of the suit above.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the Company’s subsidiaries are currently in a dispute with a state-owned enterprise in Ecuador, which appears to have political aspects. The Company’s counterparty has claimed monetary damages. The dispute is over a contract, under which the Company was providing certain services, and which is not anticipated to generate material revenues in future periods. The Company believes it has solid arguments and is vigorously defending its rights. To date, however, such defense efforts, including motions alleging constitutional defects, have encountered a dismissive approach by the Ecuadorian Courts, with reasoning that the Company believes is inconsistent with applicable law. The Company is unable to reasonably estimate the ultimate outcome of the above dispute.</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or more.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2017 and 2016.</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year 2016, filed on December 12, 2016 with the U.S. Securities and Exchange Commission.</w:t>
      </w:r>
    </w:p>
    <w:p>
      <w:pPr>
        <w:spacing w:after="0" w:line="18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March 29, 2017, the Prime Minister of the United Kingdom (“UK”) provided written notification to the European Union (“EU”) of the UK’s intention to withdraw from the EU, which marks the opening of withdrawal negotiations between the UK and the EU, with withdrawal itself scheduled to take effect within two years from the notification date. It remains too early to predict the impact of this withdrawal on the economy in Europe, including the UK. Weakening of economic conditions or economic uncertainties may harm our business. Emergence of such conditions in the UK, or in the rest of Europe, may have an adverse impact on our revenue from Europe, which accounted for 13.8% of our total revenue in fiscal year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Amdocs is a leading provider of software and services for communications, Pay TV, entertainment and media industry service providers in developed countries and emerging markets. We develop, implement and manage software and services associated with business support systems (BSS), operational support systems (OSS), open network solutions and big data analytics to enable service providers to efficiently and cost-effectively introduce new products and services, such as mobile financial services, process orders, monetize data, support new business models and generally enhance their understanding of their customers. We refer to these products, systems and services collectively as customer experience solutions because of the crucial impact they have on the service providers’ end-user experience.</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believe the demand for our customer experience solutions is driven by our clients continued transformation into digital service providers that provide wireless access services, content and apps on any device through 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interaction and across all channels.</w:t>
      </w:r>
    </w:p>
    <w:p>
      <w:pPr>
        <w:spacing w:after="0" w:line="17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Amdocs CES (customer experience solutions) enables service providers to respond to the multidimensional digital interaction demands of customers, as a result of which service providers are expected to offer innovative and personalized services that are delivered consistently across channels and with a seamless network experience. Released in the first quarter of fiscal year 2017, Amdocs CES 10.1 spans BSS, OSS, open network solutions and big data analytics (including technologies that we acquired in connection with our recent Vindicia, Brite:Bill and Pontis acquisitions) to enable service providers to accelerate digital capabilities, increase agility, reduce total cost of ownership and progress their network functions virtualization (NFV) transformation journey. In the fourth quarter of fiscal year 2016, Amdocs launched Amdocs Optima, a converged, cloud-based, multi-tenant digital customer management and commerce platform. It serves midsized communications businesses and mobile virtual network enablers.</w:t>
      </w:r>
    </w:p>
    <w:p>
      <w:pPr>
        <w:spacing w:after="0" w:line="17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We also offer entertainment and media products and services for media publishers, TV networks, video streaming providers, ad agencies and advertising service providers.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entertainment and media industry. In the nine months ended June 30, 2017, customers in North America accounted for 65.9% of our revenue, while customers in Europe and the rest of the world accounted for 12.4% and 21.7%, respectively. We maintain development facilities in Brazil, Canada, Cyprus, India, Ireland, Israel, Mexico, the Philippines, the UK and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900" w:right="54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Contingent subsequent license fee revenue is recognized upon completion of specified conditions in each contract, based on a customer’s subscriber or transaction volume or other measurements when greater than the level specified in the contract for the initial license fee. Revenue from sales of hardware that functions together with the software licenses to provide the essential functionality of the product and that includes significant customization, modification, implementation and integration, is recognized as work is performed, under the percentage of completion method of accounting.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volume of data processed or subscriber count,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172"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17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 significant portion of our revenue is recognized over the course of long-term implementation and integration projects under the percentage of completion method of accounting, usually based on a percentage that incurred labor effort to date bears to total projected labor effort. When total cost estimates exceed revenue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Revenue from managed services arrangements accounted for approximately $496.3 million and $479.2 million in the three months ended June 30, 2017 and 2016, respectively, and $1.50 billion and $1.47 billion in the nine months ended June 30, 2017 and 2016, respectively. In the initial period of our managed services projects, we often invest in modernization and consolidation of the customer’s systems. Managed services engagements can be less profitable in their early stages; however, margins tend to improve over time.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January 2017, the Financial Accounting Standards Board, or FASB, issued an Accounting Standard Update, or ASU, to simplify the accounting for goodwill impairment by removing Step 2 of the goodwill impairment test, which requires a hypothetical purchase price allocation. As such, goodwill impairment will represent the excess of a reporting unit’s carrying amount over its fair value. This ASU will be effective for our annual or any interim goodwill impairment tests in fiscal year 2021 and thereafter.</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January 2017, the FASB issued an ASU that revises and narrows the definition of a business and provides a framework that gives entities a basis for making reasonable judgments about whether a transaction involves an asset or a business. This ASU will be effective for us with respect to transactions occurring on or after October 1, 2018 and early adoption is permitted.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November 2016, the FASB issued an ASU, which requires an entity to include in its cash and cash-equivalent balances in the statement of cash flows those amounts that are deemed to be restricted cash and restricted cash equivalents. The ASU will be effective for us beginning in the first quarter of fiscal year 2019, and early adoption is permitted. We currently expect adoption of this ASU will not have a material impact on our statement of cash flows.</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October 2016, as part of its simplification initiative aimed at reducing complexity in accounting standards, the FASB issued an ASU which removes the prohibition in the current authoritative guidance for accounting for income taxes against the immediate recognition of the current and deferred income tax effects of intra-entity transfers of assets other than inventory. The ASU will be effective for us on October 1, 2018, and early adoption in the first interim period of a fiscal year is permitted. We currently expect adoption of this ASU will not have a material impact on our consolidated financial statements.</w:t>
      </w:r>
    </w:p>
    <w:p>
      <w:pPr>
        <w:spacing w:after="0" w:line="15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August 2016, the FASB issued an ASU that intends to reduce diversity in practice in how certain transactions are classified in the statement of cash flows. The ASU will be effective for us on October 1, 2018, and early adoption is permitted. We currently expect adoption of this ASU will result in reclassification of certain cash payments of contingent considerations included in acquisition agreements from investing activities to financing activities and will not have a material impact on our statement of cash flows.</w:t>
      </w:r>
    </w:p>
    <w:p>
      <w:pPr>
        <w:spacing w:after="0" w:line="18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June 2016, the FASB issued an ASU on accounting for credit losses, which introduces an impairment model that is based on expected losses rather than incurred losses and will apply to financial assets subject to credit losses and measured at amortized cost, and certain off-balance sheet credit exposures. The ASU will be effective for us beginning in the first quarter of fiscal year 2021 and earlier adoption by one year is permitted. We are currently evaluating the impact of adoption of this ASU on our consolidated financial statements.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March 2016, the FASB issued an ASU on employee share-based payments. The ASU simplifies several aspects related to how share-based payments are accounted for and presented in the financial statements, including income taxes, accounting for forfeitures and classification in the statements of cash flows. This ASU will be effective for us on October 1, 2017, and early adoption is permitted. We currently expect adoption of this ASU will not have a material impact on our consolidated financial statements.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February 2016, the FASB issued an ASU on accounting for leases to increase transparency and comparability by providing additional information to users of financial statements regarding an entity’s leasing activities. The ASU requires reporting entities to recognize lease assets and lease liabilities on the balance sheet for most leases, including operating leases, with a term greater than twelve months. This ASU, which will be effective for us beginning in the first quarter of fiscal year 2020, must be adopted using a modified retrospective method and its early adoption is permitted. We are currently evaluating the impact of adoption of this ASU on our consolidated financial statements.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the FASB issued an ASU on recognition and measurement of financial assets and financial liabilities. The ASU affects the accounting for equity investments, financial liabilities under the fair value option, and the presentation and disclosure requirements for financial instruments. This ASU will be effective for us on October 1, 2018, and early adoption is permitted. We expect adoption of this ASU may result in changes in our financial statements presentation but will not affect the content of our consolidated financial statements.</w:t>
      </w:r>
    </w:p>
    <w:p>
      <w:pPr>
        <w:spacing w:after="0" w:line="187" w:lineRule="exact"/>
        <w:rPr>
          <w:sz w:val="20"/>
          <w:szCs w:val="20"/>
          <w:color w:val="auto"/>
        </w:rPr>
      </w:pPr>
    </w:p>
    <w:p>
      <w:pPr>
        <w:ind w:right="440" w:firstLine="456"/>
        <w:spacing w:after="0" w:line="279" w:lineRule="auto"/>
        <w:rPr>
          <w:sz w:val="20"/>
          <w:szCs w:val="20"/>
          <w:color w:val="auto"/>
        </w:rPr>
      </w:pPr>
      <w:r>
        <w:rPr>
          <w:rFonts w:ascii="Arial" w:cs="Arial" w:eastAsia="Arial" w:hAnsi="Arial"/>
          <w:sz w:val="17"/>
          <w:szCs w:val="17"/>
          <w:color w:val="auto"/>
        </w:rPr>
        <w:t>In September 2015, the FASB issued an ASU on simplifying the accounting for measurement-period adjustments in connection with business combinations. The ASU eliminates the requirement to restate prior period financial statements for measurement-period adjustments and requires that the cumulative impact of a measurement-period adjustment be recognized in the reporting period in which the adjustment is identified. This ASU will be effective for us with respect to measurement-period adjustments that occur after October 1, 2017.</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May 2014, the FASB issued an ASU on revenue from contracts with customers, or the new revenue standard, which outlines a single comprehensive model for entities to use in accounting for revenue arising from contracts with customers. The new revenue standard supersedes most current revenue recognition guidance and will be effective for us beginning in the first quarter of fiscal year 2019. In March 2016, the FASB issued ASU 2016-08 that clarifies the implementation guidance for principal versus agent considerations in the new revenue standard. In April 2016, the FASB issued ASU 2016-10 that amends the guidance in the new revenue standard related to identifying performance obligations and accounting for licenses of intellectual property. In May 2016, the FASB issued ASU 2016-12, which amends guidance in the new revenue standard on collectibility, noncash consideration, presentation of sales tax and transition. ASU 2016-08, ASU 2016-10 and ASU 2016-12 must be adopted together with the new revenue standard. We are evaluating the methods of our adoption, as well as the effect that adoption of the new revenue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2017 and 2016, certain items in our consolidated statements of income reflected as a percentage of revenue (figures may not sum because of rounding):</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Three months</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255"/>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100%</w:t>
            </w:r>
          </w:p>
        </w:tc>
        <w:tc>
          <w:tcPr>
            <w:tcW w:w="900" w:type="dxa"/>
            <w:vAlign w:val="bottom"/>
            <w:tcBorders>
              <w:right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expenses:</w:t>
            </w:r>
          </w:p>
        </w:tc>
        <w:tc>
          <w:tcPr>
            <w:tcW w:w="2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56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65.0</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64.6</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64.8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64.7</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60" w:type="dxa"/>
            <w:vAlign w:val="bottom"/>
            <w:gridSpan w:val="3"/>
          </w:tcPr>
          <w:p>
            <w:pPr>
              <w:jc w:val="right"/>
              <w:ind w:right="448"/>
              <w:spacing w:after="0"/>
              <w:rPr>
                <w:sz w:val="20"/>
                <w:szCs w:val="20"/>
                <w:color w:val="auto"/>
              </w:rPr>
            </w:pPr>
            <w:r>
              <w:rPr>
                <w:rFonts w:ascii="Arial" w:cs="Arial" w:eastAsia="Arial" w:hAnsi="Arial"/>
                <w:sz w:val="18"/>
                <w:szCs w:val="18"/>
                <w:color w:val="auto"/>
              </w:rPr>
              <w:t>6.9</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7.0</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6.7</w:t>
            </w: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356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11.8</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12.2</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660" w:type="dxa"/>
            <w:vAlign w:val="bottom"/>
          </w:tcPr>
          <w:p>
            <w:pPr>
              <w:spacing w:after="0"/>
              <w:rPr>
                <w:sz w:val="18"/>
                <w:szCs w:val="18"/>
                <w:color w:val="auto"/>
              </w:rPr>
            </w:pP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2.8</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448"/>
              <w:spacing w:after="0"/>
              <w:rPr>
                <w:sz w:val="20"/>
                <w:szCs w:val="20"/>
                <w:color w:val="auto"/>
              </w:rPr>
            </w:pPr>
            <w:r>
              <w:rPr>
                <w:rFonts w:ascii="Arial" w:cs="Arial" w:eastAsia="Arial" w:hAnsi="Arial"/>
                <w:sz w:val="18"/>
                <w:szCs w:val="18"/>
                <w:color w:val="auto"/>
              </w:rPr>
              <w:t>2.9</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86.6</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86.6</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86.7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86.9</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5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13.4</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13.3</w:t>
            </w:r>
          </w:p>
        </w:tc>
        <w:tc>
          <w:tcPr>
            <w:tcW w:w="5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income, net</w:t>
            </w:r>
          </w:p>
        </w:tc>
        <w:tc>
          <w:tcPr>
            <w:tcW w:w="3560" w:type="dxa"/>
            <w:vAlign w:val="bottom"/>
            <w:tcBorders>
              <w:right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0.1</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900" w:type="dxa"/>
            <w:vAlign w:val="bottom"/>
            <w:tcBorders>
              <w:right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w:t>
            </w:r>
          </w:p>
        </w:tc>
        <w:tc>
          <w:tcPr>
            <w:tcW w:w="460" w:type="dxa"/>
            <w:vAlign w:val="bottom"/>
          </w:tcPr>
          <w:p>
            <w:pPr>
              <w:spacing w:after="0"/>
              <w:rPr>
                <w:sz w:val="19"/>
                <w:szCs w:val="19"/>
                <w:color w:val="auto"/>
              </w:rPr>
            </w:pPr>
          </w:p>
        </w:tc>
        <w:tc>
          <w:tcPr>
            <w:tcW w:w="3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13.3</w:t>
            </w:r>
          </w:p>
        </w:tc>
        <w:tc>
          <w:tcPr>
            <w:tcW w:w="52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w:t>
            </w:r>
          </w:p>
        </w:tc>
        <w:tc>
          <w:tcPr>
            <w:tcW w:w="90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Net income</w:t>
            </w:r>
          </w:p>
        </w:tc>
        <w:tc>
          <w:tcPr>
            <w:tcW w:w="26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12.3%</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11.3%</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11.4%</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60" w:type="dxa"/>
            <w:vAlign w:val="bottom"/>
            <w:vMerge w:val="restart"/>
          </w:tcPr>
          <w:p>
            <w:pPr>
              <w:jc w:val="right"/>
              <w:ind w:right="1930"/>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June 30, 2017 and 2016</w:t>
      </w:r>
    </w:p>
    <w:p>
      <w:pPr>
        <w:spacing w:after="0" w:line="12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2017 compared to the nine months ended June 30, 2016. Following the table is a discussion and analysis of our business and results of operations for such periods.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7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2,887,431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2,777,573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109,858</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1,871,211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1,796,933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74,278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194,411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191,249</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3,162</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352,541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347,853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4,688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76,894</w:t>
            </w: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7,088</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2,502,145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2,412,929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89,216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385,286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364,644</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20,642</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(329.0)</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365,552</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17,655</w:t>
            </w: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51,930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329,617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313,622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4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$109.9 million, or 4.0%, to $2,887.4 million in the nine months ended June 30, 2017, from $2,777.6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2016. The increase in revenue was attributable to increased activity in North America partially offset by lower revenue from Europe. The increase in revenue, which was net of a decrease of approximately 1.0% from the sale of directory systems, was also positively affected by activities related to Vindicia, Brite:Bill and Pontis, which we acquired in September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Revenue attributable to the sale of customer experience solutions increased by $136.4 million, or 5.0%, to $2,841.3 million in the nine months ended June 30, 2017, from $2,704.9 million in the nine months ended June 30, 2016. The increase in revenue was attributable to increased activity in North America partially offset by lower revenue from Europe. Revenue resulting from the sale of customer experience solutions represented 98.4% and 97.4% of our total revenue in the nine months ended June 30, 2017 and 2016, respectively.</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$26.6 million, or 36.6%, to $46.1 million in the nine months ended June 30, 2017, from $72.7 million in the nine months ended June 30, 2016. This decrease was primarily attributable to continued slowness in the directory systems market and we anticipate revenue from the sale of directory systems will continue to decline in fiscal year 2017. Revenue from the sale of directory systems represented 1.6% and 2.6% of our total revenue in the nine months ended June 30, 2017 and 2016, respectively.</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nine months ended June 30, 2017, revenue from customers in North America, Europe and the rest of the world accounted for 65.9%, 12.4% and 21.7%, respectively, of total revenue, compared to 63.2%, 14.2% and 22.6%, respectively, in the nine months ended June 30, 2016. The increase in the percentage of revenue from customers in North America was primarily attributable to increased activity with several customers, particularly AT&amp;T and Pay TV service providers. The decrease in revenue from customers in Europe was attributable to lower revenue from transformation and implementation projects, as well as to negative impact from foreign exchange fluctuations. Revenue from customers in the rest of the world slightly decreased during the nine months ended June 30, 2017, while total revenue increased, which resulted in a decrease in revenue from customers in the rest of the world as a percentage of total revenue.</w:t>
      </w:r>
    </w:p>
    <w:p>
      <w:pPr>
        <w:spacing w:after="0" w:line="189"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of third-party products, as well as fee and royalty payments to software suppliers. Cost of revenue increased by $74.3 million, or 4.1%, to</w:t>
      </w:r>
    </w:p>
    <w:p>
      <w:pPr>
        <w:spacing w:after="0" w:line="253" w:lineRule="auto"/>
        <w:rPr>
          <w:sz w:val="20"/>
          <w:szCs w:val="20"/>
          <w:color w:val="auto"/>
        </w:rPr>
      </w:pPr>
      <w:r>
        <w:rPr>
          <w:rFonts w:ascii="Arial" w:cs="Arial" w:eastAsia="Arial" w:hAnsi="Arial"/>
          <w:sz w:val="18"/>
          <w:szCs w:val="18"/>
          <w:color w:val="auto"/>
        </w:rPr>
        <w:t>$1,871.2 million in the nine months ended June 30, 2017, from $1,796.9 million in the nine months ended June 30, 2016. As a percentage of revenue, cost of revenue increased to 64.8% in the nine months ended June 30, 2017, from 64.7% in the nine months ended June 30, 2016. The decrease in the gross margin in the nine months ended June 30, 2017 was primarily attributable to our activity outside of our established markets, where we continued our penetration efforts in order to expand our business into those markets, which was partially offset by a gain resulting from changes in fair value of certain acquisition-related liabilities recognized in the three months ended March 31, 2017.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$3.2 million, or 1.7%, to $194.4 million in the nine months ended June 30, 2017, from $191.2 million in the nine months ended June 30, 2016. Research and development expense decreased as a percentage of revenue from 6.9% in the nine months ended June 30, 2016, to 6.7% in the nine months ended June 30, 2017.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w:t>
      </w:r>
    </w:p>
    <w:p>
      <w:pPr>
        <w:spacing w:after="0" w:line="16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$4.7 million, or 1.3%, to $352.5 million in the nine months ended June 30, 2017, from $347.9 million in the nine months ended June 30, 2016. The increase in selling, general and administrative expense was primarily attributable to selling and marketing activities related to Vindicia, Brite:Bill and Pontis, which we acquired in September 2016. Selling, general and administrative expense may fluctuate from time to time, depending upon such factors as changes in our workforce and sales efforts and the results of any operational efficiency programs that we may undertake.</w:t>
      </w:r>
    </w:p>
    <w:p>
      <w:pPr>
        <w:spacing w:after="0" w:line="173"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in the nine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increased by $7.1 million to $84.0 million from $76.9 million in the nine months ended June 30, 2016. The increase in amortization of purchased intangible assets and other was primarily attributable to an increase in amortization of intangible assets due to the acquisitions of Vindicia, Brite:Bill and Pontis, partially offset by timing of amortization charges of previously purchased intangible assets, and, to a lesser extent, a decrease in acquisition-related costs.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$20.6 million, or 5.7%, in the nine months ended June 30, 2017, to $385.3 million, or 13.3%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$364.6 million, or 13.1% of revenue, in the nine months ended June 30, 2016. The increase in operating income as a percentage of revenue was attributable to operating expenses, particularly selling, general and administrative expense, increasing at a lower rate than revenue. Positive foreign exchange impacts on our operating expenses, which were partially offset by negative foreign exchange impacts on our revenue, resulted in a minor positive impact on our operating income.</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(Income), Net. </w:t>
      </w:r>
      <w:r>
        <w:rPr>
          <w:rFonts w:ascii="Arial" w:cs="Arial" w:eastAsia="Arial" w:hAnsi="Arial"/>
          <w:sz w:val="18"/>
          <w:szCs w:val="18"/>
          <w:color w:val="auto"/>
        </w:rPr>
        <w:t>Interest and other expense (income), net, changed from a net gain of $0.9 million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2016 to a net loss of $2.1 million in the nine months ended June 30, 2017. The change in interest and other expense (income), net, was primarily attributable to foreign exchange impacts.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2017 were $53.6 million on pre-tax income of $383.2 million, resulting in an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of 14.0%, compared to 14.2% in the nine months ended June 30, 2016. Our effective tax rate may fluctuate between periods as a result of discrete items that may affect a particular period. Please see Note 8 to our consolidated financial statements.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$16.0 million, or 5.1%, to $329.6 million in the nine months ended June 30, 2017, from $313.6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2016. The increase in net income was primarily attributable to the increase in operating income.</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$0.17, or 8.3%, to $2.23 in the nine months ended June 30, 2017, from $2.06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June 30, 2016. The increase in diluted earnings per share was primarily attributable to the increase in net income, and, to a lesser extent, the decrease in the diluted weighted average number of shares outstanding.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2017 and 2016</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2017 compared to the three months ended June 30, 2016. Following the table is a discussion and analysis of our business and results of operations for such periods.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8"/>
              </w:rPr>
              <w:t>Increase (Decrease)</w:t>
            </w: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$966,695</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$930,133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628,640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601,249</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27,391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67,118</w:t>
            </w:r>
          </w:p>
        </w:tc>
        <w:tc>
          <w:tcPr>
            <w:tcW w:w="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65,051</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2,067</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113,997</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113,831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27,028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1,988</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836,783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31,612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4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21,015</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(9,215)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119,264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105,060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14,204</w:t>
            </w:r>
          </w:p>
        </w:tc>
        <w:tc>
          <w:tcPr>
            <w:tcW w:w="4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$36.6 million, or 3.9%, to $966.7 million in the three months ended June 30, 2017, from $930.1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2016. The increase in revenue was primarily attributable to increased activity in North America. The increase in revenue, which was net of a decrease of approximately 1.0% from the sale of directory systems, was also positively affected by activities related to Vindicia, Brite:Bill and Pontis, which we acquired in September 2016.</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Revenue attributable to the sale of customer experience solutions increased by $46.7 million, or 5.1%, to $954.8 million in the three months ended June 30, 2017, from $908.1 million in the three months ended June 30, 2016. The increase in revenue was attributable to increased activity in North America. Revenue resulting from the sale of customer experience solutions represented 98.8% and 97.6% of our total revenue in the three months ended June 30, 2017 and 2016, respectively.</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Revenue attributable to the sale of directory systems decreased by $10.1 million, or 45.9%, to $11.9 million in the three months ended June 30, 2017, from $22.0 million in the three months ended June 30, 2016. This decrease was primarily attributable to continued slowness in the directory systems market and we anticipate revenue from the sale of directory systems will continue to decline in fiscal year 2017. Revenue from the sale of directory systems represented 1.2% and 2.4% of our total revenue in the three months ended June 30, 2017 and 2016, respectively.</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the three months ended June 30, 2017, revenue from customers in North America, Europe and the rest of the world accounted for 66.0%, 12.9% and 21.1%, respectively, of total revenue, compared to 63.6%, 13.6% and 22.8%, respectively, in the three months ended June 30, 2016. The increase in the percentage of revenue from customers in North America was primarily attributable to increased activity with several customers, particularly AT&amp;T and Pay TV service providers. Revenue from customers in Europe slightly decreased during the three months ended June 30, 2017, while total revenue increased, which resulted in a decrease in revenue from customers in Europe as a percentage of total revenue. Revenue from customers in the rest of the world decreased as a percentage of total revenue mainly as a result of lower revenue from customers in Latin America.</w:t>
      </w:r>
    </w:p>
    <w:p>
      <w:pPr>
        <w:spacing w:after="0" w:line="17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increased by $27.4 million, or 4.6%, to $628.6 million in the three months ended June 30, 2017, from $601.2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three months ended June 30, 2016. As a percentage of revenue, cost of revenue increased to 65.0% in the three months ended June 30, 2017, from</w:t>
      </w:r>
    </w:p>
    <w:p>
      <w:pPr>
        <w:ind w:right="180"/>
        <w:spacing w:after="0" w:line="323" w:lineRule="auto"/>
        <w:rPr>
          <w:sz w:val="20"/>
          <w:szCs w:val="20"/>
          <w:color w:val="auto"/>
        </w:rPr>
      </w:pPr>
      <w:r>
        <w:rPr>
          <w:rFonts w:ascii="Arial" w:cs="Arial" w:eastAsia="Arial" w:hAnsi="Arial"/>
          <w:sz w:val="16"/>
          <w:szCs w:val="16"/>
          <w:color w:val="auto"/>
        </w:rPr>
        <w:t>64.6% in the three months ended June 30, 2016. The decrease in the gross margin in the three months ended June 30, 2017 was primarily attributable to our activity outside of our established markets, where we continued our penetration efforts in order to expand our business into those markets.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increased by $2.1 million, or 3.2%, to $67.1 million in the three months ended</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June 30, 2017, from $65.1 million in the three months ended June 30, 2016. Research and development expense as a percentage of revenue decreased to 6.9% in the three months ended June 30, 2017, from 7.0% in the three months ended June 30, 2016.</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$0.2 million, or 0.1%, to $114.0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from $113.8 million in the three months ended June 30, 2016.</w:t>
      </w:r>
    </w:p>
    <w:p>
      <w:pPr>
        <w:spacing w:after="0" w:line="170"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Amortization of Purchased Intangible Assets and Other. </w:t>
      </w:r>
      <w:r>
        <w:rPr>
          <w:rFonts w:ascii="Arial" w:cs="Arial" w:eastAsia="Arial" w:hAnsi="Arial"/>
          <w:sz w:val="17"/>
          <w:szCs w:val="17"/>
          <w:color w:val="auto"/>
        </w:rPr>
        <w:t>Amortization of purchased intangible assets and other in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increased by $2.0 million to $27.0 million from $25.0 million in the three months ended June 30, 2016. The increase in amortization of purchased intangible assets and other was primarily attributable to an increase in amortization of intangible assets due to the acquisitions of Vindicia, Brite:Bill and Pontis, partially offset by timing of amortization charges of previously purchased intangible assets.</w:t>
      </w:r>
    </w:p>
    <w:p>
      <w:pPr>
        <w:spacing w:after="0" w:line="17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$5.0 million, or 4.0%, in the three months ended June 30, 2017, to $129.9 million, or 13.4%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$125.0 million, or 13.4% of revenue, in the three months ended June 30, 2016. As a percentage of revenue, operating income remained flat as a result of operating expenses increasing at the same rate as revenue.</w:t>
      </w:r>
    </w:p>
    <w:p>
      <w:pPr>
        <w:spacing w:after="0" w:line="18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2017 were $11.8 million on pre-tax income of $131.1 million, resulting in an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rate of 9.0%, compared to 16.7% in the three months ended June 30, 2016. Please see Note 8 to our consolidated financial statements.</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$14.2 million, or 13.5%, to $119.3 million in the three months ended June 30, 2017, from $105.1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2016. The increase in net income was primarily attributable to the decrease in income taxes, and, to a lesser extent, the increase in operating income.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$0.11, or 15.7%, to $0.81 in the three months ended June 30, 2017, from $0.70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2016. The increase in diluted earnings per share was primarily attributable to the increase in net income, and, to a lesser extent, the decrease in the diluted weighted average number of shares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net of short-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term debt, totaled $963.0 million as of June 30, 2017, compared to $895.7 million as of September 30, 2016. The increase was mainly attributable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$437.1 million in positive cash flow from operations and $75.8 million of proceeds from stock option exercises, partially offset by $250.2 million used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repurchase our ordinary shares, $98.6 million for capital expenditures, net, and $89.5 million of cash dividend payment. Net cash provided by operating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activities amounted to $437.1 million and $467.5 million in the nine months ended June 30, 2017 and 2016, respectively.</w:t>
      </w:r>
    </w:p>
    <w:p>
      <w:pPr>
        <w:spacing w:after="0" w:line="21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twelve months.</w:t>
      </w:r>
    </w:p>
    <w:p>
      <w:pPr>
        <w:spacing w:after="0" w:line="18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As a general long-term guideline, we expect to retain a portion of our free cash flow (calculated as cash flow from operations less net capital expenditures and other) to support the growth of our business, including possible mergers and acquisitions, with the majority returned to our shareholders through share repurchases and dividends. Our actual share repurchase activity and payment of future dividends, if any, may vary quarterly or annually and will be based on several factors including our financial performance, outlook and liquidity, the size of possible mergers and acquisitions activity, financial market conditions and prevailing industry conditions.</w:t>
      </w:r>
    </w:p>
    <w:p>
      <w:pPr>
        <w:spacing w:after="0" w:line="1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and U.S. agency securities. We believe we have conservative investment policy guidelines. Our interest-bearing investments are stated at fair value with the unrealized gains or losses reported as a separate component of accumulated other comprehensive income, net of tax, unless a security is other than temporarily impaired,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2017 and 2016, we did not recognize any credit losses. Please see Notes 3 and 4 to the consolidated financial statements.</w:t>
      </w:r>
    </w:p>
    <w:p>
      <w:pPr>
        <w:spacing w:after="0" w:line="16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i w:val="1"/>
          <w:iCs w:val="1"/>
          <w:color w:val="auto"/>
        </w:rPr>
        <w:t xml:space="preserve">Revolving Credit Facility, Letters of Credit, Guarantees and Contractual Obligations. </w:t>
      </w:r>
      <w:r>
        <w:rPr>
          <w:rFonts w:ascii="Arial" w:cs="Arial" w:eastAsia="Arial" w:hAnsi="Arial"/>
          <w:sz w:val="17"/>
          <w:szCs w:val="17"/>
          <w:color w:val="auto"/>
        </w:rPr>
        <w:t>In March 2017, we borrowed an aggregate of $200.0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unsecured $500 million revolving credit facility with a syndicate of banks and repaid it in April 2017. As of June 30, 2017, we were in compliance with the financial covenants under the revolving credit facility and had no outstanding borrowings under this facility.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As of June 30, 2017, we had additional uncommitted lines of credit available for general corporate and other specific purposes and had outstanding letters of credit and bank guarantees from various banks totaling $38.6 million. These were supported by a combination of the uncommitted lines of credit that we maintain with various banks.</w:t>
      </w:r>
    </w:p>
    <w:p>
      <w:pPr>
        <w:spacing w:after="0" w:line="181"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We have contractual obligations for our non-cancelable operating leases, long-term debt, purchase obligations, pension funding and unrecognized tax benefits summarized in the disclosure of contractual obligations set forth in our Annual Report on Form 20-F for the fiscal year ended September 30, 2016, filed on December 12, 2016 with the SEC. Since September 30, 2016, there have been no material changes in our aggregate contractual obligations.</w:t>
      </w:r>
    </w:p>
    <w:p>
      <w:pPr>
        <w:spacing w:after="0" w:line="14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Generally, 80% to 90% of our capital expenditures consist of purchases of computer equipment, and the remainder is attributable</w:t>
      </w:r>
      <w:r>
        <w:rPr>
          <w:rFonts w:ascii="Arial" w:cs="Arial" w:eastAsia="Arial" w:hAnsi="Arial"/>
          <w:sz w:val="17"/>
          <w:szCs w:val="17"/>
          <w:i w:val="1"/>
          <w:iCs w:val="1"/>
          <w:color w:val="auto"/>
        </w:rPr>
        <w:t xml:space="preserve"> </w:t>
      </w:r>
      <w:r>
        <w:rPr>
          <w:rFonts w:ascii="Arial" w:cs="Arial" w:eastAsia="Arial" w:hAnsi="Arial"/>
          <w:sz w:val="17"/>
          <w:szCs w:val="17"/>
          <w:color w:val="auto"/>
        </w:rPr>
        <w:t>mainly to leasehold improvements. Our capital expenditures were approximately $98.6 million in the nine months ended June 30, 2017 and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From time to time, our Board of Directors has adopted share repurchase plans authorizing the repurchase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The current share repurchase plan, adopted by our Board of Directors on February 2, 2016, authorizes the repurchase of up to $750.0 million of our outstanding ordinary shares with no expiration date. In the nine months ended June 30, 2017, we repurchased approximately 4.1 million ordinary shares at an average price of $60.82 per share (excluding broker and transaction fees). As of June 30, 2017, we had remaining authority to repurchase up to $346.6 million of our outstanding ordinary shares. The authorization permits us to purchase our ordinary shares in open market or privately negotiated transactions at times and prices that we consider appropriate.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2017 and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44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Dividends Per</w:t>
            </w:r>
          </w:p>
        </w:tc>
        <w:tc>
          <w:tcPr>
            <w:tcW w:w="240" w:type="dxa"/>
            <w:vAlign w:val="bottom"/>
          </w:tcPr>
          <w:p>
            <w:pPr>
              <w:spacing w:after="0"/>
              <w:rPr>
                <w:sz w:val="14"/>
                <w:szCs w:val="14"/>
                <w:color w:val="auto"/>
              </w:rPr>
            </w:pPr>
          </w:p>
        </w:tc>
        <w:tc>
          <w:tcPr>
            <w:tcW w:w="18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6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Ordinary Share</w:t>
            </w:r>
          </w:p>
        </w:tc>
        <w:tc>
          <w:tcPr>
            <w:tcW w:w="24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9, 2017</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0.220</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2017</w:t>
            </w: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14, 2017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February 1, 2017</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0.220</w:t>
            </w:r>
          </w:p>
        </w:tc>
        <w:tc>
          <w:tcPr>
            <w:tcW w:w="2100" w:type="dxa"/>
            <w:vAlign w:val="bottom"/>
            <w:gridSpan w:val="3"/>
          </w:tcPr>
          <w:p>
            <w:pPr>
              <w:ind w:left="240"/>
              <w:spacing w:after="0"/>
              <w:rPr>
                <w:sz w:val="20"/>
                <w:szCs w:val="20"/>
                <w:color w:val="auto"/>
              </w:rPr>
            </w:pPr>
            <w:r>
              <w:rPr>
                <w:rFonts w:ascii="Arial" w:cs="Arial" w:eastAsia="Arial" w:hAnsi="Arial"/>
                <w:sz w:val="18"/>
                <w:szCs w:val="18"/>
                <w:color w:val="auto"/>
              </w:rPr>
              <w:t>March 31, 2017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April 14, 2017</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2016</w:t>
            </w:r>
          </w:p>
        </w:tc>
        <w:tc>
          <w:tcPr>
            <w:tcW w:w="780" w:type="dxa"/>
            <w:vAlign w:val="bottom"/>
            <w:tcBorders>
              <w:bottom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2100" w:type="dxa"/>
            <w:vAlign w:val="bottom"/>
            <w:tcBorders>
              <w:bottom w:val="single" w:sz="8" w:color="auto"/>
            </w:tcBorders>
            <w:gridSpan w:val="3"/>
            <w:shd w:val="clear" w:color="auto" w:fill="CCEEFF"/>
          </w:tcPr>
          <w:p>
            <w:pPr>
              <w:ind w:left="240"/>
              <w:spacing w:after="0"/>
              <w:rPr>
                <w:sz w:val="20"/>
                <w:szCs w:val="20"/>
                <w:color w:val="auto"/>
              </w:rPr>
            </w:pPr>
            <w:r>
              <w:rPr>
                <w:rFonts w:ascii="Arial" w:cs="Arial" w:eastAsia="Arial" w:hAnsi="Arial"/>
                <w:sz w:val="18"/>
                <w:szCs w:val="18"/>
                <w:color w:val="auto"/>
              </w:rPr>
              <w:t>December 30, 2016</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15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w w:val="87"/>
              </w:rPr>
              <w:t>January 13, 2017</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May 4, 2016</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0.195</w:t>
            </w:r>
          </w:p>
        </w:tc>
        <w:tc>
          <w:tcPr>
            <w:tcW w:w="2100" w:type="dxa"/>
            <w:vAlign w:val="bottom"/>
            <w:gridSpan w:val="3"/>
          </w:tcPr>
          <w:p>
            <w:pPr>
              <w:ind w:left="240"/>
              <w:spacing w:after="0"/>
              <w:rPr>
                <w:sz w:val="20"/>
                <w:szCs w:val="20"/>
                <w:color w:val="auto"/>
              </w:rPr>
            </w:pPr>
            <w:r>
              <w:rPr>
                <w:rFonts w:ascii="Arial" w:cs="Arial" w:eastAsia="Arial" w:hAnsi="Arial"/>
                <w:sz w:val="18"/>
                <w:szCs w:val="18"/>
                <w:color w:val="auto"/>
              </w:rPr>
              <w:t>June 30, 2016</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28.8</w:t>
            </w:r>
          </w:p>
        </w:tc>
        <w:tc>
          <w:tcPr>
            <w:tcW w:w="1500" w:type="dxa"/>
            <w:vAlign w:val="bottom"/>
            <w:gridSpan w:val="2"/>
          </w:tcPr>
          <w:p>
            <w:pPr>
              <w:ind w:left="260"/>
              <w:spacing w:after="0"/>
              <w:rPr>
                <w:sz w:val="20"/>
                <w:szCs w:val="20"/>
                <w:color w:val="auto"/>
              </w:rPr>
            </w:pPr>
            <w:r>
              <w:rPr>
                <w:rFonts w:ascii="Arial" w:cs="Arial" w:eastAsia="Arial" w:hAnsi="Arial"/>
                <w:sz w:val="18"/>
                <w:szCs w:val="18"/>
                <w:color w:val="auto"/>
              </w:rPr>
              <w:t>July 15, 2016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February 2, 2016</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0.195</w:t>
            </w:r>
          </w:p>
        </w:tc>
        <w:tc>
          <w:tcPr>
            <w:tcW w:w="21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March 31, 2016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15, 2016</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2015</w:t>
            </w:r>
          </w:p>
        </w:tc>
        <w:tc>
          <w:tcPr>
            <w:tcW w:w="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0.170</w:t>
            </w:r>
          </w:p>
        </w:tc>
        <w:tc>
          <w:tcPr>
            <w:tcW w:w="21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December 31, 2015</w:t>
            </w: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25.6</w:t>
            </w: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87"/>
              </w:rPr>
              <w:t>January 15, 2016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August 2, 2017, our Board of Directors approved a quarterly dividend payment of $0.22 per share, and set September 29, 2017 as the record date for determining the shareholders entitled to receive the dividend, which is payable on October 20, 2017.</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During the nine months ended June 30, 2017 and 2016, approximately 70% to 80% of our revenue and approximately 50% to 60% of our operating expenses were in U.S. dollars or linked to the U.S. dollar. If more customers seek contracts in currencies other than the 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Changes in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2017 of equity securities that are registered by us pursuant to Section 12 of the Exchange Act: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Shares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rPr>
              <w:t>(b)</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20" w:type="dxa"/>
            <w:vAlign w:val="bottom"/>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2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740" w:type="dxa"/>
            <w:vAlign w:val="bottom"/>
            <w:gridSpan w:val="2"/>
            <w:vMerge w:val="restart"/>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3740" w:type="dxa"/>
            <w:vAlign w:val="bottom"/>
            <w:tcBorders>
              <w:bottom w:val="single" w:sz="8" w:color="CCEEFF"/>
            </w:tcBorders>
            <w:gridSpan w:val="2"/>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Paid per Share(1)</w:t>
            </w:r>
          </w:p>
        </w:tc>
        <w:tc>
          <w:tcPr>
            <w:tcW w:w="6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or Programs(2)</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04/01/17-04/30/17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417,599,158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05/01/17-05/31/17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507,558</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62.99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507,558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385,628,370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06/01/17-06/30/17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600,363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600,363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346,604,942</w:t>
            </w:r>
          </w:p>
        </w:tc>
        <w:tc>
          <w:tcPr>
            <w:tcW w:w="0" w:type="dxa"/>
            <w:vAlign w:val="bottom"/>
          </w:tcPr>
          <w:p>
            <w:pPr>
              <w:spacing w:after="0"/>
              <w:rPr>
                <w:sz w:val="1"/>
                <w:szCs w:val="1"/>
                <w:color w:val="auto"/>
              </w:rPr>
            </w:pPr>
          </w:p>
        </w:tc>
      </w:tr>
      <w:tr>
        <w:trPr>
          <w:trHeight w:val="223"/>
        </w:trPr>
        <w:tc>
          <w:tcPr>
            <w:tcW w:w="462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1,418,976</w:t>
            </w:r>
          </w:p>
        </w:tc>
        <w:tc>
          <w:tcPr>
            <w:tcW w:w="20" w:type="dxa"/>
            <w:vAlign w:val="bottom"/>
            <w:tcBorders>
              <w:bottom w:val="single" w:sz="8" w:color="auto"/>
            </w:tcBorders>
          </w:tcPr>
          <w:p>
            <w:pPr>
              <w:spacing w:after="0"/>
              <w:rPr>
                <w:sz w:val="19"/>
                <w:szCs w:val="19"/>
                <w:color w:val="auto"/>
              </w:rPr>
            </w:pP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63.41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1,418,976</w:t>
            </w:r>
          </w:p>
        </w:tc>
        <w:tc>
          <w:tcPr>
            <w:tcW w:w="30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346,604,942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2016, our Board of Directors adopted a share repurchase plan authorizing the repurchase of up to $750.0 million of our outstanding ordinary shares, which has no expiration date and permits us to purchase our ordinary shares in open market or privately negotiated transactions at times and prices we consider appropriate.</w:t>
      </w:r>
    </w:p>
    <w:p>
      <w:pPr>
        <w:spacing w:after="0" w:line="33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Reports on Form 6-K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2017:</w:t>
      </w:r>
    </w:p>
    <w:p>
      <w:pPr>
        <w:spacing w:after="0" w:line="22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10, 2017</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6-K dated May 22, 2017</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24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 August 14,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sectPr>
      <w:pgSz w:w="11900" w:h="16838" w:orient="portrait"/>
      <w:cols w:equalWidth="0" w:num="1">
        <w:col w:w="10740"/>
      </w:cols>
      <w:pgMar w:left="240" w:top="459"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2019-12-06T09:49:37Z</dcterms:created>
  <dcterms:modified xsi:type="dcterms:W3CDTF">2019-12-06T09:49:37Z</dcterms:modified>
</cp:coreProperties>
</file>