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8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8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March 31, 2009</w:t>
      </w:r>
    </w:p>
    <w:p>
      <w:pPr>
        <w:spacing w:after="0" w:line="225"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0"/>
          <w:szCs w:val="20"/>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Suite 5, Tower Hill House Le Bordage</w:t>
      </w:r>
    </w:p>
    <w:p>
      <w:pPr>
        <w:spacing w:after="0" w:line="7"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St. Peter Port, Island of Guernsey, GY1 3QT</w:t>
      </w:r>
    </w:p>
    <w:p>
      <w:pPr>
        <w:spacing w:after="0" w:line="211"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9"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0"/>
          <w:szCs w:val="20"/>
          <w:color w:val="auto"/>
        </w:rPr>
      </w:pPr>
    </w:p>
    <w:p>
      <w:pPr>
        <w:ind w:left="44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0"/>
          <w:szCs w:val="20"/>
          <w:color w:val="auto"/>
        </w:rPr>
      </w:pPr>
    </w:p>
    <w:p>
      <w:pPr>
        <w:ind w:left="5020"/>
        <w:spacing w:after="0" w:line="207" w:lineRule="exact"/>
        <w:tabs>
          <w:tab w:leader="none" w:pos="59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122" w:right="10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80" w:type="dxa"/>
            <w:vAlign w:val="bottom"/>
            <w:gridSpan w:val="2"/>
          </w:tcPr>
          <w:p>
            <w:pPr>
              <w:jc w:val="center"/>
              <w:ind w:right="2370"/>
              <w:spacing w:after="0"/>
              <w:rPr>
                <w:sz w:val="20"/>
                <w:szCs w:val="20"/>
                <w:color w:val="auto"/>
              </w:rPr>
            </w:pPr>
            <w:r>
              <w:rPr>
                <w:rFonts w:ascii="Arial" w:cs="Arial" w:eastAsia="Arial" w:hAnsi="Arial"/>
                <w:sz w:val="18"/>
                <w:szCs w:val="18"/>
                <w:color w:val="auto"/>
              </w:rPr>
              <w:t>AMDOCS LIMITED</w:t>
            </w:r>
          </w:p>
        </w:tc>
        <w:tc>
          <w:tcPr>
            <w:tcW w:w="198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tcPr>
          <w:p>
            <w:pPr>
              <w:jc w:val="center"/>
              <w:ind w:right="2750"/>
              <w:spacing w:after="0"/>
              <w:rPr>
                <w:sz w:val="20"/>
                <w:szCs w:val="20"/>
                <w:color w:val="auto"/>
              </w:rPr>
            </w:pPr>
            <w:r>
              <w:rPr>
                <w:rFonts w:ascii="Arial" w:cs="Arial" w:eastAsia="Arial" w:hAnsi="Arial"/>
                <w:sz w:val="18"/>
                <w:szCs w:val="18"/>
                <w:color w:val="auto"/>
                <w:w w:val="97"/>
              </w:rPr>
              <w:t>FORM 6-K</w:t>
            </w:r>
          </w:p>
        </w:tc>
        <w:tc>
          <w:tcPr>
            <w:tcW w:w="198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60" w:type="dxa"/>
            <w:vAlign w:val="bottom"/>
            <w:gridSpan w:val="4"/>
          </w:tcPr>
          <w:p>
            <w:pPr>
              <w:jc w:val="center"/>
              <w:ind w:right="1290"/>
              <w:spacing w:after="0"/>
              <w:rPr>
                <w:sz w:val="20"/>
                <w:szCs w:val="20"/>
                <w:color w:val="auto"/>
              </w:rPr>
            </w:pPr>
            <w:r>
              <w:rPr>
                <w:rFonts w:ascii="Arial" w:cs="Arial" w:eastAsia="Arial" w:hAnsi="Arial"/>
                <w:sz w:val="18"/>
                <w:szCs w:val="18"/>
                <w:color w:val="auto"/>
                <w:w w:val="92"/>
              </w:rPr>
              <w:t>REPORT OF FOREIGN PRIVATE ISSUER</w:t>
            </w:r>
          </w:p>
        </w:tc>
        <w:tc>
          <w:tcPr>
            <w:tcW w:w="198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60" w:type="dxa"/>
            <w:vAlign w:val="bottom"/>
            <w:gridSpan w:val="4"/>
          </w:tcPr>
          <w:p>
            <w:pPr>
              <w:jc w:val="center"/>
              <w:ind w:right="1310"/>
              <w:spacing w:after="0"/>
              <w:rPr>
                <w:sz w:val="20"/>
                <w:szCs w:val="20"/>
                <w:color w:val="auto"/>
              </w:rPr>
            </w:pPr>
            <w:r>
              <w:rPr>
                <w:rFonts w:ascii="Arial" w:cs="Arial" w:eastAsia="Arial" w:hAnsi="Arial"/>
                <w:sz w:val="18"/>
                <w:szCs w:val="18"/>
                <w:color w:val="auto"/>
                <w:w w:val="94"/>
              </w:rPr>
              <w:t>FOR THE QUARTER ENDED MARCH 31, 2009</w:t>
            </w:r>
          </w:p>
        </w:tc>
        <w:tc>
          <w:tcPr>
            <w:tcW w:w="198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tcPr>
          <w:p>
            <w:pPr>
              <w:jc w:val="center"/>
              <w:ind w:right="2750"/>
              <w:spacing w:after="0"/>
              <w:rPr>
                <w:sz w:val="20"/>
                <w:szCs w:val="20"/>
                <w:color w:val="auto"/>
              </w:rPr>
            </w:pPr>
            <w:r>
              <w:rPr>
                <w:rFonts w:ascii="Arial" w:cs="Arial" w:eastAsia="Arial" w:hAnsi="Arial"/>
                <w:sz w:val="18"/>
                <w:szCs w:val="18"/>
                <w:color w:val="auto"/>
              </w:rPr>
              <w:t>INDEX</w:t>
            </w:r>
          </w:p>
        </w:tc>
        <w:tc>
          <w:tcPr>
            <w:tcW w:w="1980" w:type="dxa"/>
            <w:vAlign w:val="bottom"/>
          </w:tcPr>
          <w:p>
            <w:pPr>
              <w:spacing w:after="0"/>
              <w:rPr>
                <w:sz w:val="24"/>
                <w:szCs w:val="24"/>
                <w:color w:val="auto"/>
              </w:rPr>
            </w:pPr>
          </w:p>
        </w:tc>
      </w:tr>
      <w:tr>
        <w:trPr>
          <w:trHeight w:val="392"/>
        </w:trPr>
        <w:tc>
          <w:tcPr>
            <w:tcW w:w="934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20" w:type="dxa"/>
            <w:vAlign w:val="bottom"/>
            <w:tcBorders>
              <w:top w:val="single" w:sz="8" w:color="0000EE"/>
            </w:tcBorders>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54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560" w:type="dxa"/>
            <w:vAlign w:val="bottom"/>
            <w:tcBorders>
              <w:top w:val="single" w:sz="8" w:color="0000EE"/>
            </w:tcBorders>
            <w:gridSpan w:val="4"/>
          </w:tcPr>
          <w:p>
            <w:pPr>
              <w:spacing w:after="0"/>
              <w:rPr>
                <w:sz w:val="17"/>
                <w:szCs w:val="17"/>
                <w:color w:val="auto"/>
              </w:rPr>
            </w:pPr>
          </w:p>
        </w:tc>
        <w:tc>
          <w:tcPr>
            <w:tcW w:w="6500" w:type="dxa"/>
            <w:vAlign w:val="bottom"/>
            <w:gridSpan w:val="6"/>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22"/>
        </w:trPr>
        <w:tc>
          <w:tcPr>
            <w:tcW w:w="220" w:type="dxa"/>
            <w:vAlign w:val="bottom"/>
          </w:tcPr>
          <w:p>
            <w:pPr>
              <w:spacing w:after="0"/>
              <w:rPr>
                <w:sz w:val="19"/>
                <w:szCs w:val="19"/>
                <w:color w:val="auto"/>
              </w:rPr>
            </w:pPr>
          </w:p>
        </w:tc>
        <w:tc>
          <w:tcPr>
            <w:tcW w:w="9120" w:type="dxa"/>
            <w:vAlign w:val="bottom"/>
            <w:gridSpan w:val="14"/>
          </w:tcPr>
          <w:p>
            <w:pPr>
              <w:ind w:left="200"/>
              <w:spacing w:after="0"/>
              <w:rPr>
                <w:sz w:val="20"/>
                <w:szCs w:val="20"/>
                <w:color w:val="auto"/>
              </w:rPr>
            </w:pPr>
            <w:r>
              <w:rPr>
                <w:rFonts w:ascii="Arial" w:cs="Arial" w:eastAsia="Arial" w:hAnsi="Arial"/>
                <w:sz w:val="18"/>
                <w:szCs w:val="18"/>
                <w:color w:val="auto"/>
              </w:rPr>
              <w:t>Unaudited Consolidated Financial Statements</w:t>
            </w:r>
          </w:p>
        </w:tc>
        <w:tc>
          <w:tcPr>
            <w:tcW w:w="1980" w:type="dxa"/>
            <w:vAlign w:val="bottom"/>
          </w:tcPr>
          <w:p>
            <w:pPr>
              <w:spacing w:after="0"/>
              <w:rPr>
                <w:sz w:val="19"/>
                <w:szCs w:val="19"/>
                <w:color w:val="auto"/>
              </w:rPr>
            </w:pPr>
          </w:p>
        </w:tc>
      </w:tr>
      <w:tr>
        <w:trPr>
          <w:trHeight w:val="190"/>
        </w:trPr>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720" w:type="dxa"/>
            <w:vAlign w:val="bottom"/>
            <w:gridSpan w:val="13"/>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19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2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Income</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20" w:type="dxa"/>
            <w:vAlign w:val="bottom"/>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Changes in Shareholders’ Equity</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440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2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340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Operating and Financial Review and Prospects</w:t>
              </w:r>
            </w:hyperlink>
          </w:p>
        </w:tc>
        <w:tc>
          <w:tcPr>
            <w:tcW w:w="5200" w:type="dxa"/>
            <w:vAlign w:val="bottom"/>
            <w:gridSpan w:val="3"/>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54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PART II OTHER INFORMATION</w:t>
              </w:r>
            </w:hyperlink>
          </w:p>
        </w:tc>
        <w:tc>
          <w:tcPr>
            <w:tcW w:w="6800" w:type="dxa"/>
            <w:vAlign w:val="bottom"/>
            <w:gridSpan w:val="8"/>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22"/>
        </w:trPr>
        <w:tc>
          <w:tcPr>
            <w:tcW w:w="220" w:type="dxa"/>
            <w:vAlign w:val="bottom"/>
          </w:tcPr>
          <w:p>
            <w:pPr>
              <w:spacing w:after="0"/>
              <w:rPr>
                <w:sz w:val="19"/>
                <w:szCs w:val="19"/>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w w:val="90"/>
              </w:rPr>
              <w:t>Item 1.</w:t>
            </w:r>
          </w:p>
        </w:tc>
        <w:tc>
          <w:tcPr>
            <w:tcW w:w="8600" w:type="dxa"/>
            <w:vAlign w:val="bottom"/>
            <w:gridSpan w:val="12"/>
          </w:tcPr>
          <w:p>
            <w:pPr>
              <w:ind w:left="20"/>
              <w:spacing w:after="0"/>
              <w:rPr>
                <w:sz w:val="20"/>
                <w:szCs w:val="20"/>
                <w:color w:val="auto"/>
              </w:rPr>
            </w:pPr>
            <w:r>
              <w:rPr>
                <w:rFonts w:ascii="Arial" w:cs="Arial" w:eastAsia="Arial" w:hAnsi="Arial"/>
                <w:sz w:val="18"/>
                <w:szCs w:val="18"/>
                <w:color w:val="auto"/>
              </w:rPr>
              <w:t>Changes in Securities, Use of Proceeds and Issuer Purchases of Equity Securities</w:t>
            </w:r>
          </w:p>
        </w:tc>
        <w:tc>
          <w:tcPr>
            <w:tcW w:w="1980" w:type="dxa"/>
            <w:vAlign w:val="bottom"/>
          </w:tcPr>
          <w:p>
            <w:pPr>
              <w:spacing w:after="0"/>
              <w:rPr>
                <w:sz w:val="19"/>
                <w:szCs w:val="19"/>
                <w:color w:val="auto"/>
              </w:rPr>
            </w:pPr>
          </w:p>
        </w:tc>
      </w:tr>
      <w:tr>
        <w:trPr>
          <w:trHeight w:val="190"/>
        </w:trPr>
        <w:tc>
          <w:tcPr>
            <w:tcW w:w="220" w:type="dxa"/>
            <w:vAlign w:val="bottom"/>
          </w:tcPr>
          <w:p>
            <w:pPr>
              <w:spacing w:after="0"/>
              <w:rPr>
                <w:sz w:val="16"/>
                <w:szCs w:val="16"/>
                <w:color w:val="auto"/>
              </w:rPr>
            </w:pPr>
          </w:p>
        </w:tc>
        <w:tc>
          <w:tcPr>
            <w:tcW w:w="520" w:type="dxa"/>
            <w:vAlign w:val="bottom"/>
            <w:tcBorders>
              <w:bottom w:val="single" w:sz="8" w:color="0000EE"/>
            </w:tcBorders>
            <w:gridSpan w:val="2"/>
          </w:tcPr>
          <w:p>
            <w:pPr>
              <w:spacing w:after="0" w:line="190"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1580" w:type="dxa"/>
            <w:vAlign w:val="bottom"/>
            <w:tcBorders>
              <w:bottom w:val="single" w:sz="8" w:color="0000EE"/>
            </w:tcBorders>
            <w:gridSpan w:val="3"/>
          </w:tcPr>
          <w:p>
            <w:pPr>
              <w:ind w:left="20"/>
              <w:spacing w:after="0" w:line="190"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Reports on Form 6-K</w:t>
              </w:r>
            </w:hyperlink>
          </w:p>
        </w:tc>
        <w:tc>
          <w:tcPr>
            <w:tcW w:w="7020" w:type="dxa"/>
            <w:vAlign w:val="bottom"/>
            <w:gridSpan w:val="9"/>
          </w:tcPr>
          <w:p>
            <w:pPr>
              <w:spacing w:after="0"/>
              <w:rPr>
                <w:sz w:val="16"/>
                <w:szCs w:val="16"/>
                <w:color w:val="auto"/>
              </w:rPr>
            </w:pPr>
          </w:p>
        </w:tc>
        <w:tc>
          <w:tcPr>
            <w:tcW w:w="1980" w:type="dxa"/>
            <w:vAlign w:val="bottom"/>
          </w:tcPr>
          <w:p>
            <w:pPr>
              <w:jc w:val="right"/>
              <w:spacing w:after="0" w:line="190" w:lineRule="exact"/>
              <w:rPr>
                <w:sz w:val="20"/>
                <w:szCs w:val="20"/>
                <w:color w:val="auto"/>
              </w:rPr>
            </w:pPr>
            <w:r>
              <w:rPr>
                <w:rFonts w:ascii="Arial" w:cs="Arial" w:eastAsia="Arial" w:hAnsi="Arial"/>
                <w:sz w:val="18"/>
                <w:szCs w:val="18"/>
                <w:color w:val="auto"/>
              </w:rPr>
              <w:t>26</w:t>
            </w:r>
          </w:p>
        </w:tc>
      </w:tr>
      <w:tr>
        <w:trPr>
          <w:trHeight w:val="196"/>
        </w:trPr>
        <w:tc>
          <w:tcPr>
            <w:tcW w:w="9340" w:type="dxa"/>
            <w:vAlign w:val="bottom"/>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762,351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718,850</w:t>
            </w: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Short-term interest-bearing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572,505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525,528</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506,685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573,764</w:t>
            </w: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Deferred income taxes and taxes receivable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98,843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84,515</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96,371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102,930</w:t>
            </w:r>
          </w:p>
        </w:tc>
      </w:tr>
      <w:tr>
        <w:trPr>
          <w:trHeight w:val="223"/>
        </w:trPr>
        <w:tc>
          <w:tcPr>
            <w:tcW w:w="20" w:type="dxa"/>
            <w:vAlign w:val="bottom"/>
          </w:tcPr>
          <w:p>
            <w:pPr>
              <w:spacing w:after="0"/>
              <w:rPr>
                <w:sz w:val="19"/>
                <w:szCs w:val="19"/>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2,036,755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2,005,587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292,261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317,081</w:t>
            </w: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172,206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187,173</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1,541,306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1,526,371</w:t>
            </w: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268,029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270,551</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254,155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272,300</w:t>
            </w:r>
          </w:p>
        </w:tc>
      </w:tr>
      <w:tr>
        <w:trPr>
          <w:trHeight w:val="223"/>
        </w:trPr>
        <w:tc>
          <w:tcPr>
            <w:tcW w:w="20" w:type="dxa"/>
            <w:vAlign w:val="bottom"/>
          </w:tcPr>
          <w:p>
            <w:pPr>
              <w:spacing w:after="0"/>
              <w:rPr>
                <w:sz w:val="19"/>
                <w:szCs w:val="19"/>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4,564,712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4,579,063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184,019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157,357</w:t>
            </w: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196,969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224,699</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personnel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144,929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218,229</w:t>
            </w: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Short-term portion of financing arrangements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1,660</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197,851</w:t>
            </w:r>
          </w:p>
        </w:tc>
      </w:tr>
      <w:tr>
        <w:trPr>
          <w:trHeight w:val="223"/>
        </w:trPr>
        <w:tc>
          <w:tcPr>
            <w:tcW w:w="20" w:type="dxa"/>
            <w:vAlign w:val="bottom"/>
          </w:tcPr>
          <w:p>
            <w:pPr>
              <w:spacing w:after="0"/>
              <w:rPr>
                <w:sz w:val="19"/>
                <w:szCs w:val="19"/>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Deferred income taxes and taxes payable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716,395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830,024</w:t>
            </w: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Convertible notes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450,000</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financing arrangements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264,937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266,548</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and 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174,714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227,300</w:t>
            </w:r>
          </w:p>
        </w:tc>
      </w:tr>
      <w:tr>
        <w:trPr>
          <w:trHeight w:val="230"/>
        </w:trPr>
        <w:tc>
          <w:tcPr>
            <w:tcW w:w="20" w:type="dxa"/>
            <w:vAlign w:val="bottom"/>
          </w:tcPr>
          <w:p>
            <w:pPr>
              <w:spacing w:after="0"/>
              <w:rPr>
                <w:sz w:val="20"/>
                <w:szCs w:val="20"/>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1,607,066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1,773,872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Ordinary Shares — Authorized 700,000 and 550,000 shares, respectively; £0.01 par value; 241,328 and 240,836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issued and 203,941and 203,916 outstanding, respectively</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3,911</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2,288,488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2,264,800</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—37,387 and 36,920 Ordinary Shares, respectively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(919,874)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(907,280)</w:t>
            </w: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(28,361)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(14,834)</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1,613,482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1,458,605</w:t>
            </w:r>
          </w:p>
        </w:tc>
      </w:tr>
      <w:tr>
        <w:trPr>
          <w:trHeight w:val="230"/>
        </w:trPr>
        <w:tc>
          <w:tcPr>
            <w:tcW w:w="20" w:type="dxa"/>
            <w:vAlign w:val="bottom"/>
          </w:tcPr>
          <w:p>
            <w:pPr>
              <w:spacing w:after="0"/>
              <w:rPr>
                <w:sz w:val="20"/>
                <w:szCs w:val="20"/>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2,957,646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2,805,191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4,564,712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4,579,063</w:t>
            </w: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License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37,203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32,109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81,804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6"/>
              </w:rPr>
              <w:t>673,881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742,172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1,383,119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1,458,205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711,084</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774,281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1,464,923</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1,516,531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6"/>
              </w:rPr>
              <w:t>455,997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493,956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940,048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52,750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56,088</w:t>
            </w:r>
          </w:p>
        </w:tc>
        <w:tc>
          <w:tcPr>
            <w:tcW w:w="10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108,979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84,308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98,666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174,573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21,501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21,753</w:t>
            </w:r>
          </w:p>
        </w:tc>
        <w:tc>
          <w:tcPr>
            <w:tcW w:w="10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41,755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20,780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615,125</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671,401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1,287,695</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1,318,349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95,959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102,880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177,228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(expense) income and other, net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(5,763)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8,822</w:t>
            </w:r>
          </w:p>
        </w:tc>
        <w:tc>
          <w:tcPr>
            <w:tcW w:w="100" w:type="dxa"/>
            <w:vAlign w:val="bottom"/>
          </w:tcPr>
          <w:p>
            <w:pPr>
              <w:spacing w:after="0"/>
              <w:rPr>
                <w:sz w:val="18"/>
                <w:szCs w:val="18"/>
                <w:color w:val="auto"/>
              </w:rPr>
            </w:pPr>
          </w:p>
        </w:tc>
        <w:tc>
          <w:tcPr>
            <w:tcW w:w="1400" w:type="dxa"/>
            <w:vAlign w:val="bottom"/>
            <w:gridSpan w:val="2"/>
          </w:tcPr>
          <w:p>
            <w:pPr>
              <w:jc w:val="right"/>
              <w:ind w:right="528"/>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90,196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111,702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173,700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9,566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11,843</w:t>
            </w:r>
          </w:p>
        </w:tc>
        <w:tc>
          <w:tcPr>
            <w:tcW w:w="10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18,823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80,630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99,859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154,877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195,523</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0.39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202,671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206,759</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202,561</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6"/>
              </w:rPr>
              <w:t>209,755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219,786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211,013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Additional</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Accumulated</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8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Ordinary Shares</w:t>
            </w: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8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Paid-in</w:t>
            </w:r>
          </w:p>
        </w:tc>
        <w:tc>
          <w:tcPr>
            <w:tcW w:w="126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Treasury</w:t>
            </w:r>
          </w:p>
        </w:tc>
        <w:tc>
          <w:tcPr>
            <w:tcW w:w="1460" w:type="dxa"/>
            <w:vAlign w:val="bottom"/>
            <w:gridSpan w:val="3"/>
          </w:tcPr>
          <w:p>
            <w:pPr>
              <w:jc w:val="center"/>
              <w:ind w:right="50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32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Retained</w:t>
            </w:r>
          </w:p>
        </w:tc>
        <w:tc>
          <w:tcPr>
            <w:tcW w:w="9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Capital</w:t>
            </w:r>
          </w:p>
        </w:tc>
        <w:tc>
          <w:tcPr>
            <w:tcW w:w="126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Stock</w:t>
            </w:r>
          </w:p>
        </w:tc>
        <w:tc>
          <w:tcPr>
            <w:tcW w:w="1460" w:type="dxa"/>
            <w:vAlign w:val="bottom"/>
            <w:gridSpan w:val="3"/>
          </w:tcPr>
          <w:p>
            <w:pPr>
              <w:jc w:val="center"/>
              <w:ind w:right="500"/>
              <w:spacing w:after="0" w:line="142" w:lineRule="exact"/>
              <w:rPr>
                <w:sz w:val="20"/>
                <w:szCs w:val="20"/>
                <w:color w:val="auto"/>
              </w:rPr>
            </w:pPr>
            <w:r>
              <w:rPr>
                <w:rFonts w:ascii="Arial" w:cs="Arial" w:eastAsia="Arial" w:hAnsi="Arial"/>
                <w:sz w:val="14"/>
                <w:szCs w:val="14"/>
                <w:b w:val="1"/>
                <w:bCs w:val="1"/>
                <w:color w:val="auto"/>
                <w:w w:val="92"/>
              </w:rPr>
              <w:t>(Loss) Income</w:t>
            </w:r>
          </w:p>
        </w:tc>
        <w:tc>
          <w:tcPr>
            <w:tcW w:w="132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Earnings</w:t>
            </w:r>
          </w:p>
        </w:tc>
        <w:tc>
          <w:tcPr>
            <w:tcW w:w="9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as of September 30,</w:t>
            </w:r>
          </w:p>
        </w:tc>
        <w:tc>
          <w:tcPr>
            <w:tcW w:w="70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2008</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203,916</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$ 2,264,800</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 (907,280)</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(14,834)</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$ 1,458,605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$ 2,805,191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154,877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ind w:left="200"/>
              <w:spacing w:after="0" w:line="201" w:lineRule="exact"/>
              <w:rPr>
                <w:sz w:val="20"/>
                <w:szCs w:val="20"/>
                <w:color w:val="auto"/>
              </w:rPr>
            </w:pPr>
            <w:r>
              <w:rPr>
                <w:rFonts w:ascii="Arial" w:cs="Arial" w:eastAsia="Arial" w:hAnsi="Arial"/>
                <w:sz w:val="18"/>
                <w:szCs w:val="18"/>
                <w:color w:val="auto"/>
              </w:rPr>
              <w:t>Unrealized loss on foreign</w:t>
            </w: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currency hedging</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contracts, net of $(2,080)</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tax</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(14,612)</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(14,612)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loss on short-term</w:t>
            </w: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interest-bearing</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 net of $(69)</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(1,306)</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ind w:left="200"/>
              <w:spacing w:after="0" w:line="201" w:lineRule="exact"/>
              <w:rPr>
                <w:sz w:val="20"/>
                <w:szCs w:val="20"/>
                <w:color w:val="auto"/>
              </w:rPr>
            </w:pPr>
            <w:r>
              <w:rPr>
                <w:rFonts w:ascii="Arial" w:cs="Arial" w:eastAsia="Arial" w:hAnsi="Arial"/>
                <w:sz w:val="18"/>
                <w:szCs w:val="18"/>
                <w:color w:val="auto"/>
              </w:rPr>
              <w:t>Unrealized gain on defined</w:t>
            </w: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benefit plan, net of $1,232</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tax</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2,391</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141,350</w:t>
            </w:r>
          </w:p>
        </w:tc>
        <w:tc>
          <w:tcPr>
            <w:tcW w:w="0" w:type="dxa"/>
            <w:vAlign w:val="bottom"/>
          </w:tcPr>
          <w:p>
            <w:pPr>
              <w:spacing w:after="0"/>
              <w:rPr>
                <w:sz w:val="1"/>
                <w:szCs w:val="1"/>
                <w:color w:val="auto"/>
              </w:rPr>
            </w:pPr>
          </w:p>
        </w:tc>
      </w:tr>
      <w:tr>
        <w:trPr>
          <w:trHeight w:val="209"/>
        </w:trPr>
        <w:tc>
          <w:tcPr>
            <w:tcW w:w="2760" w:type="dxa"/>
            <w:vAlign w:val="bottom"/>
            <w:gridSpan w:val="2"/>
          </w:tcPr>
          <w:p>
            <w:pPr>
              <w:spacing w:after="0"/>
              <w:rPr>
                <w:sz w:val="20"/>
                <w:szCs w:val="20"/>
                <w:color w:val="auto"/>
              </w:rPr>
            </w:pPr>
            <w:r>
              <w:rPr>
                <w:rFonts w:ascii="Arial" w:cs="Arial" w:eastAsia="Arial" w:hAnsi="Arial"/>
                <w:sz w:val="18"/>
                <w:szCs w:val="18"/>
                <w:color w:val="auto"/>
              </w:rPr>
              <w:t>Employee stock options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1,786</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(12,594)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Tax benefit of stock options</w:t>
            </w: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(2,032)</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 stock, net</w:t>
            </w: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forfeitures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expense related to employees</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23,934</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23,934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2009</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203,941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3,911</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$ 2,288,488</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(919,874)</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(28,361)</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$ 1,613,482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$ 2,957,646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March 31, 2009 and September 30, 2008, accumulated other comprehensive loss is comprised of unrealized loss on derivatives, net of tax, of $(19,768) and $(5,156), respectively, and unrealized loss on cash equivalents and short-term interest-bearing investments, net of tax, of $(10,768) and $(9,462), respectively, and unrealized gain (loss) on defined benefit plan assets, net of tax, of $2,175 and $(216), respectively.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02"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Six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154,877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98,491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expenses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Loss on sale of equipment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11,258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repurchase of convertible notes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short-term interest-bearing investments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67,244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5,905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(61,315)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(15,932)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liabilities and other</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(44,027)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221,599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190,445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sale of equipment and leasehold improvements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323,234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360,297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(376,579)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(301,260)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(61,855)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(162,678)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(18,658)</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Borrowing under long-term financing arrangements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450,000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Redemption of convertible notes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(330,780)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convertible notes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(116,015)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Repurchase of shares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(20,014)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 financing arrangements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Borrowing under short-term financing arrangements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(106,618)</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43,501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718,850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615,501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762,351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680,670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paid for:</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refunds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18,202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1,692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40" w:firstLine="215"/>
        <w:spacing w:after="0" w:line="297" w:lineRule="auto"/>
        <w:rPr>
          <w:sz w:val="20"/>
          <w:szCs w:val="20"/>
          <w:color w:val="auto"/>
        </w:rPr>
      </w:pPr>
      <w:r>
        <w:rPr>
          <w:rFonts w:ascii="Arial" w:cs="Arial" w:eastAsia="Arial" w:hAnsi="Arial"/>
          <w:sz w:val="16"/>
          <w:szCs w:val="16"/>
          <w:color w:val="auto"/>
        </w:rPr>
        <w:t>Amdocs Limited (“Amdocs” or the “Company”) is a leading provider of software products and services to the communication, media and entertainment industry. The Company and its subsidiaries operate in one segment, providing integrated products and services. The Company designs, develops, markets, supports, implements and operates customer experience systems, including revenue, customer and information management, digital commerce and service delivery, service and resource management, and consulting and managed services, primarily to leading wireless, wireline, broadband cable and satellite service providers throughout the world. Amdocs also offers a full range of directory sales and publishing systems.</w:t>
      </w:r>
    </w:p>
    <w:p>
      <w:pPr>
        <w:spacing w:after="0" w:line="50"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(“GAAP”). In the opinion of the Company’s management, all adjustments considered necessary for a fair presentation of the unaudited interim consolidated financial statements have been included herein and are of a normal recurring nature.</w:t>
      </w:r>
    </w:p>
    <w:p>
      <w:pPr>
        <w:spacing w:after="0" w:line="73"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73"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2008, set forth in the Company’s Annual Report on Form 20-F filed on December 8, 2008 with the U.S. Securities and Exchange Commission (the “SEC”).</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immaterial amounts in prior year financial statements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April 2009, the Financial Accounting Standards Board (“FASB”) issued FSP FAS No. 157-4, “Determining Fair Value When Volume and Level of Activity for the Asset or Liability Have Significantly Decreased and Identifying Transactions That Are Not Orderly” (FSP No. 157-4). FSP No. 157-4 provides guidance on how to determine the fair value of assets and liabilities when the volume and level of activity for the asset/liability has significantly decreased. FSP No. 157-4 also provides guidance on identifying circumstances that indicate a transaction is not orderly. In addition, FSP No. 157-4 requires disclosure in interim and annual periods of the inputs and valuation techniques used to measure fair value and a discussion of changes in valuation techniques. FSP No. 157-4 is effective for the Company beginning in the third quarter of fiscal year 2009. The Company is currently evaluating the effect that the application of FSP No. 157-4 will have on its consolidated financial statements.</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April 2009, the FASB issued FSP FAS No. 115-2 and FAS No. 124-2, “Recognition and Presentation of Other-Than-Temporary Impairment” (FSP No. 115-2/124-2) which: clarifies the interaction of the factors that should be considered when determining whether a debt security is other than temporarily impaired; provides guidance on the amount of an other-than-temporary impairment recognized in earnings and other comprehensive income; and expands the disclosures required for other-than-temporary impairments for debt and equity securities. FSP No. 115-2/124-2 is effective for the Company beginning in the third quarter of fiscal year 2009. The Company is currently evaluating the effect that the application of FSP No. 115-2/124-2 will have on its consolidated financial statements.</w:t>
      </w:r>
    </w:p>
    <w:p>
      <w:pPr>
        <w:spacing w:after="0" w:line="85"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In April 2009, the FASB issued FSP FAS No. 107-1 and APB No. 28-1, “Interim Disclosure about Fair Value of Financial Instruments” (FSP No. 107-1/APB 28-1). FSP No. 107-1/APB 28-1 requires interim disclosures regarding the fair values of financial instruments that are within the scope of FAS 107, “Disclosures about the Fair Value of Financial Instruments.” Additionally, FSP No. 107-1/APB 28-1 requires disclosure of the methods and significant assumptions used to estimate the fair value of financial instruments on an interim basis as well as changes of the methods and significant assumptions from prior periods. FSP No. 107-1/APB 28-1 does not change the accounting treatment for these financial instruments and is effective for the Company beginning in the third quarter of fiscal year 2009.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In December 2007, the FASB issued Statement of Financial Accounting Standards (“SFAS”) No. 141 (revised), “Business Combinations” (“SFAS No. 141(R)”). SFAS No. 141(R)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SFAS No. 141(R) applies to the Company prospectively for business combinations for which the acquisition date is on or after October 1, 2009.</w:t>
      </w:r>
    </w:p>
    <w:p>
      <w:pPr>
        <w:spacing w:after="0" w:line="64"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 an amendment of ARB No. 51” (“SFAS No. 160”). SFAS No. 160 changes the accounting for noncontrolling (minority) interests in consolidated financial statements including the requirement to classify noncontrolling interests as a component of consolidated stockholders’ equity, the elimination of “minority interest” accounting in results of operations and changes in the accounting for both increases and decreases in a parent’s controlling ownership interest. SFAS No. 160 is effective for fiscal years beginning after December 15, 2008, and early adoption is prohibited. The Company does not expect that the application of SFAS No.160 will have a material impact on its consolidated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January 1, 2009, the Company adopted the provisions of the SFAS No. 161, “Disclosures about Derivative Instruments and Hedging Activities, an amendment of FASB Statement No. 133” (“SFAS No. 161”). SFAS No. 161 applies to all derivative instruments and nonderivative instruments that are designated and qualify as hedging instruments and related hedged items accounted for under SFAS No. 133. SFAS No. 161 requires entities to provide greater transparency through additional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results of operations, and cash flows. The Company’s adoption of SFAS No. 161 did not have a material impact on its consolidated financial statements. Please see Note 5.</w:t>
      </w:r>
    </w:p>
    <w:p>
      <w:pPr>
        <w:spacing w:after="0" w:line="81"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In September 2006, the FASB issued SFAS No. 157, “Fair Value Measurements” (“SFAS No. 157”), which defines fair value, establishes a framework for measuring fair value in generally accepted accounting principles, and expands disclosures about fair value measurements. In October 2008, the FASB issued FASB Staff Position (“FSP”) No. 157-3 “Determining the Fair Value of a Financial Asset When the Market for That Asset Is Not Active” (“FSP No.157-3”). FSP 157-3 clarifies the application of SFAS No. 157 in a market that is not active, and provides guidance on the key considerations in determining the fair value of a financial asset when the market for that financial asset is not active. Effective October 1, 2008, the Company adopted the measurement and disclosure requirements related to financial assets and financial liabilities. The adoption of SFAS No.157 for financial assets and financial liabilities did not have a material impact on its results of operations or the fair values of its financial assets and liabilities. Please see Note 4.</w:t>
      </w:r>
    </w:p>
    <w:p>
      <w:pPr>
        <w:spacing w:after="0" w:line="59"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In February 2008, the FASB issued FSP No. SFAS No. 157-2, “Effective Date of FASB Statement No. 157” (“FSP No. 157-2”) which provides a one-year deferral of the effective date of SFAS No. 157 for non-financial assets and non-financial liabilities, except those that are recognized or disclosed in the financial statements at fair value on a recurring basis (at least annually). The Company is currently assessing the impact that SFAS No.157-2 will have on its results of operations and financial position when it is applied to nonfinancial assets and nonfinancial liabilities beginning in the first quarter of fiscal 2010.</w:t>
      </w:r>
    </w:p>
    <w:p>
      <w:pPr>
        <w:spacing w:after="0" w:line="46"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including an amendment of SFAS No. 115 (“SFAS No.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Effective October 1, 2008, the Company adopted SFAS No. 159, but it has not elected the fair value option for any eligible financial instruments as of March 31, 2009.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jc w:val="both"/>
        <w:ind w:right="660" w:firstLine="225"/>
        <w:spacing w:after="0" w:line="259" w:lineRule="auto"/>
        <w:rPr>
          <w:sz w:val="20"/>
          <w:szCs w:val="20"/>
          <w:color w:val="auto"/>
        </w:rPr>
      </w:pPr>
      <w:r>
        <w:rPr>
          <w:rFonts w:ascii="Arial" w:cs="Arial" w:eastAsia="Arial" w:hAnsi="Arial"/>
          <w:sz w:val="18"/>
          <w:szCs w:val="18"/>
          <w:color w:val="auto"/>
        </w:rPr>
        <w:t>SFAS No. 157 defines fair value as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SFAS No. 157 establishes a three level fair value hierarchy that prioritizes the inputs used to measure fair value. The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 as follows: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Company’s assets and liabilities measured at fair value on a recurring basis at March 31,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6"/>
              </w:rPr>
              <w:t>Level 2</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$ 502,328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502,328</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231,184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469,201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700,385</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(31,851)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(31,851)</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$ 733,512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437,350</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1,170,862</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15"/>
        <w:spacing w:after="0" w:line="286" w:lineRule="auto"/>
        <w:rPr>
          <w:sz w:val="20"/>
          <w:szCs w:val="20"/>
          <w:color w:val="auto"/>
        </w:rPr>
      </w:pPr>
      <w:r>
        <w:rPr>
          <w:rFonts w:ascii="Arial" w:cs="Arial" w:eastAsia="Arial" w:hAnsi="Arial"/>
          <w:sz w:val="17"/>
          <w:szCs w:val="17"/>
          <w:color w:val="auto"/>
        </w:rPr>
        <w:t>Available for sale securities that are classified as Level 2 assets are priced using quoted market prices for similar instruments and non-binding market prices that are corroborated by observable market data. The Company’s derivative instruments are classified as Level 2 as they represent foreign currency and option contracts valued primarily based on observable inputs including both forward and spot prices for currencies.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Company uses derivative financial instruments to mitigate its exposure to changes in foreign currency exchange rates. The Company does not enter into derivative transactions for trading purposes.</w:t>
      </w:r>
    </w:p>
    <w:p>
      <w:pPr>
        <w:spacing w:after="0" w:line="62"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maximum amount of loss due to credit risk that the Company would incur if counterparties to the derivative financial instruments failed completely to perform according to the terms of the contracts, based on the gross fair value of the Company’s derivative contracts, was approximately $9,290 as of March 31, 2009. The Company has limited its credit risk by entering into derivative transactions exclusively with investment-grade rated financial institutions and monitoring the creditworthiness of these financial institutions on an ongoing basis.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40" w:lineRule="exact"/>
        <w:rPr>
          <w:sz w:val="20"/>
          <w:szCs w:val="20"/>
          <w:color w:val="auto"/>
        </w:rPr>
      </w:pPr>
    </w:p>
    <w:p>
      <w:pPr>
        <w:ind w:right="660" w:firstLine="222"/>
        <w:spacing w:after="0" w:line="277"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March 31, 2009. Notional values are calculated based on forward rates as of March 31, 2009, U.S. dollar translated.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80" w:type="dxa"/>
            <w:vAlign w:val="bottom"/>
            <w:vMerge w:val="restart"/>
          </w:tcPr>
          <w:p>
            <w:pPr>
              <w:spacing w:after="0"/>
              <w:rPr>
                <w:sz w:val="20"/>
                <w:szCs w:val="20"/>
                <w:color w:val="auto"/>
              </w:rPr>
            </w:pPr>
            <w:r>
              <w:rPr>
                <w:rFonts w:ascii="Arial" w:cs="Arial" w:eastAsia="Arial" w:hAnsi="Arial"/>
                <w:sz w:val="18"/>
                <w:szCs w:val="18"/>
                <w:color w:val="auto"/>
              </w:rPr>
              <w:t>Foreign exchange contracts</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Notional Value*</w:t>
            </w:r>
          </w:p>
        </w:tc>
        <w:tc>
          <w:tcPr>
            <w:tcW w:w="0" w:type="dxa"/>
            <w:vAlign w:val="bottom"/>
          </w:tcPr>
          <w:p>
            <w:pPr>
              <w:spacing w:after="0"/>
              <w:rPr>
                <w:sz w:val="1"/>
                <w:szCs w:val="1"/>
                <w:color w:val="auto"/>
              </w:rPr>
            </w:pPr>
          </w:p>
        </w:tc>
      </w:tr>
      <w:tr>
        <w:trPr>
          <w:trHeight w:val="224"/>
        </w:trPr>
        <w:tc>
          <w:tcPr>
            <w:tcW w:w="9980" w:type="dxa"/>
            <w:vAlign w:val="bottom"/>
            <w:vMerge w:val="continue"/>
          </w:tcPr>
          <w:p>
            <w:pPr>
              <w:spacing w:after="0"/>
              <w:rPr>
                <w:sz w:val="19"/>
                <w:szCs w:val="19"/>
                <w:color w:val="auto"/>
              </w:rPr>
            </w:pPr>
          </w:p>
        </w:tc>
        <w:tc>
          <w:tcPr>
            <w:tcW w:w="1440" w:type="dxa"/>
            <w:vAlign w:val="bottom"/>
          </w:tcPr>
          <w:p>
            <w:pPr>
              <w:jc w:val="right"/>
              <w:ind w:right="339"/>
              <w:spacing w:after="0"/>
              <w:rPr>
                <w:sz w:val="20"/>
                <w:szCs w:val="20"/>
                <w:color w:val="auto"/>
              </w:rPr>
            </w:pPr>
            <w:r>
              <w:rPr>
                <w:rFonts w:ascii="Arial" w:cs="Arial" w:eastAsia="Arial" w:hAnsi="Arial"/>
                <w:sz w:val="18"/>
                <w:szCs w:val="18"/>
                <w:color w:val="auto"/>
              </w:rPr>
              <w:t>$610,208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3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225"/>
        <w:spacing w:after="0" w:line="342" w:lineRule="auto"/>
        <w:rPr>
          <w:sz w:val="20"/>
          <w:szCs w:val="20"/>
          <w:color w:val="auto"/>
        </w:rPr>
      </w:pPr>
      <w:r>
        <w:rPr>
          <w:rFonts w:ascii="Arial" w:cs="Arial" w:eastAsia="Arial" w:hAnsi="Arial"/>
          <w:sz w:val="16"/>
          <w:szCs w:val="16"/>
          <w:color w:val="auto"/>
        </w:rPr>
        <w:t>In accordance with FAS 133, the Company records all derivative instruments on the balance sheet at fair value (Please see Note 4). The fair value of the open foreign exchange contracts recorded by the Company on its consolidated balance sheets as of March 31, 2009, as an asset or a liability is as follows: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 designated as cash flow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Accrued expenses and other current liabilities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Noncurrent liabilities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Hedges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97"/>
        <w:spacing w:after="0"/>
        <w:rPr>
          <w:sz w:val="20"/>
          <w:szCs w:val="20"/>
          <w:color w:val="auto"/>
        </w:rPr>
      </w:pPr>
      <w:r>
        <w:rPr>
          <w:rFonts w:ascii="Arial" w:cs="Arial" w:eastAsia="Arial" w:hAnsi="Arial"/>
          <w:sz w:val="14"/>
          <w:szCs w:val="14"/>
          <w:b w:val="1"/>
          <w:bCs w:val="1"/>
          <w:color w:val="auto"/>
        </w:rPr>
        <w:t>As of</w:t>
      </w:r>
    </w:p>
    <w:p>
      <w:pPr>
        <w:jc w:val="center"/>
        <w:ind w:right="97"/>
        <w:spacing w:after="0" w:line="22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p>
      <w:pPr>
        <w:jc w:val="center"/>
        <w:ind w:right="97"/>
        <w:spacing w:after="0"/>
        <w:rPr>
          <w:sz w:val="20"/>
          <w:szCs w:val="20"/>
          <w:color w:val="auto"/>
        </w:rPr>
      </w:pP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286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90" w:lineRule="exact"/>
        <w:rPr>
          <w:sz w:val="20"/>
          <w:szCs w:val="20"/>
          <w:color w:val="auto"/>
        </w:rPr>
      </w:pPr>
    </w:p>
    <w:p>
      <w:pPr>
        <w:ind w:left="263" w:hanging="263"/>
        <w:spacing w:after="0"/>
        <w:tabs>
          <w:tab w:leader="none" w:pos="263" w:val="left"/>
        </w:tabs>
        <w:numPr>
          <w:ilvl w:val="0"/>
          <w:numId w:val="2"/>
        </w:numPr>
        <w:rPr>
          <w:rFonts w:ascii="Arial" w:cs="Arial" w:eastAsia="Arial" w:hAnsi="Arial"/>
          <w:sz w:val="18"/>
          <w:szCs w:val="18"/>
          <w:color w:val="auto"/>
        </w:rPr>
      </w:pPr>
      <w:r>
        <w:rPr>
          <w:rFonts w:ascii="Arial" w:cs="Arial" w:eastAsia="Arial" w:hAnsi="Arial"/>
          <w:sz w:val="18"/>
          <w:szCs w:val="18"/>
          <w:color w:val="auto"/>
        </w:rPr>
        <w:t>5,901</w:t>
      </w:r>
    </w:p>
    <w:p>
      <w:pPr>
        <w:spacing w:after="0" w:line="23" w:lineRule="exact"/>
        <w:rPr>
          <w:rFonts w:ascii="Arial" w:cs="Arial" w:eastAsia="Arial" w:hAnsi="Arial"/>
          <w:sz w:val="18"/>
          <w:szCs w:val="18"/>
          <w:color w:val="auto"/>
        </w:rPr>
      </w:pPr>
    </w:p>
    <w:p>
      <w:pPr>
        <w:ind w:left="403"/>
        <w:spacing w:after="0"/>
        <w:rPr>
          <w:rFonts w:ascii="Arial" w:cs="Arial" w:eastAsia="Arial" w:hAnsi="Arial"/>
          <w:sz w:val="18"/>
          <w:szCs w:val="18"/>
          <w:color w:val="auto"/>
        </w:rPr>
      </w:pPr>
      <w:r>
        <w:rPr>
          <w:rFonts w:ascii="Arial" w:cs="Arial" w:eastAsia="Arial" w:hAnsi="Arial"/>
          <w:sz w:val="18"/>
          <w:szCs w:val="18"/>
          <w:color w:val="auto"/>
        </w:rPr>
        <w:t>782</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(28,751)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286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(23,251)</w:t>
      </w:r>
    </w:p>
    <w:p>
      <w:pPr>
        <w:spacing w:after="0" w:line="200" w:lineRule="exact"/>
        <w:rPr>
          <w:sz w:val="20"/>
          <w:szCs w:val="20"/>
          <w:color w:val="auto"/>
        </w:rPr>
      </w:pPr>
    </w:p>
    <w:p>
      <w:pPr>
        <w:spacing w:after="0" w:line="241" w:lineRule="exact"/>
        <w:rPr>
          <w:sz w:val="20"/>
          <w:szCs w:val="20"/>
          <w:color w:val="auto"/>
        </w:rPr>
      </w:pPr>
    </w:p>
    <w:p>
      <w:pPr>
        <w:ind w:left="263"/>
        <w:spacing w:after="0"/>
        <w:rPr>
          <w:sz w:val="20"/>
          <w:szCs w:val="20"/>
          <w:color w:val="auto"/>
        </w:rPr>
      </w:pPr>
      <w:r>
        <w:rPr>
          <w:rFonts w:ascii="Arial" w:cs="Arial" w:eastAsia="Arial" w:hAnsi="Arial"/>
          <w:sz w:val="18"/>
          <w:szCs w:val="18"/>
          <w:color w:val="auto"/>
        </w:rPr>
        <w:t>2,607</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286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 w:lineRule="exact"/>
        <w:rPr>
          <w:sz w:val="20"/>
          <w:szCs w:val="20"/>
          <w:color w:val="auto"/>
        </w:rPr>
      </w:pPr>
    </w:p>
    <w:p>
      <w:pPr>
        <w:ind w:left="203"/>
        <w:spacing w:after="0"/>
        <w:rPr>
          <w:sz w:val="20"/>
          <w:szCs w:val="20"/>
          <w:color w:val="auto"/>
        </w:rPr>
      </w:pPr>
      <w:r>
        <w:rPr>
          <w:rFonts w:ascii="Arial" w:cs="Arial" w:eastAsia="Arial" w:hAnsi="Arial"/>
          <w:sz w:val="17"/>
          <w:szCs w:val="17"/>
          <w:color w:val="auto"/>
        </w:rPr>
        <w:t>(8,600)</w:t>
      </w:r>
    </w:p>
    <w:p>
      <w:pPr>
        <w:spacing w:after="0" w:line="35" w:lineRule="exact"/>
        <w:rPr>
          <w:sz w:val="20"/>
          <w:szCs w:val="20"/>
          <w:color w:val="auto"/>
        </w:rPr>
      </w:pPr>
    </w:p>
    <w:p>
      <w:pPr>
        <w:ind w:left="3"/>
        <w:spacing w:after="0"/>
        <w:rPr>
          <w:sz w:val="20"/>
          <w:szCs w:val="20"/>
          <w:color w:val="auto"/>
        </w:rPr>
      </w:pPr>
      <w:r>
        <w:rPr>
          <w:rFonts w:ascii="Arial" w:cs="Arial" w:eastAsia="Arial" w:hAnsi="Arial"/>
          <w:sz w:val="16"/>
          <w:szCs w:val="16"/>
          <w:u w:val="single" w:color="auto"/>
          <w:color w:val="auto"/>
        </w:rPr>
        <w:t>$ (31,851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4286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611" w:lineRule="exact"/>
        <w:rPr>
          <w:sz w:val="20"/>
          <w:szCs w:val="20"/>
          <w:color w:val="auto"/>
        </w:rPr>
      </w:pPr>
    </w:p>
    <w:p>
      <w:pPr>
        <w:sectPr>
          <w:pgSz w:w="11900" w:h="16838" w:orient="portrait"/>
          <w:cols w:equalWidth="0" w:num="2">
            <w:col w:w="9917" w:space="720"/>
            <w:col w:w="783"/>
          </w:cols>
          <w:pgMar w:left="240" w:top="419" w:right="239" w:bottom="1440" w:gutter="0" w:footer="0" w:header="0"/>
          <w:type w:val="continuous"/>
        </w:sectPr>
      </w:pPr>
    </w:p>
    <w:p>
      <w:pPr>
        <w:ind w:right="140" w:firstLine="225"/>
        <w:spacing w:after="0" w:line="276" w:lineRule="auto"/>
        <w:rPr>
          <w:sz w:val="20"/>
          <w:szCs w:val="20"/>
          <w:color w:val="auto"/>
        </w:rPr>
      </w:pPr>
      <w:r>
        <w:rPr>
          <w:rFonts w:ascii="Arial" w:cs="Arial" w:eastAsia="Arial" w:hAnsi="Arial"/>
          <w:sz w:val="17"/>
          <w:szCs w:val="17"/>
          <w:color w:val="auto"/>
        </w:rPr>
        <w:t>In order to reduce the impact of foreign currency on its results, the Company enters into forward contracts and options to purchase and sell foreign currencies to hedge a significant portion of its foreign currency net exposure resulting from revenue and expense transactions denominated in the major foreign currencies in which it operates. The Company designates these contracts for accounting purposes as cash flow hedges in accordance with SFAS 133. The Company currently hedges its exposure to the variability in future cash flows for a maximum period of two years (a significant portion of the forward contracts and options outstanding as of March 31, 2009 are expected to mature within the next 12 months).</w:t>
      </w:r>
    </w:p>
    <w:p>
      <w:pPr>
        <w:spacing w:after="0" w:line="64"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derivative financial instruments that are designated as cash flow hedges are afforded hedge accounting because they are effective in managing foreign exchange risks and are appropriately assigned to the underlying exposures.</w:t>
      </w:r>
    </w:p>
    <w:p>
      <w:pPr>
        <w:spacing w:after="0" w:line="62"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effective portion of the gain or loss on the derivative instruments is recorded as other comprehensive income, a separate component of shareholders’ equity, and reclassified into earnings to the same line item as the related forecasted transaction and in the same period or periods during which the hedged transaction affects earnings. The cash flow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receipts from customers, are recognized during the current period in “interest income and other, net.”</w:t>
      </w:r>
    </w:p>
    <w:p>
      <w:pPr>
        <w:spacing w:after="0" w:line="70"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Gain or loss on the derivative instruments, which partially offset the foreign currency impact from the underlying exposures, reclassified from other comprehensive loss into revenue, cost of service, research and development and selling general and administrative for the three months ended March 31, 2009 were $3,040, $(9,707), $(2,079) and $(1,718), respectively (an aggregate of ($9,968), net of taxes). The ineffective portion of the change in fair value of a cash flow hedge, including the time value portion excluded from effectiveness testing for the three months ended March 31, 2009 was not material.</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of March 31, 2009, amounts related to derivatives designated as cash flow hedges and recorded in accumulated other comprehensive loss totaled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$19,768. The Company estimates that $19,415 of the net loss related to these cash flow hedges included in other comprehensive loss as of March 31, 2009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be reclassified into earnings within the next twelve months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will partially offset the foreign currency impact from the underlying exposures. The amount ultimately realized in earnings will likely differ due to future changes in foreign exchange rates. Losses from cash flow hedges recognized in other comprehensive loss during the three months ended March 31, 2009 were $21,786 ($19,217 net of taxes).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the Company did not discontinue any cash flow hedges during the three months ended March 31, 2009.</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activity related to the changes in net unrealized (losses) gains on cash flow hedges, net of tax,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 on cash flow hedges, net of tax, as of December 31, 2008</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7"/>
              </w:rPr>
              <w:t>$ (10,519)</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 ($2,569)</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(19,217)</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 $496</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Net unrealized losses on cash flow hedges, net of tax, as of March 31, 2009</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(19,768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10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Risk Management Derivatives</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Company also enters into forward contracts that are not designated as hedging instruments under SFAS No. 133 and are used to reduce the impact of foreign currency on certain balance sheet exposures and certain revenue and expense.</w:t>
      </w:r>
    </w:p>
    <w:p>
      <w:pPr>
        <w:spacing w:after="0" w:line="62"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These instruments are generally short term in nature, with typical maturities of less than one year, and are subject to fluctuations in foreign exchange rates. Gain or loss on these derivatives, which partially offset the foreign currency impact from the underlying exposures, classified into cost of service, research and development, selling general and administrative, interest (expense) income and other, net and income taxes for the three months ended March 31, 2009 were $(5,417), $(1,204), $(351), $8,314 and $420,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9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$ 470,865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560,064</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42,323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48,264</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Less—allowances (1)</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(6,503)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(34,564)</w:t>
            </w: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$ 506,685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573,764</w:t>
            </w:r>
          </w:p>
        </w:tc>
        <w:tc>
          <w:tcPr>
            <w:tcW w:w="10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decrease in accounts receivable allowances in the six months ended March 31, 2009, was primarily attributable to a settlement with a customer in which the allowances were written-off against the related accounts receivable and had no impact on revenue or net income in the six months ended March 31,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w:t>
      </w:r>
    </w:p>
    <w:p>
      <w:pPr>
        <w:spacing w:after="0" w:line="121" w:lineRule="exact"/>
        <w:rPr>
          <w:sz w:val="20"/>
          <w:szCs w:val="20"/>
          <w:color w:val="auto"/>
        </w:rPr>
      </w:pPr>
    </w:p>
    <w:p>
      <w:pPr>
        <w:ind w:right="760" w:firstLine="225"/>
        <w:spacing w:after="0" w:line="342" w:lineRule="auto"/>
        <w:rPr>
          <w:sz w:val="20"/>
          <w:szCs w:val="20"/>
          <w:color w:val="auto"/>
        </w:rPr>
      </w:pPr>
      <w:r>
        <w:rPr>
          <w:rFonts w:ascii="Arial" w:cs="Arial" w:eastAsia="Arial" w:hAnsi="Arial"/>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21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2009</w:t>
            </w:r>
          </w:p>
        </w:tc>
        <w:tc>
          <w:tcPr>
            <w:tcW w:w="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2008</w:t>
            </w:r>
          </w:p>
        </w:tc>
        <w:tc>
          <w:tcPr>
            <w:tcW w:w="62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80,630</w:t>
            </w:r>
          </w:p>
        </w:tc>
        <w:tc>
          <w:tcPr>
            <w:tcW w:w="6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99,859</w:t>
            </w:r>
          </w:p>
        </w:tc>
        <w:tc>
          <w:tcPr>
            <w:tcW w:w="6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$ 154,877</w:t>
            </w:r>
          </w:p>
        </w:tc>
        <w:tc>
          <w:tcPr>
            <w:tcW w:w="6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195,523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foreign currency hedging contracts, net of tax</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98"/>
              </w:rPr>
              <w:t>(9,249)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6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(14,612)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9"/>
              </w:rPr>
              <w:t>Unrealized gain (loss) on short-term interest-bearing investments, net of tax</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(1,996)</w:t>
            </w:r>
          </w:p>
        </w:tc>
        <w:tc>
          <w:tcPr>
            <w:tcW w:w="1360" w:type="dxa"/>
            <w:vAlign w:val="bottom"/>
            <w:gridSpan w:val="3"/>
          </w:tcPr>
          <w:p>
            <w:pPr>
              <w:jc w:val="right"/>
              <w:ind w:right="528"/>
              <w:spacing w:after="0"/>
              <w:rPr>
                <w:sz w:val="20"/>
                <w:szCs w:val="20"/>
                <w:color w:val="auto"/>
              </w:rPr>
            </w:pPr>
            <w:r>
              <w:rPr>
                <w:rFonts w:ascii="Arial" w:cs="Arial" w:eastAsia="Arial" w:hAnsi="Arial"/>
                <w:sz w:val="18"/>
                <w:szCs w:val="18"/>
                <w:color w:val="auto"/>
              </w:rPr>
              <w:t>(1,306)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defined benefit plan, net of tax</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74,442</w:t>
            </w:r>
          </w:p>
        </w:tc>
        <w:tc>
          <w:tcPr>
            <w:tcW w:w="620" w:type="dxa"/>
            <w:vAlign w:val="bottom"/>
          </w:tcPr>
          <w:p>
            <w:pPr>
              <w:spacing w:after="0"/>
              <w:rPr>
                <w:sz w:val="19"/>
                <w:szCs w:val="19"/>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$ 101,217</w:t>
            </w: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$ 141,350</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201,405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8. Income Taxes</w:t>
            </w: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9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80" w:type="dxa"/>
            <w:vAlign w:val="bottom"/>
          </w:tcPr>
          <w:p>
            <w:pPr>
              <w:ind w:left="220"/>
              <w:spacing w:after="0"/>
              <w:rPr>
                <w:sz w:val="20"/>
                <w:szCs w:val="20"/>
                <w:color w:val="auto"/>
              </w:rPr>
            </w:pPr>
            <w:r>
              <w:rPr>
                <w:rFonts w:ascii="Arial" w:cs="Arial" w:eastAsia="Arial" w:hAnsi="Arial"/>
                <w:sz w:val="18"/>
                <w:szCs w:val="18"/>
                <w:color w:val="auto"/>
              </w:rPr>
              <w:t>The provision for income taxes for the following periods consisted of:</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left="356"/>
              <w:spacing w:after="0"/>
              <w:rPr>
                <w:sz w:val="20"/>
                <w:szCs w:val="20"/>
                <w:color w:val="auto"/>
              </w:rPr>
            </w:pPr>
            <w:r>
              <w:rPr>
                <w:rFonts w:ascii="Arial" w:cs="Arial" w:eastAsia="Arial" w:hAnsi="Arial"/>
                <w:sz w:val="14"/>
                <w:szCs w:val="14"/>
                <w:b w:val="1"/>
                <w:bCs w:val="1"/>
                <w:color w:val="auto"/>
                <w:w w:val="92"/>
              </w:rPr>
              <w:t>Three months</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Six months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(3,192)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6,963</w:t>
            </w:r>
          </w:p>
        </w:tc>
        <w:tc>
          <w:tcPr>
            <w:tcW w:w="136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  5,203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Deferred</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12,758</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4,880</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2"/>
          </w:tcPr>
          <w:p>
            <w:pPr>
              <w:jc w:val="right"/>
              <w:ind w:right="568"/>
              <w:spacing w:after="0"/>
              <w:rPr>
                <w:sz w:val="20"/>
                <w:szCs w:val="20"/>
                <w:color w:val="auto"/>
              </w:rPr>
            </w:pPr>
            <w:r>
              <w:rPr>
                <w:rFonts w:ascii="Arial" w:cs="Arial" w:eastAsia="Arial" w:hAnsi="Arial"/>
                <w:sz w:val="18"/>
                <w:szCs w:val="18"/>
                <w:color w:val="auto"/>
              </w:rPr>
              <w:t>13,620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9,566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11,843</w:t>
            </w:r>
          </w:p>
        </w:tc>
        <w:tc>
          <w:tcPr>
            <w:tcW w:w="136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w w:val="99"/>
              </w:rPr>
              <w:t>$ 18,823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Six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1"/>
        </w:trPr>
        <w:tc>
          <w:tcPr>
            <w:tcW w:w="6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740" w:type="dxa"/>
            <w:vAlign w:val="bottom"/>
            <w:tcBorders>
              <w:bottom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Borders>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840" w:type="dxa"/>
            <w:vAlign w:val="bottom"/>
            <w:tcBorders>
              <w:bottom w:val="single" w:sz="8" w:color="auto"/>
            </w:tcBorders>
            <w:gridSpan w:val="3"/>
          </w:tcPr>
          <w:p>
            <w:pPr>
              <w:jc w:val="right"/>
              <w:ind w:right="208"/>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2008</w:t>
            </w: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5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40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Foreign taxes</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220" w:type="dxa"/>
            <w:vAlign w:val="bottom"/>
          </w:tcPr>
          <w:p>
            <w:pPr>
              <w:spacing w:after="0"/>
              <w:rPr>
                <w:sz w:val="18"/>
                <w:szCs w:val="18"/>
                <w:color w:val="auto"/>
              </w:rPr>
            </w:pPr>
          </w:p>
        </w:tc>
        <w:tc>
          <w:tcPr>
            <w:tcW w:w="1020" w:type="dxa"/>
            <w:vAlign w:val="bottom"/>
            <w:gridSpan w:val="3"/>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3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ind w:left="120"/>
              <w:spacing w:after="0"/>
              <w:rPr>
                <w:sz w:val="20"/>
                <w:szCs w:val="20"/>
                <w:color w:val="auto"/>
              </w:rPr>
            </w:pPr>
            <w:r>
              <w:rPr>
                <w:rFonts w:ascii="Arial" w:cs="Arial" w:eastAsia="Arial" w:hAnsi="Arial"/>
                <w:sz w:val="18"/>
                <w:szCs w:val="18"/>
                <w:color w:val="auto"/>
              </w:rPr>
              <w:t>9</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11%</w:t>
            </w:r>
          </w:p>
        </w:tc>
        <w:tc>
          <w:tcPr>
            <w:tcW w:w="15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40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9%</w:t>
            </w:r>
          </w:p>
        </w:tc>
      </w:tr>
      <w:tr>
        <w:trPr>
          <w:trHeight w:val="20"/>
        </w:trPr>
        <w:tc>
          <w:tcPr>
            <w:tcW w:w="6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129" w:lineRule="exact"/>
        <w:rPr>
          <w:sz w:val="20"/>
          <w:szCs w:val="20"/>
          <w:color w:val="auto"/>
        </w:rPr>
      </w:pPr>
    </w:p>
    <w:p>
      <w:pPr>
        <w:ind w:right="80" w:firstLine="215"/>
        <w:spacing w:after="0" w:line="293" w:lineRule="auto"/>
        <w:rPr>
          <w:sz w:val="20"/>
          <w:szCs w:val="20"/>
          <w:color w:val="auto"/>
        </w:rPr>
      </w:pPr>
      <w:r>
        <w:rPr>
          <w:rFonts w:ascii="Arial" w:cs="Arial" w:eastAsia="Arial" w:hAnsi="Arial"/>
          <w:sz w:val="16"/>
          <w:szCs w:val="16"/>
          <w:color w:val="auto"/>
        </w:rPr>
        <w:t>As of March 31, 2009, deferred tax assets of $65,036, derived primarily from net capital and operating loss carry forwards related to some of the Company’s subsidiaries, were offset by valuation allowances related to the uncertainty of realizing tax benefit for such losses. Prior to the adoption of SFAS No. 141(R) on October 1, 2009, realization of the tax benefits related to such losses and associated with business combinations will be recorded as an adjustment of goodwill and amounts not associated with business combinations will be recognized as part of income tax expense. Subsequent to the adoption of SFAS No. 141(R), when realization of the tax benefits associated with such losses is deemed more likely than not, all of the valuation allowance will be recognized as part of income tax expense. As of March 31, 2009, $37,871 of the valuation allowance related to business combinations.</w:t>
      </w:r>
    </w:p>
    <w:p>
      <w:pPr>
        <w:spacing w:after="0" w:line="57"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$87,932 as of March 31, 2009, of which $83,886 would affect the effective tax rate if realized.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March 31, 2009, the Company has accrued $13,075 in income taxes payable for interest and penalties relating to unrecognized tax benefits.</w:t>
      </w:r>
    </w:p>
    <w:p>
      <w:pPr>
        <w:spacing w:after="0" w:line="129"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2001 and onwards. Timing of the resolution of audits is highly uncertain and therefore the Company cannot estimate the change in unrecognized tax benefits resulting from these audits within the next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Numerator for basic earnings per share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80,630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99,859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154,877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195,523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assumed conversion of 0.50%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23"/>
        </w:trPr>
        <w:tc>
          <w:tcPr>
            <w:tcW w:w="6480" w:type="dxa"/>
            <w:vAlign w:val="bottom"/>
          </w:tcPr>
          <w:p>
            <w:pPr>
              <w:ind w:left="220"/>
              <w:spacing w:after="0"/>
              <w:rPr>
                <w:sz w:val="20"/>
                <w:szCs w:val="20"/>
                <w:color w:val="auto"/>
              </w:rPr>
            </w:pPr>
            <w:r>
              <w:rPr>
                <w:rFonts w:ascii="Arial" w:cs="Arial" w:eastAsia="Arial" w:hAnsi="Arial"/>
                <w:sz w:val="18"/>
                <w:szCs w:val="18"/>
                <w:color w:val="auto"/>
              </w:rPr>
              <w:t>Numerator for diluted earnings per share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81,252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100,844</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156,363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197,493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80" w:type="dxa"/>
            <w:vAlign w:val="bottom"/>
          </w:tcPr>
          <w:p>
            <w:pPr>
              <w:ind w:left="220"/>
              <w:spacing w:after="0" w:line="201" w:lineRule="exact"/>
              <w:rPr>
                <w:sz w:val="20"/>
                <w:szCs w:val="20"/>
                <w:color w:val="auto"/>
              </w:rPr>
            </w:pPr>
            <w:r>
              <w:rPr>
                <w:rFonts w:ascii="Arial" w:cs="Arial" w:eastAsia="Arial" w:hAnsi="Arial"/>
                <w:sz w:val="18"/>
                <w:szCs w:val="18"/>
                <w:color w:val="auto"/>
              </w:rPr>
              <w:t>Denominator for basic earnings per share — weighted average number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420"/>
              <w:spacing w:after="0"/>
              <w:rPr>
                <w:sz w:val="20"/>
                <w:szCs w:val="20"/>
                <w:color w:val="auto"/>
              </w:rPr>
            </w:pPr>
            <w:r>
              <w:rPr>
                <w:rFonts w:ascii="Arial" w:cs="Arial" w:eastAsia="Arial" w:hAnsi="Arial"/>
                <w:sz w:val="18"/>
                <w:szCs w:val="18"/>
                <w:color w:val="auto"/>
              </w:rPr>
              <w:t>shares outstanding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202,671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206,759</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202,561</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207,437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assumed conversion of 0.50%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10,436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10,436</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Effect of dilutive stock options granted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restricted stock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9"/>
        </w:trPr>
        <w:tc>
          <w:tcPr>
            <w:tcW w:w="6480" w:type="dxa"/>
            <w:vAlign w:val="bottom"/>
          </w:tcPr>
          <w:p>
            <w:pPr>
              <w:ind w:left="220"/>
              <w:spacing w:after="0"/>
              <w:rPr>
                <w:sz w:val="20"/>
                <w:szCs w:val="20"/>
                <w:color w:val="auto"/>
              </w:rPr>
            </w:pPr>
            <w:r>
              <w:rPr>
                <w:rFonts w:ascii="Arial" w:cs="Arial" w:eastAsia="Arial" w:hAnsi="Arial"/>
                <w:sz w:val="18"/>
                <w:szCs w:val="18"/>
                <w:color w:val="auto"/>
              </w:rPr>
              <w:t>Denominator for diluted earnings per share — adjusted weighted average</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420"/>
              <w:spacing w:after="0"/>
              <w:rPr>
                <w:sz w:val="20"/>
                <w:szCs w:val="20"/>
                <w:color w:val="auto"/>
              </w:rPr>
            </w:pPr>
            <w:r>
              <w:rPr>
                <w:rFonts w:ascii="Arial" w:cs="Arial" w:eastAsia="Arial" w:hAnsi="Arial"/>
                <w:sz w:val="18"/>
                <w:szCs w:val="18"/>
                <w:color w:val="auto"/>
              </w:rPr>
              <w:t>shares and assumed conversions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209,755</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219,786</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211,013</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220,912</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220"/>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of Securities</w:t>
      </w:r>
    </w:p>
    <w:p>
      <w:pPr>
        <w:spacing w:after="0" w:line="121"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In August 2007, the Company announced that its board of directors had authorized a share repurchase plan allowing the repurchase of up to $400,000 of its outstanding ordinary shares. The authorization permits the Company to purchase its ordinary shares in open market or privately negotiated transactions at times and prices that it considers appropriate. During the six months ended March 31, 2009, the Company repurchased 468 ordinary shares under this repurchase program, at an average price of $26.90 per share (excluding broker and transaction fees). The Company had remaining authority, as of March 31, 2009, to repurchase up to $82,723 of its ordinary shares under this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During the first quarter of fiscal 2009, the Company purchased $100,000 aggregate principal amount of its 0.50% convertible notes at an average price of 98% of the principal amount, excluding accrued interest and transaction fees. During the second quarter of fiscal 2009, the Company purchased $18,200 aggregate principal amount of the notes at an average price of 99.6% of the principal amount, excluding accrued interest and transaction fees. In March 2009, holders of the notes tendered to the Company for repurchase $330,780 aggregate principal amount of notes and the Company purchased the tendered notes for cash. The Company funded these purchases using proceeds from its five-year revolving credit facility as described in Note 11. As of March 31, 2009, $1,020 aggregate principal amount of the notes remain as obligations of the Company, due 2024, in accordance with their terms.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21"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November 2007, the Company entered into an unsecured $500,000 five-year revolving credit facility with a syndicate of banks, which is available for general corporate purposes, including acquisitions and repurchases of the Company’s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As of March 31, 2009, the Company was in compliance with financial covenants under the revolving credit facility. During the first and second quarter of fiscal 2009, the Company borrowed an aggregate of $450,000 under the facility which accrues interest at rate equal to LIBOR plus a 42.5 basis points margin, and used the proceeds to repurchase its outstanding notes as described in Note 10.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Incentive Plan</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2008, the maximum number of ordinary shares authorized to be granted under the Plan was increased from 46,300 to 55,300. Awards granted under the Plan generally vest over a period of four years and stock options have a term of ten years.</w:t>
      </w:r>
    </w:p>
    <w:p>
      <w:pPr>
        <w:spacing w:after="0" w:line="81" w:lineRule="exact"/>
        <w:rPr>
          <w:sz w:val="20"/>
          <w:szCs w:val="20"/>
          <w:color w:val="auto"/>
        </w:rPr>
      </w:pPr>
    </w:p>
    <w:p>
      <w:pPr>
        <w:ind w:right="320" w:firstLine="222"/>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six-month period ended March 31, 2009: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1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Options</w:t>
            </w:r>
          </w:p>
        </w:tc>
        <w:tc>
          <w:tcPr>
            <w:tcW w:w="38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2008</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22,387.7</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3,411.7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18.37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(150.6)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(2,583.8)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33.98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2009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23,065.0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30.76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March 31, 2009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14,187.0</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6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to such awards during the six-month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2008</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551.6</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(237.0)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(209.5)</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March 31, 2009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1,210.2</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0" w:firstLine="215"/>
        <w:spacing w:after="0" w:line="264" w:lineRule="auto"/>
        <w:rPr>
          <w:sz w:val="20"/>
          <w:szCs w:val="20"/>
          <w:color w:val="auto"/>
        </w:rPr>
      </w:pPr>
      <w:r>
        <w:rPr>
          <w:rFonts w:ascii="Arial" w:cs="Arial" w:eastAsia="Arial" w:hAnsi="Arial"/>
          <w:sz w:val="18"/>
          <w:szCs w:val="18"/>
          <w:color w:val="auto"/>
        </w:rPr>
        <w:t>As of March 31, 2009, there was $61,245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7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 in accordance with SFAS No. 123 (revised 2004), “Share-Based Payment,” a revision of SFAS No. 123 (“SFAS No. 123(R)”) and Staff Accounting Bulletin No. 107 (“SAB No. 107”), which provides supplemental implementation guidance on SFAS No. 123(R).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Employee equity-based compensation pre-tax expense under SFAS No. 123(R) for the three and six months ended March 31, 2009 and 2008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4"/>
                <w:szCs w:val="14"/>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March 31,</w:t>
            </w: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10,661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11,713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977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2,039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2,522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6,836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11,234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13,394</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10,517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13,413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23,934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27,629</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120"/>
        <w:spacing w:after="0" w:line="342" w:lineRule="auto"/>
        <w:rPr>
          <w:sz w:val="20"/>
          <w:szCs w:val="20"/>
          <w:color w:val="auto"/>
        </w:rPr>
      </w:pPr>
      <w:r>
        <w:rPr>
          <w:rFonts w:ascii="Arial" w:cs="Arial" w:eastAsia="Arial" w:hAnsi="Arial"/>
          <w:sz w:val="16"/>
          <w:szCs w:val="16"/>
          <w:color w:val="auto"/>
        </w:rPr>
        <w:t>The total income tax benefit recognized in the income statement for stock-based compensation (including restricted shares) for the three months ended March 31, 2009 and 2008 was $1,467 and $1,434, respectively, and for the six months ended March 31, 2009 and 2008 was $3,050 and $2,830, respectively.</w:t>
      </w:r>
    </w:p>
    <w:p>
      <w:pPr>
        <w:spacing w:after="0" w:line="16"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Company selected the Black-Scholes option pricing model as the most appropriate fair value method for its equity-based awards and recognizes compensation costs using the graded vesting attribution method. The Black-Scholes option pricing model assumptions used are noted in the following table (all in weighted averages for options granted during the period):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00" w:type="dxa"/>
            <w:vAlign w:val="bottom"/>
            <w:gridSpan w:val="3"/>
          </w:tcPr>
          <w:p>
            <w:pPr>
              <w:jc w:val="center"/>
              <w:ind w:right="719"/>
              <w:spacing w:after="0"/>
              <w:rPr>
                <w:sz w:val="20"/>
                <w:szCs w:val="20"/>
                <w:color w:val="auto"/>
              </w:rPr>
            </w:pPr>
            <w:r>
              <w:rPr>
                <w:rFonts w:ascii="Arial" w:cs="Arial" w:eastAsia="Arial" w:hAnsi="Arial"/>
                <w:sz w:val="14"/>
                <w:szCs w:val="14"/>
                <w:b w:val="1"/>
                <w:bCs w:val="1"/>
                <w:color w:val="auto"/>
                <w:w w:val="92"/>
              </w:rPr>
              <w:t>Three months</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gridSpan w:val="3"/>
          </w:tcPr>
          <w:p>
            <w:pPr>
              <w:jc w:val="center"/>
              <w:ind w:right="779"/>
              <w:spacing w:after="0"/>
              <w:rPr>
                <w:sz w:val="20"/>
                <w:szCs w:val="20"/>
                <w:color w:val="auto"/>
              </w:rPr>
            </w:pPr>
            <w:r>
              <w:rPr>
                <w:rFonts w:ascii="Arial" w:cs="Arial" w:eastAsia="Arial" w:hAnsi="Arial"/>
                <w:sz w:val="14"/>
                <w:szCs w:val="14"/>
                <w:b w:val="1"/>
                <w:bCs w:val="1"/>
                <w:color w:val="auto"/>
                <w:w w:val="92"/>
              </w:rPr>
              <w:t>Six months</w:t>
            </w:r>
          </w:p>
        </w:tc>
      </w:tr>
      <w:tr>
        <w:trPr>
          <w:trHeight w:val="149"/>
        </w:trPr>
        <w:tc>
          <w:tcPr>
            <w:tcW w:w="5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879"/>
              <w:spacing w:after="0" w:line="149" w:lineRule="exact"/>
              <w:rPr>
                <w:sz w:val="20"/>
                <w:szCs w:val="20"/>
                <w:color w:val="auto"/>
              </w:rPr>
            </w:pPr>
            <w:r>
              <w:rPr>
                <w:rFonts w:ascii="Arial" w:cs="Arial" w:eastAsia="Arial" w:hAnsi="Arial"/>
                <w:sz w:val="14"/>
                <w:szCs w:val="14"/>
                <w:b w:val="1"/>
                <w:bCs w:val="1"/>
                <w:color w:val="auto"/>
                <w:w w:val="92"/>
              </w:rPr>
              <w:t>ended</w:t>
            </w: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899"/>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71"/>
        </w:trPr>
        <w:tc>
          <w:tcPr>
            <w:tcW w:w="58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719"/>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779"/>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860" w:type="dxa"/>
            <w:vAlign w:val="bottom"/>
          </w:tcPr>
          <w:p>
            <w:pPr>
              <w:spacing w:after="0"/>
              <w:rPr>
                <w:sz w:val="12"/>
                <w:szCs w:val="12"/>
                <w:color w:val="auto"/>
              </w:rPr>
            </w:pPr>
          </w:p>
        </w:tc>
        <w:tc>
          <w:tcPr>
            <w:tcW w:w="8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8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70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2.67%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8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3.23%</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4.50</w:t>
            </w:r>
          </w:p>
        </w:tc>
        <w:tc>
          <w:tcPr>
            <w:tcW w:w="1700" w:type="dxa"/>
            <w:vAlign w:val="bottom"/>
            <w:gridSpan w:val="3"/>
          </w:tcPr>
          <w:p>
            <w:pPr>
              <w:jc w:val="right"/>
              <w:ind w:right="239"/>
              <w:spacing w:after="0"/>
              <w:rPr>
                <w:sz w:val="20"/>
                <w:szCs w:val="20"/>
                <w:color w:val="auto"/>
              </w:rPr>
            </w:pPr>
            <w:r>
              <w:rPr>
                <w:rFonts w:ascii="Arial" w:cs="Arial" w:eastAsia="Arial" w:hAnsi="Arial"/>
                <w:sz w:val="18"/>
                <w:szCs w:val="18"/>
                <w:color w:val="auto"/>
              </w:rPr>
              <w:t>4.50</w:t>
            </w:r>
          </w:p>
        </w:tc>
        <w:tc>
          <w:tcPr>
            <w:tcW w:w="1380" w:type="dxa"/>
            <w:vAlign w:val="bottom"/>
            <w:gridSpan w:val="2"/>
          </w:tcPr>
          <w:p>
            <w:pPr>
              <w:jc w:val="right"/>
              <w:ind w:right="139"/>
              <w:spacing w:after="0"/>
              <w:rPr>
                <w:sz w:val="20"/>
                <w:szCs w:val="20"/>
                <w:color w:val="auto"/>
              </w:rPr>
            </w:pPr>
            <w:r>
              <w:rPr>
                <w:rFonts w:ascii="Arial" w:cs="Arial" w:eastAsia="Arial" w:hAnsi="Arial"/>
                <w:sz w:val="18"/>
                <w:szCs w:val="18"/>
                <w:color w:val="auto"/>
              </w:rPr>
              <w:t>4.47</w:t>
            </w:r>
          </w:p>
        </w:tc>
        <w:tc>
          <w:tcPr>
            <w:tcW w:w="1680" w:type="dxa"/>
            <w:vAlign w:val="bottom"/>
            <w:gridSpan w:val="3"/>
          </w:tcPr>
          <w:p>
            <w:pPr>
              <w:jc w:val="right"/>
              <w:ind w:right="239"/>
              <w:spacing w:after="0"/>
              <w:rPr>
                <w:sz w:val="20"/>
                <w:szCs w:val="20"/>
                <w:color w:val="auto"/>
              </w:rPr>
            </w:pPr>
            <w:r>
              <w:rPr>
                <w:rFonts w:ascii="Arial" w:cs="Arial" w:eastAsia="Arial" w:hAnsi="Arial"/>
                <w:sz w:val="18"/>
                <w:szCs w:val="18"/>
                <w:color w:val="auto"/>
              </w:rPr>
              <w:t>4.28</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0.46</w:t>
            </w:r>
          </w:p>
        </w:tc>
        <w:tc>
          <w:tcPr>
            <w:tcW w:w="170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0.35</w:t>
            </w:r>
          </w:p>
        </w:tc>
        <w:tc>
          <w:tcPr>
            <w:tcW w:w="13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0.49</w:t>
            </w:r>
          </w:p>
        </w:tc>
        <w:tc>
          <w:tcPr>
            <w:tcW w:w="168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0.33</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239"/>
              <w:spacing w:after="0"/>
              <w:rPr>
                <w:sz w:val="20"/>
                <w:szCs w:val="20"/>
                <w:color w:val="auto"/>
              </w:rPr>
            </w:pPr>
            <w:r>
              <w:rPr>
                <w:rFonts w:ascii="Arial" w:cs="Arial" w:eastAsia="Arial" w:hAnsi="Arial"/>
                <w:sz w:val="18"/>
                <w:szCs w:val="18"/>
                <w:color w:val="auto"/>
              </w:rPr>
              <w:t>None</w:t>
            </w:r>
          </w:p>
        </w:tc>
        <w:tc>
          <w:tcPr>
            <w:tcW w:w="52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259"/>
              <w:spacing w:after="0"/>
              <w:rPr>
                <w:sz w:val="20"/>
                <w:szCs w:val="20"/>
                <w:color w:val="auto"/>
              </w:rPr>
            </w:pPr>
            <w:r>
              <w:rPr>
                <w:rFonts w:ascii="Arial" w:cs="Arial" w:eastAsia="Arial" w:hAnsi="Arial"/>
                <w:sz w:val="18"/>
                <w:szCs w:val="18"/>
                <w:color w:val="auto"/>
              </w:rPr>
              <w:t>None</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$6.57</w:t>
            </w:r>
          </w:p>
        </w:tc>
        <w:tc>
          <w:tcPr>
            <w:tcW w:w="170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$10.64</w:t>
            </w:r>
          </w:p>
        </w:tc>
        <w:tc>
          <w:tcPr>
            <w:tcW w:w="13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$7.58</w:t>
            </w:r>
          </w:p>
        </w:tc>
        <w:tc>
          <w:tcPr>
            <w:tcW w:w="168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$10.58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8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76"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Operational Efficiency and Cost Reduction Programs</w:t>
      </w:r>
    </w:p>
    <w:p>
      <w:pPr>
        <w:spacing w:after="0" w:line="121"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In accordance with SFAS No.112 “Employers’ Accounting for Post Employment Benefits” (“SFAS No. 112”) and SFAS No.146, “Accounting for Costs Associated with Exit or Disposal Activities” (“SFAS No. 146”), the Company recognized a total of $0 and $15,140 in restructuring charges in the three and six months ended March 31, 2009, respectively, as described below.</w:t>
      </w:r>
    </w:p>
    <w:p>
      <w:pPr>
        <w:spacing w:after="0" w:line="7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the three months ended December 31, 2008, the Company commenced a series of measures designed to align its operational structure to its expected future activities and to improve efficiency. As part of this plan, the Company recorded a charge of $14,187 consisting primarily of employee separation costs in connection with the termination of the employment of software and information technology specialists and administrative professionals at various locations around the world.</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restructuring accrual for this cost reduction program is comprised of the following as of March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Employee</w:t>
            </w:r>
          </w:p>
        </w:tc>
      </w:tr>
      <w:tr>
        <w:trPr>
          <w:trHeight w:val="17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Separation Costs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Charge in first quarter of fiscal 2009</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14,187</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(8,268)</w:t>
            </w:r>
          </w:p>
        </w:tc>
      </w:tr>
      <w:tr>
        <w:trPr>
          <w:trHeight w:val="223"/>
        </w:trPr>
        <w:tc>
          <w:tcPr>
            <w:tcW w:w="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Adjustment (*)</w:t>
            </w: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2009</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Primarily relates to foreign exchange impacts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 addition, the Company recorded in the first quarter of fiscal 2009 a charge of $953 related to the cost reduction program commenced in the fourth quarter of fiscal 2008, consisting primarily of employee separation costs. As of March 31, 2009, $10,781 of the costs associated with this plan had been paid in cash.</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restructuring accrual for this cost reduction program is comprised of the following as of March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Employee</w:t>
            </w:r>
          </w:p>
        </w:tc>
      </w:tr>
      <w:tr>
        <w:trPr>
          <w:trHeight w:val="17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Separation Costs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10,190</w:t>
            </w: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Charge in first quarter of fiscal 2009</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(8,855)</w:t>
            </w:r>
          </w:p>
        </w:tc>
      </w:tr>
      <w:tr>
        <w:trPr>
          <w:trHeight w:val="223"/>
        </w:trPr>
        <w:tc>
          <w:tcPr>
            <w:tcW w:w="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(1,125)</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2009</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Primarily relates to foreign exchange impacts</w:t>
      </w:r>
    </w:p>
    <w:p>
      <w:pPr>
        <w:spacing w:after="0" w:line="11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These expenses related to the Company’s operational efficiency and cost reduction programs are included in restructuring charges and in-process research and developments.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73"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Company generally sells its products with a limited warranty for a period of 90 days. The Company’s policy is to account for warranty costs, if needed, based on historical trends in product failure. Based on the Company’s experience, only minimal warranty services have been required and, as a result, the Company did not accrue any amounts for product warranty liability during the six months ended March 31, 2009 and 2008.</w:t>
      </w:r>
    </w:p>
    <w:p>
      <w:pPr>
        <w:spacing w:after="0" w:line="57"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and in its consolidated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58"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2008 that we filed on December 8, 2008 with the U.S. Securities and Exchange Commission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Amdocs is a leading provider of software and services for providers of communications, media and entertainment services. Although our market focus has traditionally been primarily Tier 1 and Tier 2 service providers in developed markets, we also focus on Tier 3 and 4 providers in these markets, and on providers in emerging markets, such as the Commonwealth of Independent States, Asia-Pacific and Latin America.</w:t>
      </w:r>
    </w:p>
    <w:p>
      <w:pPr>
        <w:spacing w:after="0" w:line="73" w:lineRule="exact"/>
        <w:rPr>
          <w:sz w:val="20"/>
          <w:szCs w:val="20"/>
          <w:color w:val="auto"/>
        </w:rPr>
      </w:pPr>
    </w:p>
    <w:p>
      <w:pPr>
        <w:ind w:right="140" w:firstLine="222"/>
        <w:spacing w:after="0" w:line="279" w:lineRule="auto"/>
        <w:rPr>
          <w:sz w:val="20"/>
          <w:szCs w:val="20"/>
          <w:color w:val="auto"/>
        </w:rPr>
      </w:pPr>
      <w:r>
        <w:rPr>
          <w:rFonts w:ascii="Arial" w:cs="Arial" w:eastAsia="Arial" w:hAnsi="Arial"/>
          <w:sz w:val="17"/>
          <w:szCs w:val="17"/>
          <w:color w:val="auto"/>
        </w:rPr>
        <w:t>We develop, implement and manage software and services associated with the business-support systems and operational-support systems (BSS and OSS) that enable service providers to deliver a better customer experience, by, for example, introducing products quickly, understanding their customers more deeply, processing orders efficiently and solving problems productively. We refer to these systems collectively as “customer experience systems” because of the crucial impact and increasing importance these systems have on the service providers’ end-user experience.</w:t>
      </w:r>
    </w:p>
    <w:p>
      <w:pPr>
        <w:spacing w:after="0" w:line="63"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color w:val="auto"/>
        </w:rPr>
        <w:t>We believe the demand for our customer experience systems is primarily driven by the need for service providers to anticipate and respond to market dynamics. In established markets, service providers are transforming their businesses as they attempt to derive revenue and profit from Internet protocol (IP)-based digital content and commerce services, while confronting increased competition from non-traditional competitors, including major Internet companies, handset manufacturers and network equipment providers. In emerging markets, many startup operations are introducing communications services to markets for the first time, coping with massive scale and relatively rapid growth; other companies are undergoing consolidations as providers with global brands seek to do business in these new geographies. Regardless of whether providers are bringing their first offerings to market, scaling for growth, consolidating systems or transforming the way they do business, we believe they will succeed by differentiating their offerings by delivering a customer experience that is simple, personal and valuable at every point of service. We refer to this type of customer experience as the “intentional customer experience.” We seek to address these market forces through a strategy of forward-looking product development and holistic, vertical integration encompassing all systems from the customer to the network. Our goal is to supply software products and services that provide functionality and flexibility to service providers as they — and their markets — grow and change.</w:t>
      </w:r>
    </w:p>
    <w:p>
      <w:pPr>
        <w:spacing w:after="0" w:line="75"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also offer a full range of directory sales and publishing systems and related services, which we refer to as “directory systems,” for publishers of both traditional printed yellow and white page directories and electronic Internet directories. We believe that we are a leading provider of directory systems in most of the markets we serve.</w:t>
      </w:r>
    </w:p>
    <w:p>
      <w:pPr>
        <w:spacing w:after="0" w:line="73" w:lineRule="exact"/>
        <w:rPr>
          <w:sz w:val="20"/>
          <w:szCs w:val="20"/>
          <w:color w:val="auto"/>
        </w:rPr>
      </w:pPr>
    </w:p>
    <w:p>
      <w:pPr>
        <w:jc w:val="both"/>
        <w:ind w:right="180" w:firstLine="225"/>
        <w:spacing w:after="0" w:line="259" w:lineRule="auto"/>
        <w:rPr>
          <w:sz w:val="20"/>
          <w:szCs w:val="20"/>
          <w:color w:val="auto"/>
        </w:rPr>
      </w:pPr>
      <w:r>
        <w:rPr>
          <w:rFonts w:ascii="Arial" w:cs="Arial" w:eastAsia="Arial" w:hAnsi="Arial"/>
          <w:sz w:val="18"/>
          <w:szCs w:val="18"/>
          <w:color w:val="auto"/>
        </w:rPr>
        <w:t>In the second quarter of fiscal 2009 difficult economic conditions continued to impact our customers’ buying decisions. Sales cycles remained extended, particularly for larger, transformational projects, and certain customers delayed commitments for new projects. We had previously anticipated operating in this difficult environment during the quarter, and were able to protect our profitability by tightening expense controls and reducing our workforce to adjust our cost structure to current business conditions.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15"/>
        <w:spacing w:after="0" w:line="312" w:lineRule="auto"/>
        <w:rPr>
          <w:sz w:val="20"/>
          <w:szCs w:val="20"/>
          <w:color w:val="auto"/>
        </w:rPr>
      </w:pPr>
      <w:r>
        <w:rPr>
          <w:rFonts w:ascii="Arial" w:cs="Arial" w:eastAsia="Arial" w:hAnsi="Arial"/>
          <w:sz w:val="16"/>
          <w:szCs w:val="16"/>
          <w:color w:val="auto"/>
        </w:rPr>
        <w:t>Although the prospects for the balance of fiscal 2009 are uncertain, we continue to focus on our profitability by carefully managing our cost structure in a year when revenue may decline from the previous year, as well as invest in our future, including in research and development, so that we can continue to provide the best products and services to our industry. We believe we are well-positioned for growth when economic conditions improve.</w:t>
      </w:r>
    </w:p>
    <w:p>
      <w:pPr>
        <w:spacing w:after="0" w:line="39" w:lineRule="exact"/>
        <w:rPr>
          <w:sz w:val="20"/>
          <w:szCs w:val="20"/>
          <w:color w:val="auto"/>
        </w:rPr>
      </w:pPr>
    </w:p>
    <w:p>
      <w:pPr>
        <w:ind w:right="100" w:firstLine="222"/>
        <w:spacing w:after="0" w:line="293" w:lineRule="auto"/>
        <w:rPr>
          <w:sz w:val="20"/>
          <w:szCs w:val="20"/>
          <w:color w:val="auto"/>
        </w:rPr>
      </w:pPr>
      <w:r>
        <w:rPr>
          <w:rFonts w:ascii="Arial" w:cs="Arial" w:eastAsia="Arial" w:hAnsi="Arial"/>
          <w:sz w:val="16"/>
          <w:szCs w:val="16"/>
          <w:color w:val="auto"/>
        </w:rPr>
        <w:t>We believe that, in these challenging economic times, service providers will seek to work with large, stable, well-capitalized vendors, creating an advantage for Amdocs against smaller vendors. In addition, by combining an integrated product offering and domain expertise with a track record of success in large-scale system delivery, we strive to reduce project risk for our customers. We believe that this is a competitive differentiator for Amdocs versus systems integrators and enterprise software vendors. In the meantime, we are conducting our business with discipline to protect margins and cash flow, and continue to invest in growth drivers, such as broadband cable and satellite, OSS, managed services, emerging markets and the digital lifestyle (through our Amdocs Interactive offerings), that we believe will strengthen our market-leading position when the economy recovers.</w:t>
      </w:r>
    </w:p>
    <w:p>
      <w:pPr>
        <w:spacing w:after="0" w:line="57" w:lineRule="exact"/>
        <w:rPr>
          <w:sz w:val="20"/>
          <w:szCs w:val="20"/>
          <w:color w:val="auto"/>
        </w:rPr>
      </w:pPr>
    </w:p>
    <w:p>
      <w:pPr>
        <w:ind w:right="200" w:firstLine="222"/>
        <w:spacing w:after="0" w:line="259"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media and entertainment industry. In the three and six months ended March 31, 2009, customers in North America, Europe and the rest of the world accounted for 75.9%,14.8% and 9.3% and 75.2%,14.8% and 10.0% of our revenue, respectively. We maintain development facilities in China, Cyprus, India, Ireland, Israel and the United States.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derive our revenue principally from:</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the sale of high-level business consulting that includes services to advise on, transform, integrate and optimize technology and business processes,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managed services in our domain expertise, and</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w:t>
      </w:r>
      <w:r>
        <w:rPr>
          <w:rFonts w:ascii="Arial" w:cs="Arial" w:eastAsia="Arial" w:hAnsi="Arial"/>
          <w:sz w:val="18"/>
          <w:szCs w:val="18"/>
          <w:b w:val="1"/>
          <w:bCs w:val="1"/>
          <w:color w:val="auto"/>
        </w:rPr>
        <w:t>‘</w:t>
      </w:r>
      <w:r>
        <w:rPr>
          <w:rFonts w:ascii="Arial" w:cs="Arial" w:eastAsia="Arial" w:hAnsi="Arial"/>
          <w:sz w:val="18"/>
          <w:szCs w:val="18"/>
          <w:color w:val="auto"/>
        </w:rPr>
        <w:t>s business volume.</w:t>
      </w:r>
    </w:p>
    <w:p>
      <w:pPr>
        <w:spacing w:after="0" w:line="62"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as services are performed based on time elapsed, output produced or volume of data processed, depending on the specific contract terms of the managed services arrangement. Revenue from ongoing support services is recognized as work is performed or based on straight line over the service period.</w:t>
      </w:r>
    </w:p>
    <w:p>
      <w:pPr>
        <w:spacing w:after="0" w:line="80"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62" w:lineRule="exact"/>
        <w:rPr>
          <w:sz w:val="20"/>
          <w:szCs w:val="20"/>
          <w:color w:val="auto"/>
        </w:rPr>
      </w:pPr>
    </w:p>
    <w:p>
      <w:pPr>
        <w:ind w:right="520" w:firstLine="215"/>
        <w:spacing w:after="0" w:line="308" w:lineRule="auto"/>
        <w:rPr>
          <w:sz w:val="20"/>
          <w:szCs w:val="20"/>
          <w:color w:val="auto"/>
        </w:rPr>
      </w:pPr>
      <w:r>
        <w:rPr>
          <w:rFonts w:ascii="Arial" w:cs="Arial" w:eastAsia="Arial" w:hAnsi="Arial"/>
          <w:sz w:val="17"/>
          <w:szCs w:val="17"/>
          <w:color w:val="auto"/>
        </w:rPr>
        <w:t>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8"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Revenue from managed services arrangements is included in both license and service revenue and includes data center and infrastructure management, application management and ongoing support, systems modernization and consolidation, business process operations support and end-to-end transformational business process outsourcing. Revenue generated in connection with managed services arrangements is a significant part of our business, accounting for approximately 40% of our total revenue in the six months ended March 31, 2009 and 2008, and these arrangements generate substantial, long-term revenue streams, cash flow and operating income. In the initial period of our managed services projects, we may invest in modernization and consolidation of the customer’s systems. Invoices are usually structured on a periodic fixed or unit charge basis. Managed services projects can be less profitable in the initial period, however, margins tend to improve over time as we derive benefit from the operational efficiencies and from changes in the geographical mix of our resources.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April 2009, the Financial Accounting Standards Board (“FASB”) issued FSP FAS No. 157-4, “Determining Fair Value When Volume and Level of Activity for the Asset or Liability Have Significantly Decreased and Identifying Transactions That Are Not Orderly” (FSP No. 157-4). FSP No. 157-4 provides guidance on how to determine the fair value of assets and liabilities when the volume and level of activity for the asset/liability has significantly decreased. FSP No. 157-4 also provides guidance on identifying circumstances that indicate a transaction is not orderly. In addition, FSP No. 157-4 requires disclosure in interim and annual periods of the inputs and valuation techniques used to measure fair value and a discussion of changes in valuation techniques. FSP No. 157-4 is effective for us beginning in the third quarter of fiscal year 2009. We are currently evaluating the effect that the application of FSP 157-4 will have on our consolidated financial statements.</w:t>
      </w:r>
    </w:p>
    <w:p>
      <w:pPr>
        <w:spacing w:after="0" w:line="8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April 2009, the FASB issued FSP FAS No. 115-2 and FAS No. 124-2, “Recognition and Presentation of Other-Than-Temporary Impairment” (FSP No. 115-2/124-2) which: clarifies the interaction of the factors that should be considered when determining whether a debt security is other than temporarily impaired; provides guidance on the amount of an other-than-temporary impairment recognized in earnings and other comprehensive income; and expands the disclosures required for other-than-temporary impairments for debt and equity securities. FSP No. 115-2/124-2 is effective for us beginning in the third quarter of fiscal year 2009. We are currently evaluating the effect that the application of FSP No. 115-2/124-2 will have on our consolidated financial statements.</w:t>
      </w:r>
    </w:p>
    <w:p>
      <w:pPr>
        <w:spacing w:after="0" w:line="85"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April 2009, the FASB issued FSP FAS No. 107-1 and APB No. 28-1, “Interim Disclosure about Fair Value of Financial Instruments” (FSP No. 107-1/APB 28-1). FSP No. 107-1/APB 28-1 requires interim disclosures regarding the fair values of financial instruments that are within the scope of FAS 107, “Disclosures about the Fair Value of Financial Instruments.” Additionally, FSP No. 107-1/APB 28-1 requires disclosure of the methods and significant assumptions used to estimate the fair value of financial instruments on an interim basis as well as changes of the methods and significant assumptions from prior periods. FSP No. 107-1/APB 28-1 does not change the accounting treatment for these financial instruments and is effective for us beginning in the third quarter of fiscal year 2009.</w:t>
      </w:r>
    </w:p>
    <w:p>
      <w:pPr>
        <w:spacing w:after="0" w:line="85" w:lineRule="exact"/>
        <w:rPr>
          <w:sz w:val="20"/>
          <w:szCs w:val="20"/>
          <w:color w:val="auto"/>
        </w:rPr>
      </w:pPr>
    </w:p>
    <w:p>
      <w:pPr>
        <w:ind w:right="220" w:firstLine="225"/>
        <w:spacing w:after="0" w:line="276" w:lineRule="auto"/>
        <w:rPr>
          <w:sz w:val="20"/>
          <w:szCs w:val="20"/>
          <w:color w:val="auto"/>
        </w:rPr>
      </w:pPr>
      <w:r>
        <w:rPr>
          <w:rFonts w:ascii="Arial" w:cs="Arial" w:eastAsia="Arial" w:hAnsi="Arial"/>
          <w:sz w:val="17"/>
          <w:szCs w:val="17"/>
          <w:color w:val="auto"/>
        </w:rPr>
        <w:t>In December 2007, the FASB issued Statement of Financial Accounting Standards (“SFAS”) No. 141 (revised), Business Combinations (“SFAS No. 141(R)”). SFAS No.141(R) significantly changes the accounting for business combinations and establishes principles and requirement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SFAS No. 141(R) applies to us prospectively for business combinations for which the acquisition date is on or after October 1, 2009.</w:t>
      </w:r>
    </w:p>
    <w:p>
      <w:pPr>
        <w:spacing w:after="0" w:line="6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an amendment of ARB No. 51” (“SFAS No. 160”). SFAS No. 160 changes the accounting for noncontrolling (minority) interests in consolidated financial statements including the requirements to classify noncontrolling interests as a component of consolidated stockholders’ equity, the elimination of “minority interest” accounting in results of operations and changes in the accounting for both increases and decreases in a parent’s controlling ownership interest. SFAS No. 160 is effective for fiscal years beginning after December 15, 2008, and early adoption is prohibited. We do not expect that the application of SFAS No. 160 will have a material impact on our consolidated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On January 1, 2009, the Company adopted the provisions of the SFAS No. 161, “Disclosures about Derivative Instruments and Hedging Activities, an amendment of FASB Statement No. 133” (“SFAS No. 161”). SFAS No. 161 applies to all derivative instruments and nonderivative instruments that are designated and qualify as hedging instruments and related hedged items accounted for under SFAS No. 133. SFAS No. 161 requires entities to provide greater transparency through additional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results of operations, and cash flows. Our adoption of SFAS No. 161 did not have a material impact on our consolidated financial statements. Please see Note 5 to our unaudited Consolidated Financial Statements.</w:t>
      </w:r>
    </w:p>
    <w:p>
      <w:pPr>
        <w:spacing w:after="0" w:line="70" w:lineRule="exact"/>
        <w:rPr>
          <w:sz w:val="20"/>
          <w:szCs w:val="20"/>
          <w:color w:val="auto"/>
        </w:rPr>
      </w:pPr>
    </w:p>
    <w:p>
      <w:pPr>
        <w:ind w:right="340" w:firstLine="225"/>
        <w:spacing w:after="0" w:line="293" w:lineRule="auto"/>
        <w:rPr>
          <w:sz w:val="20"/>
          <w:szCs w:val="20"/>
          <w:color w:val="auto"/>
        </w:rPr>
      </w:pPr>
      <w:r>
        <w:rPr>
          <w:rFonts w:ascii="Arial" w:cs="Arial" w:eastAsia="Arial" w:hAnsi="Arial"/>
          <w:sz w:val="16"/>
          <w:szCs w:val="16"/>
          <w:color w:val="auto"/>
        </w:rPr>
        <w:t>In September 2006, the FASB issued SFAS No. 157, “Fair Value Measurements,” which defines fair value, establishes a framework for measuring fair value in generally accepted accounting principles, and expands disclosures about fair value measurements. In October 2008, the FASB issued FASB Staff Position (“FSP”) No. 157-3 “Determining the Fair Value of a Financial Asset When the Market for That Asset Is Not Active” (“FSP No. 157-3”). FSP No.157-3 clarifies the application of SFAS No. 157 in a market that is not active, and provides guidance on the key considerations in determining the fair value of a financial asset when the market for that financial asset is not active. Effective October 1, 2008, we adopted the measurement and disclosure requirements related to financial assets and financial liabilities. The adoption of SFAS No. 157 for financial assets and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financial liabilities did not have a material impact on our results of operations or the fair values of our financial assets and liabilities. Please see Note 4 to our unaudited Consolidated Financial Statements.</w:t>
      </w:r>
    </w:p>
    <w:p>
      <w:pPr>
        <w:spacing w:after="0" w:line="62"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In February 2008, the FASB issued FSP No. SFAS No. 157-2, Effective Date of SFAS No. 157, which provides a one-year deferral of the effective date of SFAS No. 157 for non-financial assets and non-financial liabilities, except those that are recognized or disclosed in the financial statements at fair value on a recurring basis (at least annually). We are currently assessing the impact that SFAS No. 157-2 will have on our results of operations and financial position when it is applied to nonfinancial assets and nonfinancial liabilities beginning in the first quarter of fiscal 2010.</w:t>
      </w:r>
    </w:p>
    <w:p>
      <w:pPr>
        <w:spacing w:after="0" w:line="63"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including an amendment of SFAS No. 115 (“SFAS No.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Effective October 1, 2008, we adopted SFAS No. 159, but we have not elected the fair value option for any eligible financial instruments as of March 31,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Efficiency and Cost Reduction Program</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In the first quarter of fiscal 2009, we commenced a series of measures designed to align our operational structure to our expected future activities and to improve efficiency, including reductions in headcount and restrictions on travel expenses and other discretionary costs. As part of this plan, we recorded a charge of $14.2 million consisting primarily of employee separation costs in connection with the termination of the employment of software and information technology specialists and administrative professionals at various locations around the world.</w:t>
      </w:r>
    </w:p>
    <w:p>
      <w:pPr>
        <w:spacing w:after="0" w:line="79"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In the first quarter of fiscal 2009, we recorded an additional charge of $0.9 million related our cost reduction program commenced in the fourth quarter of fiscal 2008, consisting primarily of employee separation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60" w:firstLine="222"/>
        <w:spacing w:after="0" w:line="277" w:lineRule="auto"/>
        <w:rPr>
          <w:sz w:val="20"/>
          <w:szCs w:val="20"/>
          <w:color w:val="auto"/>
        </w:rPr>
      </w:pPr>
      <w:r>
        <w:rPr>
          <w:rFonts w:ascii="Arial" w:cs="Arial" w:eastAsia="Arial" w:hAnsi="Arial"/>
          <w:sz w:val="18"/>
          <w:szCs w:val="18"/>
          <w:color w:val="auto"/>
        </w:rPr>
        <w:t>The following table sets forth for the three and six months ended March 31, 2009 and 2008 certain items in our consolidated statements of income reflected as a percentage of total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center"/>
              <w:ind w:left="716"/>
              <w:spacing w:after="0"/>
              <w:rPr>
                <w:sz w:val="20"/>
                <w:szCs w:val="20"/>
                <w:color w:val="auto"/>
              </w:rPr>
            </w:pPr>
            <w:r>
              <w:rPr>
                <w:rFonts w:ascii="Arial" w:cs="Arial" w:eastAsia="Arial" w:hAnsi="Arial"/>
                <w:sz w:val="14"/>
                <w:szCs w:val="14"/>
                <w:b w:val="1"/>
                <w:bCs w:val="1"/>
                <w:color w:val="auto"/>
                <w:w w:val="92"/>
              </w:rPr>
              <w:t>Three months</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3"/>
          </w:tcPr>
          <w:p>
            <w:pPr>
              <w:jc w:val="center"/>
              <w:ind w:right="810"/>
              <w:spacing w:after="0"/>
              <w:rPr>
                <w:sz w:val="20"/>
                <w:szCs w:val="20"/>
                <w:color w:val="auto"/>
              </w:rPr>
            </w:pPr>
            <w:r>
              <w:rPr>
                <w:rFonts w:ascii="Arial" w:cs="Arial" w:eastAsia="Arial" w:hAnsi="Arial"/>
                <w:sz w:val="14"/>
                <w:szCs w:val="14"/>
                <w:b w:val="1"/>
                <w:bCs w:val="1"/>
                <w:color w:val="auto"/>
                <w:w w:val="92"/>
              </w:rPr>
              <w:t>Six months</w:t>
            </w: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ended</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95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Borders>
              <w:bottom w:val="single" w:sz="8" w:color="auto"/>
            </w:tcBorders>
            <w:gridSpan w:val="3"/>
          </w:tcPr>
          <w:p>
            <w:pPr>
              <w:jc w:val="center"/>
              <w:ind w:left="716"/>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81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90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68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License</w:t>
            </w:r>
          </w:p>
        </w:tc>
        <w:tc>
          <w:tcPr>
            <w:tcW w:w="1380" w:type="dxa"/>
            <w:vAlign w:val="bottom"/>
            <w:gridSpan w:val="2"/>
          </w:tcPr>
          <w:p>
            <w:pPr>
              <w:jc w:val="right"/>
              <w:ind w:right="96"/>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4.1%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680" w:type="dxa"/>
            <w:vAlign w:val="bottom"/>
            <w:gridSpan w:val="3"/>
          </w:tcPr>
          <w:p>
            <w:pPr>
              <w:jc w:val="right"/>
              <w:ind w:right="9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380" w:type="dxa"/>
            <w:vAlign w:val="bottom"/>
            <w:gridSpan w:val="2"/>
            <w:shd w:val="clear" w:color="auto" w:fill="CCEEFF"/>
          </w:tcPr>
          <w:p>
            <w:pPr>
              <w:jc w:val="right"/>
              <w:ind w:right="236"/>
              <w:spacing w:after="0"/>
              <w:rPr>
                <w:sz w:val="20"/>
                <w:szCs w:val="20"/>
                <w:color w:val="auto"/>
              </w:rPr>
            </w:pPr>
            <w:r>
              <w:rPr>
                <w:rFonts w:ascii="Arial" w:cs="Arial" w:eastAsia="Arial" w:hAnsi="Arial"/>
                <w:sz w:val="18"/>
                <w:szCs w:val="18"/>
                <w:color w:val="auto"/>
              </w:rPr>
              <w:t>94.8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95.9</w:t>
            </w:r>
          </w:p>
        </w:tc>
        <w:tc>
          <w:tcPr>
            <w:tcW w:w="14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94.4</w:t>
            </w:r>
          </w:p>
        </w:tc>
        <w:tc>
          <w:tcPr>
            <w:tcW w:w="16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96.2</w:t>
            </w: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w w:val="97"/>
              </w:rPr>
              <w:t>100.0</w:t>
            </w:r>
          </w:p>
        </w:tc>
        <w:tc>
          <w:tcPr>
            <w:tcW w:w="5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100.0</w:t>
            </w: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380" w:type="dxa"/>
            <w:vAlign w:val="bottom"/>
            <w:gridSpan w:val="2"/>
          </w:tcPr>
          <w:p>
            <w:pPr>
              <w:jc w:val="right"/>
              <w:ind w:right="236"/>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31"/>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93"/>
              <w:spacing w:after="0"/>
              <w:rPr>
                <w:sz w:val="20"/>
                <w:szCs w:val="20"/>
                <w:color w:val="auto"/>
              </w:rPr>
            </w:pPr>
            <w:r>
              <w:rPr>
                <w:rFonts w:ascii="Arial" w:cs="Arial" w:eastAsia="Arial" w:hAnsi="Arial"/>
                <w:sz w:val="18"/>
                <w:szCs w:val="18"/>
                <w:color w:val="auto"/>
              </w:rPr>
              <w:t>0.1</w:t>
            </w:r>
          </w:p>
        </w:tc>
        <w:tc>
          <w:tcPr>
            <w:tcW w:w="1680" w:type="dxa"/>
            <w:vAlign w:val="bottom"/>
            <w:gridSpan w:val="3"/>
          </w:tcPr>
          <w:p>
            <w:pPr>
              <w:jc w:val="right"/>
              <w:ind w:right="23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380" w:type="dxa"/>
            <w:vAlign w:val="bottom"/>
            <w:gridSpan w:val="2"/>
            <w:shd w:val="clear" w:color="auto" w:fill="CCEEFF"/>
          </w:tcPr>
          <w:p>
            <w:pPr>
              <w:jc w:val="right"/>
              <w:ind w:right="236"/>
              <w:spacing w:after="0"/>
              <w:rPr>
                <w:sz w:val="20"/>
                <w:szCs w:val="20"/>
                <w:color w:val="auto"/>
              </w:rPr>
            </w:pPr>
            <w:r>
              <w:rPr>
                <w:rFonts w:ascii="Arial" w:cs="Arial" w:eastAsia="Arial" w:hAnsi="Arial"/>
                <w:sz w:val="18"/>
                <w:szCs w:val="18"/>
                <w:color w:val="auto"/>
              </w:rPr>
              <w:t>64.1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63.8</w:t>
            </w:r>
          </w:p>
        </w:tc>
        <w:tc>
          <w:tcPr>
            <w:tcW w:w="14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64.2</w:t>
            </w:r>
          </w:p>
        </w:tc>
        <w:tc>
          <w:tcPr>
            <w:tcW w:w="16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63.6</w:t>
            </w: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380" w:type="dxa"/>
            <w:vAlign w:val="bottom"/>
            <w:gridSpan w:val="2"/>
          </w:tcPr>
          <w:p>
            <w:pPr>
              <w:jc w:val="right"/>
              <w:ind w:right="236"/>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31"/>
              <w:spacing w:after="0"/>
              <w:rPr>
                <w:sz w:val="20"/>
                <w:szCs w:val="20"/>
                <w:color w:val="auto"/>
              </w:rPr>
            </w:pPr>
            <w:r>
              <w:rPr>
                <w:rFonts w:ascii="Arial" w:cs="Arial" w:eastAsia="Arial" w:hAnsi="Arial"/>
                <w:sz w:val="18"/>
                <w:szCs w:val="18"/>
                <w:color w:val="auto"/>
              </w:rPr>
              <w:t>7.2</w:t>
            </w:r>
          </w:p>
        </w:tc>
        <w:tc>
          <w:tcPr>
            <w:tcW w:w="1400" w:type="dxa"/>
            <w:vAlign w:val="bottom"/>
            <w:gridSpan w:val="2"/>
          </w:tcPr>
          <w:p>
            <w:pPr>
              <w:jc w:val="right"/>
              <w:ind w:right="93"/>
              <w:spacing w:after="0"/>
              <w:rPr>
                <w:sz w:val="20"/>
                <w:szCs w:val="20"/>
                <w:color w:val="auto"/>
              </w:rPr>
            </w:pPr>
            <w:r>
              <w:rPr>
                <w:rFonts w:ascii="Arial" w:cs="Arial" w:eastAsia="Arial" w:hAnsi="Arial"/>
                <w:sz w:val="18"/>
                <w:szCs w:val="18"/>
                <w:color w:val="auto"/>
              </w:rPr>
              <w:t>7.4</w:t>
            </w:r>
          </w:p>
        </w:tc>
        <w:tc>
          <w:tcPr>
            <w:tcW w:w="1680" w:type="dxa"/>
            <w:vAlign w:val="bottom"/>
            <w:gridSpan w:val="3"/>
          </w:tcPr>
          <w:p>
            <w:pPr>
              <w:jc w:val="right"/>
              <w:ind w:right="230"/>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gridSpan w:val="2"/>
            <w:shd w:val="clear" w:color="auto" w:fill="CCEEFF"/>
          </w:tcPr>
          <w:p>
            <w:pPr>
              <w:jc w:val="right"/>
              <w:ind w:right="236"/>
              <w:spacing w:after="0"/>
              <w:rPr>
                <w:sz w:val="20"/>
                <w:szCs w:val="20"/>
                <w:color w:val="auto"/>
              </w:rPr>
            </w:pPr>
            <w:r>
              <w:rPr>
                <w:rFonts w:ascii="Arial" w:cs="Arial" w:eastAsia="Arial" w:hAnsi="Arial"/>
                <w:sz w:val="18"/>
                <w:szCs w:val="18"/>
                <w:color w:val="auto"/>
              </w:rPr>
              <w:t>11.9</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12.8</w:t>
            </w:r>
          </w:p>
        </w:tc>
        <w:tc>
          <w:tcPr>
            <w:tcW w:w="14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11.9</w:t>
            </w:r>
          </w:p>
        </w:tc>
        <w:tc>
          <w:tcPr>
            <w:tcW w:w="16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1380" w:type="dxa"/>
            <w:vAlign w:val="bottom"/>
            <w:gridSpan w:val="2"/>
          </w:tcPr>
          <w:p>
            <w:pPr>
              <w:jc w:val="right"/>
              <w:ind w:right="236"/>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31"/>
              <w:spacing w:after="0"/>
              <w:rPr>
                <w:sz w:val="20"/>
                <w:szCs w:val="20"/>
                <w:color w:val="auto"/>
              </w:rPr>
            </w:pPr>
            <w:r>
              <w:rPr>
                <w:rFonts w:ascii="Arial" w:cs="Arial" w:eastAsia="Arial" w:hAnsi="Arial"/>
                <w:sz w:val="18"/>
                <w:szCs w:val="18"/>
                <w:color w:val="auto"/>
              </w:rPr>
              <w:t>2.8</w:t>
            </w:r>
          </w:p>
        </w:tc>
        <w:tc>
          <w:tcPr>
            <w:tcW w:w="1400" w:type="dxa"/>
            <w:vAlign w:val="bottom"/>
            <w:gridSpan w:val="2"/>
          </w:tcPr>
          <w:p>
            <w:pPr>
              <w:jc w:val="right"/>
              <w:ind w:right="93"/>
              <w:spacing w:after="0"/>
              <w:rPr>
                <w:sz w:val="20"/>
                <w:szCs w:val="20"/>
                <w:color w:val="auto"/>
              </w:rPr>
            </w:pPr>
            <w:r>
              <w:rPr>
                <w:rFonts w:ascii="Arial" w:cs="Arial" w:eastAsia="Arial" w:hAnsi="Arial"/>
                <w:sz w:val="18"/>
                <w:szCs w:val="18"/>
                <w:color w:val="auto"/>
              </w:rPr>
              <w:t>2.9</w:t>
            </w:r>
          </w:p>
        </w:tc>
        <w:tc>
          <w:tcPr>
            <w:tcW w:w="1680" w:type="dxa"/>
            <w:vAlign w:val="bottom"/>
            <w:gridSpan w:val="3"/>
          </w:tcPr>
          <w:p>
            <w:pPr>
              <w:jc w:val="right"/>
              <w:ind w:right="23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Restructuring charges, in-process research and development and other</w:t>
            </w:r>
          </w:p>
        </w:tc>
        <w:tc>
          <w:tcPr>
            <w:tcW w:w="3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rPr>
              <w:t>86.5</w:t>
            </w:r>
          </w:p>
        </w:tc>
        <w:tc>
          <w:tcPr>
            <w:tcW w:w="5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86.7</w:t>
            </w:r>
          </w:p>
        </w:tc>
        <w:tc>
          <w:tcPr>
            <w:tcW w:w="5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87.9</w:t>
            </w: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86.9</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1380" w:type="dxa"/>
            <w:vAlign w:val="bottom"/>
            <w:gridSpan w:val="2"/>
            <w:shd w:val="clear" w:color="auto" w:fill="CCEEFF"/>
          </w:tcPr>
          <w:p>
            <w:pPr>
              <w:jc w:val="right"/>
              <w:ind w:right="236"/>
              <w:spacing w:after="0"/>
              <w:rPr>
                <w:sz w:val="20"/>
                <w:szCs w:val="20"/>
                <w:color w:val="auto"/>
              </w:rPr>
            </w:pPr>
            <w:r>
              <w:rPr>
                <w:rFonts w:ascii="Arial" w:cs="Arial" w:eastAsia="Arial" w:hAnsi="Arial"/>
                <w:sz w:val="18"/>
                <w:szCs w:val="18"/>
                <w:color w:val="auto"/>
              </w:rPr>
              <w:t>13.5</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13.3</w:t>
            </w:r>
          </w:p>
        </w:tc>
        <w:tc>
          <w:tcPr>
            <w:tcW w:w="14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12.1</w:t>
            </w:r>
          </w:p>
        </w:tc>
        <w:tc>
          <w:tcPr>
            <w:tcW w:w="16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13.1</w:t>
            </w:r>
          </w:p>
        </w:tc>
      </w:tr>
      <w:tr>
        <w:trPr>
          <w:trHeight w:val="223"/>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Interest (expense) income and other, net</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(0.8)</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380" w:type="dxa"/>
            <w:vAlign w:val="bottom"/>
            <w:gridSpan w:val="2"/>
            <w:shd w:val="clear" w:color="auto" w:fill="CCEEFF"/>
          </w:tcPr>
          <w:p>
            <w:pPr>
              <w:jc w:val="right"/>
              <w:ind w:right="236"/>
              <w:spacing w:after="0"/>
              <w:rPr>
                <w:sz w:val="20"/>
                <w:szCs w:val="20"/>
                <w:color w:val="auto"/>
              </w:rPr>
            </w:pPr>
            <w:r>
              <w:rPr>
                <w:rFonts w:ascii="Arial" w:cs="Arial" w:eastAsia="Arial" w:hAnsi="Arial"/>
                <w:sz w:val="18"/>
                <w:szCs w:val="18"/>
                <w:color w:val="auto"/>
              </w:rPr>
              <w:t>12.7</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14.4</w:t>
            </w:r>
          </w:p>
        </w:tc>
        <w:tc>
          <w:tcPr>
            <w:tcW w:w="14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11.9</w:t>
            </w:r>
          </w:p>
        </w:tc>
        <w:tc>
          <w:tcPr>
            <w:tcW w:w="16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14.2</w:t>
            </w:r>
          </w:p>
        </w:tc>
      </w:tr>
      <w:tr>
        <w:trPr>
          <w:trHeight w:val="223"/>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11.3%</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12.9%</w:t>
            </w:r>
          </w:p>
        </w:tc>
        <w:tc>
          <w:tcPr>
            <w:tcW w:w="5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380" w:type="dxa"/>
            <w:vAlign w:val="bottom"/>
            <w:gridSpan w:val="2"/>
          </w:tcPr>
          <w:p>
            <w:pPr>
              <w:jc w:val="right"/>
              <w:ind w:right="936"/>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2009 and 2008</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six months ended March 31, 2009 compared to the six months ended March 31, 2008. Following the table is a discussion and analysis of our business and results of operations for such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6"/>
          </w:tcPr>
          <w:p>
            <w:pPr>
              <w:ind w:left="5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210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March 31,</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tcBorders>
            <w:gridSpan w:val="2"/>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81,804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58,326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23,478</w:t>
            </w:r>
          </w:p>
        </w:tc>
        <w:tc>
          <w:tcPr>
            <w:tcW w:w="5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89"/>
              </w:rPr>
              <w:t>1,383,119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1,458,205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(75,086)</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1,464,923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1,516,531</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(51,608)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1,560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5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940,048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964,697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(24,649)</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108,979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112,103</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(3,124)</w:t>
            </w:r>
          </w:p>
        </w:tc>
        <w:tc>
          <w:tcPr>
            <w:tcW w:w="5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174,573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196,331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(21,758)</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41,755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43,506</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(1,751)</w:t>
            </w:r>
          </w:p>
        </w:tc>
        <w:tc>
          <w:tcPr>
            <w:tcW w:w="5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20,780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20,780</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1,287,695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1,318,349</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(30,654)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177,228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198,182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(20,954)</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Interest (expense) income and other, net</w:t>
            </w:r>
          </w:p>
        </w:tc>
        <w:tc>
          <w:tcPr>
            <w:tcW w:w="100" w:type="dxa"/>
            <w:vAlign w:val="bottom"/>
          </w:tcPr>
          <w:p>
            <w:pPr>
              <w:spacing w:after="0"/>
              <w:rPr>
                <w:sz w:val="18"/>
                <w:szCs w:val="18"/>
                <w:color w:val="auto"/>
              </w:rPr>
            </w:pP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(3,528)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17,638</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(21,166)</w:t>
            </w:r>
          </w:p>
        </w:tc>
        <w:tc>
          <w:tcPr>
            <w:tcW w:w="5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173,700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215,820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(42,120)</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18,823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20,297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(1,474)</w:t>
            </w:r>
          </w:p>
        </w:tc>
        <w:tc>
          <w:tcPr>
            <w:tcW w:w="5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154,877</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195,523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(40,646)</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Total revenue decreased by $51.6 million, or 3.4%, to $1,464.9 million in the six months ended March 31, 2009, from $1,516.5 million in the six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March 31, 2008. Revenue in the six months ended March 31, 2009 was affected by the continuing downturn in macroeconomic conditions, which resulted in longer project sale cycles across our business. The decrease in revenue was primarily attributable to foreign exchange impacts, as well as to decreases in revenue from directory customers and project revenue. These revenue decreases were partially offset by increases in revenue from cable and satellite service providers and in revenue from managed services telecommunications customers.</w:t>
      </w:r>
    </w:p>
    <w:p>
      <w:pPr>
        <w:spacing w:after="0" w:line="64"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Deferred revenue decreased to $155.6 million as of March 31, 2009 from $197.9 million as of September 30, 2008, primarily due to progress on various projects without significant offsetting additions due to the decrease in the pace of new project commitments.</w:t>
      </w:r>
    </w:p>
    <w:p>
      <w:pPr>
        <w:spacing w:after="0" w:line="62"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License revenue in the six months ended March 31, 2009 increased by $23.5 million, or 40.3%, from $58.3 million in the six months ended March 31, 2008, primarily due to progress on projects with relatively higher portions of license fees.</w:t>
      </w:r>
    </w:p>
    <w:p>
      <w:pPr>
        <w:spacing w:after="0" w:line="62"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License and service revenue attributable to the sale of customer experience systems was $1,369.0 million in the six months ended March 31, 2009, a decrease of $12.0 million, or 0.9%, over the six months ended March 31, 2008. The decrease was primarily attributable to foreign exchange impacts, as well as to a decrease in project revenue, partially offset by an increase in revenue attributable to cable and satellite customers and in revenue from managed services arrangements.</w:t>
      </w:r>
    </w:p>
    <w:p>
      <w:pPr>
        <w:spacing w:after="0" w:line="79"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License and service revenue resulting from the sale of customer experience systems represented 93.4% and 91.1% of our total revenue in the six months ended March 31, 2009 and 2008, respectively.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License and service revenue attributable to the sale of directory systems was $95.9 million in the six months ended March 31, 2009, a decrease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$39.6 million, or 29.2%, as compared to the six months ended March 31, 2008. The decrease was primarily attributable to a decrease in projects for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existing customers. License and service revenue from the sale of directory systems represented 6.6% and 8.9% of our total revenue in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31, 2009 and 2008,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the six months ended March 31, 2009, revenue from customers in North America, Europe and the rest of the world accounted for 75.2%, 14.8% and 10%, respectively, of total revenue compared to 68.7%, 17.4% and 13.9%, respectively, in the six months ended March 31, 2008. The increase in revenue contributed from customers in North America was attributable to revenue from consolidation and transformation projects for Tier 1 and for cable and satellite customers and to revenue from managed services customers partially offset by foreign exchange impacts. The decrease in revenue contributed from customers in Europe was primarily attributable to completion of projects, a decrease in the pace of new project commitments and foreign exchange impacts. The decrease in revenue contributed from customers in the rest of the world was primarily attributable to completion of projects, a decrease in the pace of new project commitments, a decrease in revenue attributable to the sale of directory systems and foreign exchange impacts.</w:t>
      </w:r>
    </w:p>
    <w:p>
      <w:pPr>
        <w:spacing w:after="0" w:line="59"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b w:val="1"/>
          <w:bCs w:val="1"/>
          <w:i w:val="1"/>
          <w:iCs w:val="1"/>
          <w:color w:val="auto"/>
        </w:rPr>
        <w:t xml:space="preserve">Cost of License and Service. </w:t>
      </w:r>
      <w:r>
        <w:rPr>
          <w:rFonts w:ascii="Arial" w:cs="Arial" w:eastAsia="Arial" w:hAnsi="Arial"/>
          <w:sz w:val="17"/>
          <w:szCs w:val="17"/>
          <w:color w:val="auto"/>
        </w:rPr>
        <w:t>Cost of license mainly includes royalty payments to software suppliers. Cost of service consists primarily of costs associated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providing services to customers, including compensation expense and costs of third-party products. The decrease in cost of license and service in the six months ended March 31, 2009 was $24.8 million, or 2.6%. As a percentage of revenue, cost of license and service was 64.3% in the six months ended March 31, 2009, compared to 63.7% in the six months ended March 31, 2008. Our cost of service in the six months ended March 31, 2009 was affected by the overall decrease in our revenue, the effects of our cost savings programs, our expansion into lower cost jurisdictions and foreign exchange impacts, partially offset by expansion of our managed services activities for customer experience system arrangements. Margins from existing managed services tend to improve over time as we realize synergies, create cost efficiencies and improve business processes.</w:t>
      </w:r>
    </w:p>
    <w:p>
      <w:pPr>
        <w:spacing w:after="0" w:line="70"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$3.1 million, or 2.8%, to $109.0 million in the six months ended March 31, 2009, from $112.1 million in the six months ended March 31, 2008. Research and development expense consisted of 7.4% as a percentage of revenue which is at the same level as in the six months ended March 31, 2008. The decrease in research and development expense was attributable to the effects of our cost savings programs, as well as to changes in the geographical mix of our research and development resources. We believe that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59"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 decreased by $21.8 million, or 11.1%, to $174.6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2009, from $196.3 million in the six months ended March 31, 2008. Selling, general and administrative expense is primarily comprised of compensation expense. The decrease in selling, general and administrative expense was primarily attributable to the effects of our cost savings programs and foreign exchange impacts.</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color w:val="auto"/>
        </w:rPr>
        <w:t>. Amortization of purchased intangible assets in the six months ended March 31, 2009 was $41.8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$43.5 million in the six months ended March 31, 2008. The decrease in amortization of purchased intangible assets was primarily due to purchased intangible assets that were fully amortized as of October 1, 2008, partially offset by amortization of intangible assets related to small acquisitions in fiscal 2008 and the first quarter of fiscal 2009.</w:t>
      </w:r>
    </w:p>
    <w:p>
      <w:pPr>
        <w:spacing w:after="0" w:line="75" w:lineRule="exact"/>
        <w:rPr>
          <w:sz w:val="20"/>
          <w:szCs w:val="20"/>
          <w:color w:val="auto"/>
        </w:rPr>
      </w:pPr>
    </w:p>
    <w:p>
      <w:pPr>
        <w:ind w:right="260" w:firstLine="225"/>
        <w:spacing w:after="0" w:line="314" w:lineRule="auto"/>
        <w:rPr>
          <w:sz w:val="20"/>
          <w:szCs w:val="20"/>
          <w:color w:val="auto"/>
        </w:rPr>
      </w:pPr>
      <w:r>
        <w:rPr>
          <w:rFonts w:ascii="Arial" w:cs="Arial" w:eastAsia="Arial" w:hAnsi="Arial"/>
          <w:sz w:val="16"/>
          <w:szCs w:val="16"/>
          <w:b w:val="1"/>
          <w:bCs w:val="1"/>
          <w:i w:val="1"/>
          <w:iCs w:val="1"/>
          <w:color w:val="auto"/>
        </w:rPr>
        <w:t>Restructuring Charges and In-Process 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Restructuring charges and in-process research and development in the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2009 consisted of a $15.1 million restructuring charge related primarily to our restructuring plan in the first quarter of fiscal 2009 and a $5.7 million charge for the write-off of purchased in-process research and development related to a small acquisition during the first quarter of fiscal 2009.</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color w:val="auto"/>
        </w:rPr>
        <w:t>. Operating income decreased by $21.0 million, or 10.6%, to $177.2 million in the six months ended March 31, 2009, from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$198.2 million in the six months ended March 31, 2008. The decrease in operating income was primarily attributable to the restructuring and in-process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charges in the first quarter of fiscal 2009, the decrease in revenue, foreign exchange impacts and the expansion of our managed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activities for customer experience system arrangements, partially offset by the effects of our cost savings programs and expansion into lower cost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jurisdictions.</w:t>
      </w:r>
    </w:p>
    <w:p>
      <w:pPr>
        <w:spacing w:after="0" w:line="103"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b w:val="1"/>
          <w:bCs w:val="1"/>
          <w:i w:val="1"/>
          <w:iCs w:val="1"/>
          <w:color w:val="auto"/>
        </w:rPr>
        <w:t xml:space="preserve">Interest (Expense) Income and Other, Net. </w:t>
      </w:r>
      <w:r>
        <w:rPr>
          <w:rFonts w:ascii="Arial" w:cs="Arial" w:eastAsia="Arial" w:hAnsi="Arial"/>
          <w:sz w:val="17"/>
          <w:szCs w:val="17"/>
          <w:color w:val="auto"/>
        </w:rPr>
        <w:t>Interest (expense) income and other, net decreased by $21.2 million to expense of $3.5 million in the six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March 31, 2009, from income of $17.6 million in the six months ended March 31, 2008. The decrease in interest (expense) income and other, net, is primarily attributable to lower income on our short-term interest-bearing investments due to current market conditions and to foreign exchange impacts, partially offset by approximately $2.2 million in gains resulting from our repurchase of outstanding convertible notes.</w:t>
      </w:r>
    </w:p>
    <w:p>
      <w:pPr>
        <w:spacing w:after="0" w:line="6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six months ended March 31, 2009 were $18.8 million on pretax income of $173.7 million, resulting in an effective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of 10.8%, compared to 9.4% in the six months ended March 31, 2008. Of the increase in our effective tax rate, approximately 2.4% was attributable to changes in the tax reserves and in valuation allowances, which was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partially offset by approximately 0.7% attributable to the net effect of acquisition-related costs (which include amortization of purchased intangible assets, and in-process research and development), restructuring charges and equity-based compensation expense, and the remaining difference was primarily attributable to the geographical distribution of earnings from global operations. Our effective tax rate may fluctuate between quarters as a result of discrete items that may affect a specific quarter.</w:t>
      </w:r>
    </w:p>
    <w:p>
      <w:pPr>
        <w:spacing w:after="0" w:line="79" w:lineRule="exact"/>
        <w:rPr>
          <w:sz w:val="20"/>
          <w:szCs w:val="20"/>
          <w:color w:val="auto"/>
        </w:rPr>
      </w:pPr>
    </w:p>
    <w:p>
      <w:pPr>
        <w:ind w:right="280" w:firstLine="225"/>
        <w:spacing w:after="0" w:line="342"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color w:val="auto"/>
        </w:rPr>
        <w:t>. Net income was $154.9 million in the six months ended March 31, 2009, compared to $195.5 million in the six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The decrease in net income was attributable mainly to the decrease in operating income and the decrease in interest (expense) income and other, net.</w:t>
      </w:r>
    </w:p>
    <w:p>
      <w:pPr>
        <w:spacing w:after="0" w:line="16"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decreased by $0.15, or 16.8%, to $0.74 in the six months ended March 31, 2009, from $0.89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months ended March 31, 2008. The decrease in diluted earnings per share resulted primarily from the decrease in net income, partially offset by the decrease in diluted weighted average numbers of shares outstanding resulting primarily from the repurchase and redemption of our convertible Notes and repurchase of our shares in the six months ended March 31, 2008. Please see Note 9 to our unaudited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2009 and 2008</w:t>
      </w:r>
    </w:p>
    <w:p>
      <w:pPr>
        <w:spacing w:after="0" w:line="121" w:lineRule="exact"/>
        <w:rPr>
          <w:sz w:val="20"/>
          <w:szCs w:val="20"/>
          <w:color w:val="auto"/>
        </w:rPr>
      </w:pPr>
    </w:p>
    <w:p>
      <w:pPr>
        <w:ind w:right="600" w:firstLine="222"/>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March 31, 2009 compared to the three months ended March 31, 2008. Following the table is a discussion and analysis of our business and results of operations for such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License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37,203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32,109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5,094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89"/>
              </w:rPr>
              <w:t>673,881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742,172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(68,291)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711,084</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774,281</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(63,197)</w:t>
            </w:r>
          </w:p>
        </w:tc>
        <w:tc>
          <w:tcPr>
            <w:tcW w:w="6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569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(369)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89"/>
              </w:rPr>
              <w:t>455,997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493,956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(37,959)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52,750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56,088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(3,338)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84,308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98,666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(14,358)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21,501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21,753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(252)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Restructuring charges, in-process research and development and other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615,125</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671,401</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(56,276)</w:t>
            </w:r>
          </w:p>
        </w:tc>
        <w:tc>
          <w:tcPr>
            <w:tcW w:w="6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95,959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102,880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(6,921)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Interest (expense) income and other,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(5,763)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8,822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(14,585)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90,196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111,702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(21,506)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Income taxes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9,566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11,843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(2,277)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80,630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99,859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(19,229)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decreased by $63.2 million, or 8.2 %, to $711.1 million in the three months ended March 31, 2009, from $774.3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2008. Revenue in the three months ended March 31, 2009 was affected by the continuing downturn in macroeconomic conditions, which resulted in longer project sale cycles across our business. The decrease in revenue was primarily attributable to foreign exchange impacts and a decrease in project revenue, as well as to decreases in revenue from directory customers. These revenue decreases were partially offset by increases in revenue from cable and satellite service providers.</w:t>
      </w:r>
    </w:p>
    <w:p>
      <w:pPr>
        <w:spacing w:after="0" w:line="8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License revenue increased by $5.1 million, or 15.9%, to $37.2 million in the three months ended March 31, 2009, from $32.1 million in the three months ended March 31, 2008.</w:t>
      </w:r>
    </w:p>
    <w:p>
      <w:pPr>
        <w:spacing w:after="0" w:line="62"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License and service revenue attributable to the sale of customer experience systems was $668.0 million in the three months ended March 31, 2009, a decrease of $40.2 million, or 5.7%, over the three months ended March 31, 2008. The decrease was primarily attributable to foreign exchange impacts and to a decrease in project revenue, partially offset by increase in revenue attributable to cable and satellite customers. License and service revenue resulted from the sale of customer experience systems represented 93.9% and 91.5% of our total revenue in the three months ended March 31, 2009 and 2008, respectively.</w:t>
      </w:r>
    </w:p>
    <w:p>
      <w:pPr>
        <w:spacing w:after="0" w:line="46"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License and service revenue from the sale of directory systems was $43.1 million in the three months ended March 31, 2009, a decrease of $22.9 million, or 34.7%, as compared to the three months ended March 31, 2008. The decrease was primarily attributable to a decrease in projects for our existing customers. License and service revenue from the sale of directory systems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represented 6.1% and 8.5% of our total revenue in the three months ended March 31, 2009 and 2008, respectively.</w:t>
      </w:r>
    </w:p>
    <w:p>
      <w:pPr>
        <w:spacing w:after="0" w:line="117"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 the three months ended March 31, 2009, revenue from customers in North America, Europe and the rest of the world accounted for 75.9%, 14.8% and 9.3%, respectively, of total revenue compared to 69.9%, 17.6% and 12.5%, respectively, in the three months ended March 31, 2008. The increase in revenue from customers in North America, in absolute amounts, was primarily attributable to revenue from cable and satellite customers which was offset by foreign exchange impacts. The decrease in revenue contributed from customers in Europe was primarily attributable to completion of projects, a decrease in the pace of new project commitments and foreign exchange impacts. The decrease in revenue contributed from customers in the rest of the world was primarily attributable to completion of projects, a decrease in the pace of new project commitments, a decrease in revenue attributable to the sale of directory systems and foreign exchange impacts.</w:t>
      </w:r>
    </w:p>
    <w:p>
      <w:pPr>
        <w:spacing w:after="0" w:line="81"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b w:val="1"/>
          <w:bCs w:val="1"/>
          <w:i w:val="1"/>
          <w:iCs w:val="1"/>
          <w:color w:val="auto"/>
        </w:rPr>
        <w:t>Cost of License and Service</w:t>
      </w:r>
      <w:r>
        <w:rPr>
          <w:rFonts w:ascii="Arial" w:cs="Arial" w:eastAsia="Arial" w:hAnsi="Arial"/>
          <w:sz w:val="16"/>
          <w:szCs w:val="16"/>
          <w:color w:val="auto"/>
        </w:rPr>
        <w:t>. Cost of license mainly includes royalty payments to software suppliers. Cost of service consists primarily of costs associated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providing services to customers, including compensation expense and costs of third-party products. The decrease in cost of license and service in the three months ended March 31, 2009 was $38.3 million or 7.7%. As a percentage of revenue, cost of license and service was 64.2% in the three months ended March 31, 2009, compared to 63.9% in the three months ended March 31, 2008. Our cost of service in the three months ended March 31, 2009 was affected by the overall decrease in our revenue, the effects of our cost savings programs, our expansion into lower cost jurisdictions and by foreign exchange impacts, partially offset by expansion of our managed services activities for customer experience system arrangements. Margins from Managed Services tend to improve over time as we realize synergies, create cost efficiencies and improve business processes.</w:t>
      </w:r>
    </w:p>
    <w:p>
      <w:pPr>
        <w:spacing w:after="0" w:line="59"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b w:val="1"/>
          <w:bCs w:val="1"/>
          <w:i w:val="1"/>
          <w:iCs w:val="1"/>
          <w:color w:val="auto"/>
        </w:rPr>
        <w:t>Research and Development</w:t>
      </w:r>
      <w:r>
        <w:rPr>
          <w:rFonts w:ascii="Arial" w:cs="Arial" w:eastAsia="Arial" w:hAnsi="Arial"/>
          <w:sz w:val="17"/>
          <w:szCs w:val="17"/>
          <w:color w:val="auto"/>
        </w:rPr>
        <w:t>. Research and development expense is primarily comprised of compensation expense. Research and development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by $3.3 million, or 6.0%, in the three months ended March 31, 2009 to $52.8 million from $56.1 million in the three months ended March 31, 2008. Research and development expense slightly increased as a percentage of revenue from 7.2% in the three months ended March 31, 2008 to 7.4% in the three months ended March 31, 2009. The decrease in research and development expense was attributable to the effects of our cost savings programs, as well as to changes in the geographical mix of our research and development resources.</w:t>
      </w:r>
    </w:p>
    <w:p>
      <w:pPr>
        <w:spacing w:after="0" w:line="64"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decreased by $14.4 million, or 14.6%, to $84.3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2009, from $98.7 million in the three months ended March 31, 2008. Selling, general and administrative expense is primarily comprised of compensation expense. The decrease in selling, general and administrative expense was primarily attributable to the effects of our cost savings programs and foreign exchange impacts.</w:t>
      </w:r>
    </w:p>
    <w:p>
      <w:pPr>
        <w:spacing w:after="0" w:line="7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color w:val="auto"/>
        </w:rPr>
        <w:t>. Amortization of purchased intangible assets in the three months ended March 31, 2009 was $21.5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$21.8 million in the three months ended March 31, 2008.</w:t>
      </w:r>
    </w:p>
    <w:p>
      <w:pPr>
        <w:spacing w:after="0" w:line="62"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decreased by $6.9 million, or 6.7%, in the three months ended March 31, 2009, to $96.0 million, or 13.5%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$102.9 million, or 13.3% of revenue, in the three months ended March 31, 2008. The decrease in operating income was primarily attributable to the decrease in revenue, foreign exchange impacts and the expansion of our managed services activities, partially offset by the effects of our cost savings programs and expansion into lower cost jurisdictions.</w:t>
      </w:r>
    </w:p>
    <w:p>
      <w:pPr>
        <w:spacing w:after="0" w:line="79" w:lineRule="exact"/>
        <w:rPr>
          <w:sz w:val="20"/>
          <w:szCs w:val="20"/>
          <w:color w:val="auto"/>
        </w:rPr>
      </w:pPr>
    </w:p>
    <w:p>
      <w:pPr>
        <w:jc w:val="both"/>
        <w:ind w:right="20" w:firstLine="225"/>
        <w:spacing w:after="0" w:line="312" w:lineRule="auto"/>
        <w:rPr>
          <w:sz w:val="20"/>
          <w:szCs w:val="20"/>
          <w:color w:val="auto"/>
        </w:rPr>
      </w:pPr>
      <w:r>
        <w:rPr>
          <w:rFonts w:ascii="Arial" w:cs="Arial" w:eastAsia="Arial" w:hAnsi="Arial"/>
          <w:sz w:val="16"/>
          <w:szCs w:val="16"/>
          <w:b w:val="1"/>
          <w:bCs w:val="1"/>
          <w:i w:val="1"/>
          <w:iCs w:val="1"/>
          <w:color w:val="auto"/>
        </w:rPr>
        <w:t xml:space="preserve">Interest (Expense) Income and Other, Net. </w:t>
      </w:r>
      <w:r>
        <w:rPr>
          <w:rFonts w:ascii="Arial" w:cs="Arial" w:eastAsia="Arial" w:hAnsi="Arial"/>
          <w:sz w:val="16"/>
          <w:szCs w:val="16"/>
          <w:color w:val="auto"/>
        </w:rPr>
        <w:t>Interest (expense) income and other, net decreased by $14.6 million in the three months ended March 31,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expense of $5.8 million from income of $8.8 million in the three months ended March 31, 2008. The decrease in interest income and other, net, is primarily attributable to lower income on our short-term interest-bearing investments due to current market conditions and to foreign exchange impacts.</w:t>
      </w:r>
    </w:p>
    <w:p>
      <w:pPr>
        <w:spacing w:after="0" w:line="39"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March 31, 2009 were $9.6 million on pretax income of $90.2 million, resulting in an effective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of 10.6%, at the same level as in the three months ended March 31, 2008. An increase of approximately 4.9% related to the changes in our tax reserves and valuation allowances was offset primarily by a decrease attributable to the geographical distribution of earnings from global operations. Our effective tax rate may fluctuate between quarters as a result of discrete items that may affect a specific quarter.</w:t>
      </w:r>
    </w:p>
    <w:p>
      <w:pPr>
        <w:spacing w:after="0" w:line="6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$80.6 million in the three months ended March 31, 2009, compared to net income of $99.9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2008. The decrease in net income was mainly attributable to the decrease in our operating income and the decrease in interest (expense) income and other, net.</w:t>
      </w:r>
    </w:p>
    <w:p>
      <w:pPr>
        <w:spacing w:after="0" w:line="73"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decreased by $0.07, or 15.2% to $0.39 in the three months ended March 31, 2009, from $0.46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March 31, 2008. The decrease in diluted earnings per share resulted from the decrease in net income, partially offset by the decrease in diluted weighted average numbers of shares outstanding resulting primarily from the repurchase and redemption of our convertible Notes and repurchase of our shares in the three months ended March 31, 2008. Please see Note 9 to our unaudited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Cash, cash equivalents and short-term interest-bearing investments totaled $1,334.9 million as of March 31, 2009, compared to $1,244.4 million as of September 30, 2008. The increase was mainly attributable to $221.6 million in positive cash flow from operations and our $450 million borrowing under our revolving credit facility, partially offset by $446.8 million used for the redemption and repurchase of our convertible notes, $61.9 in net cash paid for acquisitions, $47.8 million for capital expenditures and $20.0 million used to repurchase our ordinary shares pursuant to our share repurchase program. Net cash provided by operating activities amounted to $221.6 million and $190.4 million for the six months ended March 31, 2009 and 2008, respectively.</w:t>
      </w:r>
    </w:p>
    <w:p>
      <w:pPr>
        <w:spacing w:after="0" w:line="5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Our policy is to retain substantial cash balances in order to support our growth. We believe that our current cash balances, cash generated from operations and our current lines of credit will provide sufficient resources to meet our operational needs for at least the next 12 months.</w:t>
      </w:r>
    </w:p>
    <w:p>
      <w:pPr>
        <w:spacing w:after="0" w:line="62"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Our short-term interest-bearing investments are classified as available-for-sale securities. Unrealized gains or losses are reported as a separate component of accumulated other comprehensive income, net of tax. Such short-term interest-bearing investments consist primarily of U.S. government treasuries, U.S. agency securities and corporate bonds. We have conservative investment policy guidelines and, consistent with these guidelines, in prior years we also purchased AAA asset-backed obligations and mortgages. Our interest-bearing investments are stated at fair value. Our interest-bearing investments are priced by pricing vendors and are classified as Level 1 or Level 2 investments, as defined by under SFAS No.157, since these vendors either provide a quoted market price in an active market or use observable inputs. See Note 4 to our unaudited Consolidated Financial Statements. We review various factors in determining whether we should recognize an impairment charge for our short-term interest-bearing investments, including our intent and ability to hold the investment for a period of time sufficient to allow for any anticipated recovery in market value, the length of time and extent to which the fair value has been less than our cost basis, the credit ratings of the securities and the financial condition and near-term prospects of the issuers. Based on our considerations of these factors the other-than-temporary impairment on our short term interest-bearing investments was immaterial during the three and six months ended March 31, 2009 and fiscal 2008.</w:t>
      </w:r>
    </w:p>
    <w:p>
      <w:pPr>
        <w:spacing w:after="0" w:line="75"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 November 2007, we entered into an unsecured $500 million five-year revolving credit facility with a syndicate of banks, which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ratings. As of March 31, 2009, we were in compliance with the financial covenants under the revolving credit facility. During the six months ended March 31, 2009, we borrowed $450 million under the facility which accrues interest at rate equal to LIBOR plus 42.5 basis points margin, and used the proceeds to acquire our outstanding notes as described below.</w:t>
      </w:r>
    </w:p>
    <w:p>
      <w:pPr>
        <w:spacing w:after="0" w:line="85"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During the first quarter of fiscal 2009, using proceeds from our revolving credit facility, we purchased $100 million aggregate principal amount of our notes at an average price of 98% of the principal amount, excluding accrued interest and transaction fees. During the second quarter of fiscal 2009 we purchased $18.2 million aggregate principal amount of our 0.50% convertible notes at an average price of 99.6% of the principal amount, excluding accrued interest and transaction fees. In March 2009, the holders of the notes had tendered to us for repurchase of $330.8 million principal amount of 0.50% Notes of the $331.8 million then outstanding and we purchased the tendered 0.50% Notes for cash. We funded these purchases using proceeds from our five-year revolving credit facility as described above. As of March 31, 2009, $1.0 million principal amount of the 0.50% Notes remain as our obligations, due 2024, in accordance with their terms.</w:t>
      </w:r>
    </w:p>
    <w:p>
      <w:pPr>
        <w:spacing w:after="0" w:line="81"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As of March 31, 2009, we had outstanding letters of credit and bank guarantees from various banks totaling $7.1 million. As of March 31, 2009, we had outstanding short-term loans totaling $2.0 million secured by specified pledges and guaranties, and outstanding obligations of $1.9 million in connection with leasing arrangements.</w:t>
      </w:r>
    </w:p>
    <w:p>
      <w:pPr>
        <w:spacing w:after="0" w:line="73" w:lineRule="exact"/>
        <w:rPr>
          <w:sz w:val="20"/>
          <w:szCs w:val="20"/>
          <w:color w:val="auto"/>
        </w:rPr>
      </w:pPr>
    </w:p>
    <w:p>
      <w:pPr>
        <w:jc w:val="both"/>
        <w:ind w:right="40" w:firstLine="222"/>
        <w:spacing w:after="0" w:line="302" w:lineRule="auto"/>
        <w:rPr>
          <w:sz w:val="20"/>
          <w:szCs w:val="20"/>
          <w:color w:val="auto"/>
        </w:rPr>
      </w:pPr>
      <w:r>
        <w:rPr>
          <w:rFonts w:ascii="Arial" w:cs="Arial" w:eastAsia="Arial" w:hAnsi="Arial"/>
          <w:sz w:val="16"/>
          <w:szCs w:val="16"/>
          <w:color w:val="auto"/>
        </w:rPr>
        <w:t>We have contractual obligations for our convertible notes, financing arrangements, non-cancelable operating leases and purchase obligations summarized in the tabular disclosure of contractual obligations in our Annual Report on Form 20-F for our fiscal year ended September 30, 2008. Other than our purchase in the six months ended March 31, 2009 of $449.0 million aggregate principal amount of our notes using proceeds from our credit facility as described above, since September 30, 2008, there have been no material changes in our contractual obligations other than in the ordinary course of our business.</w:t>
      </w:r>
    </w:p>
    <w:p>
      <w:pPr>
        <w:spacing w:after="0" w:line="46"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Our capital expenditures were approximately $47.8 million in the six months ended March 31, 2009. Approximately 80% of these expenditures consisted of purchases of computer equipment, and the remainder to leasehold improvements and furniture and fixtures. The capital expenditures in the six months ended March 31, 2009 were mainly attributable to investments in our operating facilities and our development centers around the world. We fund our capital expenditures principally from operating cash flows. We do not anticipate any changes to this policy in the foreseeable future.</w:t>
      </w:r>
    </w:p>
    <w:p>
      <w:pPr>
        <w:spacing w:after="0" w:line="46"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From time to time, we have engaged in share repurchase programs in which we repurchase our shares in the open market or privately negotiated transactions and at times and prices we deem appropriate.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August 2007, our board of directors authorized a share repurchase plan allowing the repurchase of up to $400 million of our outstanding ordinary shares. The authorization permits us to purchase our ordinary shares in open market or privately negotiated transactions at times and prices that we consider appropriate. In the first quarter of fiscal 2009, we repurchased approximately 0.5 million ordinary shares at an average price of $26.90 per share (excluding broker and transaction fees). Although we currently do not have any plans to repurchase additional ordinary shares, we had authority, as of March 31, 2009, to repurchase up to $82.7 million of our ordinary shares under this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predominately denominated in the U.S. dollar. The operations of our foreign subsidiaries provide the same type of services with the same type of expenditure throughout the Amdocs group.</w:t>
      </w:r>
    </w:p>
    <w:p>
      <w:pPr>
        <w:spacing w:after="0" w:line="79"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During the six months ended March 31, 2009 and 2008, approximately 70% to 80% of our revenue and approximately 50% to 60% of our operating expenses were in U.S. dollars or linked to the U.S. dollar. As our customers may seek contracts that are denominated in currencies other than the U.S. dollar and as our operational activities outside of the United States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quarter ended March 31, 2009 of equity securities that are registered by us pursuant to Section 12 of the Exchange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w:t>
            </w:r>
          </w:p>
        </w:tc>
        <w:tc>
          <w:tcPr>
            <w:tcW w:w="420" w:type="dxa"/>
            <w:vAlign w:val="bottom"/>
          </w:tcPr>
          <w:p>
            <w:pPr>
              <w:spacing w:after="0"/>
              <w:rPr>
                <w:sz w:val="14"/>
                <w:szCs w:val="14"/>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Total Number of</w:t>
            </w:r>
          </w:p>
        </w:tc>
        <w:tc>
          <w:tcPr>
            <w:tcW w:w="42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3"/>
              </w:rPr>
              <w:t>(a)</w:t>
            </w: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w:t>
            </w:r>
          </w:p>
        </w:tc>
        <w:tc>
          <w:tcPr>
            <w:tcW w:w="42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4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4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of Publicly</w:t>
            </w:r>
          </w:p>
        </w:tc>
        <w:tc>
          <w:tcPr>
            <w:tcW w:w="4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00" w:type="dxa"/>
            <w:vAlign w:val="bottom"/>
          </w:tcPr>
          <w:p>
            <w:pPr>
              <w:spacing w:after="0"/>
              <w:rPr>
                <w:sz w:val="12"/>
                <w:szCs w:val="12"/>
                <w:color w:val="auto"/>
              </w:rPr>
            </w:pPr>
          </w:p>
        </w:tc>
        <w:tc>
          <w:tcPr>
            <w:tcW w:w="10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42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4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42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42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2"/>
              </w:rPr>
              <w:t>the Plans or Programs(1)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01/1/09-01/31/09</w:t>
            </w:r>
          </w:p>
        </w:tc>
        <w:tc>
          <w:tcPr>
            <w:tcW w:w="4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8"/>
                <w:szCs w:val="18"/>
                <w:color w:val="auto"/>
              </w:rPr>
              <w:t>$82,723,018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02/1/09-02/28/09</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980" w:type="dxa"/>
            <w:vAlign w:val="bottom"/>
          </w:tcPr>
          <w:p>
            <w:pPr>
              <w:jc w:val="right"/>
              <w:ind w:right="31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2560" w:type="dxa"/>
            <w:vAlign w:val="bottom"/>
            <w:gridSpan w:val="2"/>
          </w:tcPr>
          <w:p>
            <w:pPr>
              <w:jc w:val="right"/>
              <w:ind w:right="585"/>
              <w:spacing w:after="0"/>
              <w:rPr>
                <w:sz w:val="20"/>
                <w:szCs w:val="20"/>
                <w:color w:val="auto"/>
              </w:rPr>
            </w:pPr>
            <w:r>
              <w:rPr>
                <w:rFonts w:ascii="Arial" w:cs="Arial" w:eastAsia="Arial" w:hAnsi="Arial"/>
                <w:sz w:val="18"/>
                <w:szCs w:val="18"/>
                <w:color w:val="auto"/>
              </w:rPr>
              <w:t>82,723,018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03/1/09-03/31/09</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256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82,723,018</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318"/>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2560" w:type="dxa"/>
            <w:vAlign w:val="bottom"/>
            <w:gridSpan w:val="2"/>
          </w:tcPr>
          <w:p>
            <w:pPr>
              <w:jc w:val="right"/>
              <w:ind w:right="585"/>
              <w:spacing w:after="0"/>
              <w:rPr>
                <w:sz w:val="20"/>
                <w:szCs w:val="20"/>
                <w:color w:val="auto"/>
              </w:rPr>
            </w:pPr>
            <w:r>
              <w:rPr>
                <w:rFonts w:ascii="Arial" w:cs="Arial" w:eastAsia="Arial" w:hAnsi="Arial"/>
                <w:sz w:val="18"/>
                <w:szCs w:val="18"/>
                <w:color w:val="auto"/>
              </w:rPr>
              <w:t>$82,723,018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August 2007, our board of directors authorized a share repurchase plan allowing the repurchase of up to $400 million of our outstanding ordinary shares. The authorization permits us to purchase our ordinary shares in open market or privately negotiated transactions at times and prices that we consider appropriate. Although we currently do not have any plans to repurchase additional ordinary shares, we had authority, as of March 31, 2009, to repurchase up to $82.7 million of our ordinary shares under this plan.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restart"/>
          </w:tcPr>
          <w:p>
            <w:pPr>
              <w:jc w:val="center"/>
              <w:ind w:right="277"/>
              <w:spacing w:after="0"/>
              <w:rPr>
                <w:sz w:val="20"/>
                <w:szCs w:val="20"/>
                <w:color w:val="auto"/>
              </w:rPr>
            </w:pPr>
            <w:r>
              <w:rPr>
                <w:rFonts w:ascii="Arial" w:cs="Arial" w:eastAsia="Arial" w:hAnsi="Arial"/>
                <w:sz w:val="14"/>
                <w:szCs w:val="14"/>
                <w:b w:val="1"/>
                <w:bCs w:val="1"/>
                <w:color w:val="auto"/>
                <w:w w:val="89"/>
              </w:rPr>
              <w:t>(b)</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(c)</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vMerge w:val="restart"/>
          </w:tcPr>
          <w:p>
            <w:pPr>
              <w:jc w:val="center"/>
              <w:ind w:right="574"/>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Average Price</w:t>
            </w:r>
          </w:p>
        </w:tc>
        <w:tc>
          <w:tcPr>
            <w:tcW w:w="30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300" w:type="dxa"/>
            <w:vAlign w:val="bottom"/>
          </w:tcPr>
          <w:p>
            <w:pPr>
              <w:spacing w:after="0"/>
              <w:rPr>
                <w:sz w:val="12"/>
                <w:szCs w:val="12"/>
                <w:color w:val="auto"/>
              </w:rPr>
            </w:pPr>
          </w:p>
        </w:tc>
        <w:tc>
          <w:tcPr>
            <w:tcW w:w="2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30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Paid per $1000</w:t>
            </w:r>
          </w:p>
        </w:tc>
        <w:tc>
          <w:tcPr>
            <w:tcW w:w="30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Convertible Notes</w:t>
            </w:r>
          </w:p>
        </w:tc>
        <w:tc>
          <w:tcPr>
            <w:tcW w:w="300" w:type="dxa"/>
            <w:vAlign w:val="bottom"/>
          </w:tcPr>
          <w:p>
            <w:pPr>
              <w:spacing w:after="0"/>
              <w:rPr>
                <w:sz w:val="12"/>
                <w:szCs w:val="12"/>
                <w:color w:val="auto"/>
              </w:rPr>
            </w:pPr>
          </w:p>
        </w:tc>
        <w:tc>
          <w:tcPr>
            <w:tcW w:w="2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Amount of</w:t>
            </w:r>
          </w:p>
        </w:tc>
        <w:tc>
          <w:tcPr>
            <w:tcW w:w="30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Principal Amount</w:t>
            </w:r>
          </w:p>
        </w:tc>
        <w:tc>
          <w:tcPr>
            <w:tcW w:w="30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300" w:type="dxa"/>
            <w:vAlign w:val="bottom"/>
          </w:tcPr>
          <w:p>
            <w:pPr>
              <w:spacing w:after="0"/>
              <w:rPr>
                <w:sz w:val="12"/>
                <w:szCs w:val="12"/>
                <w:color w:val="auto"/>
              </w:rPr>
            </w:pPr>
          </w:p>
        </w:tc>
        <w:tc>
          <w:tcPr>
            <w:tcW w:w="2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of Convertible Notes that</w:t>
            </w: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8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Convertible Notes</w:t>
            </w:r>
          </w:p>
        </w:tc>
        <w:tc>
          <w:tcPr>
            <w:tcW w:w="30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Convertible</w:t>
            </w:r>
          </w:p>
        </w:tc>
        <w:tc>
          <w:tcPr>
            <w:tcW w:w="30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300" w:type="dxa"/>
            <w:vAlign w:val="bottom"/>
          </w:tcPr>
          <w:p>
            <w:pPr>
              <w:spacing w:after="0"/>
              <w:rPr>
                <w:sz w:val="12"/>
                <w:szCs w:val="12"/>
                <w:color w:val="auto"/>
              </w:rPr>
            </w:pPr>
          </w:p>
        </w:tc>
        <w:tc>
          <w:tcPr>
            <w:tcW w:w="2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30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Purchased</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center"/>
              <w:ind w:right="277"/>
              <w:spacing w:after="0"/>
              <w:rPr>
                <w:sz w:val="20"/>
                <w:szCs w:val="20"/>
                <w:color w:val="auto"/>
              </w:rPr>
            </w:pPr>
            <w:r>
              <w:rPr>
                <w:rFonts w:ascii="Arial" w:cs="Arial" w:eastAsia="Arial" w:hAnsi="Arial"/>
                <w:sz w:val="14"/>
                <w:szCs w:val="14"/>
                <w:b w:val="1"/>
                <w:bCs w:val="1"/>
                <w:color w:val="auto"/>
                <w:w w:val="92"/>
              </w:rPr>
              <w:t>Notes</w:t>
            </w:r>
          </w:p>
        </w:tc>
        <w:tc>
          <w:tcPr>
            <w:tcW w:w="300" w:type="dxa"/>
            <w:vAlign w:val="bottom"/>
          </w:tcPr>
          <w:p>
            <w:pPr>
              <w:spacing w:after="0"/>
              <w:rPr>
                <w:sz w:val="14"/>
                <w:szCs w:val="14"/>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300" w:type="dxa"/>
            <w:vAlign w:val="bottom"/>
          </w:tcPr>
          <w:p>
            <w:pPr>
              <w:spacing w:after="0"/>
              <w:rPr>
                <w:sz w:val="14"/>
                <w:szCs w:val="14"/>
                <w:color w:val="auto"/>
              </w:rPr>
            </w:pPr>
          </w:p>
        </w:tc>
        <w:tc>
          <w:tcPr>
            <w:tcW w:w="2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the Plans or Programs(1)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01/1/09-01/31/09</w:t>
            </w: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02/1/09-02/28/09</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18,200,000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297"/>
              <w:spacing w:after="0"/>
              <w:rPr>
                <w:sz w:val="20"/>
                <w:szCs w:val="20"/>
                <w:color w:val="auto"/>
              </w:rPr>
            </w:pPr>
            <w:r>
              <w:rPr>
                <w:rFonts w:ascii="Arial" w:cs="Arial" w:eastAsia="Arial" w:hAnsi="Arial"/>
                <w:sz w:val="18"/>
                <w:szCs w:val="18"/>
                <w:color w:val="auto"/>
              </w:rPr>
              <w:t>996.0</w:t>
            </w:r>
          </w:p>
        </w:tc>
        <w:tc>
          <w:tcPr>
            <w:tcW w:w="2160" w:type="dxa"/>
            <w:vAlign w:val="bottom"/>
            <w:gridSpan w:val="4"/>
          </w:tcPr>
          <w:p>
            <w:pPr>
              <w:jc w:val="right"/>
              <w:ind w:right="480"/>
              <w:spacing w:after="0"/>
              <w:rPr>
                <w:sz w:val="20"/>
                <w:szCs w:val="20"/>
                <w:color w:val="auto"/>
              </w:rPr>
            </w:pPr>
            <w:r>
              <w:rPr>
                <w:rFonts w:ascii="Arial" w:cs="Arial" w:eastAsia="Arial" w:hAnsi="Arial"/>
                <w:sz w:val="18"/>
                <w:szCs w:val="18"/>
                <w:color w:val="auto"/>
              </w:rPr>
              <w:t>18,200,000</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jc w:val="right"/>
              <w:ind w:right="574"/>
              <w:spacing w:after="0"/>
              <w:rPr>
                <w:sz w:val="20"/>
                <w:szCs w:val="20"/>
                <w:color w:val="auto"/>
              </w:rPr>
            </w:pPr>
            <w:r>
              <w:rPr>
                <w:rFonts w:ascii="Arial" w:cs="Arial" w:eastAsia="Arial" w:hAnsi="Arial"/>
                <w:sz w:val="18"/>
                <w:szCs w:val="18"/>
                <w:color w:val="auto"/>
                <w:w w:val="87"/>
              </w:rPr>
              <w:t>331,800,000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03/1/09-03/31/09</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330,780,000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w w:val="86"/>
              </w:rPr>
              <w:t>1,000.0</w:t>
            </w:r>
          </w:p>
        </w:tc>
        <w:tc>
          <w:tcPr>
            <w:tcW w:w="21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330,780,000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1,020,000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348,980,000</w:t>
            </w:r>
          </w:p>
        </w:tc>
        <w:tc>
          <w:tcPr>
            <w:tcW w:w="460" w:type="dxa"/>
            <w:vAlign w:val="bottom"/>
          </w:tcPr>
          <w:p>
            <w:pPr>
              <w:spacing w:after="0"/>
              <w:rPr>
                <w:sz w:val="18"/>
                <w:szCs w:val="18"/>
                <w:color w:val="auto"/>
              </w:rPr>
            </w:pPr>
          </w:p>
        </w:tc>
        <w:tc>
          <w:tcPr>
            <w:tcW w:w="1580" w:type="dxa"/>
            <w:vAlign w:val="bottom"/>
            <w:gridSpan w:val="3"/>
          </w:tcPr>
          <w:p>
            <w:pPr>
              <w:jc w:val="right"/>
              <w:ind w:right="297"/>
              <w:spacing w:after="0"/>
              <w:rPr>
                <w:sz w:val="20"/>
                <w:szCs w:val="20"/>
                <w:color w:val="auto"/>
              </w:rPr>
            </w:pPr>
            <w:r>
              <w:rPr>
                <w:rFonts w:ascii="Arial" w:cs="Arial" w:eastAsia="Arial" w:hAnsi="Arial"/>
                <w:sz w:val="18"/>
                <w:szCs w:val="18"/>
                <w:color w:val="auto"/>
              </w:rPr>
              <w:t>$ 1000.0</w:t>
            </w:r>
          </w:p>
        </w:tc>
        <w:tc>
          <w:tcPr>
            <w:tcW w:w="2160" w:type="dxa"/>
            <w:vAlign w:val="bottom"/>
            <w:gridSpan w:val="4"/>
          </w:tcPr>
          <w:p>
            <w:pPr>
              <w:jc w:val="right"/>
              <w:ind w:right="480"/>
              <w:spacing w:after="0"/>
              <w:rPr>
                <w:sz w:val="20"/>
                <w:szCs w:val="20"/>
                <w:color w:val="auto"/>
              </w:rPr>
            </w:pPr>
            <w:r>
              <w:rPr>
                <w:rFonts w:ascii="Arial" w:cs="Arial" w:eastAsia="Arial" w:hAnsi="Arial"/>
                <w:sz w:val="18"/>
                <w:szCs w:val="18"/>
                <w:color w:val="auto"/>
              </w:rPr>
              <w:t>348,980,000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74"/>
              <w:spacing w:after="0"/>
              <w:rPr>
                <w:sz w:val="20"/>
                <w:szCs w:val="20"/>
                <w:color w:val="auto"/>
              </w:rPr>
            </w:pPr>
            <w:r>
              <w:rPr>
                <w:rFonts w:ascii="Arial" w:cs="Arial" w:eastAsia="Arial" w:hAnsi="Arial"/>
                <w:sz w:val="18"/>
                <w:szCs w:val="18"/>
                <w:color w:val="auto"/>
              </w:rPr>
              <w:t>1,020,000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40" w:hanging="452"/>
        <w:spacing w:after="0" w:line="276"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second quarter of fiscal 2009 we purchased $18.2 million aggregate principal amount of our 0.50% convertible notes at an average price of 99.6% of the principal amount, excluding accrued interest and transaction fees. In March 2009, the holders of the notes had tendered to us for repurchase of $330.8 million principal amount of 0.50% Notes of the $331.8 million then outstanding and we purchased the tendered 0.50% Notes for cash. We funded these repurchases using proceeds from our five-year revolving credit facility as described above. As of March 31, 2009, $1.0 million principal amount of the 0.50% Notes remain as our obligation, due 2024, in accordance with their terms.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Reports on Form 6-K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Reports on Form 6-K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furnished or filed the following reports on Form 6-K during the three months ended March 31, 2009:</w:t>
      </w:r>
    </w:p>
    <w:p>
      <w:pPr>
        <w:spacing w:after="0" w:line="14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January 22, 2009</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January 27, 2009</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February 9, 2009</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April 22, 2009</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12, 2009</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sectPr>
      <w:pgSz w:w="11900" w:h="16838" w:orient="portrait"/>
      <w:cols w:equalWidth="0" w:num="1">
        <w:col w:w="10520"/>
      </w:cols>
      <w:pgMar w:left="240" w:top="419"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2019-12-10T17:41:39Z</dcterms:created>
  <dcterms:modified xsi:type="dcterms:W3CDTF">2019-12-10T17:41:39Z</dcterms:modified>
</cp:coreProperties>
</file>