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February,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2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00"/>
        <w:spacing w:after="0" w:line="207" w:lineRule="exact"/>
        <w:tabs>
          <w:tab w:leader="none" w:pos="5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Matters to a Vote of Security Holders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the 2016 Annual General Meeting of Shareholders of Amdocs Limited (the “Company”) held on February 3, 2016, the proposals listed below were submitted to a vote of the Company’s shareholders. The proposals are described in the Company’s proxy statement for the 2016 Annual General Meeting of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the Company’s Board of Directors each for a term of one year.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11 nominees named in the proxy statement were elected to serve as directors until the Company’s 2017 Annual General Meeting of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8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7"/>
              </w:rPr>
              <w:t>Votes Against</w:t>
            </w:r>
          </w:p>
        </w:tc>
        <w:tc>
          <w:tcPr>
            <w:tcW w:w="144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87"/>
              </w:rPr>
              <w:t>Votes Abstaining</w:t>
            </w:r>
          </w:p>
        </w:tc>
        <w:tc>
          <w:tcPr>
            <w:tcW w:w="126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Broker Non-Votes</w:t>
            </w:r>
          </w:p>
        </w:tc>
      </w:tr>
      <w:tr>
        <w:trPr>
          <w:trHeight w:val="20"/>
        </w:trPr>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A. Minicucci</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122,995,666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3,383,685</w:t>
            </w:r>
          </w:p>
        </w:tc>
        <w:tc>
          <w:tcPr>
            <w:tcW w:w="2480" w:type="dxa"/>
            <w:vAlign w:val="bottom"/>
            <w:gridSpan w:val="2"/>
            <w:shd w:val="clear" w:color="auto" w:fill="CCEEFF"/>
          </w:tcPr>
          <w:p>
            <w:pPr>
              <w:jc w:val="center"/>
              <w:ind w:left="1350"/>
              <w:spacing w:after="0"/>
              <w:rPr>
                <w:sz w:val="20"/>
                <w:szCs w:val="20"/>
                <w:color w:val="auto"/>
              </w:rPr>
            </w:pPr>
            <w:r>
              <w:rPr>
                <w:rFonts w:ascii="Arial" w:cs="Arial" w:eastAsia="Arial" w:hAnsi="Arial"/>
                <w:sz w:val="18"/>
                <w:szCs w:val="18"/>
                <w:color w:val="auto"/>
                <w:w w:val="89"/>
              </w:rPr>
              <w:t>1,473,776</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shd w:val="clear" w:color="auto" w:fill="CCEEFF"/>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Adrian Gardner</w:t>
            </w:r>
          </w:p>
        </w:tc>
        <w:tc>
          <w:tcPr>
            <w:tcW w:w="3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122,033,488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3,335,443</w:t>
            </w:r>
          </w:p>
        </w:tc>
        <w:tc>
          <w:tcPr>
            <w:tcW w:w="248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2,484,197</w:t>
            </w:r>
          </w:p>
        </w:tc>
        <w:tc>
          <w:tcPr>
            <w:tcW w:w="238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55,755</w:t>
            </w:r>
          </w:p>
        </w:tc>
        <w:tc>
          <w:tcPr>
            <w:tcW w:w="520" w:type="dxa"/>
            <w:vAlign w:val="bottom"/>
          </w:tcPr>
          <w:p>
            <w:pPr>
              <w:spacing w:after="0"/>
              <w:rPr>
                <w:sz w:val="18"/>
                <w:szCs w:val="18"/>
                <w:color w:val="auto"/>
              </w:rPr>
            </w:pPr>
          </w:p>
        </w:tc>
      </w:tr>
      <w:tr>
        <w:trPr>
          <w:trHeight w:val="21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T. McLennan</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123,598,990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3,337,962</w:t>
            </w:r>
          </w:p>
        </w:tc>
        <w:tc>
          <w:tcPr>
            <w:tcW w:w="248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9"/>
              </w:rPr>
              <w:t>916,175</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shd w:val="clear" w:color="auto" w:fill="CCEEFF"/>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Simon Olswang</w:t>
            </w:r>
          </w:p>
        </w:tc>
        <w:tc>
          <w:tcPr>
            <w:tcW w:w="3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122,680,590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2,687,910</w:t>
            </w:r>
          </w:p>
        </w:tc>
        <w:tc>
          <w:tcPr>
            <w:tcW w:w="248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2,484,627</w:t>
            </w:r>
          </w:p>
        </w:tc>
        <w:tc>
          <w:tcPr>
            <w:tcW w:w="238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tcPr>
          <w:p>
            <w:pPr>
              <w:spacing w:after="0"/>
              <w:rPr>
                <w:sz w:val="18"/>
                <w:szCs w:val="18"/>
                <w:color w:val="auto"/>
              </w:rPr>
            </w:pPr>
          </w:p>
        </w:tc>
      </w:tr>
      <w:tr>
        <w:trPr>
          <w:trHeight w:val="21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Zohar Zisapel</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124,492,675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2,444,456</w:t>
            </w:r>
          </w:p>
        </w:tc>
        <w:tc>
          <w:tcPr>
            <w:tcW w:w="248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9"/>
              </w:rPr>
              <w:t>915,997</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55,755</w:t>
            </w:r>
          </w:p>
        </w:tc>
        <w:tc>
          <w:tcPr>
            <w:tcW w:w="520" w:type="dxa"/>
            <w:vAlign w:val="bottom"/>
            <w:shd w:val="clear" w:color="auto" w:fill="CCEEFF"/>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Julian A. Brodsky</w:t>
            </w:r>
          </w:p>
        </w:tc>
        <w:tc>
          <w:tcPr>
            <w:tcW w:w="3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124,884,658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2,052,188</w:t>
            </w:r>
          </w:p>
        </w:tc>
        <w:tc>
          <w:tcPr>
            <w:tcW w:w="248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916,281</w:t>
            </w:r>
          </w:p>
        </w:tc>
        <w:tc>
          <w:tcPr>
            <w:tcW w:w="238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tcPr>
          <w:p>
            <w:pPr>
              <w:spacing w:after="0"/>
              <w:rPr>
                <w:sz w:val="18"/>
                <w:szCs w:val="18"/>
                <w:color w:val="auto"/>
              </w:rPr>
            </w:pPr>
          </w:p>
        </w:tc>
      </w:tr>
      <w:tr>
        <w:trPr>
          <w:trHeight w:val="21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Clayton Christensen</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90"/>
              </w:rPr>
              <w:t>98,697,693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28,219,655</w:t>
            </w:r>
          </w:p>
        </w:tc>
        <w:tc>
          <w:tcPr>
            <w:tcW w:w="248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9"/>
              </w:rPr>
              <w:t>935,779</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shd w:val="clear" w:color="auto" w:fill="CCEEFF"/>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Eli Gelman</w:t>
            </w:r>
          </w:p>
        </w:tc>
        <w:tc>
          <w:tcPr>
            <w:tcW w:w="3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124,554,436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2,384,221</w:t>
            </w:r>
          </w:p>
        </w:tc>
        <w:tc>
          <w:tcPr>
            <w:tcW w:w="248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914,470</w:t>
            </w:r>
          </w:p>
        </w:tc>
        <w:tc>
          <w:tcPr>
            <w:tcW w:w="238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tcPr>
          <w:p>
            <w:pPr>
              <w:spacing w:after="0"/>
              <w:rPr>
                <w:sz w:val="18"/>
                <w:szCs w:val="18"/>
                <w:color w:val="auto"/>
              </w:rPr>
            </w:pPr>
          </w:p>
        </w:tc>
      </w:tr>
      <w:tr>
        <w:trPr>
          <w:trHeight w:val="21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S. Kahan</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122,705,559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4,232,621</w:t>
            </w:r>
          </w:p>
        </w:tc>
        <w:tc>
          <w:tcPr>
            <w:tcW w:w="248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9"/>
              </w:rPr>
              <w:t>914,947</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shd w:val="clear" w:color="auto" w:fill="CCEEFF"/>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Richard T.C. LeFave</w:t>
            </w:r>
          </w:p>
        </w:tc>
        <w:tc>
          <w:tcPr>
            <w:tcW w:w="3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125,874,708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1,061,605</w:t>
            </w:r>
          </w:p>
        </w:tc>
        <w:tc>
          <w:tcPr>
            <w:tcW w:w="248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916,815</w:t>
            </w:r>
          </w:p>
        </w:tc>
        <w:tc>
          <w:tcPr>
            <w:tcW w:w="2380" w:type="dxa"/>
            <w:vAlign w:val="bottom"/>
            <w:gridSpan w:val="2"/>
          </w:tcPr>
          <w:p>
            <w:pPr>
              <w:jc w:val="center"/>
              <w:ind w:left="1170"/>
              <w:spacing w:after="0"/>
              <w:rPr>
                <w:sz w:val="20"/>
                <w:szCs w:val="20"/>
                <w:color w:val="auto"/>
              </w:rPr>
            </w:pPr>
            <w:r>
              <w:rPr>
                <w:rFonts w:ascii="Arial" w:cs="Arial" w:eastAsia="Arial" w:hAnsi="Arial"/>
                <w:sz w:val="18"/>
                <w:szCs w:val="18"/>
                <w:color w:val="auto"/>
                <w:w w:val="87"/>
              </w:rPr>
              <w:t>55,755</w:t>
            </w:r>
          </w:p>
        </w:tc>
        <w:tc>
          <w:tcPr>
            <w:tcW w:w="520" w:type="dxa"/>
            <w:vAlign w:val="bottom"/>
          </w:tcPr>
          <w:p>
            <w:pPr>
              <w:spacing w:after="0"/>
              <w:rPr>
                <w:sz w:val="18"/>
                <w:szCs w:val="18"/>
                <w:color w:val="auto"/>
              </w:rPr>
            </w:pPr>
          </w:p>
        </w:tc>
      </w:tr>
      <w:tr>
        <w:trPr>
          <w:trHeight w:val="216"/>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Giora Yaron</w:t>
            </w:r>
          </w:p>
        </w:tc>
        <w:tc>
          <w:tcPr>
            <w:tcW w:w="30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125,865,524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1,071,802</w:t>
            </w:r>
          </w:p>
        </w:tc>
        <w:tc>
          <w:tcPr>
            <w:tcW w:w="248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9"/>
              </w:rPr>
              <w:t>915,801</w:t>
            </w:r>
          </w:p>
        </w:tc>
        <w:tc>
          <w:tcPr>
            <w:tcW w:w="238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87"/>
              </w:rPr>
              <w:t>55,756</w:t>
            </w:r>
          </w:p>
        </w:tc>
        <w:tc>
          <w:tcPr>
            <w:tcW w:w="5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increase in the dividend rate under the Company’s quarterly cash dividend program from $0.17 per share to $0.195 per share.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approved an increase in the dividend rate under the Company’s quarterly cash dividend program from $0.17 per share to $0.195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2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2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400" w:type="dxa"/>
            <w:vAlign w:val="bottom"/>
            <w:gridSpan w:val="3"/>
            <w:shd w:val="clear" w:color="auto" w:fill="CCEEFF"/>
          </w:tcPr>
          <w:p>
            <w:pPr>
              <w:jc w:val="right"/>
              <w:ind w:right="2480"/>
              <w:spacing w:after="0"/>
              <w:rPr>
                <w:sz w:val="20"/>
                <w:szCs w:val="20"/>
                <w:color w:val="auto"/>
              </w:rPr>
            </w:pPr>
            <w:r>
              <w:rPr>
                <w:rFonts w:ascii="Arial" w:cs="Arial" w:eastAsia="Arial" w:hAnsi="Arial"/>
                <w:sz w:val="18"/>
                <w:szCs w:val="18"/>
                <w:color w:val="auto"/>
                <w:w w:val="89"/>
              </w:rPr>
              <w:t>126,941,738</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2,384</w:t>
            </w:r>
          </w:p>
        </w:tc>
        <w:tc>
          <w:tcPr>
            <w:tcW w:w="3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909,008</w:t>
            </w:r>
          </w:p>
        </w:tc>
        <w:tc>
          <w:tcPr>
            <w:tcW w:w="36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55,753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the Company’s Consolidated Financial Statements for the fiscal year ended September 30, 2015.</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2015. The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2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2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400" w:type="dxa"/>
            <w:vAlign w:val="bottom"/>
            <w:gridSpan w:val="3"/>
            <w:shd w:val="clear" w:color="auto" w:fill="CCEEFF"/>
          </w:tcPr>
          <w:p>
            <w:pPr>
              <w:jc w:val="right"/>
              <w:ind w:right="2480"/>
              <w:spacing w:after="0"/>
              <w:rPr>
                <w:sz w:val="20"/>
                <w:szCs w:val="20"/>
                <w:color w:val="auto"/>
              </w:rPr>
            </w:pPr>
            <w:r>
              <w:rPr>
                <w:rFonts w:ascii="Arial" w:cs="Arial" w:eastAsia="Arial" w:hAnsi="Arial"/>
                <w:sz w:val="18"/>
                <w:szCs w:val="18"/>
                <w:color w:val="auto"/>
                <w:w w:val="89"/>
              </w:rPr>
              <w:t>126,346,674</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13,183</w:t>
            </w:r>
          </w:p>
        </w:tc>
        <w:tc>
          <w:tcPr>
            <w:tcW w:w="3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1,493,272</w:t>
            </w:r>
          </w:p>
        </w:tc>
        <w:tc>
          <w:tcPr>
            <w:tcW w:w="36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55,754</w:t>
            </w:r>
          </w:p>
        </w:tc>
      </w:tr>
    </w:tbl>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u w:val="single" w:color="auto"/>
          <w:color w:val="auto"/>
        </w:rPr>
        <w:t>Proposal 4 – The ratification and approval of the appointment of Ernst &amp; Young LLP as the Company’s independent registered public accounting firm for the fiscal year ending September 30, 2016,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2016,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2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2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Abstaining</w:t>
            </w: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400" w:type="dxa"/>
            <w:vAlign w:val="bottom"/>
            <w:gridSpan w:val="3"/>
            <w:shd w:val="clear" w:color="auto" w:fill="CCEEFF"/>
          </w:tcPr>
          <w:p>
            <w:pPr>
              <w:jc w:val="right"/>
              <w:ind w:right="2480"/>
              <w:spacing w:after="0"/>
              <w:rPr>
                <w:sz w:val="20"/>
                <w:szCs w:val="20"/>
                <w:color w:val="auto"/>
              </w:rPr>
            </w:pPr>
            <w:r>
              <w:rPr>
                <w:rFonts w:ascii="Arial" w:cs="Arial" w:eastAsia="Arial" w:hAnsi="Arial"/>
                <w:sz w:val="18"/>
                <w:szCs w:val="18"/>
                <w:color w:val="auto"/>
                <w:w w:val="89"/>
              </w:rPr>
              <w:t>125,106,729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1,894,000</w:t>
            </w:r>
          </w:p>
        </w:tc>
        <w:tc>
          <w:tcPr>
            <w:tcW w:w="3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908,154</w:t>
            </w:r>
          </w:p>
        </w:tc>
        <w:tc>
          <w:tcPr>
            <w:tcW w:w="36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2019-12-06T22:33:57Z</dcterms:created>
  <dcterms:modified xsi:type="dcterms:W3CDTF">2019-12-06T22:33:57Z</dcterms:modified>
</cp:coreProperties>
</file>