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FORM 6-K</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80"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For the Quarter Ended June 30, 2006</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Commission File Number 1-14840</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Amdocs, Inc.</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0" w:lineRule="exact"/>
        <w:rPr>
          <w:sz w:val="24"/>
          <w:szCs w:val="24"/>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5" w:lineRule="exact"/>
        <w:rPr>
          <w:sz w:val="24"/>
          <w:szCs w:val="24"/>
          <w:color w:val="auto"/>
        </w:rPr>
      </w:pPr>
    </w:p>
    <w:p>
      <w:pPr>
        <w:jc w:val="center"/>
        <w:ind w:right="3059"/>
        <w:spacing w:after="0"/>
        <w:tabs>
          <w:tab w:leader="none" w:pos="2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5"/>
          <w:szCs w:val="15"/>
          <w:color w:val="auto"/>
        </w:rPr>
        <w:t>FORM 40-F [ ]</w:t>
      </w:r>
    </w:p>
    <w:p>
      <w:pPr>
        <w:spacing w:after="0" w:line="180" w:lineRule="exact"/>
        <w:rPr>
          <w:sz w:val="24"/>
          <w:szCs w:val="24"/>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Indicate by check mark if the registrant is submitting the Form 6-K in paper as permitted by Regulation S-T Rule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101(b)(1): [ ]</w:t>
      </w:r>
    </w:p>
    <w:p>
      <w:pPr>
        <w:spacing w:after="0" w:line="180" w:lineRule="exact"/>
        <w:rPr>
          <w:sz w:val="24"/>
          <w:szCs w:val="24"/>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Indicate by check mark if the registrant is submitting the Form 6-K in paper as permitted by Regulation S-T Rule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101(b)(7): [ ]</w:t>
      </w:r>
    </w:p>
    <w:p>
      <w:pPr>
        <w:spacing w:after="0" w:line="180" w:lineRule="exact"/>
        <w:rPr>
          <w:sz w:val="24"/>
          <w:szCs w:val="24"/>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4" w:lineRule="exact"/>
        <w:rPr>
          <w:sz w:val="24"/>
          <w:szCs w:val="24"/>
          <w:color w:val="auto"/>
        </w:rPr>
      </w:pPr>
    </w:p>
    <w:p>
      <w:pPr>
        <w:jc w:val="center"/>
        <w:ind w:right="2959"/>
        <w:spacing w:after="0"/>
        <w:tabs>
          <w:tab w:leader="none" w:pos="260" w:val="left"/>
        </w:tabs>
        <w:rPr>
          <w:sz w:val="20"/>
          <w:szCs w:val="20"/>
          <w:color w:val="auto"/>
        </w:rPr>
      </w:pPr>
      <w:r>
        <w:rPr>
          <w:rFonts w:ascii="Courier New" w:cs="Courier New" w:eastAsia="Courier New" w:hAnsi="Courier New"/>
          <w:sz w:val="15"/>
          <w:szCs w:val="15"/>
          <w:color w:val="auto"/>
        </w:rPr>
        <w:t>YES [ ]</w:t>
      </w:r>
      <w:r>
        <w:rPr>
          <w:sz w:val="20"/>
          <w:szCs w:val="20"/>
          <w:color w:val="auto"/>
        </w:rPr>
        <w:tab/>
      </w:r>
      <w:r>
        <w:rPr>
          <w:rFonts w:ascii="Courier New" w:cs="Courier New" w:eastAsia="Courier New" w:hAnsi="Courier New"/>
          <w:sz w:val="14"/>
          <w:szCs w:val="14"/>
          <w:color w:val="auto"/>
        </w:rPr>
        <w:t>NO [X]</w:t>
      </w:r>
    </w:p>
    <w:p>
      <w:pPr>
        <w:spacing w:after="0" w:line="180" w:lineRule="exact"/>
        <w:rPr>
          <w:sz w:val="24"/>
          <w:szCs w:val="24"/>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 82-___</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584" w:right="1440" w:bottom="1440" w:gutter="0" w:footer="0" w:header="0"/>
        </w:sectPr>
      </w:pPr>
    </w:p>
    <w:bookmarkStart w:id="1" w:name="page2"/>
    <w:bookmarkEnd w:id="1"/>
    <w:p>
      <w:pPr>
        <w:jc w:val="center"/>
        <w:ind w:right="2959"/>
        <w:spacing w:after="0"/>
        <w:rPr>
          <w:sz w:val="20"/>
          <w:szCs w:val="20"/>
          <w:color w:val="auto"/>
        </w:rPr>
      </w:pPr>
      <w:r>
        <w:rPr>
          <w:rFonts w:ascii="Courier New" w:cs="Courier New" w:eastAsia="Courier New" w:hAnsi="Courier New"/>
          <w:sz w:val="15"/>
          <w:szCs w:val="15"/>
          <w:color w:val="auto"/>
        </w:rPr>
        <w:t>AMDOCS LIMITED</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FORM 6-K</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 THE QUARTER ENDED JUNE 30, 2006</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INDEX</w:t>
      </w:r>
    </w:p>
    <w:p>
      <w:pPr>
        <w:spacing w:after="0" w:line="18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PART I</w:t>
        <w:tab/>
        <w:t>FINANCIAL INFORMATION</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Item 1.</w:t>
        <w:tab/>
        <w:t>Financial Statements</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Consolidated Balance Sheets</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Consolidated Statement of Changes in Shareholders' Equity</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Item 2.</w:t>
        <w:tab/>
        <w:t>Operating and Financial Review and Prospects</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0" w:lineRule="exact"/>
        <w:rPr>
          <w:sz w:val="20"/>
          <w:szCs w:val="20"/>
          <w:color w:val="auto"/>
        </w:rPr>
      </w:pPr>
    </w:p>
    <w:p>
      <w:pPr>
        <w:ind w:left="1720" w:right="3139" w:hanging="908"/>
        <w:spacing w:after="0" w:line="247" w:lineRule="auto"/>
        <w:tabs>
          <w:tab w:leader="none" w:pos="17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Changes in Securities, Use of Proceeds and Issuer Purchases of Equity Securities</w:t>
      </w:r>
    </w:p>
    <w:p>
      <w:pPr>
        <w:spacing w:after="0" w:line="175" w:lineRule="exact"/>
        <w:rPr>
          <w:sz w:val="20"/>
          <w:szCs w:val="20"/>
          <w:color w:val="auto"/>
        </w:rPr>
      </w:pPr>
    </w:p>
    <w:p>
      <w:pPr>
        <w:ind w:left="820"/>
        <w:spacing w:after="0"/>
        <w:tabs>
          <w:tab w:leader="none" w:pos="17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Reports on Form 6-K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ind w:left="820"/>
              <w:spacing w:after="0"/>
              <w:rPr>
                <w:sz w:val="20"/>
                <w:szCs w:val="20"/>
                <w:color w:val="auto"/>
              </w:rPr>
            </w:pPr>
            <w:r>
              <w:rPr>
                <w:rFonts w:ascii="Courier New" w:cs="Courier New" w:eastAsia="Courier New" w:hAnsi="Courier New"/>
                <w:sz w:val="15"/>
                <w:szCs w:val="15"/>
                <w:color w:val="auto"/>
              </w:rPr>
              <w:t>(dollar and share amounts in thousands, except per share data)</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99"/>
        </w:trPr>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 OF</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7580" w:type="dxa"/>
            <w:vAlign w:val="bottom"/>
          </w:tcPr>
          <w:p>
            <w:pPr>
              <w:spacing w:after="0"/>
              <w:rPr>
                <w:sz w:val="15"/>
                <w:szCs w:val="15"/>
                <w:color w:val="auto"/>
              </w:rPr>
            </w:pPr>
          </w:p>
        </w:tc>
        <w:tc>
          <w:tcPr>
            <w:tcW w:w="268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7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JUNE 30,</w:t>
            </w: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SEPTEMBER 30,</w:t>
            </w:r>
          </w:p>
        </w:tc>
      </w:tr>
      <w:tr>
        <w:trPr>
          <w:trHeight w:val="175"/>
        </w:trPr>
        <w:tc>
          <w:tcPr>
            <w:tcW w:w="7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2006</w:t>
            </w:r>
          </w:p>
        </w:tc>
        <w:tc>
          <w:tcPr>
            <w:tcW w:w="220" w:type="dxa"/>
            <w:vAlign w:val="bottom"/>
          </w:tcPr>
          <w:p>
            <w:pPr>
              <w:spacing w:after="0"/>
              <w:rPr>
                <w:sz w:val="15"/>
                <w:szCs w:val="15"/>
                <w:color w:val="auto"/>
              </w:rPr>
            </w:pPr>
          </w:p>
        </w:tc>
        <w:tc>
          <w:tcPr>
            <w:tcW w:w="1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0"/>
        </w:trPr>
        <w:tc>
          <w:tcPr>
            <w:tcW w:w="75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7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485,458</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707,552</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722,094</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438,011</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414,154</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304,237</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77,653</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101,162</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81,793</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76,780</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580" w:type="dxa"/>
            <w:vAlign w:val="bottom"/>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1,781,152</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1,627,742</w:t>
            </w:r>
          </w:p>
        </w:tc>
      </w:tr>
      <w:tr>
        <w:trPr>
          <w:trHeight w:val="350"/>
        </w:trPr>
        <w:tc>
          <w:tcPr>
            <w:tcW w:w="758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22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184,878</w:t>
            </w:r>
          </w:p>
        </w:tc>
        <w:tc>
          <w:tcPr>
            <w:tcW w:w="220" w:type="dxa"/>
            <w:vAlign w:val="bottom"/>
          </w:tcPr>
          <w:p>
            <w:pPr>
              <w:spacing w:after="0"/>
              <w:rPr>
                <w:sz w:val="24"/>
                <w:szCs w:val="24"/>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181,812</w:t>
            </w:r>
          </w:p>
        </w:tc>
      </w:tr>
      <w:tr>
        <w:trPr>
          <w:trHeight w:val="175"/>
        </w:trPr>
        <w:tc>
          <w:tcPr>
            <w:tcW w:w="75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163,191</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120,217</w:t>
            </w:r>
          </w:p>
        </w:tc>
      </w:tr>
      <w:tr>
        <w:trPr>
          <w:trHeight w:val="175"/>
        </w:trPr>
        <w:tc>
          <w:tcPr>
            <w:tcW w:w="75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1,209,060</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969,639</w:t>
            </w:r>
          </w:p>
        </w:tc>
      </w:tr>
      <w:tr>
        <w:trPr>
          <w:trHeight w:val="175"/>
        </w:trPr>
        <w:tc>
          <w:tcPr>
            <w:tcW w:w="75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202,501</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159,619</w:t>
            </w:r>
          </w:p>
        </w:tc>
      </w:tr>
      <w:tr>
        <w:trPr>
          <w:trHeight w:val="175"/>
        </w:trPr>
        <w:tc>
          <w:tcPr>
            <w:tcW w:w="758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155,549</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143,439</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580" w:type="dxa"/>
            <w:vAlign w:val="bottom"/>
          </w:tcPr>
          <w:p>
            <w:pPr>
              <w:ind w:left="820"/>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$ 3,696,331</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$ 3,202,468</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75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7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117,248</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114,392</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239,273</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199,458</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156,115</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148,426</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financing arrangements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1,938</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8,480</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243,381</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216,770</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175,210</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171,377</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580" w:type="dxa"/>
            <w:vAlign w:val="bottom"/>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933,165</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858,903</w:t>
            </w:r>
          </w:p>
        </w:tc>
      </w:tr>
      <w:tr>
        <w:trPr>
          <w:trHeight w:val="350"/>
        </w:trPr>
        <w:tc>
          <w:tcPr>
            <w:tcW w:w="7580" w:type="dxa"/>
            <w:vAlign w:val="bottom"/>
          </w:tcPr>
          <w:p>
            <w:pPr>
              <w:spacing w:after="0"/>
              <w:rPr>
                <w:sz w:val="20"/>
                <w:szCs w:val="20"/>
                <w:color w:val="auto"/>
              </w:rPr>
            </w:pPr>
            <w:r>
              <w:rPr>
                <w:rFonts w:ascii="Courier New" w:cs="Courier New" w:eastAsia="Courier New" w:hAnsi="Courier New"/>
                <w:sz w:val="15"/>
                <w:szCs w:val="15"/>
                <w:color w:val="auto"/>
              </w:rPr>
              <w:t>0.50% convertible notes</w:t>
            </w:r>
          </w:p>
        </w:tc>
        <w:tc>
          <w:tcPr>
            <w:tcW w:w="22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450,000</w:t>
            </w:r>
          </w:p>
        </w:tc>
        <w:tc>
          <w:tcPr>
            <w:tcW w:w="220" w:type="dxa"/>
            <w:vAlign w:val="bottom"/>
          </w:tcPr>
          <w:p>
            <w:pPr>
              <w:spacing w:after="0"/>
              <w:rPr>
                <w:sz w:val="24"/>
                <w:szCs w:val="24"/>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450,000</w:t>
            </w:r>
          </w:p>
        </w:tc>
      </w:tr>
      <w:tr>
        <w:trPr>
          <w:trHeight w:val="175"/>
        </w:trPr>
        <w:tc>
          <w:tcPr>
            <w:tcW w:w="75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81,209</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50,571</w:t>
            </w:r>
          </w:p>
        </w:tc>
      </w:tr>
      <w:tr>
        <w:trPr>
          <w:trHeight w:val="175"/>
        </w:trPr>
        <w:tc>
          <w:tcPr>
            <w:tcW w:w="758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201,070</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186,542</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58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1,665,444</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1,546,016</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5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 (pound)0.01 par value; 0 shares</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758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 (pound)0.01 par value; 232,575 and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7580" w:type="dxa"/>
            <w:vAlign w:val="bottom"/>
          </w:tcPr>
          <w:p>
            <w:pPr>
              <w:ind w:left="440"/>
              <w:spacing w:after="0"/>
              <w:rPr>
                <w:sz w:val="20"/>
                <w:szCs w:val="20"/>
                <w:color w:val="auto"/>
              </w:rPr>
            </w:pPr>
            <w:r>
              <w:rPr>
                <w:rFonts w:ascii="Courier New" w:cs="Courier New" w:eastAsia="Courier New" w:hAnsi="Courier New"/>
                <w:sz w:val="15"/>
                <w:szCs w:val="15"/>
                <w:color w:val="auto"/>
              </w:rPr>
              <w:t>227,321 issued and 205,436 and 200,182 outstanding, respectively</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3,737</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3,644</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1,994,356</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1,870,922</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- 27,139 shares</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(602,392)</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(602,392)</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(3,621)</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(10,886)</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(962)</w:t>
            </w:r>
          </w:p>
        </w:tc>
      </w:tr>
      <w:tr>
        <w:trPr>
          <w:trHeight w:val="175"/>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638,807</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396,126</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580" w:type="dxa"/>
            <w:vAlign w:val="bottom"/>
          </w:tcPr>
          <w:p>
            <w:pPr>
              <w:ind w:left="820"/>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2,030,887</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1,656,452</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58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$ 3,696,331</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$ 3,202,468</w:t>
            </w:r>
          </w:p>
        </w:tc>
      </w:tr>
      <w:tr>
        <w:trPr>
          <w:trHeight w:val="175"/>
        </w:trPr>
        <w:tc>
          <w:tcPr>
            <w:tcW w:w="7580" w:type="dxa"/>
            <w:vAlign w:val="bottom"/>
          </w:tcPr>
          <w:p>
            <w:pPr>
              <w:spacing w:after="0"/>
              <w:rPr>
                <w:sz w:val="15"/>
                <w:szCs w:val="15"/>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260" w:firstLine="182"/>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60"/>
          </w:cols>
          <w:pgMar w:left="240" w:top="643" w:right="1399" w:bottom="1440" w:gutter="0" w:footer="0" w:header="0"/>
        </w:sectPr>
      </w:pPr>
    </w:p>
    <w:bookmarkStart w:id="3" w:name="page4"/>
    <w:bookmarkEnd w:id="3"/>
    <w:p>
      <w:pPr>
        <w:jc w:val="center"/>
        <w:ind w:right="3533"/>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3433"/>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540" w:type="dxa"/>
            <w:vAlign w:val="bottom"/>
            <w:gridSpan w:val="4"/>
          </w:tcPr>
          <w:p>
            <w:pPr>
              <w:ind w:left="820"/>
              <w:spacing w:after="0"/>
              <w:rPr>
                <w:sz w:val="20"/>
                <w:szCs w:val="20"/>
                <w:color w:val="auto"/>
              </w:rPr>
            </w:pPr>
            <w:r>
              <w:rPr>
                <w:rFonts w:ascii="Courier New" w:cs="Courier New" w:eastAsia="Courier New" w:hAnsi="Courier New"/>
                <w:sz w:val="15"/>
                <w:szCs w:val="15"/>
                <w:color w:val="auto"/>
              </w:rPr>
              <w:t>(dollar and share amounts in thousands, except per share data)</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4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gridSpan w:val="3"/>
          </w:tcPr>
          <w:p>
            <w:pPr>
              <w:jc w:val="right"/>
              <w:ind w:right="824"/>
              <w:spacing w:after="0"/>
              <w:rPr>
                <w:sz w:val="20"/>
                <w:szCs w:val="20"/>
                <w:color w:val="auto"/>
              </w:rPr>
            </w:pPr>
            <w:r>
              <w:rPr>
                <w:rFonts w:ascii="Courier New" w:cs="Courier New" w:eastAsia="Courier New" w:hAnsi="Courier New"/>
                <w:sz w:val="15"/>
                <w:szCs w:val="15"/>
                <w:color w:val="auto"/>
              </w:rPr>
              <w:t>THREE MONTHS ENDED</w:t>
            </w:r>
          </w:p>
        </w:tc>
        <w:tc>
          <w:tcPr>
            <w:tcW w:w="380" w:type="dxa"/>
            <w:vAlign w:val="bottom"/>
          </w:tcPr>
          <w:p>
            <w:pPr>
              <w:spacing w:after="0"/>
              <w:rPr>
                <w:sz w:val="24"/>
                <w:szCs w:val="24"/>
                <w:color w:val="auto"/>
              </w:rPr>
            </w:pPr>
          </w:p>
        </w:tc>
        <w:tc>
          <w:tcPr>
            <w:tcW w:w="280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4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JUNE 30,</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spacing w:after="0"/>
              <w:rPr>
                <w:sz w:val="15"/>
                <w:szCs w:val="15"/>
                <w:color w:val="auto"/>
              </w:rPr>
            </w:pPr>
          </w:p>
        </w:tc>
      </w:tr>
      <w:tr>
        <w:trPr>
          <w:trHeight w:val="175"/>
        </w:trPr>
        <w:tc>
          <w:tcPr>
            <w:tcW w:w="4080" w:type="dxa"/>
            <w:vAlign w:val="bottom"/>
          </w:tcPr>
          <w:p>
            <w:pPr>
              <w:spacing w:after="0"/>
              <w:rPr>
                <w:sz w:val="15"/>
                <w:szCs w:val="15"/>
                <w:color w:val="auto"/>
              </w:rPr>
            </w:pPr>
          </w:p>
        </w:tc>
        <w:tc>
          <w:tcPr>
            <w:tcW w:w="1860" w:type="dxa"/>
            <w:vAlign w:val="bottom"/>
            <w:gridSpan w:val="2"/>
          </w:tcPr>
          <w:p>
            <w:pPr>
              <w:ind w:left="360"/>
              <w:spacing w:after="0"/>
              <w:rPr>
                <w:sz w:val="20"/>
                <w:szCs w:val="20"/>
                <w:color w:val="auto"/>
              </w:rPr>
            </w:pPr>
            <w:r>
              <w:rPr>
                <w:rFonts w:ascii="Courier New" w:cs="Courier New" w:eastAsia="Courier New" w:hAnsi="Courier New"/>
                <w:sz w:val="10"/>
                <w:szCs w:val="10"/>
                <w:color w:val="auto"/>
                <w:w w:val="74"/>
              </w:rPr>
              <w:t>---------------------------------</w:t>
            </w: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w w:val="98"/>
              </w:rPr>
              <w:t>2006(1)</w:t>
            </w:r>
          </w:p>
        </w:tc>
        <w:tc>
          <w:tcPr>
            <w:tcW w:w="600" w:type="dxa"/>
            <w:vAlign w:val="bottom"/>
          </w:tcPr>
          <w:p>
            <w:pPr>
              <w:spacing w:after="0"/>
              <w:rPr>
                <w:sz w:val="15"/>
                <w:szCs w:val="15"/>
                <w:color w:val="auto"/>
              </w:rPr>
            </w:pPr>
          </w:p>
        </w:tc>
        <w:tc>
          <w:tcPr>
            <w:tcW w:w="1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2005</w:t>
            </w:r>
          </w:p>
        </w:tc>
        <w:tc>
          <w:tcPr>
            <w:tcW w:w="380" w:type="dxa"/>
            <w:vAlign w:val="bottom"/>
          </w:tcPr>
          <w:p>
            <w:pPr>
              <w:spacing w:after="0"/>
              <w:rPr>
                <w:sz w:val="15"/>
                <w:szCs w:val="15"/>
                <w:color w:val="auto"/>
              </w:rPr>
            </w:pPr>
          </w:p>
        </w:tc>
        <w:tc>
          <w:tcPr>
            <w:tcW w:w="13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2006(2)</w:t>
            </w:r>
          </w:p>
        </w:tc>
        <w:tc>
          <w:tcPr>
            <w:tcW w:w="500" w:type="dxa"/>
            <w:vAlign w:val="bottom"/>
          </w:tcPr>
          <w:p>
            <w:pPr>
              <w:spacing w:after="0"/>
              <w:rPr>
                <w:sz w:val="15"/>
                <w:szCs w:val="15"/>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23,220</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27,199</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85,172</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74,909</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603,228</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480,156</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1,729,433</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1,390,394</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626,448</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507,355</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1,814,605</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1,465,303</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995</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1,125</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2,973</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3,278</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402,626</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324,249</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1,165,010</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929,487</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46,455</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31,393</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131,392</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97,567</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74,940</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56,448</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227,289</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166,000</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purchased intangible</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8,547</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2,078</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23,588</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7,875</w:t>
            </w:r>
          </w:p>
        </w:tc>
      </w:tr>
      <w:tr>
        <w:trPr>
          <w:trHeight w:val="175"/>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In-process research and development</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8,415</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8,415</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541,978</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415,293</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1,558,667</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1,204,207</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640" w:type="dxa"/>
            <w:vAlign w:val="bottom"/>
          </w:tcPr>
          <w:p>
            <w:pPr>
              <w:spacing w:after="0"/>
              <w:rPr>
                <w:sz w:val="24"/>
                <w:szCs w:val="24"/>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84,470</w:t>
            </w:r>
          </w:p>
        </w:tc>
        <w:tc>
          <w:tcPr>
            <w:tcW w:w="600" w:type="dxa"/>
            <w:vAlign w:val="bottom"/>
          </w:tcPr>
          <w:p>
            <w:pPr>
              <w:spacing w:after="0"/>
              <w:rPr>
                <w:sz w:val="24"/>
                <w:szCs w:val="24"/>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92,062</w:t>
            </w:r>
          </w:p>
        </w:tc>
        <w:tc>
          <w:tcPr>
            <w:tcW w:w="380" w:type="dxa"/>
            <w:vAlign w:val="bottom"/>
          </w:tcPr>
          <w:p>
            <w:pPr>
              <w:spacing w:after="0"/>
              <w:rPr>
                <w:sz w:val="24"/>
                <w:szCs w:val="24"/>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255,938</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261,096</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640" w:type="dxa"/>
            <w:vAlign w:val="bottom"/>
          </w:tcPr>
          <w:p>
            <w:pPr>
              <w:spacing w:after="0"/>
              <w:rPr>
                <w:sz w:val="24"/>
                <w:szCs w:val="24"/>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14,938</w:t>
            </w:r>
          </w:p>
        </w:tc>
        <w:tc>
          <w:tcPr>
            <w:tcW w:w="600" w:type="dxa"/>
            <w:vAlign w:val="bottom"/>
          </w:tcPr>
          <w:p>
            <w:pPr>
              <w:spacing w:after="0"/>
              <w:rPr>
                <w:sz w:val="24"/>
                <w:szCs w:val="24"/>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4,305</w:t>
            </w:r>
          </w:p>
        </w:tc>
        <w:tc>
          <w:tcPr>
            <w:tcW w:w="380" w:type="dxa"/>
            <w:vAlign w:val="bottom"/>
          </w:tcPr>
          <w:p>
            <w:pPr>
              <w:spacing w:after="0"/>
              <w:rPr>
                <w:sz w:val="24"/>
                <w:szCs w:val="24"/>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33,659</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14,944</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99,408</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96,367</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289,597</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276,040</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13,823</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19,270</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46,916</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55,203</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85,585</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77,097</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242,681</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220,837</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0.42</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0.38</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0.39</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0.36</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204,404</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200,494</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202,474</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201,453</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6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220,109</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216,570</w:t>
            </w:r>
          </w:p>
        </w:tc>
        <w:tc>
          <w:tcPr>
            <w:tcW w:w="38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217,633</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217,608</w:t>
            </w:r>
          </w:p>
        </w:tc>
      </w:tr>
      <w:tr>
        <w:trPr>
          <w:trHeight w:val="175"/>
        </w:trPr>
        <w:tc>
          <w:tcPr>
            <w:tcW w:w="408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547" w:right="3620" w:hanging="547"/>
        <w:spacing w:after="0" w:line="246" w:lineRule="auto"/>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 month period ended June 30, 2006 includes equity-based compensation pre-tax expense of $10,948, which was classified as follows: $4,165 to cost of service, $1,232 to research and development and $5,551 to selling, general and administrative.</w:t>
      </w:r>
    </w:p>
    <w:p>
      <w:pPr>
        <w:spacing w:after="0" w:line="177" w:lineRule="exact"/>
        <w:rPr>
          <w:rFonts w:ascii="Courier New" w:cs="Courier New" w:eastAsia="Courier New" w:hAnsi="Courier New"/>
          <w:sz w:val="15"/>
          <w:szCs w:val="15"/>
          <w:color w:val="auto"/>
        </w:rPr>
      </w:pPr>
    </w:p>
    <w:p>
      <w:pPr>
        <w:ind w:left="547" w:right="3540" w:hanging="547"/>
        <w:spacing w:after="0" w:line="246" w:lineRule="auto"/>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nine month period ended June 30, 2006 includes equity-based compensation pre-tax expense of $31,948, which was classified as follows: $12,237 to cost of service, $3,041 to research and development and $16,670 to selling, general and administrative.</w:t>
      </w:r>
    </w:p>
    <w:p>
      <w:pPr>
        <w:spacing w:after="0" w:line="177" w:lineRule="exact"/>
        <w:rPr>
          <w:sz w:val="20"/>
          <w:szCs w:val="20"/>
          <w:color w:val="auto"/>
        </w:rPr>
      </w:pPr>
    </w:p>
    <w:p>
      <w:pPr>
        <w:ind w:left="7" w:right="3800" w:firstLine="182"/>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807"/>
          </w:cols>
          <w:pgMar w:left="233" w:top="643" w:right="859" w:bottom="1440" w:gutter="0" w:footer="0" w:header="0"/>
        </w:sectPr>
      </w:pPr>
    </w:p>
    <w:bookmarkStart w:id="4" w:name="page5"/>
    <w:bookmarkEnd w:id="4"/>
    <w:p>
      <w:pPr>
        <w:jc w:val="center"/>
        <w:ind w:right="4260"/>
        <w:spacing w:after="0"/>
        <w:rPr>
          <w:sz w:val="20"/>
          <w:szCs w:val="20"/>
          <w:color w:val="auto"/>
        </w:rPr>
      </w:pPr>
      <w:r>
        <w:rPr>
          <w:rFonts w:ascii="Courier New" w:cs="Courier New" w:eastAsia="Courier New" w:hAnsi="Courier New"/>
          <w:sz w:val="15"/>
          <w:szCs w:val="15"/>
          <w:color w:val="auto"/>
        </w:rPr>
        <w:t>AMDOCS LIMITED</w:t>
      </w:r>
    </w:p>
    <w:p>
      <w:pPr>
        <w:spacing w:after="0" w:line="180"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(dollar and share amounts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Accumulated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2680" w:type="dxa"/>
            <w:vAlign w:val="bottom"/>
          </w:tcPr>
          <w:p>
            <w:pPr>
              <w:spacing w:after="0"/>
              <w:rPr>
                <w:sz w:val="15"/>
                <w:szCs w:val="15"/>
                <w:color w:val="auto"/>
              </w:rPr>
            </w:pPr>
          </w:p>
        </w:tc>
        <w:tc>
          <w:tcPr>
            <w:tcW w:w="17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Ordinary Shares</w:t>
            </w:r>
          </w:p>
        </w:tc>
        <w:tc>
          <w:tcPr>
            <w:tcW w:w="21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Additional</w:t>
            </w:r>
          </w:p>
        </w:tc>
        <w:tc>
          <w:tcPr>
            <w:tcW w:w="120" w:type="dxa"/>
            <w:vAlign w:val="bottom"/>
          </w:tcPr>
          <w:p>
            <w:pPr>
              <w:spacing w:after="0"/>
              <w:rPr>
                <w:sz w:val="15"/>
                <w:szCs w:val="15"/>
                <w:color w:val="auto"/>
              </w:rPr>
            </w:pP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680" w:type="dxa"/>
            <w:vAlign w:val="bottom"/>
          </w:tcPr>
          <w:p>
            <w:pPr>
              <w:spacing w:after="0"/>
              <w:rPr>
                <w:sz w:val="15"/>
                <w:szCs w:val="15"/>
                <w:color w:val="auto"/>
              </w:rPr>
            </w:pPr>
          </w:p>
        </w:tc>
        <w:tc>
          <w:tcPr>
            <w:tcW w:w="17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Paid-in</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Treasury</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Comprehensive</w:t>
            </w:r>
          </w:p>
        </w:tc>
        <w:tc>
          <w:tcPr>
            <w:tcW w:w="18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Unearned</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Retained</w:t>
            </w: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Shareholders'</w:t>
            </w:r>
          </w:p>
        </w:tc>
      </w:tr>
      <w:tr>
        <w:trPr>
          <w:trHeight w:val="175"/>
        </w:trPr>
        <w:tc>
          <w:tcPr>
            <w:tcW w:w="26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Stock</w:t>
            </w:r>
          </w:p>
        </w:tc>
        <w:tc>
          <w:tcPr>
            <w:tcW w:w="120" w:type="dxa"/>
            <w:vAlign w:val="bottom"/>
          </w:tcPr>
          <w:p>
            <w:pPr>
              <w:spacing w:after="0"/>
              <w:rPr>
                <w:sz w:val="15"/>
                <w:szCs w:val="15"/>
                <w:color w:val="auto"/>
              </w:rPr>
            </w:pP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Loss</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Earnings</w:t>
            </w:r>
          </w:p>
        </w:tc>
        <w:tc>
          <w:tcPr>
            <w:tcW w:w="2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Equity</w:t>
            </w:r>
          </w:p>
        </w:tc>
      </w:tr>
      <w:tr>
        <w:trPr>
          <w:trHeight w:val="175"/>
        </w:trPr>
        <w:tc>
          <w:tcPr>
            <w:tcW w:w="26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3620" w:type="dxa"/>
            <w:vAlign w:val="bottom"/>
            <w:gridSpan w:val="5"/>
          </w:tcPr>
          <w:p>
            <w:pPr>
              <w:jc w:val="right"/>
              <w:ind w:right="44"/>
              <w:spacing w:after="0"/>
              <w:rPr>
                <w:sz w:val="20"/>
                <w:szCs w:val="20"/>
                <w:color w:val="auto"/>
              </w:rPr>
            </w:pPr>
            <w:r>
              <w:rPr>
                <w:rFonts w:ascii="Courier New" w:cs="Courier New" w:eastAsia="Courier New" w:hAnsi="Courier New"/>
                <w:sz w:val="15"/>
                <w:szCs w:val="15"/>
                <w:color w:val="auto"/>
              </w:rPr>
              <w:t>---------  -------------  ------------</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2005</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200,182</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$ 3,644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$1,870,922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$(602,392)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(10,886)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396,126</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1,656,452</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242,681</w:t>
            </w:r>
          </w:p>
        </w:tc>
        <w:tc>
          <w:tcPr>
            <w:tcW w:w="2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242,681</w:t>
            </w:r>
          </w:p>
        </w:tc>
      </w:tr>
      <w:tr>
        <w:trPr>
          <w:trHeight w:val="175"/>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hedging contracts, net</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of $(1,990) tax benefit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7,802</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7,802</w:t>
            </w:r>
          </w:p>
        </w:tc>
      </w:tr>
      <w:tr>
        <w:trPr>
          <w:trHeight w:val="175"/>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short-term</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interest-bearing</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investments, net of</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$63 tax  benefit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r>
        <w:trPr>
          <w:trHeight w:val="175"/>
        </w:trPr>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249,946</w:t>
            </w:r>
          </w:p>
        </w:tc>
      </w:tr>
      <w:tr>
        <w:trPr>
          <w:trHeight w:val="175"/>
        </w:trPr>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4,793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83,405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83,490</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Issuance of restricted</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stock, net of</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cancellations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5,905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5,905</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Stock-based compensation</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expense related to</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employees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31,948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31,948</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Stock-based compensation</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expense related to non</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employee stock options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Issuance of stock options</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related to acquisitions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3,085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3,085</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Reclassification of</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 to</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 in</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capital</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962</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6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AS OF JUNE 30, 2006</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205,436</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$ 3,737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$1,994,356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$(602,392)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(3,621)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638,807</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2,030,887</w:t>
            </w:r>
          </w:p>
        </w:tc>
      </w:tr>
      <w:tr>
        <w:trPr>
          <w:trHeight w:val="175"/>
        </w:trPr>
        <w:tc>
          <w:tcPr>
            <w:tcW w:w="26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5620"/>
        <w:spacing w:after="0" w:line="246" w:lineRule="auto"/>
        <w:rPr>
          <w:sz w:val="20"/>
          <w:szCs w:val="20"/>
          <w:color w:val="auto"/>
        </w:rPr>
      </w:pPr>
      <w:r>
        <w:rPr>
          <w:rFonts w:ascii="Courier New" w:cs="Courier New" w:eastAsia="Courier New" w:hAnsi="Courier New"/>
          <w:sz w:val="15"/>
          <w:szCs w:val="15"/>
          <w:color w:val="auto"/>
        </w:rPr>
        <w:t>As of June 30, 2006 and September 30, 2005, accumulated other comprehensive loss is comprised of unrealized loss on foreign currency hedging contracts, net of tax, of $(1,295) and $(9,097), respectively, and unrealized loss on short-term interest-bearing investments, net of tax, of $(2,326) and $(1,789), respectively.</w:t>
      </w:r>
    </w:p>
    <w:p>
      <w:pPr>
        <w:spacing w:after="0" w:line="178" w:lineRule="exact"/>
        <w:rPr>
          <w:sz w:val="20"/>
          <w:szCs w:val="20"/>
          <w:color w:val="auto"/>
        </w:rPr>
      </w:pPr>
    </w:p>
    <w:p>
      <w:pPr>
        <w:ind w:right="4520" w:firstLine="182"/>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643" w:right="139" w:bottom="1440" w:gutter="0" w:footer="0" w:header="0"/>
        </w:sectPr>
      </w:pPr>
    </w:p>
    <w:bookmarkStart w:id="5" w:name="page6"/>
    <w:bookmarkEnd w:id="5"/>
    <w:p>
      <w:pPr>
        <w:jc w:val="center"/>
        <w:ind w:right="2959"/>
        <w:spacing w:after="0"/>
        <w:rPr>
          <w:sz w:val="20"/>
          <w:szCs w:val="20"/>
          <w:color w:val="auto"/>
        </w:rPr>
      </w:pPr>
      <w:r>
        <w:rPr>
          <w:rFonts w:ascii="Courier New" w:cs="Courier New" w:eastAsia="Courier New" w:hAnsi="Courier New"/>
          <w:sz w:val="15"/>
          <w:szCs w:val="15"/>
          <w:color w:val="auto"/>
        </w:rPr>
        <w:t>AMDOCS LIMITED</w:t>
      </w:r>
    </w:p>
    <w:p>
      <w:pPr>
        <w:spacing w:after="0" w:line="18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(dollar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NINE MONTHS ENDED JUNE 30,</w:t>
            </w:r>
          </w:p>
        </w:tc>
      </w:tr>
      <w:tr>
        <w:trPr>
          <w:trHeight w:val="175"/>
        </w:trPr>
        <w:tc>
          <w:tcPr>
            <w:tcW w:w="5260" w:type="dxa"/>
            <w:vAlign w:val="bottom"/>
          </w:tcPr>
          <w:p>
            <w:pPr>
              <w:spacing w:after="0"/>
              <w:rPr>
                <w:sz w:val="15"/>
                <w:szCs w:val="15"/>
                <w:color w:val="auto"/>
              </w:rPr>
            </w:pPr>
          </w:p>
        </w:tc>
        <w:tc>
          <w:tcPr>
            <w:tcW w:w="40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94"/>
              </w:rPr>
              <w:t>2006</w:t>
            </w:r>
          </w:p>
        </w:tc>
        <w:tc>
          <w:tcPr>
            <w:tcW w:w="54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5260" w:type="dxa"/>
            <w:vAlign w:val="bottom"/>
          </w:tcPr>
          <w:p>
            <w:pPr>
              <w:spacing w:after="0"/>
              <w:rPr>
                <w:sz w:val="15"/>
                <w:szCs w:val="15"/>
                <w:color w:val="auto"/>
              </w:rPr>
            </w:pPr>
          </w:p>
        </w:tc>
        <w:tc>
          <w:tcPr>
            <w:tcW w:w="2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242,681</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220,837</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83,151</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64,835</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 development</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8,415</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equipment</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925</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Stock-based compensation expense</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31,948</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25,118</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3,527</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Tax benefit from stock options exercised</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1,934</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Realized gain from short-term interest-bearing</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(5,392)</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(1,154)</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amounts acquired:</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(105,002)</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(38,316)</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1,399</w:t>
            </w:r>
          </w:p>
        </w:tc>
        <w:tc>
          <w:tcPr>
            <w:tcW w:w="5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8,779</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(12,671)</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(8,757)</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39,633</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(15,719)</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(10,060)</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29,271</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(8,114)</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(6,095)</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Excess tax benefit from stock-based compensation</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(2,301)</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11,687</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(2,615)</w:t>
            </w:r>
          </w:p>
        </w:tc>
      </w:tr>
      <w:tr>
        <w:trPr>
          <w:trHeight w:val="175"/>
        </w:trPr>
        <w:tc>
          <w:tcPr>
            <w:tcW w:w="5260" w:type="dxa"/>
            <w:vAlign w:val="bottom"/>
          </w:tcPr>
          <w:p>
            <w:pPr>
              <w:spacing w:after="0"/>
              <w:rPr>
                <w:sz w:val="15"/>
                <w:szCs w:val="15"/>
                <w:color w:val="auto"/>
              </w:rPr>
            </w:pPr>
          </w:p>
        </w:tc>
        <w:tc>
          <w:tcPr>
            <w:tcW w:w="2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301,417</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256,644</w:t>
            </w:r>
          </w:p>
        </w:tc>
      </w:tr>
      <w:tr>
        <w:trPr>
          <w:trHeight w:val="175"/>
        </w:trPr>
        <w:tc>
          <w:tcPr>
            <w:tcW w:w="5260" w:type="dxa"/>
            <w:vAlign w:val="bottom"/>
          </w:tcPr>
          <w:p>
            <w:pPr>
              <w:spacing w:after="0"/>
              <w:rPr>
                <w:sz w:val="15"/>
                <w:szCs w:val="15"/>
                <w:color w:val="auto"/>
              </w:rPr>
            </w:pPr>
          </w:p>
        </w:tc>
        <w:tc>
          <w:tcPr>
            <w:tcW w:w="2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3,736</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4,140</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leasehold improvements</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(53,617)</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(53,812)</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 interest-bearing</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851,868</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648,238</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(1,131,159)</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(657,865)</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cash paid for acquisitions</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(271,930)</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(4,609)</w:t>
            </w:r>
          </w:p>
        </w:tc>
      </w:tr>
      <w:tr>
        <w:trPr>
          <w:trHeight w:val="175"/>
        </w:trPr>
        <w:tc>
          <w:tcPr>
            <w:tcW w:w="5260" w:type="dxa"/>
            <w:vAlign w:val="bottom"/>
          </w:tcPr>
          <w:p>
            <w:pPr>
              <w:spacing w:after="0"/>
              <w:rPr>
                <w:sz w:val="15"/>
                <w:szCs w:val="15"/>
                <w:color w:val="auto"/>
              </w:rPr>
            </w:pPr>
          </w:p>
        </w:tc>
        <w:tc>
          <w:tcPr>
            <w:tcW w:w="2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(601,102)</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(63,908)</w:t>
            </w:r>
          </w:p>
        </w:tc>
      </w:tr>
      <w:tr>
        <w:trPr>
          <w:trHeight w:val="175"/>
        </w:trPr>
        <w:tc>
          <w:tcPr>
            <w:tcW w:w="5260" w:type="dxa"/>
            <w:vAlign w:val="bottom"/>
          </w:tcPr>
          <w:p>
            <w:pPr>
              <w:spacing w:after="0"/>
              <w:rPr>
                <w:sz w:val="15"/>
                <w:szCs w:val="15"/>
                <w:color w:val="auto"/>
              </w:rPr>
            </w:pPr>
          </w:p>
        </w:tc>
        <w:tc>
          <w:tcPr>
            <w:tcW w:w="2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 and</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issuance of restricted stock</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83,195</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14,053</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Excess tax benefit from stock-based compensation</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2,301</w:t>
            </w:r>
          </w:p>
        </w:tc>
        <w:tc>
          <w:tcPr>
            <w:tcW w:w="5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Repurchase of ordinary shares</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(99,976)</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Principal payments under financing arrangements and</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(4,774)</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(656)</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9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(3,131)</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(17,085)</w:t>
            </w:r>
          </w:p>
        </w:tc>
      </w:tr>
      <w:tr>
        <w:trPr>
          <w:trHeight w:val="175"/>
        </w:trPr>
        <w:tc>
          <w:tcPr>
            <w:tcW w:w="5260" w:type="dxa"/>
            <w:vAlign w:val="bottom"/>
          </w:tcPr>
          <w:p>
            <w:pPr>
              <w:spacing w:after="0"/>
              <w:rPr>
                <w:sz w:val="15"/>
                <w:szCs w:val="15"/>
                <w:color w:val="auto"/>
              </w:rPr>
            </w:pPr>
          </w:p>
        </w:tc>
        <w:tc>
          <w:tcPr>
            <w:tcW w:w="2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77,591</w:t>
            </w:r>
          </w:p>
        </w:tc>
        <w:tc>
          <w:tcPr>
            <w:tcW w:w="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(103,664)</w:t>
            </w:r>
          </w:p>
        </w:tc>
      </w:tr>
      <w:tr>
        <w:trPr>
          <w:trHeight w:val="175"/>
        </w:trPr>
        <w:tc>
          <w:tcPr>
            <w:tcW w:w="5260" w:type="dxa"/>
            <w:vAlign w:val="bottom"/>
          </w:tcPr>
          <w:p>
            <w:pPr>
              <w:spacing w:after="0"/>
              <w:rPr>
                <w:sz w:val="15"/>
                <w:szCs w:val="15"/>
                <w:color w:val="auto"/>
              </w:rPr>
            </w:pPr>
          </w:p>
        </w:tc>
        <w:tc>
          <w:tcPr>
            <w:tcW w:w="2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920" w:type="dxa"/>
            <w:vAlign w:val="bottom"/>
          </w:tcPr>
          <w:p>
            <w:pPr>
              <w:spacing w:after="0"/>
              <w:rPr>
                <w:sz w:val="24"/>
                <w:szCs w:val="24"/>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(222,094)</w:t>
            </w:r>
          </w:p>
        </w:tc>
        <w:tc>
          <w:tcPr>
            <w:tcW w:w="540" w:type="dxa"/>
            <w:vAlign w:val="bottom"/>
          </w:tcPr>
          <w:p>
            <w:pPr>
              <w:spacing w:after="0"/>
              <w:rPr>
                <w:sz w:val="24"/>
                <w:szCs w:val="24"/>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89,072</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707,552</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550,352</w:t>
            </w:r>
          </w:p>
        </w:tc>
      </w:tr>
      <w:tr>
        <w:trPr>
          <w:trHeight w:val="175"/>
        </w:trPr>
        <w:tc>
          <w:tcPr>
            <w:tcW w:w="5260" w:type="dxa"/>
            <w:vAlign w:val="bottom"/>
          </w:tcPr>
          <w:p>
            <w:pPr>
              <w:spacing w:after="0"/>
              <w:rPr>
                <w:sz w:val="15"/>
                <w:szCs w:val="15"/>
                <w:color w:val="auto"/>
              </w:rPr>
            </w:pPr>
          </w:p>
        </w:tc>
        <w:tc>
          <w:tcPr>
            <w:tcW w:w="2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485,458</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639,424</w:t>
            </w:r>
          </w:p>
        </w:tc>
      </w:tr>
      <w:tr>
        <w:trPr>
          <w:trHeight w:val="175"/>
        </w:trPr>
        <w:tc>
          <w:tcPr>
            <w:tcW w:w="5260" w:type="dxa"/>
            <w:vAlign w:val="bottom"/>
          </w:tcPr>
          <w:p>
            <w:pPr>
              <w:spacing w:after="0"/>
              <w:rPr>
                <w:sz w:val="15"/>
                <w:szCs w:val="15"/>
                <w:color w:val="auto"/>
              </w:rPr>
            </w:pPr>
          </w:p>
        </w:tc>
        <w:tc>
          <w:tcPr>
            <w:tcW w:w="2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27,996</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55,875</w:t>
            </w:r>
          </w:p>
        </w:tc>
      </w:tr>
      <w:tr>
        <w:trPr>
          <w:trHeight w:val="175"/>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9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2,182</w:t>
            </w:r>
          </w:p>
        </w:tc>
        <w:tc>
          <w:tcPr>
            <w:tcW w:w="5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3,590</w:t>
            </w:r>
          </w:p>
        </w:tc>
      </w:tr>
    </w:tbl>
    <w:p>
      <w:pPr>
        <w:spacing w:after="0" w:line="200" w:lineRule="exact"/>
        <w:rPr>
          <w:sz w:val="20"/>
          <w:szCs w:val="20"/>
          <w:color w:val="auto"/>
        </w:rPr>
      </w:pPr>
    </w:p>
    <w:p>
      <w:pPr>
        <w:spacing w:after="0" w:line="329" w:lineRule="exact"/>
        <w:rPr>
          <w:sz w:val="20"/>
          <w:szCs w:val="20"/>
          <w:color w:val="auto"/>
        </w:rPr>
      </w:pPr>
    </w:p>
    <w:p>
      <w:pPr>
        <w:ind w:right="3219" w:firstLine="182"/>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2" w:right="1440" w:bottom="1440" w:gutter="0" w:footer="0" w:header="0"/>
        </w:sectPr>
      </w:pPr>
    </w:p>
    <w:bookmarkStart w:id="6" w:name="page7"/>
    <w:bookmarkEnd w:id="6"/>
    <w:p>
      <w:pPr>
        <w:jc w:val="center"/>
        <w:ind w:right="2952"/>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left="547" w:hanging="547"/>
        <w:spacing w:after="0"/>
        <w:tabs>
          <w:tab w:leader="none" w:pos="5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0"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primarily to the communications industry. The Company and its subsidiaries operate in one segment offering products and services that enable their customers to move toward an integrated approach to customer management. The Company designs, develops, markets, supports, operates, and provides managed services for information system solutions primarily for leading communications companies throughout the world.</w:t>
      </w:r>
    </w:p>
    <w:p>
      <w:pPr>
        <w:spacing w:after="0" w:line="179"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178" w:lineRule="exact"/>
        <w:rPr>
          <w:sz w:val="20"/>
          <w:szCs w:val="20"/>
          <w:color w:val="auto"/>
        </w:rPr>
      </w:pPr>
    </w:p>
    <w:p>
      <w:pPr>
        <w:ind w:left="7" w:right="3039" w:firstLine="545"/>
        <w:spacing w:after="0" w:line="246"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8"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2005, set forth in the Company's Annual Report on Form 20-F filed on December 28, 2005 with the U.S. Securities and Exchange Commission (the "SEC").</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Reclassification</w:t>
      </w:r>
    </w:p>
    <w:p>
      <w:pPr>
        <w:spacing w:after="0" w:line="180" w:lineRule="exact"/>
        <w:rPr>
          <w:sz w:val="20"/>
          <w:szCs w:val="20"/>
          <w:color w:val="auto"/>
        </w:rPr>
      </w:pPr>
    </w:p>
    <w:p>
      <w:pPr>
        <w:ind w:left="7" w:right="3599" w:firstLine="545"/>
        <w:spacing w:after="0" w:line="247"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 presentation.</w:t>
      </w:r>
    </w:p>
    <w:p>
      <w:pPr>
        <w:spacing w:after="0" w:line="175" w:lineRule="exact"/>
        <w:rPr>
          <w:sz w:val="20"/>
          <w:szCs w:val="20"/>
          <w:color w:val="auto"/>
        </w:rPr>
      </w:pPr>
    </w:p>
    <w:p>
      <w:pPr>
        <w:ind w:left="547" w:hanging="547"/>
        <w:spacing w:after="0"/>
        <w:tabs>
          <w:tab w:leader="none" w:pos="5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POLICY</w:t>
      </w:r>
    </w:p>
    <w:p>
      <w:pPr>
        <w:spacing w:after="0" w:line="179"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for Uncertainty in Income Taxes</w:t>
      </w:r>
    </w:p>
    <w:p>
      <w:pPr>
        <w:spacing w:after="0" w:line="180"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In June 2006, the Financial Accounting Standards Board (FASB) issued Interpretation No. 48, Accounting for Uncertainty in Income Taxes --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This interpretation is effective for fiscal years beginning after December 15, 2006. The Company is currently evaluating the effect that the application of FIN 48 will have on its consolidated results of operations and financial condition.</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42" w:right="1440" w:bottom="1440" w:gutter="0" w:footer="0" w:header="0"/>
        </w:sectPr>
      </w:pPr>
    </w:p>
    <w:bookmarkStart w:id="7" w:name="page8"/>
    <w:bookmarkEnd w:id="7"/>
    <w:p>
      <w:pPr>
        <w:jc w:val="center"/>
        <w:ind w:right="2959"/>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Effective October 1, 2005, the Company adopted FASB Statement No. 123 (revised 2004), "Share-Based Payment," a revision of SFAS No. 123 ("SFAS 123(R) "). SFAS 123(R) supersedes Accounting Principles Board ("APB") Opinion No. 25, "Accounting for Stock Issued to Employees" ("APB No. 25") and related interpretations, and amends FASB Statement No. 95, "Statement of Cash Flows." Generally, the approach in SFAS 123(R) is similar to the approach described in SFAS 123. However, SFAS 123(R) requires all stock-based payments to employees, including grants of employee stock options, to be recognized in the income statement based on their fair values. Pro forma disclosure is no longer an alternative. In March 2005, the SEC issued Staff Accounting Bulletin No. 107 ("SAB 107"), which provides supplemental implementation guidance on SFAS 123(R). The Company has applied the provisions of SAB 107 in its adoption of SFAS 123(R).</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Prior to October 1, 2005, the Company accounted for stock-based payments to employees under the recognition and measurement provisions of APB No. 25. Pursuant to these accounting standards, the Company recorded deferred compensation for share options granted to employees at the date of grant based on the difference between the exercise price of the options and the market value of the underlying shares at that date, and for restricted stock based on the market value of the underlying shares at the date of grant. No compensation expense was recorded for stock options that were granted to employees and directors at an exercise price equal to or greater than the fair market value of the Ordinary Shares at the time of the grant.</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Company adopted SFAS 123(R) using the modified prospective method. Under this transition method, compensation costs recognized in the three and nine months ended June 30, 2006 include (a) compensation costs for all stock-based payments granted prior to, but that had not yet vested as of, October 1, 2005, based on the grant date fair value estimated in accordance with the pro forma provisions of SFAS 123, and (b) compensation costs for the stock-based payments granted subsequent to October 1, 2005 based on the grant date fair value estimated in accordance with SFAS 123(R). The Company's consolidated financial statements for prior periods have not been restated to reflect, and do not include, the impact of SFAS 123(R). The Company selected the Black-Scholes option pricing model as the most appropriate fair value method for its stock-based awards and recognizes compensation costs using the graded vesting attribution method that results in an accelerated recognition of compensation costs in comparison to the straight line method.</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As a result of adopting SFAS 123(R) on October 1, 2005, the Company's income before income taxes for the three and nine months ended June 30, 2006 (not including restricted stock expense) was $9,337 and $28,441 lower, respectively, than if the Company had continued to account for stock-based compensation under APB No. 25. Net income for the three and nine months ended June 30, 2006 (not including restricted stock expense) was $8,296 and $25,117 lower, respectively, than if the Company had continued to account for stock-based compensation under APB No. 25. Basic earnings per share for the three and nine months ended June 30, 2006 was $0.04 and $0.12 lower, respectively, than if the Company had continued to account for share based compensation under APB No. 25. Diluted earnings per share for the three and nine months ended June 30, 2006 was $0.04 and $0.11 lower, respectively, than if the Company had continued to account for stock-based compensation under APB No. 25. The total income tax benefit recognized in the income statement for stock-based compensation (including restricted stock) for the three and nine months ended June 30, 2006 was $1,281 and $3,815, respectively, and $0 for the three and nine months ended June 30, 2005.</w:t>
      </w:r>
    </w:p>
    <w:p>
      <w:pPr>
        <w:spacing w:after="0" w:line="185" w:lineRule="exact"/>
        <w:rPr>
          <w:sz w:val="20"/>
          <w:szCs w:val="20"/>
          <w:color w:val="auto"/>
        </w:rPr>
      </w:pPr>
    </w:p>
    <w:p>
      <w:pPr>
        <w:ind w:right="2959" w:firstLine="545"/>
        <w:spacing w:after="0" w:line="247" w:lineRule="auto"/>
        <w:rPr>
          <w:sz w:val="20"/>
          <w:szCs w:val="20"/>
          <w:color w:val="auto"/>
        </w:rPr>
      </w:pPr>
      <w:r>
        <w:rPr>
          <w:rFonts w:ascii="Courier New" w:cs="Courier New" w:eastAsia="Courier New" w:hAnsi="Courier New"/>
          <w:sz w:val="15"/>
          <w:szCs w:val="15"/>
          <w:color w:val="auto"/>
        </w:rPr>
        <w:t>Prior to the adoption of SFAS 123(R), the Company presented all tax benefits of deductions resulting from the exercise of stock options as operating cash flows in the statement of cash flows. SFAS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2" w:right="1440" w:bottom="1440" w:gutter="0" w:footer="0" w:header="0"/>
        </w:sectPr>
      </w:pPr>
    </w:p>
    <w:bookmarkStart w:id="8" w:name="page9"/>
    <w:bookmarkEnd w:id="8"/>
    <w:p>
      <w:pPr>
        <w:jc w:val="center"/>
        <w:ind w:right="2952"/>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123(R) requires the cash flows resulting from the tax deductions in excess of the compensation costs recognized for those stock options to be classified as financing cash flows. The $2,301 excess tax benefit classified as financing cash inflows would have been classified as an operating cash inflow if the Company had not adopted SFAS 123(R).</w:t>
      </w:r>
    </w:p>
    <w:p>
      <w:pPr>
        <w:spacing w:after="0" w:line="178"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In conjunction with the adoption of SFAS 123(R), the Company began to use the implied volatility of the Company's traded options as the expected volatility assumption required in the Black-Scholes option valuation model. Prior to October 1, 2005, the Company had used its historical stock price volatility in accordance with SFAS 123 for purposes of presenting its pro forma information. The selection of the implied volatility approach was based upon the availability of actively traded options on the Company's shares and the Company's assessment that implied volatility is more representative of future share price trends than historical volatility. As stock-based compensation expense recognized in the Company's consolidated statement of income for the three and nine months ended June 30, 2006 is based on awards ultimately expected to vest, such expense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fiscal 2006, the Company accounted for forfeitures as they occurred.</w:t>
      </w:r>
    </w:p>
    <w:p>
      <w:pPr>
        <w:spacing w:after="0" w:line="185" w:lineRule="exact"/>
        <w:rPr>
          <w:sz w:val="20"/>
          <w:szCs w:val="20"/>
          <w:color w:val="auto"/>
        </w:rPr>
      </w:pPr>
    </w:p>
    <w:p>
      <w:pPr>
        <w:ind w:left="547" w:hanging="547"/>
        <w:spacing w:after="0"/>
        <w:tabs>
          <w:tab w:leader="none" w:pos="5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w:t>
      </w:r>
    </w:p>
    <w:p>
      <w:pPr>
        <w:spacing w:after="0" w:line="179"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 consists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50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rPr>
              <w:t>AS OF</w:t>
            </w:r>
          </w:p>
        </w:tc>
      </w:tr>
      <w:tr>
        <w:trPr>
          <w:trHeight w:val="175"/>
        </w:trPr>
        <w:tc>
          <w:tcPr>
            <w:tcW w:w="2860" w:type="dxa"/>
            <w:vAlign w:val="bottom"/>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JUNE 30,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2860" w:type="dxa"/>
            <w:vAlign w:val="bottom"/>
          </w:tcPr>
          <w:p>
            <w:pPr>
              <w:spacing w:after="0"/>
              <w:rPr>
                <w:sz w:val="15"/>
                <w:szCs w:val="15"/>
                <w:color w:val="auto"/>
              </w:rPr>
            </w:pP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2006</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28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Accounts receivable - billed</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$ 377,713</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$ 282,151</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Accounts receivable - unbilled</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43,925</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28,994</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(7,484)</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(6,908)</w:t>
            </w:r>
          </w:p>
        </w:tc>
      </w:tr>
      <w:tr>
        <w:trPr>
          <w:trHeight w:val="175"/>
        </w:trPr>
        <w:tc>
          <w:tcPr>
            <w:tcW w:w="28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$ 414,154</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$ 304,237</w:t>
            </w:r>
          </w:p>
        </w:tc>
      </w:tr>
      <w:tr>
        <w:trPr>
          <w:trHeight w:val="175"/>
        </w:trPr>
        <w:tc>
          <w:tcPr>
            <w:tcW w:w="28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860" w:type="dxa"/>
            <w:vAlign w:val="bottom"/>
          </w:tcPr>
          <w:p>
            <w:pPr>
              <w:spacing w:after="0"/>
              <w:rPr>
                <w:sz w:val="24"/>
                <w:szCs w:val="24"/>
                <w:color w:val="auto"/>
              </w:rPr>
            </w:pP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w:t>
            </w:r>
          </w:p>
        </w:tc>
        <w:tc>
          <w:tcPr>
            <w:tcW w:w="1320" w:type="dxa"/>
            <w:vAlign w:val="bottom"/>
          </w:tcPr>
          <w:p>
            <w:pPr>
              <w:spacing w:after="0"/>
              <w:rPr>
                <w:sz w:val="24"/>
                <w:szCs w:val="24"/>
                <w:color w:val="auto"/>
              </w:rPr>
            </w:pPr>
          </w:p>
        </w:tc>
      </w:tr>
    </w:tbl>
    <w:p>
      <w:pPr>
        <w:sectPr>
          <w:pgSz w:w="11900" w:h="16838" w:orient="portrait"/>
          <w:cols w:equalWidth="0" w:num="1">
            <w:col w:w="10226"/>
          </w:cols>
          <w:pgMar w:left="233" w:top="643" w:right="1440" w:bottom="1440" w:gutter="0" w:footer="0" w:header="0"/>
        </w:sectPr>
      </w:pPr>
    </w:p>
    <w:bookmarkStart w:id="9" w:name="page10"/>
    <w:bookmarkEnd w:id="9"/>
    <w:p>
      <w:pPr>
        <w:jc w:val="center"/>
        <w:ind w:right="2952"/>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left="547" w:hanging="547"/>
        <w:spacing w:after="0"/>
        <w:tabs>
          <w:tab w:leader="none" w:pos="5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354" w:lineRule="exact"/>
        <w:rPr>
          <w:sz w:val="20"/>
          <w:szCs w:val="20"/>
          <w:color w:val="auto"/>
        </w:rPr>
      </w:pPr>
    </w:p>
    <w:p>
      <w:pPr>
        <w:ind w:left="7" w:right="3039" w:firstLine="545"/>
        <w:spacing w:after="0" w:line="246"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7" w:lineRule="exact"/>
        <w:rPr>
          <w:sz w:val="20"/>
          <w:szCs w:val="20"/>
          <w:color w:val="auto"/>
        </w:rPr>
      </w:pPr>
    </w:p>
    <w:p>
      <w:pPr>
        <w:ind w:left="7" w:right="3499" w:firstLine="545"/>
        <w:spacing w:after="0" w:line="247"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7"/>
        <w:spacing w:after="0"/>
        <w:tabs>
          <w:tab w:leader="none" w:pos="4786" w:val="left"/>
        </w:tabs>
        <w:rPr>
          <w:sz w:val="20"/>
          <w:szCs w:val="20"/>
          <w:color w:val="auto"/>
        </w:rPr>
      </w:pPr>
      <w:r>
        <w:rPr>
          <w:rFonts w:ascii="Courier New" w:cs="Courier New" w:eastAsia="Courier New" w:hAnsi="Courier New"/>
          <w:sz w:val="15"/>
          <w:szCs w:val="15"/>
          <w:color w:val="auto"/>
        </w:rPr>
        <w:t>2006</w:t>
      </w:r>
      <w:r>
        <w:rPr>
          <w:sz w:val="20"/>
          <w:szCs w:val="20"/>
          <w:color w:val="auto"/>
        </w:rPr>
        <w:tab/>
      </w:r>
      <w:r>
        <w:rPr>
          <w:rFonts w:ascii="Courier New" w:cs="Courier New" w:eastAsia="Courier New" w:hAnsi="Courier New"/>
          <w:sz w:val="15"/>
          <w:szCs w:val="15"/>
          <w:color w:val="auto"/>
        </w:rPr>
        <w:t>2005</w:t>
      </w:r>
    </w:p>
    <w:p>
      <w:pPr>
        <w:spacing w:after="0" w:line="5" w:lineRule="exact"/>
        <w:rPr>
          <w:sz w:val="20"/>
          <w:szCs w:val="20"/>
          <w:color w:val="auto"/>
        </w:rPr>
      </w:pPr>
    </w:p>
    <w:p>
      <w:pPr>
        <w:ind w:left="3367"/>
        <w:spacing w:after="0"/>
        <w:tabs>
          <w:tab w:leader="none" w:pos="4526"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NINE MONTHS ENDED</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tabs>
          <w:tab w:leader="none" w:pos="1520" w:val="left"/>
        </w:tabs>
        <w:rPr>
          <w:sz w:val="20"/>
          <w:szCs w:val="20"/>
          <w:color w:val="auto"/>
        </w:rPr>
      </w:pPr>
      <w:r>
        <w:rPr>
          <w:rFonts w:ascii="Courier New" w:cs="Courier New" w:eastAsia="Courier New" w:hAnsi="Courier New"/>
          <w:sz w:val="15"/>
          <w:szCs w:val="15"/>
          <w:color w:val="auto"/>
        </w:rPr>
        <w:t>2006</w:t>
      </w:r>
      <w:r>
        <w:rPr>
          <w:sz w:val="20"/>
          <w:szCs w:val="20"/>
          <w:color w:val="auto"/>
        </w:rPr>
        <w:tab/>
      </w:r>
      <w:r>
        <w:rPr>
          <w:rFonts w:ascii="Courier New" w:cs="Courier New" w:eastAsia="Courier New" w:hAnsi="Courier New"/>
          <w:sz w:val="15"/>
          <w:szCs w:val="15"/>
          <w:color w:val="auto"/>
        </w:rPr>
        <w:t>2005</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2">
            <w:col w:w="5447" w:space="280"/>
            <w:col w:w="44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85,585</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tab/>
        <w:t>77,097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$ 242,681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$ 220,837</w:t>
      </w:r>
    </w:p>
    <w:p>
      <w:pPr>
        <w:spacing w:after="0" w:line="5" w:lineRule="exact"/>
        <w:rPr>
          <w:sz w:val="20"/>
          <w:szCs w:val="20"/>
          <w:color w:val="auto"/>
        </w:rPr>
      </w:pPr>
    </w:p>
    <w:p>
      <w:pPr>
        <w:sectPr>
          <w:pgSz w:w="11900" w:h="16838" w:orient="portrait"/>
          <w:cols w:equalWidth="0" w:num="5">
            <w:col w:w="2647" w:space="720"/>
            <w:col w:w="820" w:space="360"/>
            <w:col w:w="820" w:space="360"/>
            <w:col w:w="820" w:space="360"/>
            <w:col w:w="331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Other comprehensive income (loss):</w:t>
      </w:r>
    </w:p>
    <w:p>
      <w:pPr>
        <w:spacing w:after="0" w:line="5" w:lineRule="exact"/>
        <w:rPr>
          <w:sz w:val="20"/>
          <w:szCs w:val="20"/>
          <w:color w:val="auto"/>
        </w:rPr>
      </w:pPr>
    </w:p>
    <w:p>
      <w:pPr>
        <w:ind w:left="187"/>
        <w:spacing w:after="0"/>
        <w:tabs>
          <w:tab w:leader="none" w:pos="1706" w:val="left"/>
        </w:tabs>
        <w:rPr>
          <w:sz w:val="20"/>
          <w:szCs w:val="20"/>
          <w:color w:val="auto"/>
        </w:rPr>
      </w:pPr>
      <w:r>
        <w:rPr>
          <w:rFonts w:ascii="Courier New" w:cs="Courier New" w:eastAsia="Courier New" w:hAnsi="Courier New"/>
          <w:sz w:val="15"/>
          <w:szCs w:val="15"/>
          <w:color w:val="auto"/>
        </w:rPr>
        <w:t>Unrealized gain</w:t>
        <w:tab/>
        <w:t>(loss) on</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foreign currency hedging</w:t>
      </w:r>
    </w:p>
    <w:p>
      <w:pPr>
        <w:sectPr>
          <w:pgSz w:w="11900" w:h="16838" w:orient="portrait"/>
          <w:cols w:equalWidth="0" w:num="1">
            <w:col w:w="10226"/>
          </w:cols>
          <w:pgMar w:left="233" w:top="643" w:right="1440" w:bottom="1440" w:gutter="0" w:footer="0" w:header="0"/>
          <w:type w:val="continuous"/>
        </w:sectPr>
      </w:pP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contracts, net of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3,644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(4,186)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7,802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(5,037)</w:t>
      </w:r>
    </w:p>
    <w:p>
      <w:pPr>
        <w:spacing w:after="0" w:line="16" w:lineRule="exact"/>
        <w:rPr>
          <w:sz w:val="20"/>
          <w:szCs w:val="20"/>
          <w:color w:val="auto"/>
        </w:rPr>
      </w:pPr>
    </w:p>
    <w:p>
      <w:pPr>
        <w:sectPr>
          <w:pgSz w:w="11900" w:h="16838" w:orient="portrait"/>
          <w:cols w:equalWidth="0" w:num="5">
            <w:col w:w="3007" w:space="720"/>
            <w:col w:w="460" w:space="620"/>
            <w:col w:w="640" w:space="640"/>
            <w:col w:w="460" w:space="640"/>
            <w:col w:w="30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Unrealized (loss) gain on</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short-term interest-bearing</w:t>
      </w:r>
    </w:p>
    <w:p>
      <w:pPr>
        <w:sectPr>
          <w:pgSz w:w="11900" w:h="16838" w:orient="portrait"/>
          <w:cols w:equalWidth="0" w:num="1">
            <w:col w:w="10226"/>
          </w:cols>
          <w:pgMar w:left="233" w:top="643" w:right="1440" w:bottom="1440" w:gutter="0" w:footer="0" w:header="0"/>
          <w:type w:val="continuous"/>
        </w:sectPr>
      </w:pPr>
    </w:p>
    <w:p>
      <w:pPr>
        <w:spacing w:after="0" w:line="5" w:lineRule="exact"/>
        <w:rPr>
          <w:sz w:val="20"/>
          <w:szCs w:val="20"/>
          <w:color w:val="auto"/>
        </w:rPr>
      </w:pPr>
    </w:p>
    <w:p>
      <w:pPr>
        <w:ind w:left="7" w:right="380" w:firstLine="182"/>
        <w:spacing w:after="0" w:line="494" w:lineRule="auto"/>
        <w:rPr>
          <w:sz w:val="20"/>
          <w:szCs w:val="20"/>
          <w:color w:val="auto"/>
        </w:rPr>
      </w:pPr>
      <w:r>
        <w:rPr>
          <w:rFonts w:ascii="Courier New" w:cs="Courier New" w:eastAsia="Courier New" w:hAnsi="Courier New"/>
          <w:sz w:val="15"/>
          <w:szCs w:val="15"/>
          <w:color w:val="auto"/>
        </w:rPr>
        <w:t>investments, net of tax Comprehensive income</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4"/>
          <w:szCs w:val="14"/>
          <w:color w:val="auto"/>
        </w:rPr>
        <w:t>(280)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88,949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ind w:firstLine="364"/>
        <w:spacing w:after="0" w:line="246" w:lineRule="auto"/>
        <w:rPr>
          <w:sz w:val="20"/>
          <w:szCs w:val="20"/>
          <w:color w:val="auto"/>
        </w:rPr>
      </w:pPr>
      <w:r>
        <w:rPr>
          <w:rFonts w:ascii="Courier New" w:cs="Courier New" w:eastAsia="Courier New" w:hAnsi="Courier New"/>
          <w:sz w:val="15"/>
          <w:szCs w:val="15"/>
          <w:color w:val="auto"/>
        </w:rPr>
        <w:t>1,216 --------- $ 74,127 =========</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4"/>
          <w:szCs w:val="14"/>
          <w:color w:val="auto"/>
        </w:rPr>
        <w:t>(537)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$ 249,946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4"/>
          <w:szCs w:val="14"/>
          <w:color w:val="auto"/>
        </w:rPr>
        <w:t>(605)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$ 215,195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5">
            <w:col w:w="2647" w:space="720"/>
            <w:col w:w="900" w:space="280"/>
            <w:col w:w="820" w:space="360"/>
            <w:col w:w="900" w:space="280"/>
            <w:col w:w="3319"/>
          </w:cols>
          <w:pgMar w:left="233" w:top="643" w:right="1440" w:bottom="1440" w:gutter="0" w:footer="0" w:header="0"/>
          <w:type w:val="continuous"/>
        </w:sectPr>
      </w:pPr>
    </w:p>
    <w:p>
      <w:pPr>
        <w:spacing w:after="0" w:line="149" w:lineRule="exact"/>
        <w:rPr>
          <w:sz w:val="20"/>
          <w:szCs w:val="20"/>
          <w:color w:val="auto"/>
        </w:rPr>
      </w:pPr>
    </w:p>
    <w:p>
      <w:pPr>
        <w:ind w:left="547" w:hanging="547"/>
        <w:spacing w:after="0"/>
        <w:tabs>
          <w:tab w:leader="none" w:pos="5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The provision for income taxes for the following periods consisted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30,</w:t>
            </w:r>
          </w:p>
        </w:tc>
        <w:tc>
          <w:tcPr>
            <w:tcW w:w="186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86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6"/>
              </w:rPr>
              <w:t>--------------------</w:t>
            </w:r>
          </w:p>
        </w:tc>
        <w:tc>
          <w:tcPr>
            <w:tcW w:w="100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2006</w:t>
            </w:r>
          </w:p>
        </w:tc>
        <w:tc>
          <w:tcPr>
            <w:tcW w:w="1000" w:type="dxa"/>
            <w:vAlign w:val="bottom"/>
          </w:tcPr>
          <w:p>
            <w:pPr>
              <w:ind w:left="240"/>
              <w:spacing w:after="0"/>
              <w:rPr>
                <w:sz w:val="20"/>
                <w:szCs w:val="20"/>
                <w:color w:val="auto"/>
              </w:rPr>
            </w:pPr>
            <w:r>
              <w:rPr>
                <w:rFonts w:ascii="Courier New" w:cs="Courier New" w:eastAsia="Courier New" w:hAnsi="Courier New"/>
                <w:sz w:val="15"/>
                <w:szCs w:val="15"/>
                <w:color w:val="auto"/>
              </w:rPr>
              <w:t>2005</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86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$ 30,018</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$ 22,518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$ 51,662</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13,737</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(10,748)</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24,398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3,541</w:t>
            </w:r>
          </w:p>
        </w:tc>
      </w:tr>
      <w:tr>
        <w:trPr>
          <w:trHeight w:val="175"/>
        </w:trPr>
        <w:tc>
          <w:tcPr>
            <w:tcW w:w="86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6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13,823</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$ 19,270</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$ 46,916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$ 55,203</w:t>
            </w:r>
          </w:p>
        </w:tc>
      </w:tr>
      <w:tr>
        <w:trPr>
          <w:trHeight w:val="175"/>
        </w:trPr>
        <w:tc>
          <w:tcPr>
            <w:tcW w:w="86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w:t>
            </w:r>
          </w:p>
        </w:tc>
        <w:tc>
          <w:tcPr>
            <w:tcW w:w="860" w:type="dxa"/>
            <w:vAlign w:val="bottom"/>
          </w:tcPr>
          <w:p>
            <w:pPr>
              <w:spacing w:after="0"/>
              <w:rPr>
                <w:sz w:val="24"/>
                <w:szCs w:val="24"/>
                <w:color w:val="auto"/>
              </w:rPr>
            </w:pPr>
          </w:p>
        </w:tc>
      </w:tr>
    </w:tbl>
    <w:p>
      <w:pPr>
        <w:sectPr>
          <w:pgSz w:w="11900" w:h="16838" w:orient="portrait"/>
          <w:cols w:equalWidth="0" w:num="1">
            <w:col w:w="10226"/>
          </w:cols>
          <w:pgMar w:left="233" w:top="643" w:right="1440" w:bottom="1440" w:gutter="0" w:footer="0" w:header="0"/>
          <w:type w:val="continuous"/>
        </w:sectPr>
      </w:pPr>
    </w:p>
    <w:bookmarkStart w:id="10" w:name="page11"/>
    <w:bookmarkEnd w:id="10"/>
    <w:p>
      <w:pPr>
        <w:jc w:val="center"/>
        <w:ind w:right="2959"/>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THREE MONTHS ENDED</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center"/>
              <w:ind w:right="504"/>
              <w:spacing w:after="0"/>
              <w:rPr>
                <w:sz w:val="20"/>
                <w:szCs w:val="20"/>
                <w:color w:val="auto"/>
              </w:rPr>
            </w:pPr>
            <w:r>
              <w:rPr>
                <w:rFonts w:ascii="Courier New" w:cs="Courier New" w:eastAsia="Courier New" w:hAnsi="Courier New"/>
                <w:sz w:val="15"/>
                <w:szCs w:val="15"/>
                <w:color w:val="auto"/>
                <w:w w:val="99"/>
              </w:rPr>
              <w:t>JUNE 30,</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3400" w:type="dxa"/>
            <w:vAlign w:val="bottom"/>
          </w:tcPr>
          <w:p>
            <w:pPr>
              <w:spacing w:after="0"/>
              <w:rPr>
                <w:sz w:val="15"/>
                <w:szCs w:val="15"/>
                <w:color w:val="auto"/>
              </w:rPr>
            </w:pPr>
          </w:p>
        </w:tc>
        <w:tc>
          <w:tcPr>
            <w:tcW w:w="19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2006</w:t>
            </w: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2005</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2006</w:t>
            </w: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3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w:t>
            </w: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r>
      <w:tr>
        <w:trPr>
          <w:trHeight w:val="175"/>
        </w:trPr>
        <w:tc>
          <w:tcPr>
            <w:tcW w:w="3400" w:type="dxa"/>
            <w:vAlign w:val="bottom"/>
          </w:tcPr>
          <w:p>
            <w:pPr>
              <w:spacing w:after="0"/>
              <w:rPr>
                <w:sz w:val="15"/>
                <w:szCs w:val="15"/>
                <w:color w:val="auto"/>
              </w:rPr>
            </w:pP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Income tax rate before effect of</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w:t>
            </w: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acquisition-related costs, and</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stock-based compensation expense</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Effect of acquisition-related costs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and stock-based compensation expense</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0"/>
        </w:trPr>
        <w:tc>
          <w:tcPr>
            <w:tcW w:w="3400" w:type="dxa"/>
            <w:vAlign w:val="bottom"/>
          </w:tcPr>
          <w:p>
            <w:pPr>
              <w:spacing w:after="0"/>
              <w:rPr>
                <w:sz w:val="24"/>
                <w:szCs w:val="24"/>
                <w:color w:val="auto"/>
              </w:rPr>
            </w:pP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w:t>
            </w:r>
          </w:p>
        </w:tc>
      </w:tr>
      <w:tr>
        <w:trPr>
          <w:trHeight w:val="175"/>
        </w:trPr>
        <w:tc>
          <w:tcPr>
            <w:tcW w:w="3400" w:type="dxa"/>
            <w:vAlign w:val="bottom"/>
          </w:tcPr>
          <w:p>
            <w:pPr>
              <w:spacing w:after="0"/>
              <w:rPr>
                <w:sz w:val="15"/>
                <w:szCs w:val="15"/>
                <w:color w:val="auto"/>
              </w:rPr>
            </w:pP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both"/>
        <w:ind w:right="3219" w:firstLine="545"/>
        <w:spacing w:after="0" w:line="247"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to foreign taxes.</w:t>
      </w:r>
    </w:p>
    <w:p>
      <w:pPr>
        <w:spacing w:after="0" w:line="175"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As of June 30, 2006, deferred tax assets of $20,987, derived from net capital and operating loss carry forwards related to some of the Company's subsidiaries, were offset by valuation allowances related to the uncertainty of realizing tax benefit for such losses. When realization of the tax benefits associated with such net capital and operating losses is deemed more likely than not, the valuation allowance will be released through income taxes.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2" w:right="1440" w:bottom="1440" w:gutter="0" w:footer="0" w:header="0"/>
        </w:sectPr>
      </w:pPr>
    </w:p>
    <w:bookmarkStart w:id="11" w:name="page12"/>
    <w:bookmarkEnd w:id="11"/>
    <w:p>
      <w:pPr>
        <w:jc w:val="center"/>
        <w:ind w:right="2952"/>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left="547" w:hanging="547"/>
        <w:spacing w:after="0"/>
        <w:tabs>
          <w:tab w:leader="none" w:pos="5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0" w:lineRule="exact"/>
        <w:rPr>
          <w:sz w:val="20"/>
          <w:szCs w:val="20"/>
          <w:color w:val="auto"/>
        </w:rPr>
      </w:pPr>
    </w:p>
    <w:p>
      <w:pPr>
        <w:ind w:left="7" w:right="3039" w:firstLine="1091"/>
        <w:spacing w:after="0" w:line="247"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2060" w:type="dxa"/>
            <w:vAlign w:val="bottom"/>
            <w:gridSpan w:val="4"/>
          </w:tcPr>
          <w:p>
            <w:pPr>
              <w:jc w:val="right"/>
              <w:ind w:right="164"/>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4"/>
                <w:szCs w:val="14"/>
                <w:color w:val="auto"/>
              </w:rPr>
            </w:pPr>
          </w:p>
        </w:tc>
        <w:tc>
          <w:tcPr>
            <w:tcW w:w="16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w w:val="99"/>
              </w:rPr>
              <w:t>NINE MONTHS ENDED</w:t>
            </w:r>
          </w:p>
        </w:tc>
      </w:tr>
      <w:tr>
        <w:trPr>
          <w:trHeight w:val="175"/>
        </w:trPr>
        <w:tc>
          <w:tcPr>
            <w:tcW w:w="3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jc w:val="right"/>
              <w:ind w:right="624"/>
              <w:spacing w:after="0"/>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5"/>
                <w:szCs w:val="15"/>
                <w:color w:val="auto"/>
              </w:rPr>
            </w:pPr>
          </w:p>
        </w:tc>
        <w:tc>
          <w:tcPr>
            <w:tcW w:w="164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3440" w:type="dxa"/>
            <w:vAlign w:val="bottom"/>
          </w:tcPr>
          <w:p>
            <w:pPr>
              <w:spacing w:after="0"/>
              <w:rPr>
                <w:sz w:val="15"/>
                <w:szCs w:val="15"/>
                <w:color w:val="auto"/>
              </w:rPr>
            </w:pPr>
          </w:p>
        </w:tc>
        <w:tc>
          <w:tcPr>
            <w:tcW w:w="2060" w:type="dxa"/>
            <w:vAlign w:val="bottom"/>
            <w:gridSpan w:val="4"/>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2006</w:t>
            </w:r>
          </w:p>
        </w:tc>
        <w:tc>
          <w:tcPr>
            <w:tcW w:w="2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2006</w:t>
            </w:r>
          </w:p>
        </w:tc>
        <w:tc>
          <w:tcPr>
            <w:tcW w:w="2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Numerator for basic earnings per</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share</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$ 85,585</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$ 77,097</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$242,681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$220,837</w:t>
            </w:r>
          </w:p>
        </w:tc>
      </w:tr>
      <w:tr>
        <w:trPr>
          <w:trHeight w:val="350"/>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Effect of assumed conversion of</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0.50% convertible notes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988</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2,964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2,955</w:t>
            </w:r>
          </w:p>
        </w:tc>
      </w:tr>
      <w:tr>
        <w:trPr>
          <w:trHeight w:val="350"/>
        </w:trPr>
        <w:tc>
          <w:tcPr>
            <w:tcW w:w="3440" w:type="dxa"/>
            <w:vAlign w:val="bottom"/>
          </w:tcPr>
          <w:p>
            <w:pPr>
              <w:spacing w:after="0"/>
              <w:rPr>
                <w:sz w:val="24"/>
                <w:szCs w:val="24"/>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Numerator for diluted earnings per</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$ 86,570</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$ 78,085</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$245,645</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$223,792</w:t>
            </w: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basic earnings per</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share -  weighted average number</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of shares outstanding</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204,404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200,494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202,474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201,453</w:t>
            </w: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Effect of assumed conversion of</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0.50% convertible notes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10,436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10,436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10,436</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10,436</w:t>
            </w: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5,080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5,640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4,609</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5,719</w:t>
            </w: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Effect of restricted stock issued</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spacing w:after="0"/>
              <w:rPr>
                <w:sz w:val="24"/>
                <w:szCs w:val="24"/>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diluted earnings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220,109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216,570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217,633</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217,608</w:t>
            </w: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per share - adjusted weighted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average shares and assumed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conversions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3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26"/>
          </w:cols>
          <w:pgMar w:left="233" w:top="643" w:right="1440" w:bottom="1440" w:gutter="0" w:footer="0" w:header="0"/>
        </w:sectPr>
      </w:pPr>
    </w:p>
    <w:bookmarkStart w:id="12" w:name="page13"/>
    <w:bookmarkEnd w:id="12"/>
    <w:p>
      <w:pPr>
        <w:jc w:val="center"/>
        <w:ind w:right="2952"/>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left="547" w:right="8599" w:hanging="547"/>
        <w:spacing w:after="0" w:line="493" w:lineRule="auto"/>
        <w:tabs>
          <w:tab w:leader="none" w:pos="5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CRAMER</w:t>
      </w:r>
    </w:p>
    <w:p>
      <w:pPr>
        <w:spacing w:after="0" w:line="1"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On July 18, 2006, the Company entered into a Share Sale and Purchase Agreement to acquire Cramer Systems Group Limited, or Cramer, a privately-held leading provider of operations support systems (OSS) solutions. The acquisition of Cramer was completed on August 14, 2006. Pursuant to the agreement, the Company acquired all of the shares of capital stock of Cramer for approximately $375,000 in cash, net of cash on hand, subject to post-closing adjustments. The Company expects that this acquisition will enable it to leverage and greatly enhance its current assets in the BSS (business support systems) and OSS market.</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QPASS</w:t>
      </w:r>
    </w:p>
    <w:p>
      <w:pPr>
        <w:spacing w:after="0" w:line="180" w:lineRule="exact"/>
        <w:rPr>
          <w:sz w:val="20"/>
          <w:szCs w:val="20"/>
          <w:color w:val="auto"/>
        </w:rPr>
      </w:pPr>
    </w:p>
    <w:p>
      <w:pPr>
        <w:ind w:left="7" w:right="3039" w:firstLine="545"/>
        <w:spacing w:after="0" w:line="246" w:lineRule="auto"/>
        <w:rPr>
          <w:sz w:val="20"/>
          <w:szCs w:val="20"/>
          <w:color w:val="auto"/>
        </w:rPr>
      </w:pPr>
      <w:r>
        <w:rPr>
          <w:rFonts w:ascii="Courier New" w:cs="Courier New" w:eastAsia="Courier New" w:hAnsi="Courier New"/>
          <w:sz w:val="15"/>
          <w:szCs w:val="15"/>
          <w:color w:val="auto"/>
        </w:rPr>
        <w:t>On May 31, 2006 the Company acquired all of the capital stock of Qpass Inc., or Qpass, a leading provider of digital commerce software and solutions. The Company expects that this acquisition will allow it to support service providers and media companies seeking to launch and monetize digital content, and believes that this acquisition positions it as the leader in the emerging digital content market. Qpass revenue for the twelve months ended September 30, 2005 was approximately $35,000.</w:t>
      </w:r>
    </w:p>
    <w:p>
      <w:pPr>
        <w:spacing w:after="0" w:line="179"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The aggregate purchase price for Qpass was $281,480, which consisted of $274,024 in cash, $3,085 related to the assumption of stock options held by Qpass employees and $4,371 of transaction costs. The fair value of the stock options was estimated using the Black-Scholes option pricing model (see note 10). The acquisition was accounted for as a business combination using the purchase method of accounting, as required by Statement of Financial Accounting Standards No. 141, "Business Combinations" ("SFAS No. 141"). The fair market value of Qpass assets and liabilities has been included in the Company's consolidated balance sheet and the results of Qpass's operations have been included in the Company's consolidated statements of income, commencing on June 1, 2006. The Company obtained a preliminary independent valuation of the intangible assets acquired in the Qpass transaction. The total purchase price was allocated to Qpass's assets and liabilities, including identifiable intangibles, based on their respective estimated fair values, on the date the transaction was consummated. The value of acquired technology included both existing technology and in-process research and development. The valuation of these items was determined by applying the income forecast method, which considered the present value of cash flows by product lines. Of the $72,981 of acquired identifiable intangible assets, $8,340 was assigned to in-process research and development and was written-off as of the closing date of the acquisition,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of the closing date of the acquisition. The fair value assigned to core technology was $28,060 and is being amortized over 3 to 4.5 years commencing on June 1, 2006. The fair value assigned to customer arrangements was $36,581 and is being amortized over 7 years commencing on June 1, 2006. The excess of the purchase price over the fair value of the net liabilities and identifiable intangibles acquired, or goodwill, was $240,989, of which none is tax deductible. Goodwill is accounted for under Statement of Financial Accounting Standards No. 142, "Goodwill and Other Intangible Assets" and is accordingly subject to an annual impairment test.</w:t>
      </w:r>
    </w:p>
    <w:p>
      <w:pPr>
        <w:spacing w:after="0" w:line="19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The following is the preliminary allocation of the purchase price: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643" w:right="1440" w:bottom="1440" w:gutter="0" w:footer="0" w:header="0"/>
        </w:sectPr>
      </w:pPr>
    </w:p>
    <w:bookmarkStart w:id="13" w:name="page14"/>
    <w:bookmarkEnd w:id="13"/>
    <w:p>
      <w:pPr>
        <w:jc w:val="center"/>
        <w:ind w:right="2952"/>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Assets acquired</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24,396</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(54,693)</w:t>
            </w:r>
          </w:p>
        </w:tc>
      </w:tr>
      <w:tr>
        <w:trPr>
          <w:trHeight w:val="175"/>
        </w:trPr>
        <w:tc>
          <w:tcPr>
            <w:tcW w:w="4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Net liabilities assumed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(30,297)</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28,060</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36,581</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In-process research and development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8,340</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taxes resulting from the difference</w:t>
            </w:r>
          </w:p>
        </w:tc>
        <w:tc>
          <w:tcPr>
            <w:tcW w:w="1040" w:type="dxa"/>
            <w:vAlign w:val="bottom"/>
          </w:tcPr>
          <w:p>
            <w:pPr>
              <w:spacing w:after="0"/>
              <w:rPr>
                <w:sz w:val="15"/>
                <w:szCs w:val="15"/>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between the assigned value of certain assets and</w:t>
            </w:r>
          </w:p>
        </w:tc>
        <w:tc>
          <w:tcPr>
            <w:tcW w:w="1040" w:type="dxa"/>
            <w:vAlign w:val="bottom"/>
          </w:tcPr>
          <w:p>
            <w:pPr>
              <w:spacing w:after="0"/>
              <w:rPr>
                <w:sz w:val="15"/>
                <w:szCs w:val="15"/>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liabilities and their respective tax bases and</w:t>
            </w:r>
          </w:p>
        </w:tc>
        <w:tc>
          <w:tcPr>
            <w:tcW w:w="1040" w:type="dxa"/>
            <w:vAlign w:val="bottom"/>
          </w:tcPr>
          <w:p>
            <w:pPr>
              <w:spacing w:after="0"/>
              <w:rPr>
                <w:sz w:val="15"/>
                <w:szCs w:val="15"/>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loss carry forward, net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(2,193)</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240,989</w:t>
            </w:r>
          </w:p>
        </w:tc>
      </w:tr>
      <w:tr>
        <w:trPr>
          <w:trHeight w:val="175"/>
        </w:trPr>
        <w:tc>
          <w:tcPr>
            <w:tcW w:w="4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$ 281,480</w:t>
            </w:r>
          </w:p>
        </w:tc>
      </w:tr>
      <w:tr>
        <w:trPr>
          <w:trHeight w:val="175"/>
        </w:trPr>
        <w:tc>
          <w:tcPr>
            <w:tcW w:w="4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LONGSHINE</w:t>
      </w:r>
    </w:p>
    <w:p>
      <w:pPr>
        <w:spacing w:after="0" w:line="180"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On August 3, 2005, the Company acquired Longshine Information Technology Company Ltd., or Longshine, a privately-held leading vendor of customer care and billing software in China. The purchase price for Longshine was approximately $34,100, which included $1,100 of transaction costs. The Company may also be obligated to pay up to approximately $16,000 in additional purchase price over the next two years based on the achievement of specified performance targets.</w:t>
      </w:r>
    </w:p>
    <w:p>
      <w:pPr>
        <w:spacing w:after="0" w:line="178"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DST INNOVIS</w:t>
      </w:r>
    </w:p>
    <w:p>
      <w:pPr>
        <w:spacing w:after="0" w:line="180"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On July 1, 2005, the Company acquired from DST Systems, Inc., or DST, all of the common stock of DST's wholly owned subsidiaries, DST Innovis, Inc. and DST Interactive, Inc. The Company refers to these acquired subsidiaries together as DST Innovis, a leading provider of customer care and billing solutions to broadband cable and satellite companies. The purchase price for DST Innovis was $237,461, which included $3,150 of transaction costs.</w:t>
      </w:r>
    </w:p>
    <w:p>
      <w:pPr>
        <w:spacing w:after="0" w:line="178" w:lineRule="exact"/>
        <w:rPr>
          <w:sz w:val="20"/>
          <w:szCs w:val="20"/>
          <w:color w:val="auto"/>
        </w:rPr>
      </w:pPr>
    </w:p>
    <w:p>
      <w:pPr>
        <w:ind w:left="7" w:right="3039" w:firstLine="545"/>
        <w:spacing w:after="0" w:line="246" w:lineRule="auto"/>
        <w:rPr>
          <w:sz w:val="20"/>
          <w:szCs w:val="20"/>
          <w:color w:val="auto"/>
        </w:rPr>
      </w:pPr>
      <w:r>
        <w:rPr>
          <w:rFonts w:ascii="Courier New" w:cs="Courier New" w:eastAsia="Courier New" w:hAnsi="Courier New"/>
          <w:sz w:val="15"/>
          <w:szCs w:val="15"/>
          <w:color w:val="auto"/>
        </w:rPr>
        <w:t>In addition, the Company commenced integration activities with respect to the DST Innovis business based on a plan to exit specific research and development activities and to terminate employees associated with these activities. The liability associated with this plan, which was recorded as part of the purchase accounting, is presented in the following table:</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EMPLOYEE</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5"/>
        </w:trPr>
        <w:tc>
          <w:tcPr>
            <w:tcW w:w="276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SEPARATION</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CONTRACTUAL</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COSTS</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OBLIGATIONS</w:t>
            </w:r>
          </w:p>
        </w:tc>
        <w:tc>
          <w:tcPr>
            <w:tcW w:w="320" w:type="dxa"/>
            <w:vAlign w:val="bottom"/>
          </w:tcPr>
          <w:p>
            <w:pPr>
              <w:spacing w:after="0"/>
              <w:rPr>
                <w:sz w:val="15"/>
                <w:szCs w:val="15"/>
                <w:color w:val="auto"/>
              </w:rPr>
            </w:pP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760" w:type="dxa"/>
            <w:vAlign w:val="bottom"/>
          </w:tcPr>
          <w:p>
            <w:pPr>
              <w:spacing w:after="0"/>
              <w:rPr>
                <w:sz w:val="15"/>
                <w:szCs w:val="15"/>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Balance as of October 1, 2005</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4,940</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673</w:t>
            </w:r>
          </w:p>
        </w:tc>
        <w:tc>
          <w:tcPr>
            <w:tcW w:w="3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12,716</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(4,651)</w:t>
            </w:r>
          </w:p>
        </w:tc>
        <w:tc>
          <w:tcPr>
            <w:tcW w:w="50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w:t>
            </w:r>
          </w:p>
        </w:tc>
        <w:tc>
          <w:tcPr>
            <w:tcW w:w="32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(418)</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(5,244)</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Adjustments (1)</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w:t>
            </w:r>
          </w:p>
        </w:tc>
        <w:tc>
          <w:tcPr>
            <w:tcW w:w="50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32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Balance as of June 30, 2006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w:t>
            </w:r>
          </w:p>
        </w:tc>
        <w:tc>
          <w:tcPr>
            <w:tcW w:w="3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7,031</w:t>
            </w:r>
          </w:p>
        </w:tc>
      </w:tr>
    </w:tbl>
    <w:p>
      <w:pPr>
        <w:spacing w:after="0" w:line="200" w:lineRule="exact"/>
        <w:rPr>
          <w:sz w:val="20"/>
          <w:szCs w:val="20"/>
          <w:color w:val="auto"/>
        </w:rPr>
      </w:pPr>
    </w:p>
    <w:p>
      <w:pPr>
        <w:spacing w:after="0" w:line="329" w:lineRule="exact"/>
        <w:rPr>
          <w:sz w:val="20"/>
          <w:szCs w:val="20"/>
          <w:color w:val="auto"/>
        </w:rPr>
      </w:pPr>
    </w:p>
    <w:p>
      <w:pPr>
        <w:ind w:left="547" w:right="3039" w:hanging="547"/>
        <w:spacing w:after="0" w:line="247" w:lineRule="auto"/>
        <w:tabs>
          <w:tab w:leader="none" w:pos="5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adjustments due to changes in original estimates within one year of the acquisition date. The adjustments were recorded as part of the purchase accounting which resulted in reduction of goodwill.</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3" w:right="1440" w:bottom="1440" w:gutter="0" w:footer="0" w:header="0"/>
        </w:sectPr>
      </w:pPr>
    </w:p>
    <w:bookmarkStart w:id="14" w:name="page15"/>
    <w:bookmarkEnd w:id="14"/>
    <w:p>
      <w:pPr>
        <w:jc w:val="center"/>
        <w:ind w:right="2952"/>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4" w:lineRule="exact"/>
        <w:rPr>
          <w:sz w:val="20"/>
          <w:szCs w:val="20"/>
          <w:color w:val="auto"/>
        </w:rPr>
      </w:pPr>
    </w:p>
    <w:p>
      <w:pPr>
        <w:ind w:left="7" w:right="3039" w:firstLine="545"/>
        <w:spacing w:after="0" w:line="246" w:lineRule="auto"/>
        <w:rPr>
          <w:sz w:val="20"/>
          <w:szCs w:val="20"/>
          <w:color w:val="auto"/>
        </w:rPr>
      </w:pPr>
      <w:r>
        <w:rPr>
          <w:rFonts w:ascii="Courier New" w:cs="Courier New" w:eastAsia="Courier New" w:hAnsi="Courier New"/>
          <w:sz w:val="15"/>
          <w:szCs w:val="15"/>
          <w:color w:val="auto"/>
        </w:rPr>
        <w:t>Set forth below is the unaudited pro forma revenue, operating income, net income and per share figures for the three and nine months ended June 30, 2005 as if DST Innovis had been acquired as of October 1, 2004, excluding the capitalization of research and development expense, write-off of purchased in-process research and development and other acquisition related costs:</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THREE MONTHS ENDED</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JUNE 30, 2005</w:t>
            </w:r>
          </w:p>
        </w:tc>
        <w:tc>
          <w:tcPr>
            <w:tcW w:w="360" w:type="dxa"/>
            <w:vAlign w:val="bottom"/>
          </w:tcPr>
          <w:p>
            <w:pPr>
              <w:spacing w:after="0"/>
              <w:rPr>
                <w:sz w:val="15"/>
                <w:szCs w:val="15"/>
                <w:color w:val="auto"/>
              </w:rPr>
            </w:pP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JUNE 30, 2005</w:t>
            </w:r>
          </w:p>
        </w:tc>
      </w:tr>
      <w:tr>
        <w:trPr>
          <w:trHeight w:val="175"/>
        </w:trPr>
        <w:tc>
          <w:tcPr>
            <w:tcW w:w="2540" w:type="dxa"/>
            <w:vAlign w:val="bottom"/>
          </w:tcPr>
          <w:p>
            <w:pPr>
              <w:spacing w:after="0"/>
              <w:rPr>
                <w:sz w:val="15"/>
                <w:szCs w:val="15"/>
                <w:color w:val="auto"/>
              </w:rPr>
            </w:pPr>
          </w:p>
        </w:tc>
        <w:tc>
          <w:tcPr>
            <w:tcW w:w="2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25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569,676</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1,639,488</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15"/>
                <w:szCs w:val="15"/>
                <w:color w:val="auto"/>
              </w:rPr>
            </w:pP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93,580</w:t>
            </w:r>
          </w:p>
        </w:tc>
        <w:tc>
          <w:tcPr>
            <w:tcW w:w="360" w:type="dxa"/>
            <w:vAlign w:val="bottom"/>
          </w:tcPr>
          <w:p>
            <w:pPr>
              <w:spacing w:after="0"/>
              <w:rPr>
                <w:sz w:val="15"/>
                <w:szCs w:val="15"/>
                <w:color w:val="auto"/>
              </w:rPr>
            </w:pP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250,669</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15"/>
                <w:szCs w:val="15"/>
                <w:color w:val="auto"/>
              </w:rPr>
            </w:pP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76,919</w:t>
            </w:r>
          </w:p>
        </w:tc>
        <w:tc>
          <w:tcPr>
            <w:tcW w:w="360" w:type="dxa"/>
            <w:vAlign w:val="bottom"/>
          </w:tcPr>
          <w:p>
            <w:pPr>
              <w:spacing w:after="0"/>
              <w:rPr>
                <w:sz w:val="15"/>
                <w:szCs w:val="15"/>
                <w:color w:val="auto"/>
              </w:rPr>
            </w:pP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208,758</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60" w:type="dxa"/>
            <w:vAlign w:val="bottom"/>
          </w:tcPr>
          <w:p>
            <w:pPr>
              <w:spacing w:after="0"/>
              <w:rPr>
                <w:sz w:val="15"/>
                <w:szCs w:val="15"/>
                <w:color w:val="auto"/>
              </w:rPr>
            </w:pP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0.38</w:t>
            </w:r>
          </w:p>
        </w:tc>
        <w:tc>
          <w:tcPr>
            <w:tcW w:w="360" w:type="dxa"/>
            <w:vAlign w:val="bottom"/>
          </w:tcPr>
          <w:p>
            <w:pPr>
              <w:spacing w:after="0"/>
              <w:rPr>
                <w:sz w:val="15"/>
                <w:szCs w:val="15"/>
                <w:color w:val="auto"/>
              </w:rPr>
            </w:pP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60" w:type="dxa"/>
            <w:vAlign w:val="bottom"/>
          </w:tcPr>
          <w:p>
            <w:pPr>
              <w:spacing w:after="0"/>
              <w:rPr>
                <w:sz w:val="15"/>
                <w:szCs w:val="15"/>
                <w:color w:val="auto"/>
              </w:rPr>
            </w:pP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0.36</w:t>
            </w:r>
          </w:p>
        </w:tc>
        <w:tc>
          <w:tcPr>
            <w:tcW w:w="360" w:type="dxa"/>
            <w:vAlign w:val="bottom"/>
          </w:tcPr>
          <w:p>
            <w:pPr>
              <w:spacing w:after="0"/>
              <w:rPr>
                <w:sz w:val="15"/>
                <w:szCs w:val="15"/>
                <w:color w:val="auto"/>
              </w:rPr>
            </w:pP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0.97</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8. OPERATIONAL EFFICIENCY AND COST REDUCTION PROGRAMS</w:t>
      </w:r>
    </w:p>
    <w:p>
      <w:pPr>
        <w:spacing w:after="0" w:line="180"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In the fourth quarter of fiscal 2005, the Company commenced a series of measures designed to align its operational structure to its expected future growth, to allow better integration of the acquisitions of DST Innovis and Longshine, and to improve efficiency. As part of this plan, the Company recorded a charge of $8,135 in connection with the termination of employment of software and information technology specialists and administrative professionals. Approximately $6,637 of the total charge had been paid in cash as of June 30, 2006. The remaining separation costs are expected to be paid out during the fourth quarter of fiscal 2006.</w:t>
      </w:r>
    </w:p>
    <w:p>
      <w:pPr>
        <w:spacing w:after="0" w:line="180" w:lineRule="exact"/>
        <w:rPr>
          <w:sz w:val="20"/>
          <w:szCs w:val="20"/>
          <w:color w:val="auto"/>
        </w:rPr>
      </w:pPr>
    </w:p>
    <w:p>
      <w:pPr>
        <w:ind w:left="7" w:right="3039" w:firstLine="545"/>
        <w:spacing w:after="0" w:line="247" w:lineRule="auto"/>
        <w:rPr>
          <w:sz w:val="20"/>
          <w:szCs w:val="20"/>
          <w:color w:val="auto"/>
        </w:rPr>
      </w:pPr>
      <w:r>
        <w:rPr>
          <w:rFonts w:ascii="Courier New" w:cs="Courier New" w:eastAsia="Courier New" w:hAnsi="Courier New"/>
          <w:sz w:val="15"/>
          <w:szCs w:val="15"/>
          <w:color w:val="auto"/>
        </w:rPr>
        <w:t>The restructuring accrual for this cost reduction program is comprised of the following as of June 30, 2006:</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EMPLOYEE SEPARATION</w:t>
            </w:r>
          </w:p>
        </w:tc>
      </w:tr>
      <w:tr>
        <w:trPr>
          <w:trHeight w:val="175"/>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COSTS</w:t>
            </w:r>
          </w:p>
        </w:tc>
      </w:tr>
      <w:tr>
        <w:trPr>
          <w:trHeight w:val="175"/>
        </w:trPr>
        <w:tc>
          <w:tcPr>
            <w:tcW w:w="2720" w:type="dxa"/>
            <w:vAlign w:val="bottom"/>
          </w:tcPr>
          <w:p>
            <w:pPr>
              <w:spacing w:after="0"/>
              <w:rPr>
                <w:sz w:val="15"/>
                <w:szCs w:val="15"/>
                <w:color w:val="auto"/>
              </w:rPr>
            </w:pP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as of October 1, 2005</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7,002</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(5,504)</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Adjustments (1)</w:t>
            </w:r>
          </w:p>
        </w:tc>
        <w:tc>
          <w:tcPr>
            <w:tcW w:w="46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(648)</w:t>
            </w:r>
          </w:p>
        </w:tc>
      </w:tr>
      <w:tr>
        <w:trPr>
          <w:trHeight w:val="175"/>
        </w:trPr>
        <w:tc>
          <w:tcPr>
            <w:tcW w:w="2720" w:type="dxa"/>
            <w:vAlign w:val="bottom"/>
          </w:tcPr>
          <w:p>
            <w:pPr>
              <w:spacing w:after="0"/>
              <w:rPr>
                <w:sz w:val="15"/>
                <w:szCs w:val="15"/>
                <w:color w:val="auto"/>
              </w:rPr>
            </w:pPr>
          </w:p>
        </w:tc>
        <w:tc>
          <w:tcPr>
            <w:tcW w:w="18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as of June 30, 2006</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850</w:t>
            </w:r>
          </w:p>
        </w:tc>
      </w:tr>
      <w:tr>
        <w:trPr>
          <w:trHeight w:val="175"/>
        </w:trPr>
        <w:tc>
          <w:tcPr>
            <w:tcW w:w="2720" w:type="dxa"/>
            <w:vAlign w:val="bottom"/>
          </w:tcPr>
          <w:p>
            <w:pPr>
              <w:spacing w:after="0"/>
              <w:rPr>
                <w:sz w:val="15"/>
                <w:szCs w:val="15"/>
                <w:color w:val="auto"/>
              </w:rPr>
            </w:pPr>
          </w:p>
        </w:tc>
        <w:tc>
          <w:tcPr>
            <w:tcW w:w="18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547" w:right="3039" w:hanging="547"/>
        <w:spacing w:after="0" w:line="246" w:lineRule="auto"/>
        <w:tabs>
          <w:tab w:leader="none" w:pos="5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adjustments due to changes in previous estimates, which were recorded in cost of service expenses, and differences in foreign exchange rates from balances paid in currencies other than the U.S. dollar, which were recorded in interest income and other, net.</w:t>
      </w:r>
    </w:p>
    <w:p>
      <w:pPr>
        <w:spacing w:after="0" w:line="177" w:lineRule="exact"/>
        <w:rPr>
          <w:sz w:val="20"/>
          <w:szCs w:val="20"/>
          <w:color w:val="auto"/>
        </w:rPr>
      </w:pPr>
    </w:p>
    <w:p>
      <w:pPr>
        <w:jc w:val="both"/>
        <w:ind w:left="7" w:right="2959" w:firstLine="545"/>
        <w:spacing w:after="0" w:line="247" w:lineRule="auto"/>
        <w:rPr>
          <w:sz w:val="20"/>
          <w:szCs w:val="20"/>
          <w:color w:val="auto"/>
        </w:rPr>
      </w:pPr>
      <w:r>
        <w:rPr>
          <w:rFonts w:ascii="Courier New" w:cs="Courier New" w:eastAsia="Courier New" w:hAnsi="Courier New"/>
          <w:sz w:val="15"/>
          <w:szCs w:val="15"/>
          <w:color w:val="auto"/>
        </w:rPr>
        <w:t>In prior fiscal years, the Company implemented a series of cost reduction programs designed to reduce operating costs and improve productivity. As part of these programs, the Company reduced its</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643" w:right="1440" w:bottom="1440" w:gutter="0" w:footer="0" w:header="0"/>
        </w:sectPr>
      </w:pPr>
    </w:p>
    <w:bookmarkStart w:id="15" w:name="page16"/>
    <w:bookmarkEnd w:id="15"/>
    <w:p>
      <w:pPr>
        <w:jc w:val="center"/>
        <w:ind w:right="2952"/>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workforce, vacated facilities in different centers around the world and implemented other cost reduction measures, including travel cuts and reduction in other discretionary costs.</w:t>
      </w:r>
    </w:p>
    <w:p>
      <w:pPr>
        <w:spacing w:after="0" w:line="174" w:lineRule="exact"/>
        <w:rPr>
          <w:sz w:val="20"/>
          <w:szCs w:val="20"/>
          <w:color w:val="auto"/>
        </w:rPr>
      </w:pPr>
    </w:p>
    <w:p>
      <w:pPr>
        <w:ind w:left="7" w:right="3139" w:firstLine="545"/>
        <w:spacing w:after="0" w:line="247" w:lineRule="auto"/>
        <w:rPr>
          <w:sz w:val="20"/>
          <w:szCs w:val="20"/>
          <w:color w:val="auto"/>
        </w:rPr>
      </w:pPr>
      <w:r>
        <w:rPr>
          <w:rFonts w:ascii="Courier New" w:cs="Courier New" w:eastAsia="Courier New" w:hAnsi="Courier New"/>
          <w:sz w:val="15"/>
          <w:szCs w:val="15"/>
          <w:color w:val="auto"/>
        </w:rPr>
        <w:t>The restructuring accrual for these cost reduction programs is comprised of the following as of June 30, 2006:</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FACILITIES</w:t>
            </w:r>
          </w:p>
        </w:tc>
      </w:tr>
      <w:tr>
        <w:trPr>
          <w:trHeight w:val="175"/>
        </w:trPr>
        <w:tc>
          <w:tcPr>
            <w:tcW w:w="290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as of October 1, 2005</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6,667</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(2,084)</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Adjustments (1)</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1,091</w:t>
            </w:r>
          </w:p>
        </w:tc>
      </w:tr>
      <w:tr>
        <w:trPr>
          <w:trHeight w:val="175"/>
        </w:trPr>
        <w:tc>
          <w:tcPr>
            <w:tcW w:w="290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as of June 30, 2006 (2)</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5,674</w:t>
            </w:r>
          </w:p>
        </w:tc>
      </w:tr>
      <w:tr>
        <w:trPr>
          <w:trHeight w:val="175"/>
        </w:trPr>
        <w:tc>
          <w:tcPr>
            <w:tcW w:w="290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547" w:right="3419" w:hanging="547"/>
        <w:spacing w:after="0" w:line="247" w:lineRule="auto"/>
        <w:tabs>
          <w:tab w:leader="none" w:pos="5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adjustments due to changes in previous estimates, which were recorded in cost of service expenses.</w:t>
      </w:r>
    </w:p>
    <w:p>
      <w:pPr>
        <w:spacing w:after="0" w:line="174" w:lineRule="exact"/>
        <w:rPr>
          <w:rFonts w:ascii="Courier New" w:cs="Courier New" w:eastAsia="Courier New" w:hAnsi="Courier New"/>
          <w:sz w:val="15"/>
          <w:szCs w:val="15"/>
          <w:color w:val="auto"/>
        </w:rPr>
      </w:pPr>
    </w:p>
    <w:p>
      <w:pPr>
        <w:ind w:left="547" w:right="3319" w:hanging="547"/>
        <w:spacing w:after="0" w:line="247" w:lineRule="auto"/>
        <w:tabs>
          <w:tab w:leader="none" w:pos="5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remainder of the accrual is expected to be paid out through August 2008.</w:t>
      </w:r>
    </w:p>
    <w:p>
      <w:pPr>
        <w:spacing w:after="0" w:line="175" w:lineRule="exact"/>
        <w:rPr>
          <w:sz w:val="20"/>
          <w:szCs w:val="20"/>
          <w:color w:val="auto"/>
        </w:rPr>
      </w:pPr>
    </w:p>
    <w:p>
      <w:pPr>
        <w:ind w:left="547" w:hanging="547"/>
        <w:spacing w:after="0"/>
        <w:tabs>
          <w:tab w:leader="none" w:pos="54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80" w:lineRule="exact"/>
        <w:rPr>
          <w:sz w:val="20"/>
          <w:szCs w:val="20"/>
          <w:color w:val="auto"/>
        </w:rPr>
      </w:pPr>
    </w:p>
    <w:p>
      <w:pPr>
        <w:ind w:left="7" w:right="3039" w:firstLine="545"/>
        <w:spacing w:after="0" w:line="246" w:lineRule="auto"/>
        <w:rPr>
          <w:sz w:val="20"/>
          <w:szCs w:val="20"/>
          <w:color w:val="auto"/>
        </w:rPr>
      </w:pPr>
      <w:r>
        <w:rPr>
          <w:rFonts w:ascii="Courier New" w:cs="Courier New" w:eastAsia="Courier New" w:hAnsi="Courier New"/>
          <w:sz w:val="15"/>
          <w:szCs w:val="15"/>
          <w:color w:val="auto"/>
        </w:rPr>
        <w:t>The Company maintains non-contributory defined benefit plans that provide for pension, other retirement and post-employment benefits for some of its Canadian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pooled fund units established by Bell Canada Enterprises for the collective investment of registered pension plan assets.</w:t>
      </w:r>
    </w:p>
    <w:p>
      <w:pPr>
        <w:spacing w:after="0" w:line="181" w:lineRule="exact"/>
        <w:rPr>
          <w:sz w:val="20"/>
          <w:szCs w:val="20"/>
          <w:color w:val="auto"/>
        </w:rPr>
      </w:pPr>
    </w:p>
    <w:p>
      <w:pPr>
        <w:ind w:left="7" w:right="3419" w:firstLine="545"/>
        <w:spacing w:after="0" w:line="247" w:lineRule="auto"/>
        <w:rPr>
          <w:sz w:val="20"/>
          <w:szCs w:val="20"/>
          <w:color w:val="auto"/>
        </w:rPr>
      </w:pPr>
      <w:r>
        <w:rPr>
          <w:rFonts w:ascii="Courier New" w:cs="Courier New" w:eastAsia="Courier New" w:hAnsi="Courier New"/>
          <w:sz w:val="15"/>
          <w:szCs w:val="15"/>
          <w:color w:val="auto"/>
        </w:rPr>
        <w:t>The net periodic benefit costs under these plans for the three months ended June 30, 2006 and 2005, were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THREE MONTHS ENDED</w:t>
            </w:r>
          </w:p>
        </w:tc>
        <w:tc>
          <w:tcPr>
            <w:tcW w:w="260" w:type="dxa"/>
            <w:vAlign w:val="bottom"/>
          </w:tcPr>
          <w:p>
            <w:pPr>
              <w:spacing w:after="0"/>
              <w:rPr>
                <w:sz w:val="14"/>
                <w:szCs w:val="14"/>
                <w:color w:val="auto"/>
              </w:rPr>
            </w:pPr>
          </w:p>
        </w:tc>
      </w:tr>
      <w:tr>
        <w:trPr>
          <w:trHeight w:val="175"/>
        </w:trPr>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JUNE 30, 2006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PENSION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PENSION</w:t>
            </w:r>
          </w:p>
        </w:tc>
        <w:tc>
          <w:tcPr>
            <w:tcW w:w="700" w:type="dxa"/>
            <w:vAlign w:val="bottom"/>
          </w:tcPr>
          <w:p>
            <w:pPr>
              <w:ind w:left="240"/>
              <w:spacing w:after="0"/>
              <w:rPr>
                <w:sz w:val="20"/>
                <w:szCs w:val="20"/>
                <w:color w:val="auto"/>
              </w:rPr>
            </w:pPr>
            <w:r>
              <w:rPr>
                <w:rFonts w:ascii="Courier New" w:cs="Courier New" w:eastAsia="Courier New" w:hAnsi="Courier New"/>
                <w:sz w:val="15"/>
                <w:szCs w:val="15"/>
                <w:color w:val="auto"/>
                <w:w w:val="97"/>
              </w:rPr>
              <w:t>OTHER</w:t>
            </w:r>
          </w:p>
        </w:tc>
        <w:tc>
          <w:tcPr>
            <w:tcW w:w="26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BENEFITS</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BENEFITS</w:t>
            </w:r>
          </w:p>
        </w:tc>
        <w:tc>
          <w:tcPr>
            <w:tcW w:w="1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BENEFITS</w:t>
            </w:r>
          </w:p>
        </w:tc>
      </w:tr>
      <w:tr>
        <w:trPr>
          <w:trHeight w:val="175"/>
        </w:trPr>
        <w:tc>
          <w:tcPr>
            <w:tcW w:w="30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w:t>
            </w:r>
          </w:p>
        </w:tc>
        <w:tc>
          <w:tcPr>
            <w:tcW w:w="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537</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Interest on benefit obligations</w:t>
            </w:r>
          </w:p>
        </w:tc>
        <w:tc>
          <w:tcPr>
            <w:tcW w:w="2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994</w:t>
            </w: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172</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821</w:t>
            </w: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119</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(673)</w:t>
            </w: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Settlements</w:t>
            </w:r>
          </w:p>
        </w:tc>
        <w:tc>
          <w:tcPr>
            <w:tcW w:w="2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991</w:t>
            </w: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Actuarial loss</w:t>
            </w:r>
          </w:p>
        </w:tc>
        <w:tc>
          <w:tcPr>
            <w:tcW w:w="2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2,037</w:t>
            </w:r>
          </w:p>
        </w:tc>
        <w:tc>
          <w:tcPr>
            <w:tcW w:w="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336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685</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184</w:t>
            </w:r>
          </w:p>
        </w:tc>
      </w:tr>
      <w:tr>
        <w:trPr>
          <w:trHeight w:val="175"/>
        </w:trPr>
        <w:tc>
          <w:tcPr>
            <w:tcW w:w="30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 ==========</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15</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226"/>
          </w:cols>
          <w:pgMar w:left="233" w:top="643" w:right="1440" w:bottom="1440" w:gutter="0" w:footer="0" w:header="0"/>
        </w:sectPr>
      </w:pPr>
    </w:p>
    <w:bookmarkStart w:id="16" w:name="page17"/>
    <w:bookmarkEnd w:id="16"/>
    <w:p>
      <w:pPr>
        <w:jc w:val="center"/>
        <w:ind w:right="2959"/>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right="2959" w:firstLine="1091"/>
        <w:spacing w:after="0" w:line="247" w:lineRule="auto"/>
        <w:rPr>
          <w:sz w:val="20"/>
          <w:szCs w:val="20"/>
          <w:color w:val="auto"/>
        </w:rPr>
      </w:pPr>
      <w:r>
        <w:rPr>
          <w:rFonts w:ascii="Courier New" w:cs="Courier New" w:eastAsia="Courier New" w:hAnsi="Courier New"/>
          <w:sz w:val="15"/>
          <w:szCs w:val="15"/>
          <w:color w:val="auto"/>
        </w:rPr>
        <w:t>The net periodic benefit costs under these plans for the nine months ended June 30, 2006 and 2005, were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260" w:type="dxa"/>
            <w:vAlign w:val="bottom"/>
          </w:tcPr>
          <w:p>
            <w:pPr>
              <w:spacing w:after="0"/>
              <w:rPr>
                <w:sz w:val="14"/>
                <w:szCs w:val="14"/>
                <w:color w:val="auto"/>
              </w:rPr>
            </w:pPr>
          </w:p>
        </w:tc>
      </w:tr>
      <w:tr>
        <w:trPr>
          <w:trHeight w:val="175"/>
        </w:trPr>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JUNE 30, 2006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JUNE 30, 2005</w:t>
            </w:r>
          </w:p>
        </w:tc>
        <w:tc>
          <w:tcPr>
            <w:tcW w:w="26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PENSION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PENSION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BENEFITS</w:t>
            </w:r>
          </w:p>
        </w:tc>
        <w:tc>
          <w:tcPr>
            <w:tcW w:w="1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BENEFITS</w:t>
            </w:r>
          </w:p>
        </w:tc>
      </w:tr>
      <w:tr>
        <w:trPr>
          <w:trHeight w:val="175"/>
        </w:trPr>
        <w:tc>
          <w:tcPr>
            <w:tcW w:w="30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2,345</w:t>
            </w:r>
          </w:p>
        </w:tc>
        <w:tc>
          <w:tcPr>
            <w:tcW w:w="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1,632</w:t>
            </w:r>
          </w:p>
        </w:tc>
        <w:tc>
          <w:tcPr>
            <w:tcW w:w="7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197</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Interest on benefit obligations</w:t>
            </w:r>
          </w:p>
        </w:tc>
        <w:tc>
          <w:tcPr>
            <w:tcW w:w="2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2,915</w:t>
            </w: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505</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2,494</w:t>
            </w: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360</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(2,427)</w:t>
            </w: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(2,042)</w:t>
            </w: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Settlements</w:t>
            </w:r>
          </w:p>
        </w:tc>
        <w:tc>
          <w:tcPr>
            <w:tcW w:w="2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991</w:t>
            </w: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Actuarial loss</w:t>
            </w:r>
          </w:p>
        </w:tc>
        <w:tc>
          <w:tcPr>
            <w:tcW w:w="2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235</w:t>
            </w: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169</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4,059</w:t>
            </w:r>
          </w:p>
        </w:tc>
        <w:tc>
          <w:tcPr>
            <w:tcW w:w="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985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2,084</w:t>
            </w:r>
          </w:p>
        </w:tc>
        <w:tc>
          <w:tcPr>
            <w:tcW w:w="7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557</w:t>
            </w:r>
          </w:p>
        </w:tc>
      </w:tr>
      <w:tr>
        <w:trPr>
          <w:trHeight w:val="175"/>
        </w:trPr>
        <w:tc>
          <w:tcPr>
            <w:tcW w:w="30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In the nine months ended June 30, 2006, the Company made contributions of $2,146 to the pension plan and $105 for other benefits. The Company expects to make contributions for the fiscal year ending September 30, 2006 of approximately $2,800 to the pension plan and $200 for other benefits.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17" w:name="page18"/>
    <w:bookmarkEnd w:id="17"/>
    <w:p>
      <w:pPr>
        <w:jc w:val="center"/>
        <w:ind w:left="7"/>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left="7"/>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10. STOCK OPTION AND INCENTIVE PLAN</w:t>
      </w:r>
    </w:p>
    <w:p>
      <w:pPr>
        <w:spacing w:after="0" w:line="180" w:lineRule="exact"/>
        <w:rPr>
          <w:sz w:val="20"/>
          <w:szCs w:val="20"/>
          <w:color w:val="auto"/>
        </w:rPr>
      </w:pPr>
    </w:p>
    <w:p>
      <w:pPr>
        <w:ind w:left="7" w:firstLine="545"/>
        <w:spacing w:after="0" w:line="246" w:lineRule="auto"/>
        <w:rPr>
          <w:sz w:val="20"/>
          <w:szCs w:val="20"/>
          <w:color w:val="auto"/>
        </w:rPr>
      </w:pPr>
      <w:r>
        <w:rPr>
          <w:rFonts w:ascii="Courier New" w:cs="Courier New" w:eastAsia="Courier New" w:hAnsi="Courier New"/>
          <w:sz w:val="15"/>
          <w:szCs w:val="15"/>
          <w:color w:val="auto"/>
        </w:rPr>
        <w:t>In January 1998, the Company adopted the 1998 Stock Option and Incentive Plan (the "Plan"), which provides for the grant of restricted stock awards, stock options and other stock-based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2006, the maximum number of Ordinary Shares authorized to be granted under the Plan was increased from 38,300 to 46,300. Awards granted under the Plan generally vest over a period of four years and stock options have a term of ten years. In the fourth quarter of fiscal 2005, the Company commenced routinely granting restricted shares and the Company's equity-based grant package may be comprised of restricted stock awards and a fewer number of stock options.</w:t>
      </w:r>
    </w:p>
    <w:p>
      <w:pPr>
        <w:spacing w:after="0" w:line="183" w:lineRule="exact"/>
        <w:rPr>
          <w:sz w:val="20"/>
          <w:szCs w:val="20"/>
          <w:color w:val="auto"/>
        </w:rPr>
      </w:pPr>
    </w:p>
    <w:p>
      <w:pPr>
        <w:ind w:left="7" w:firstLine="545"/>
        <w:spacing w:after="0" w:line="247" w:lineRule="auto"/>
        <w:rPr>
          <w:sz w:val="20"/>
          <w:szCs w:val="20"/>
          <w:color w:val="auto"/>
        </w:rPr>
      </w:pPr>
      <w:r>
        <w:rPr>
          <w:rFonts w:ascii="Courier New" w:cs="Courier New" w:eastAsia="Courier New" w:hAnsi="Courier New"/>
          <w:sz w:val="15"/>
          <w:szCs w:val="15"/>
          <w:color w:val="auto"/>
        </w:rPr>
        <w:t>The following table summarizes information about options to purchase the Company's Ordinary Shares, as well as changes during the nine month period ended June 30,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4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WEIGHTED AVERAGE</w:t>
            </w:r>
          </w:p>
        </w:tc>
      </w:tr>
      <w:tr>
        <w:trPr>
          <w:trHeight w:val="175"/>
        </w:trPr>
        <w:tc>
          <w:tcPr>
            <w:tcW w:w="3220" w:type="dxa"/>
            <w:vAlign w:val="bottom"/>
          </w:tcPr>
          <w:p>
            <w:pPr>
              <w:spacing w:after="0"/>
              <w:rPr>
                <w:sz w:val="15"/>
                <w:szCs w:val="15"/>
                <w:color w:val="auto"/>
              </w:rPr>
            </w:pPr>
          </w:p>
        </w:tc>
        <w:tc>
          <w:tcPr>
            <w:tcW w:w="2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NUMBER OF OPTIONS</w:t>
            </w:r>
          </w:p>
        </w:tc>
        <w:tc>
          <w:tcPr>
            <w:tcW w:w="174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EXERCISE PRICE</w:t>
            </w:r>
          </w:p>
        </w:tc>
      </w:tr>
      <w:tr>
        <w:trPr>
          <w:trHeight w:val="175"/>
        </w:trPr>
        <w:tc>
          <w:tcPr>
            <w:tcW w:w="3220" w:type="dxa"/>
            <w:vAlign w:val="bottom"/>
          </w:tcPr>
          <w:p>
            <w:pPr>
              <w:spacing w:after="0"/>
              <w:rPr>
                <w:sz w:val="15"/>
                <w:szCs w:val="15"/>
                <w:color w:val="auto"/>
              </w:rPr>
            </w:pPr>
          </w:p>
        </w:tc>
        <w:tc>
          <w:tcPr>
            <w:tcW w:w="2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Outstanding as of October 1, 2005</w:t>
            </w:r>
          </w:p>
        </w:tc>
        <w:tc>
          <w:tcPr>
            <w:tcW w:w="20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25,807</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$26.91</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Granted (1)</w:t>
            </w:r>
          </w:p>
        </w:tc>
        <w:tc>
          <w:tcPr>
            <w:tcW w:w="20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3,439</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27.78</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(4,793)</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17.44</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(1,794)</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34.32</w:t>
            </w:r>
          </w:p>
        </w:tc>
      </w:tr>
      <w:tr>
        <w:trPr>
          <w:trHeight w:val="175"/>
        </w:trPr>
        <w:tc>
          <w:tcPr>
            <w:tcW w:w="3220" w:type="dxa"/>
            <w:vAlign w:val="bottom"/>
          </w:tcPr>
          <w:p>
            <w:pPr>
              <w:spacing w:after="0"/>
              <w:rPr>
                <w:sz w:val="15"/>
                <w:szCs w:val="15"/>
                <w:color w:val="auto"/>
              </w:rPr>
            </w:pPr>
          </w:p>
        </w:tc>
        <w:tc>
          <w:tcPr>
            <w:tcW w:w="20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Outstanding as of June 30, 2006</w:t>
            </w:r>
          </w:p>
        </w:tc>
        <w:tc>
          <w:tcPr>
            <w:tcW w:w="20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22,659</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$28.45</w:t>
            </w:r>
          </w:p>
        </w:tc>
      </w:tr>
      <w:tr>
        <w:trPr>
          <w:trHeight w:val="175"/>
        </w:trPr>
        <w:tc>
          <w:tcPr>
            <w:tcW w:w="3220" w:type="dxa"/>
            <w:vAlign w:val="bottom"/>
          </w:tcPr>
          <w:p>
            <w:pPr>
              <w:spacing w:after="0"/>
              <w:rPr>
                <w:sz w:val="15"/>
                <w:szCs w:val="15"/>
                <w:color w:val="auto"/>
              </w:rPr>
            </w:pPr>
          </w:p>
        </w:tc>
        <w:tc>
          <w:tcPr>
            <w:tcW w:w="20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Exercisable on June 30, 2006</w:t>
            </w:r>
          </w:p>
        </w:tc>
        <w:tc>
          <w:tcPr>
            <w:tcW w:w="20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12,585</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$32.97</w:t>
            </w:r>
          </w:p>
        </w:tc>
      </w:tr>
      <w:tr>
        <w:trPr>
          <w:trHeight w:val="175"/>
        </w:trPr>
        <w:tc>
          <w:tcPr>
            <w:tcW w:w="3220" w:type="dxa"/>
            <w:vAlign w:val="bottom"/>
          </w:tcPr>
          <w:p>
            <w:pPr>
              <w:spacing w:after="0"/>
              <w:rPr>
                <w:sz w:val="15"/>
                <w:szCs w:val="15"/>
                <w:color w:val="auto"/>
              </w:rPr>
            </w:pPr>
          </w:p>
        </w:tc>
        <w:tc>
          <w:tcPr>
            <w:tcW w:w="20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547" w:right="80" w:hanging="547"/>
        <w:spacing w:after="0" w:line="247" w:lineRule="auto"/>
        <w:tabs>
          <w:tab w:leader="none" w:pos="54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297.6 Ordinary Shares assumed in connection with the Company's acquisition of Qpass (see note 7), at weighted average exercise price of $8.01.</w:t>
      </w:r>
    </w:p>
    <w:p>
      <w:pPr>
        <w:spacing w:after="0" w:line="174"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The weighted average grant date fair value of stock options granted during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three months ended June 30, 2006 and 2005 was $22.75 and $13.92,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respectively. The weighted average grant date fair value of stock options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granted during the nine months ended June 30, 2006 and 2005 was $11.66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$12.63, respectively. The total intrinsic value of options exercised during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three months ended June 30, 2006 and 2005 was $20,130 and $7,453, respectively,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during the nine months ended June 30, 2006 and 2005 was $75,011 and $24,771,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respectively. The aggregate intrinsic value of outstanding and exercisable stock</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options as of June 30, 2006 was $245,432 and $106,505, respectively.</w:t>
      </w:r>
    </w:p>
    <w:p>
      <w:pPr>
        <w:spacing w:after="0" w:line="180" w:lineRule="exact"/>
        <w:rPr>
          <w:sz w:val="20"/>
          <w:szCs w:val="20"/>
          <w:color w:val="auto"/>
        </w:rPr>
      </w:pPr>
    </w:p>
    <w:p>
      <w:pPr>
        <w:jc w:val="center"/>
        <w:ind w:left="7"/>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WEIGHTED</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REMAINING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6.50</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5.12</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267" w:space="360"/>
            <w:col w:w="2599"/>
          </w:cols>
          <w:pgMar w:left="233" w:top="643" w:right="1440" w:bottom="1440" w:gutter="0" w:footer="0" w:header="0"/>
        </w:sectPr>
      </w:pPr>
    </w:p>
    <w:bookmarkStart w:id="18" w:name="page19"/>
    <w:bookmarkEnd w:id="18"/>
    <w:p>
      <w:pPr>
        <w:jc w:val="center"/>
        <w:ind w:right="2952"/>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ind w:left="7" w:right="3139" w:firstLine="545"/>
        <w:spacing w:after="0" w:line="247" w:lineRule="auto"/>
        <w:rPr>
          <w:sz w:val="20"/>
          <w:szCs w:val="20"/>
          <w:color w:val="auto"/>
        </w:rPr>
      </w:pPr>
      <w:r>
        <w:rPr>
          <w:rFonts w:ascii="Courier New" w:cs="Courier New" w:eastAsia="Courier New" w:hAnsi="Courier New"/>
          <w:sz w:val="15"/>
          <w:szCs w:val="15"/>
          <w:color w:val="auto"/>
        </w:rPr>
        <w:t>The following table summarizes information relating to awards of restricted nonvested shares, as well as changes to such awards during the nine month period ended on June 30, 2006:</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WEIGHTED AVERAGE</w:t>
            </w:r>
          </w:p>
        </w:tc>
      </w:tr>
      <w:tr>
        <w:trPr>
          <w:trHeight w:val="175"/>
        </w:trPr>
        <w:tc>
          <w:tcPr>
            <w:tcW w:w="3260" w:type="dxa"/>
            <w:vAlign w:val="bottom"/>
          </w:tcPr>
          <w:p>
            <w:pPr>
              <w:spacing w:after="0"/>
              <w:rPr>
                <w:sz w:val="15"/>
                <w:szCs w:val="15"/>
                <w:color w:val="auto"/>
              </w:rPr>
            </w:pPr>
          </w:p>
        </w:tc>
        <w:tc>
          <w:tcPr>
            <w:tcW w:w="1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NUMBER OF SHARES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GRANT DATE FAIR VALUE</w:t>
            </w:r>
          </w:p>
        </w:tc>
      </w:tr>
      <w:tr>
        <w:trPr>
          <w:trHeight w:val="175"/>
        </w:trPr>
        <w:tc>
          <w:tcPr>
            <w:tcW w:w="3260" w:type="dxa"/>
            <w:vAlign w:val="bottom"/>
          </w:tcPr>
          <w:p>
            <w:pPr>
              <w:spacing w:after="0"/>
              <w:rPr>
                <w:sz w:val="15"/>
                <w:szCs w:val="15"/>
                <w:color w:val="auto"/>
              </w:rPr>
            </w:pPr>
          </w:p>
        </w:tc>
        <w:tc>
          <w:tcPr>
            <w:tcW w:w="1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as of October 1, 2005</w:t>
            </w:r>
          </w:p>
        </w:tc>
        <w:tc>
          <w:tcPr>
            <w:tcW w:w="19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134</w:t>
            </w:r>
          </w:p>
        </w:tc>
        <w:tc>
          <w:tcPr>
            <w:tcW w:w="2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$26.43</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9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465</w:t>
            </w:r>
          </w:p>
        </w:tc>
        <w:tc>
          <w:tcPr>
            <w:tcW w:w="2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29.45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Vested</w:t>
            </w:r>
          </w:p>
        </w:tc>
        <w:tc>
          <w:tcPr>
            <w:tcW w:w="1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(76)</w:t>
            </w:r>
          </w:p>
        </w:tc>
        <w:tc>
          <w:tcPr>
            <w:tcW w:w="2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26.43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w:t>
            </w:r>
          </w:p>
        </w:tc>
        <w:tc>
          <w:tcPr>
            <w:tcW w:w="2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32.12</w:t>
            </w:r>
          </w:p>
        </w:tc>
      </w:tr>
      <w:tr>
        <w:trPr>
          <w:trHeight w:val="175"/>
        </w:trPr>
        <w:tc>
          <w:tcPr>
            <w:tcW w:w="3260" w:type="dxa"/>
            <w:vAlign w:val="bottom"/>
          </w:tcPr>
          <w:p>
            <w:pPr>
              <w:spacing w:after="0"/>
              <w:rPr>
                <w:sz w:val="15"/>
                <w:szCs w:val="15"/>
                <w:color w:val="auto"/>
              </w:rPr>
            </w:pPr>
          </w:p>
        </w:tc>
        <w:tc>
          <w:tcPr>
            <w:tcW w:w="19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as of June 30, 2006</w:t>
            </w:r>
          </w:p>
        </w:tc>
        <w:tc>
          <w:tcPr>
            <w:tcW w:w="19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519</w:t>
            </w:r>
          </w:p>
        </w:tc>
        <w:tc>
          <w:tcPr>
            <w:tcW w:w="2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$29.09</w:t>
            </w:r>
          </w:p>
        </w:tc>
      </w:tr>
      <w:tr>
        <w:trPr>
          <w:trHeight w:val="175"/>
        </w:trPr>
        <w:tc>
          <w:tcPr>
            <w:tcW w:w="3260" w:type="dxa"/>
            <w:vAlign w:val="bottom"/>
          </w:tcPr>
          <w:p>
            <w:pPr>
              <w:spacing w:after="0"/>
              <w:rPr>
                <w:sz w:val="15"/>
                <w:szCs w:val="15"/>
                <w:color w:val="auto"/>
              </w:rPr>
            </w:pPr>
          </w:p>
        </w:tc>
        <w:tc>
          <w:tcPr>
            <w:tcW w:w="19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139" w:firstLine="545"/>
        <w:spacing w:after="0" w:line="246" w:lineRule="auto"/>
        <w:rPr>
          <w:sz w:val="20"/>
          <w:szCs w:val="20"/>
          <w:color w:val="auto"/>
        </w:rPr>
      </w:pPr>
      <w:r>
        <w:rPr>
          <w:rFonts w:ascii="Courier New" w:cs="Courier New" w:eastAsia="Courier New" w:hAnsi="Courier New"/>
          <w:sz w:val="15"/>
          <w:szCs w:val="15"/>
          <w:color w:val="auto"/>
        </w:rPr>
        <w:t>As of June 30, 2006, there was $51,946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78"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The fair value of stock options granted was estimated on the date of grant using the Black-Scholes pricing model with the assumptions noted in the following table (all in weighted averages for options granted during the period):</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26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c>
          <w:tcPr>
            <w:tcW w:w="236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320" w:type="dxa"/>
            <w:vAlign w:val="bottom"/>
          </w:tcPr>
          <w:p>
            <w:pPr>
              <w:spacing w:after="0"/>
              <w:rPr>
                <w:sz w:val="15"/>
                <w:szCs w:val="15"/>
                <w:color w:val="auto"/>
              </w:rPr>
            </w:pPr>
          </w:p>
        </w:tc>
        <w:tc>
          <w:tcPr>
            <w:tcW w:w="268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JUNE 30,</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780" w:type="dxa"/>
            <w:vAlign w:val="bottom"/>
          </w:tcPr>
          <w:p>
            <w:pPr>
              <w:spacing w:after="0"/>
              <w:rPr>
                <w:sz w:val="15"/>
                <w:szCs w:val="15"/>
                <w:color w:val="auto"/>
              </w:rPr>
            </w:pPr>
          </w:p>
        </w:tc>
      </w:tr>
      <w:tr>
        <w:trPr>
          <w:trHeight w:val="175"/>
        </w:trPr>
        <w:tc>
          <w:tcPr>
            <w:tcW w:w="332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5"/>
              </w:rPr>
              <w:t>-----------------------</w:t>
            </w:r>
          </w:p>
        </w:tc>
        <w:tc>
          <w:tcPr>
            <w:tcW w:w="1100" w:type="dxa"/>
            <w:vAlign w:val="bottom"/>
          </w:tcPr>
          <w:p>
            <w:pPr>
              <w:spacing w:after="0"/>
              <w:rPr>
                <w:sz w:val="15"/>
                <w:szCs w:val="15"/>
                <w:color w:val="auto"/>
              </w:rPr>
            </w:pPr>
          </w:p>
        </w:tc>
        <w:tc>
          <w:tcPr>
            <w:tcW w:w="2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320" w:type="dxa"/>
            <w:vAlign w:val="bottom"/>
          </w:tcPr>
          <w:p>
            <w:pPr>
              <w:spacing w:after="0"/>
              <w:rPr>
                <w:sz w:val="15"/>
                <w:szCs w:val="15"/>
                <w:color w:val="auto"/>
              </w:rPr>
            </w:pP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2006</w:t>
            </w:r>
          </w:p>
        </w:tc>
        <w:tc>
          <w:tcPr>
            <w:tcW w:w="18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2005</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2006</w:t>
            </w:r>
          </w:p>
        </w:tc>
        <w:tc>
          <w:tcPr>
            <w:tcW w:w="320" w:type="dxa"/>
            <w:vAlign w:val="bottom"/>
          </w:tcPr>
          <w:p>
            <w:pPr>
              <w:spacing w:after="0"/>
              <w:rPr>
                <w:sz w:val="15"/>
                <w:szCs w:val="15"/>
                <w:color w:val="auto"/>
              </w:rPr>
            </w:pP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3320" w:type="dxa"/>
            <w:vAlign w:val="bottom"/>
          </w:tcPr>
          <w:p>
            <w:pPr>
              <w:spacing w:after="0"/>
              <w:rPr>
                <w:sz w:val="15"/>
                <w:szCs w:val="15"/>
                <w:color w:val="auto"/>
              </w:rPr>
            </w:pP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Risk-free interest rate (1)</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5.00%</w:t>
            </w:r>
          </w:p>
        </w:tc>
        <w:tc>
          <w:tcPr>
            <w:tcW w:w="1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3.79%</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Expected life of stock options (2)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3.74</w:t>
            </w:r>
          </w:p>
        </w:tc>
        <w:tc>
          <w:tcPr>
            <w:tcW w:w="1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4.50</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4.38</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Expected volatility (3)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0.30</w:t>
            </w:r>
          </w:p>
        </w:tc>
        <w:tc>
          <w:tcPr>
            <w:tcW w:w="1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0.603</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0.327</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0.635</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Expected dividend yield (4)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None</w:t>
            </w:r>
          </w:p>
        </w:tc>
        <w:tc>
          <w:tcPr>
            <w:tcW w:w="1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None</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None</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Fair value per option (5)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22.75</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13.92</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11.66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12.63</w:t>
            </w:r>
          </w:p>
        </w:tc>
      </w:tr>
    </w:tbl>
    <w:p>
      <w:pPr>
        <w:spacing w:after="0" w:line="200" w:lineRule="exact"/>
        <w:rPr>
          <w:sz w:val="20"/>
          <w:szCs w:val="20"/>
          <w:color w:val="auto"/>
        </w:rPr>
      </w:pPr>
    </w:p>
    <w:p>
      <w:pPr>
        <w:spacing w:after="0" w:line="329" w:lineRule="exact"/>
        <w:rPr>
          <w:sz w:val="20"/>
          <w:szCs w:val="20"/>
          <w:color w:val="auto"/>
        </w:rPr>
      </w:pPr>
    </w:p>
    <w:p>
      <w:pPr>
        <w:ind w:left="547" w:right="3779" w:hanging="547"/>
        <w:spacing w:after="0" w:line="247" w:lineRule="auto"/>
        <w:tabs>
          <w:tab w:leader="none" w:pos="5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Risk-free interest rate is based upon U.S. Treasury yield curve appropriate for the term of the Company's employee stock options.</w:t>
      </w:r>
    </w:p>
    <w:p>
      <w:pPr>
        <w:spacing w:after="0" w:line="17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life of stock options is based upon historical experience.</w:t>
      </w:r>
    </w:p>
    <w:p>
      <w:pPr>
        <w:spacing w:after="0" w:line="179" w:lineRule="exact"/>
        <w:rPr>
          <w:rFonts w:ascii="Courier New" w:cs="Courier New" w:eastAsia="Courier New" w:hAnsi="Courier New"/>
          <w:sz w:val="15"/>
          <w:szCs w:val="15"/>
          <w:color w:val="auto"/>
        </w:rPr>
      </w:pPr>
    </w:p>
    <w:p>
      <w:pPr>
        <w:ind w:left="547" w:right="2959" w:hanging="547"/>
        <w:spacing w:after="0" w:line="246" w:lineRule="auto"/>
        <w:tabs>
          <w:tab w:leader="none" w:pos="5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volatility for the three and nine months ended June 30, 2006 is based on implied volatility of the Company's traded options. For the three and nine months ended June 30, 2005, expected volatility is based on the Company's historical stock price.</w:t>
      </w:r>
    </w:p>
    <w:p>
      <w:pPr>
        <w:spacing w:after="0" w:line="177" w:lineRule="exact"/>
        <w:rPr>
          <w:rFonts w:ascii="Courier New" w:cs="Courier New" w:eastAsia="Courier New" w:hAnsi="Courier New"/>
          <w:sz w:val="15"/>
          <w:szCs w:val="15"/>
          <w:color w:val="auto"/>
        </w:rPr>
      </w:pPr>
    </w:p>
    <w:p>
      <w:pPr>
        <w:ind w:left="547" w:right="3499" w:hanging="547"/>
        <w:spacing w:after="0" w:line="247" w:lineRule="auto"/>
        <w:tabs>
          <w:tab w:leader="none" w:pos="5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dividend yield is based on the Company's history and future expectation of dividend payouts.</w:t>
      </w:r>
    </w:p>
    <w:p>
      <w:pPr>
        <w:spacing w:after="0" w:line="174" w:lineRule="exact"/>
        <w:rPr>
          <w:rFonts w:ascii="Courier New" w:cs="Courier New" w:eastAsia="Courier New" w:hAnsi="Courier New"/>
          <w:sz w:val="15"/>
          <w:szCs w:val="15"/>
          <w:color w:val="auto"/>
        </w:rPr>
      </w:pPr>
    </w:p>
    <w:p>
      <w:pPr>
        <w:ind w:left="547" w:right="2959" w:hanging="547"/>
        <w:spacing w:after="0" w:line="247" w:lineRule="auto"/>
        <w:tabs>
          <w:tab w:leader="none" w:pos="5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fair value of stock options assumed in connection with the Company's acquisition of Qpass was $8,484 of which $3,085 was allocated to the purchase price (see note 7).</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643" w:right="1440" w:bottom="1440" w:gutter="0" w:footer="0" w:header="0"/>
        </w:sectPr>
      </w:pPr>
    </w:p>
    <w:bookmarkStart w:id="19" w:name="page20"/>
    <w:bookmarkEnd w:id="19"/>
    <w:p>
      <w:pPr>
        <w:jc w:val="center"/>
        <w:ind w:right="2952"/>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0" w:lineRule="exact"/>
        <w:rPr>
          <w:sz w:val="20"/>
          <w:szCs w:val="20"/>
          <w:color w:val="auto"/>
        </w:rPr>
      </w:pPr>
    </w:p>
    <w:p>
      <w:pPr>
        <w:jc w:val="both"/>
        <w:ind w:left="7" w:right="3139" w:firstLine="545"/>
        <w:spacing w:after="0" w:line="247" w:lineRule="auto"/>
        <w:rPr>
          <w:sz w:val="20"/>
          <w:szCs w:val="20"/>
          <w:color w:val="auto"/>
        </w:rPr>
      </w:pPr>
      <w:r>
        <w:rPr>
          <w:rFonts w:ascii="Courier New" w:cs="Courier New" w:eastAsia="Courier New" w:hAnsi="Courier New"/>
          <w:sz w:val="15"/>
          <w:szCs w:val="15"/>
          <w:color w:val="auto"/>
        </w:rPr>
        <w:t>The following table sets forth the pro forma effect of applying SFAS 123 on net income and earnings per share for three and nine months ended June 30, 2005:</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THREE MONTHS ENDED</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center"/>
              <w:ind w:right="584"/>
              <w:spacing w:after="0"/>
              <w:rPr>
                <w:sz w:val="20"/>
                <w:szCs w:val="20"/>
                <w:color w:val="auto"/>
              </w:rPr>
            </w:pPr>
            <w:r>
              <w:rPr>
                <w:rFonts w:ascii="Courier New" w:cs="Courier New" w:eastAsia="Courier New" w:hAnsi="Courier New"/>
                <w:sz w:val="15"/>
                <w:szCs w:val="15"/>
                <w:color w:val="auto"/>
              </w:rPr>
              <w:t>JUNE 30,</w:t>
            </w:r>
          </w:p>
        </w:tc>
        <w:tc>
          <w:tcPr>
            <w:tcW w:w="64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3500" w:type="dxa"/>
            <w:vAlign w:val="bottom"/>
          </w:tcPr>
          <w:p>
            <w:pPr>
              <w:spacing w:after="0"/>
              <w:rPr>
                <w:sz w:val="15"/>
                <w:szCs w:val="15"/>
                <w:color w:val="auto"/>
              </w:rPr>
            </w:pPr>
          </w:p>
        </w:tc>
        <w:tc>
          <w:tcPr>
            <w:tcW w:w="2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92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2005</w:t>
            </w:r>
          </w:p>
        </w:tc>
        <w:tc>
          <w:tcPr>
            <w:tcW w:w="64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3500" w:type="dxa"/>
            <w:vAlign w:val="bottom"/>
          </w:tcPr>
          <w:p>
            <w:pPr>
              <w:spacing w:after="0"/>
              <w:rPr>
                <w:sz w:val="15"/>
                <w:szCs w:val="15"/>
                <w:color w:val="auto"/>
              </w:rPr>
            </w:pPr>
          </w:p>
        </w:tc>
        <w:tc>
          <w:tcPr>
            <w:tcW w:w="2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92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77,097</w:t>
            </w:r>
          </w:p>
        </w:tc>
        <w:tc>
          <w:tcPr>
            <w:tcW w:w="6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220,837</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Add: Stock-based employee</w:t>
            </w: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compensation expense included</w:t>
            </w: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in net income, net of related</w:t>
            </w: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tax effects</w:t>
            </w:r>
          </w:p>
        </w:tc>
        <w:tc>
          <w:tcPr>
            <w:tcW w:w="620" w:type="dxa"/>
            <w:vAlign w:val="bottom"/>
          </w:tcPr>
          <w:p>
            <w:pPr>
              <w:spacing w:after="0"/>
              <w:rPr>
                <w:sz w:val="15"/>
                <w:szCs w:val="15"/>
                <w:color w:val="auto"/>
              </w:rPr>
            </w:pPr>
          </w:p>
        </w:tc>
        <w:tc>
          <w:tcPr>
            <w:tcW w:w="16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56</w:t>
            </w:r>
          </w:p>
        </w:tc>
        <w:tc>
          <w:tcPr>
            <w:tcW w:w="64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206</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w:t>
            </w: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compensation expense</w:t>
            </w: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determined under fair value</w:t>
            </w: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method for all awards, net of</w:t>
            </w: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related tax effects</w:t>
            </w:r>
          </w:p>
        </w:tc>
        <w:tc>
          <w:tcPr>
            <w:tcW w:w="62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(9,732)</w:t>
            </w:r>
          </w:p>
        </w:tc>
        <w:tc>
          <w:tcPr>
            <w:tcW w:w="6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(26,995)</w:t>
            </w:r>
          </w:p>
        </w:tc>
      </w:tr>
      <w:tr>
        <w:trPr>
          <w:trHeight w:val="175"/>
        </w:trPr>
        <w:tc>
          <w:tcPr>
            <w:tcW w:w="3500" w:type="dxa"/>
            <w:vAlign w:val="bottom"/>
          </w:tcPr>
          <w:p>
            <w:pPr>
              <w:spacing w:after="0"/>
              <w:rPr>
                <w:sz w:val="15"/>
                <w:szCs w:val="15"/>
                <w:color w:val="auto"/>
              </w:rPr>
            </w:pPr>
          </w:p>
        </w:tc>
        <w:tc>
          <w:tcPr>
            <w:tcW w:w="230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67,421</w:t>
            </w:r>
          </w:p>
        </w:tc>
        <w:tc>
          <w:tcPr>
            <w:tcW w:w="6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194,048</w:t>
            </w:r>
          </w:p>
        </w:tc>
      </w:tr>
      <w:tr>
        <w:trPr>
          <w:trHeight w:val="175"/>
        </w:trPr>
        <w:tc>
          <w:tcPr>
            <w:tcW w:w="3500" w:type="dxa"/>
            <w:vAlign w:val="bottom"/>
          </w:tcPr>
          <w:p>
            <w:pPr>
              <w:spacing w:after="0"/>
              <w:rPr>
                <w:sz w:val="15"/>
                <w:szCs w:val="15"/>
                <w:color w:val="auto"/>
              </w:rPr>
            </w:pPr>
          </w:p>
        </w:tc>
        <w:tc>
          <w:tcPr>
            <w:tcW w:w="230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0.38</w:t>
            </w:r>
          </w:p>
        </w:tc>
        <w:tc>
          <w:tcPr>
            <w:tcW w:w="6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w:t>
            </w:r>
          </w:p>
        </w:tc>
      </w:tr>
      <w:tr>
        <w:trPr>
          <w:trHeight w:val="175"/>
        </w:trPr>
        <w:tc>
          <w:tcPr>
            <w:tcW w:w="3500" w:type="dxa"/>
            <w:vAlign w:val="bottom"/>
          </w:tcPr>
          <w:p>
            <w:pPr>
              <w:spacing w:after="0"/>
              <w:rPr>
                <w:sz w:val="15"/>
                <w:szCs w:val="15"/>
                <w:color w:val="auto"/>
              </w:rPr>
            </w:pPr>
          </w:p>
        </w:tc>
        <w:tc>
          <w:tcPr>
            <w:tcW w:w="230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0.34</w:t>
            </w:r>
          </w:p>
        </w:tc>
        <w:tc>
          <w:tcPr>
            <w:tcW w:w="6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0.96</w:t>
            </w:r>
          </w:p>
        </w:tc>
      </w:tr>
      <w:tr>
        <w:trPr>
          <w:trHeight w:val="175"/>
        </w:trPr>
        <w:tc>
          <w:tcPr>
            <w:tcW w:w="3500" w:type="dxa"/>
            <w:vAlign w:val="bottom"/>
          </w:tcPr>
          <w:p>
            <w:pPr>
              <w:spacing w:after="0"/>
              <w:rPr>
                <w:sz w:val="15"/>
                <w:szCs w:val="15"/>
                <w:color w:val="auto"/>
              </w:rPr>
            </w:pPr>
          </w:p>
        </w:tc>
        <w:tc>
          <w:tcPr>
            <w:tcW w:w="230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0.36</w:t>
            </w:r>
          </w:p>
        </w:tc>
        <w:tc>
          <w:tcPr>
            <w:tcW w:w="6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1.03</w:t>
            </w:r>
          </w:p>
        </w:tc>
      </w:tr>
      <w:tr>
        <w:trPr>
          <w:trHeight w:val="175"/>
        </w:trPr>
        <w:tc>
          <w:tcPr>
            <w:tcW w:w="3500" w:type="dxa"/>
            <w:vAlign w:val="bottom"/>
          </w:tcPr>
          <w:p>
            <w:pPr>
              <w:spacing w:after="0"/>
              <w:rPr>
                <w:sz w:val="15"/>
                <w:szCs w:val="15"/>
                <w:color w:val="auto"/>
              </w:rPr>
            </w:pPr>
          </w:p>
        </w:tc>
        <w:tc>
          <w:tcPr>
            <w:tcW w:w="230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0.32</w:t>
            </w:r>
          </w:p>
        </w:tc>
        <w:tc>
          <w:tcPr>
            <w:tcW w:w="6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0.91</w:t>
            </w:r>
          </w:p>
        </w:tc>
      </w:tr>
      <w:tr>
        <w:trPr>
          <w:trHeight w:val="175"/>
        </w:trPr>
        <w:tc>
          <w:tcPr>
            <w:tcW w:w="3500" w:type="dxa"/>
            <w:vAlign w:val="bottom"/>
          </w:tcPr>
          <w:p>
            <w:pPr>
              <w:spacing w:after="0"/>
              <w:rPr>
                <w:sz w:val="15"/>
                <w:szCs w:val="15"/>
                <w:color w:val="auto"/>
              </w:rPr>
            </w:pPr>
          </w:p>
        </w:tc>
        <w:tc>
          <w:tcPr>
            <w:tcW w:w="230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547" w:right="8139" w:hanging="547"/>
        <w:spacing w:after="0" w:line="493" w:lineRule="auto"/>
        <w:tabs>
          <w:tab w:leader="none" w:pos="3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Legal Proceedings</w:t>
      </w:r>
    </w:p>
    <w:p>
      <w:pPr>
        <w:spacing w:after="0" w:line="1"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78"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The Company generally sells its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2006 and 2005.</w:t>
      </w:r>
    </w:p>
    <w:p>
      <w:pPr>
        <w:spacing w:after="0" w:line="178"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64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ITEM 2. OPERATING AND FINANCIAL REVIEW AND PROSPECTS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84"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under the caption "Risk Factors" in our Annual Report on Form 20-F for fiscal 2005 that we filed on December 28, 2005 with the United States Securities and Exchange Commission ("SEC").</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0" w:lineRule="exact"/>
        <w:rPr>
          <w:sz w:val="20"/>
          <w:szCs w:val="20"/>
          <w:color w:val="auto"/>
        </w:rPr>
      </w:pPr>
    </w:p>
    <w:p>
      <w:pPr>
        <w:ind w:right="3599" w:firstLine="545"/>
        <w:spacing w:after="0" w:line="247"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5" w:lineRule="exact"/>
        <w:rPr>
          <w:sz w:val="20"/>
          <w:szCs w:val="20"/>
          <w:color w:val="auto"/>
        </w:rPr>
      </w:pPr>
    </w:p>
    <w:p>
      <w:pPr>
        <w:ind w:left="1080" w:hanging="542"/>
        <w:spacing w:after="0"/>
        <w:tabs>
          <w:tab w:leader="none" w:pos="10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79" w:lineRule="exact"/>
        <w:rPr>
          <w:rFonts w:ascii="Courier New" w:cs="Courier New" w:eastAsia="Courier New" w:hAnsi="Courier New"/>
          <w:sz w:val="15"/>
          <w:szCs w:val="15"/>
          <w:color w:val="auto"/>
        </w:rPr>
      </w:pPr>
    </w:p>
    <w:p>
      <w:pPr>
        <w:ind w:left="1080" w:right="3139" w:hanging="542"/>
        <w:spacing w:after="0" w:line="247" w:lineRule="auto"/>
        <w:tabs>
          <w:tab w:leader="none" w:pos="10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three and nine months ended June 30, 2006 and 2005,</w:t>
      </w:r>
    </w:p>
    <w:p>
      <w:pPr>
        <w:spacing w:after="0" w:line="174" w:lineRule="exact"/>
        <w:rPr>
          <w:rFonts w:ascii="Courier New" w:cs="Courier New" w:eastAsia="Courier New" w:hAnsi="Courier New"/>
          <w:sz w:val="15"/>
          <w:szCs w:val="15"/>
          <w:color w:val="auto"/>
        </w:rPr>
      </w:pPr>
    </w:p>
    <w:p>
      <w:pPr>
        <w:ind w:left="1080" w:right="2959" w:hanging="542"/>
        <w:spacing w:after="0" w:line="247" w:lineRule="auto"/>
        <w:tabs>
          <w:tab w:leader="none" w:pos="10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74" w:lineRule="exact"/>
        <w:rPr>
          <w:rFonts w:ascii="Courier New" w:cs="Courier New" w:eastAsia="Courier New" w:hAnsi="Courier New"/>
          <w:sz w:val="15"/>
          <w:szCs w:val="15"/>
          <w:color w:val="auto"/>
        </w:rPr>
      </w:pPr>
    </w:p>
    <w:p>
      <w:pPr>
        <w:ind w:left="1080" w:hanging="542"/>
        <w:spacing w:after="0"/>
        <w:tabs>
          <w:tab w:leader="none" w:pos="10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9" w:lineRule="exact"/>
        <w:rPr>
          <w:rFonts w:ascii="Courier New" w:cs="Courier New" w:eastAsia="Courier New" w:hAnsi="Courier New"/>
          <w:sz w:val="15"/>
          <w:szCs w:val="15"/>
          <w:color w:val="auto"/>
        </w:rPr>
      </w:pPr>
    </w:p>
    <w:p>
      <w:pPr>
        <w:ind w:left="1080" w:hanging="542"/>
        <w:spacing w:after="0"/>
        <w:tabs>
          <w:tab w:leader="none" w:pos="10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9" w:lineRule="exact"/>
        <w:rPr>
          <w:rFonts w:ascii="Courier New" w:cs="Courier New" w:eastAsia="Courier New" w:hAnsi="Courier New"/>
          <w:sz w:val="15"/>
          <w:szCs w:val="15"/>
          <w:color w:val="auto"/>
        </w:rPr>
      </w:pPr>
    </w:p>
    <w:p>
      <w:pPr>
        <w:ind w:left="1080" w:right="3219" w:hanging="542"/>
        <w:spacing w:after="0" w:line="247" w:lineRule="auto"/>
        <w:tabs>
          <w:tab w:leader="none" w:pos="10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capital expenditures for the three and nine months ended June 30, 2006 and 2005, and</w:t>
      </w:r>
    </w:p>
    <w:p>
      <w:pPr>
        <w:spacing w:after="0" w:line="174" w:lineRule="exact"/>
        <w:rPr>
          <w:rFonts w:ascii="Courier New" w:cs="Courier New" w:eastAsia="Courier New" w:hAnsi="Courier New"/>
          <w:sz w:val="15"/>
          <w:szCs w:val="15"/>
          <w:color w:val="auto"/>
        </w:rPr>
      </w:pPr>
    </w:p>
    <w:p>
      <w:pPr>
        <w:ind w:left="1080" w:right="3139" w:hanging="542"/>
        <w:spacing w:after="0" w:line="247" w:lineRule="auto"/>
        <w:tabs>
          <w:tab w:leader="none" w:pos="10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5"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three and nine months ended June 30, 2006 and 2005. You should read this section in conjunction with our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Consolidation and convergence in the communications industry are continuing, and competition among service providers is intensifying, even as new players enter the marketplace. To compete, we believe that service providers are seeking new revenue streams and the ability to deliver new, converged services and service bundles. As a result, service providers are increasingly offering bundles of wireline and wireless voice, data and video services. We believe the need for differentiation among service providers is growing, requiring service providers to have systems in place to enhance cutomer interactions, as well as business support systems (BSS) and operations support systems (OSS) to support the rapid introduction of new services. To succeed, we believe, service providers must transform themselves by adopting an integrated customer management (ICM) strategy with systems that can support the full customer lifecycle. We are a leading provider of software products and services to accelerate and ease the adoption of ICM by service providers. We provide a broad portfolio of integrated, modular products, with proven functionality and scalability, accompanied by a comprehensive range of business consulting, system implementation and integration services. Our market focus is primarily Tier 1 and Tier 2 companies in the communications industry including leading broadband cable and satellite companies. Our addressable market has been expanded to include content providers and media companies as a result of our recent acquisition of Qpass Inc., which we refer to as Qpass. Our acquisition of Qpass allows us to offer a broader set of solutions to service providers and media companies seeking to launch and monetize digital content, and we believe it positions us as the leader in the emerging digital content market. We are also leveraging our experience by working with service providers in the financial services sector, since certain of the challenges faced by companies in this sector are similar to those of communications service providers. Our portfolio of product offerings includes revenue management (e.g. billing, mediation, partner settlement), customer management (e.g. customer relationship management, or CRM), service management, service fulfillment (including ordering, activation and provisioning) and digital commerce management (e.g. content revenue management). We refer to these offerings collectively as Integrated Customer Management-Enabling Systems, or ICM-Enabling Systems.</w:t>
      </w:r>
    </w:p>
    <w:p>
      <w:pPr>
        <w:spacing w:after="0" w:line="195"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177"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We have designed our ICM-Enabling Systems to meet the mission-critical needs of leading communications service providers throughout the entire customer lifecycle. We support different lines of business, including wireline, wireless, broadband cable and satellite, and a wide range of communications services, including voice, video, data, IP, broadband, content, electronic and mobile commerce. We also support companies that offer multiple service packages, commonly referred to as bundled or converged service packages.</w:t>
      </w:r>
    </w:p>
    <w:p>
      <w:pPr>
        <w:spacing w:after="0" w:line="17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Due to the complexity of our customers' projects and the expertise required for systems support, we also provide information technology, or IT, services, including extensive consulting, business strategy, system implementation, training, integration, modification, ongoing support, enhancement and maintenance services. In addition, we offer Managed Services that include services such as system modernization and consolidation, data center operation, ongoing support, maintenance services, system modification, rating and billing services and communications facility management services. All IT and Managed Services are provided to our customers on a fixed or unit charge basis or a combination of the two.</w:t>
      </w:r>
    </w:p>
    <w:p>
      <w:pPr>
        <w:spacing w:after="0" w:line="181"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We conduct our business globally, and, as a result we are subject to the effect of global economic conditions and, in particular, market conditions in the communications industry. We maintain development facilities located in Canada, China, Cyprus, India, Ireland, Israel and the United States.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2" w:right="1440" w:bottom="1440" w:gutter="0" w:footer="0" w:header="0"/>
        </w:sectPr>
      </w:pPr>
    </w:p>
    <w:bookmarkStart w:id="22" w:name="page23"/>
    <w:bookmarkEnd w:id="22"/>
    <w:p>
      <w:pPr>
        <w:ind w:right="2959" w:firstLine="545"/>
        <w:spacing w:after="0" w:line="246" w:lineRule="auto"/>
        <w:rPr>
          <w:sz w:val="20"/>
          <w:szCs w:val="20"/>
          <w:color w:val="auto"/>
        </w:rPr>
      </w:pPr>
      <w:r>
        <w:rPr>
          <w:rFonts w:ascii="Courier New" w:cs="Courier New" w:eastAsia="Courier New" w:hAnsi="Courier New"/>
          <w:sz w:val="15"/>
          <w:szCs w:val="15"/>
          <w:color w:val="auto"/>
        </w:rPr>
        <w:t>As part of our strategy, we have pursued and may continue to pursue acquisitions and other initiatives in order to offer new products or services or otherwise enhance our market position or strategic strengths. For example, on May 31, 2006 we completed our acquisition of Qpass and on August 14, 2006, we completed our acquisition of Cramer Systems Group Limited, which we refer to as Cramer, a privately-held leading provider of OSS solutions. Pursuant to the agreement, we acquired all the shares of capital stock of Cramer for approximately $375 million in cash, net of cash on hand, subject to post-closing adjustments. We expect that our acquisition of Cramer will enable us to leverage and greatly enhance our current assets in the BSS (business support systems) and OSS market.</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We provide a broad portfolio of integrated, modular products, with proven functionality and scalability, accompanied by a comprehensive range of business consulting, system implementation and integration services. We also have strengthened our presence in the digital content area. With our recently-completed acquisition of Cramer, we believe we are positioned to become the only vendor in the communication industry that can provide an end-to-end solution, from BSS to OSS. We believe we are uniquely positioned to enable service providers to rapidly introduce new offerings, reduce total cost of ownership and focus on customers. We believe that the demand for ICM and our ability to address this demand will continue to drive our growth in the fourth quarter of 2006 and beyond.</w:t>
      </w:r>
    </w:p>
    <w:p>
      <w:pPr>
        <w:spacing w:after="0" w:line="181" w:lineRule="exact"/>
        <w:rPr>
          <w:sz w:val="20"/>
          <w:szCs w:val="20"/>
          <w:color w:val="auto"/>
        </w:rPr>
      </w:pPr>
    </w:p>
    <w:p>
      <w:pPr>
        <w:ind w:right="2959" w:firstLine="545"/>
        <w:spacing w:after="0" w:line="247" w:lineRule="auto"/>
        <w:rPr>
          <w:sz w:val="20"/>
          <w:szCs w:val="20"/>
          <w:color w:val="auto"/>
        </w:rPr>
      </w:pPr>
      <w:r>
        <w:rPr>
          <w:rFonts w:ascii="Courier New" w:cs="Courier New" w:eastAsia="Courier New" w:hAnsi="Courier New"/>
          <w:sz w:val="15"/>
          <w:szCs w:val="15"/>
          <w:color w:val="auto"/>
        </w:rPr>
        <w:t>We believe that demand for our ICM-Enabling Systems is primarily driven by the following key factors:</w:t>
      </w:r>
    </w:p>
    <w:p>
      <w:pPr>
        <w:spacing w:after="0" w:line="175" w:lineRule="exact"/>
        <w:rPr>
          <w:sz w:val="20"/>
          <w:szCs w:val="20"/>
          <w:color w:val="auto"/>
        </w:rPr>
      </w:pPr>
    </w:p>
    <w:p>
      <w:pPr>
        <w:ind w:left="1080" w:hanging="542"/>
        <w:spacing w:after="0"/>
        <w:tabs>
          <w:tab w:leader="none" w:pos="10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transformation, including:</w:t>
      </w:r>
    </w:p>
    <w:p>
      <w:pPr>
        <w:spacing w:after="0" w:line="179" w:lineRule="exact"/>
        <w:rPr>
          <w:rFonts w:ascii="Courier New" w:cs="Courier New" w:eastAsia="Courier New" w:hAnsi="Courier New"/>
          <w:sz w:val="15"/>
          <w:szCs w:val="15"/>
          <w:color w:val="auto"/>
        </w:rPr>
      </w:pPr>
    </w:p>
    <w:p>
      <w:pPr>
        <w:ind w:left="1620" w:hanging="536"/>
        <w:spacing w:after="0"/>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use of communications and content services,</w:t>
      </w:r>
    </w:p>
    <w:p>
      <w:pPr>
        <w:spacing w:after="0" w:line="179" w:lineRule="exact"/>
        <w:rPr>
          <w:rFonts w:ascii="Courier New" w:cs="Courier New" w:eastAsia="Courier New" w:hAnsi="Courier New"/>
          <w:sz w:val="15"/>
          <w:szCs w:val="15"/>
          <w:color w:val="auto"/>
        </w:rPr>
      </w:pPr>
    </w:p>
    <w:p>
      <w:pPr>
        <w:ind w:left="1620" w:hanging="536"/>
        <w:spacing w:after="0"/>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digital and mobile commerce,</w:t>
      </w:r>
    </w:p>
    <w:p>
      <w:pPr>
        <w:spacing w:after="0" w:line="179" w:lineRule="exact"/>
        <w:rPr>
          <w:rFonts w:ascii="Courier New" w:cs="Courier New" w:eastAsia="Courier New" w:hAnsi="Courier New"/>
          <w:sz w:val="15"/>
          <w:szCs w:val="15"/>
          <w:color w:val="auto"/>
        </w:rPr>
      </w:pPr>
    </w:p>
    <w:p>
      <w:pPr>
        <w:ind w:left="1620" w:hanging="536"/>
        <w:spacing w:after="0"/>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consolidation within the communications industry, and</w:t>
      </w:r>
    </w:p>
    <w:p>
      <w:pPr>
        <w:spacing w:after="0" w:line="179" w:lineRule="exact"/>
        <w:rPr>
          <w:rFonts w:ascii="Courier New" w:cs="Courier New" w:eastAsia="Courier New" w:hAnsi="Courier New"/>
          <w:sz w:val="15"/>
          <w:szCs w:val="15"/>
          <w:color w:val="auto"/>
        </w:rPr>
      </w:pPr>
    </w:p>
    <w:p>
      <w:pPr>
        <w:ind w:left="1620" w:right="3139" w:hanging="536"/>
        <w:spacing w:after="0" w:line="247" w:lineRule="auto"/>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convergence of communications, broadband cable and satellite industries.</w:t>
      </w:r>
    </w:p>
    <w:p>
      <w:pPr>
        <w:spacing w:after="0" w:line="174" w:lineRule="exact"/>
        <w:rPr>
          <w:rFonts w:ascii="Courier New" w:cs="Courier New" w:eastAsia="Courier New" w:hAnsi="Courier New"/>
          <w:sz w:val="15"/>
          <w:szCs w:val="15"/>
          <w:color w:val="auto"/>
        </w:rPr>
      </w:pPr>
    </w:p>
    <w:p>
      <w:pPr>
        <w:ind w:left="1080" w:hanging="542"/>
        <w:spacing w:after="0"/>
        <w:tabs>
          <w:tab w:leader="none" w:pos="10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advances, such as:</w:t>
      </w:r>
    </w:p>
    <w:p>
      <w:pPr>
        <w:spacing w:after="0" w:line="179" w:lineRule="exact"/>
        <w:rPr>
          <w:rFonts w:ascii="Courier New" w:cs="Courier New" w:eastAsia="Courier New" w:hAnsi="Courier New"/>
          <w:sz w:val="15"/>
          <w:szCs w:val="15"/>
          <w:color w:val="auto"/>
        </w:rPr>
      </w:pPr>
    </w:p>
    <w:p>
      <w:pPr>
        <w:ind w:left="1620" w:right="3599" w:hanging="536"/>
        <w:spacing w:after="0" w:line="246" w:lineRule="auto"/>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emergence of new communications products and services, especially video, broadband, data and content services, including IP-based services, such as Internet Protocol Television (IPTV) and Voice over IP (VoIP),</w:t>
      </w:r>
    </w:p>
    <w:p>
      <w:pPr>
        <w:spacing w:after="0" w:line="177" w:lineRule="exact"/>
        <w:rPr>
          <w:rFonts w:ascii="Courier New" w:cs="Courier New" w:eastAsia="Courier New" w:hAnsi="Courier New"/>
          <w:sz w:val="15"/>
          <w:szCs w:val="15"/>
          <w:color w:val="auto"/>
        </w:rPr>
      </w:pPr>
    </w:p>
    <w:p>
      <w:pPr>
        <w:ind w:left="1620" w:right="3039" w:hanging="536"/>
        <w:spacing w:after="0" w:line="247" w:lineRule="auto"/>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evolution to next generation networks such as IP Multimedia Subsystem (or IMS), that enable truly converged services like as fixed-mobile convergence, and</w:t>
      </w:r>
    </w:p>
    <w:p>
      <w:pPr>
        <w:spacing w:after="0" w:line="174" w:lineRule="exact"/>
        <w:rPr>
          <w:rFonts w:ascii="Courier New" w:cs="Courier New" w:eastAsia="Courier New" w:hAnsi="Courier New"/>
          <w:sz w:val="15"/>
          <w:szCs w:val="15"/>
          <w:color w:val="auto"/>
        </w:rPr>
      </w:pPr>
    </w:p>
    <w:p>
      <w:pPr>
        <w:ind w:left="1620" w:right="2959" w:hanging="536"/>
        <w:spacing w:after="0" w:line="247" w:lineRule="auto"/>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3G wireless technology, next-generation content systems, and WiFi- and WiMax- based access technologies,</w:t>
      </w:r>
    </w:p>
    <w:p>
      <w:pPr>
        <w:spacing w:after="0" w:line="174" w:lineRule="exact"/>
        <w:rPr>
          <w:rFonts w:ascii="Courier New" w:cs="Courier New" w:eastAsia="Courier New" w:hAnsi="Courier New"/>
          <w:sz w:val="15"/>
          <w:szCs w:val="15"/>
          <w:color w:val="auto"/>
        </w:rPr>
      </w:pPr>
    </w:p>
    <w:p>
      <w:pPr>
        <w:ind w:left="1080" w:hanging="542"/>
        <w:spacing w:after="0"/>
        <w:tabs>
          <w:tab w:leader="none" w:pos="10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focus. For example:</w:t>
      </w:r>
    </w:p>
    <w:p>
      <w:pPr>
        <w:spacing w:after="0" w:line="179" w:lineRule="exact"/>
        <w:rPr>
          <w:rFonts w:ascii="Courier New" w:cs="Courier New" w:eastAsia="Courier New" w:hAnsi="Courier New"/>
          <w:sz w:val="15"/>
          <w:szCs w:val="15"/>
          <w:color w:val="auto"/>
        </w:rPr>
      </w:pPr>
    </w:p>
    <w:p>
      <w:pPr>
        <w:ind w:left="1620" w:right="2959" w:hanging="536"/>
        <w:spacing w:after="0" w:line="247" w:lineRule="auto"/>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providers' desire to focus on their customers in order to build profitable customer relationships, and</w:t>
      </w:r>
    </w:p>
    <w:p>
      <w:pPr>
        <w:spacing w:after="0" w:line="174" w:lineRule="exact"/>
        <w:rPr>
          <w:rFonts w:ascii="Courier New" w:cs="Courier New" w:eastAsia="Courier New" w:hAnsi="Courier New"/>
          <w:sz w:val="15"/>
          <w:szCs w:val="15"/>
          <w:color w:val="auto"/>
        </w:rPr>
      </w:pPr>
    </w:p>
    <w:p>
      <w:pPr>
        <w:ind w:left="1620" w:right="3319" w:hanging="536"/>
        <w:spacing w:after="0" w:line="246" w:lineRule="auto"/>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"authority shift" toward the consumer, with customers demanding new, innovative services that can be accessed anytime and anywhere, as well as higher levels of customer service.</w:t>
      </w:r>
    </w:p>
    <w:p>
      <w:pPr>
        <w:spacing w:after="0" w:line="177" w:lineRule="exact"/>
        <w:rPr>
          <w:rFonts w:ascii="Courier New" w:cs="Courier New" w:eastAsia="Courier New" w:hAnsi="Courier New"/>
          <w:sz w:val="15"/>
          <w:szCs w:val="15"/>
          <w:color w:val="auto"/>
        </w:rPr>
      </w:pPr>
    </w:p>
    <w:p>
      <w:pPr>
        <w:ind w:left="1080" w:hanging="542"/>
        <w:spacing w:after="0"/>
        <w:tabs>
          <w:tab w:leader="none" w:pos="10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for operational efficiency resulting from:</w:t>
      </w:r>
    </w:p>
    <w:p>
      <w:pPr>
        <w:spacing w:after="0" w:line="179" w:lineRule="exact"/>
        <w:rPr>
          <w:rFonts w:ascii="Courier New" w:cs="Courier New" w:eastAsia="Courier New" w:hAnsi="Courier New"/>
          <w:sz w:val="15"/>
          <w:szCs w:val="15"/>
          <w:color w:val="auto"/>
        </w:rPr>
      </w:pPr>
    </w:p>
    <w:p>
      <w:pPr>
        <w:ind w:left="1620" w:hanging="536"/>
        <w:spacing w:after="0"/>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shift from in-house management to vendor solutions, and</w:t>
      </w:r>
    </w:p>
    <w:p>
      <w:pPr>
        <w:spacing w:after="0" w:line="179" w:lineRule="exact"/>
        <w:rPr>
          <w:rFonts w:ascii="Courier New" w:cs="Courier New" w:eastAsia="Courier New" w:hAnsi="Courier New"/>
          <w:sz w:val="15"/>
          <w:szCs w:val="15"/>
          <w:color w:val="auto"/>
        </w:rPr>
      </w:pPr>
    </w:p>
    <w:p>
      <w:pPr>
        <w:ind w:left="1620" w:right="3039" w:hanging="536"/>
        <w:spacing w:after="0" w:line="247" w:lineRule="auto"/>
        <w:tabs>
          <w:tab w:leader="none" w:pos="16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needs of service providers to reduce costs and lower their total cost of ownership as well as retain high value customers in a highly competitive environment.</w:t>
      </w:r>
    </w:p>
    <w:p>
      <w:pPr>
        <w:spacing w:after="0" w:line="17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their customers bundled or converged services (combinations of voice, broadband, electronic and mobile commerce and IP services), and the ability of our ICM-Enabling Systems to launch and support such bundles, improve customer satisfaction, loyalty, profitability and overall productivity.</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2" w:right="1440" w:bottom="1440" w:gutter="0" w:footer="0" w:header="0"/>
        </w:sectPr>
      </w:pPr>
    </w:p>
    <w:bookmarkStart w:id="23" w:name="page24"/>
    <w:bookmarkEnd w:id="23"/>
    <w:p>
      <w:pPr>
        <w:ind w:left="1080" w:right="3319" w:hanging="542"/>
        <w:spacing w:after="0" w:line="247" w:lineRule="auto"/>
        <w:tabs>
          <w:tab w:leader="none" w:pos="10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sales of licenses to use our products and related services, including modification, implementation and integration services,</w:t>
      </w:r>
    </w:p>
    <w:p>
      <w:pPr>
        <w:spacing w:after="0" w:line="174" w:lineRule="exact"/>
        <w:rPr>
          <w:rFonts w:ascii="Courier New" w:cs="Courier New" w:eastAsia="Courier New" w:hAnsi="Courier New"/>
          <w:sz w:val="15"/>
          <w:szCs w:val="15"/>
          <w:color w:val="auto"/>
        </w:rPr>
      </w:pPr>
    </w:p>
    <w:p>
      <w:pPr>
        <w:ind w:left="1080" w:hanging="542"/>
        <w:spacing w:after="0"/>
        <w:tabs>
          <w:tab w:leader="none" w:pos="10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Managed Services and other related IT services, and</w:t>
      </w:r>
    </w:p>
    <w:p>
      <w:pPr>
        <w:spacing w:after="0" w:line="179" w:lineRule="exact"/>
        <w:rPr>
          <w:rFonts w:ascii="Courier New" w:cs="Courier New" w:eastAsia="Courier New" w:hAnsi="Courier New"/>
          <w:sz w:val="15"/>
          <w:szCs w:val="15"/>
          <w:color w:val="auto"/>
        </w:rPr>
      </w:pPr>
    </w:p>
    <w:p>
      <w:pPr>
        <w:ind w:left="1080" w:right="2959" w:hanging="542"/>
        <w:spacing w:after="0" w:line="247" w:lineRule="auto"/>
        <w:tabs>
          <w:tab w:leader="none" w:pos="10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maintenance and enhancements provided to our customers, and from incremental license fees resulting from increases in a customer's business volume.</w:t>
      </w:r>
    </w:p>
    <w:p>
      <w:pPr>
        <w:spacing w:after="0" w:line="17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92"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Revenue from Managed Services arrangements is included in both license and service revenue from the sale of ICM-Enabling Systems and Directory Systems. Managed Services projects are a significant part of our business, generating substantial, long-term revenue streams, cash flow and operating income. Revenue from managed services customers was approximately 35% and 40% of our total revenue in the nine months ended June 30, 2006 and 2005, respectively.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Accounting for Uncertainty in Income Taxes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 June 2006, the Financial Accounting Standards Board (FASB) issued Interpretation No. 48, Accounting for Uncertainty in Income Taxes -- --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3" w:right="1440" w:bottom="1440" w:gutter="0" w:footer="0" w:header="0"/>
        </w:sectPr>
      </w:pPr>
    </w:p>
    <w:bookmarkStart w:id="24" w:name="page25"/>
    <w:bookmarkEnd w:id="24"/>
    <w:p>
      <w:pPr>
        <w:jc w:val="both"/>
        <w:ind w:right="3139"/>
        <w:spacing w:after="0" w:line="246" w:lineRule="auto"/>
        <w:rPr>
          <w:sz w:val="20"/>
          <w:szCs w:val="20"/>
          <w:color w:val="auto"/>
        </w:rPr>
      </w:pPr>
      <w:r>
        <w:rPr>
          <w:rFonts w:ascii="Courier New" w:cs="Courier New" w:eastAsia="Courier New" w:hAnsi="Courier New"/>
          <w:sz w:val="15"/>
          <w:szCs w:val="15"/>
          <w:color w:val="auto"/>
        </w:rPr>
        <w:t>disclosure, and transition. This interpretation is effective for fiscal years beginning after December 15, 2006. We are currently evaluating the effect that the application of FIN 48 will have on our consolidated results of operations and financial condition.</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Effective October 1, 2005, we adopted FASB Statement No. 123 (revised 2004), "Share-Based Payment," a revision of SFAS No. 123 ("SFAS 123(R)"). SFAS 123(R) supersedes Accounting Principles Board ("APB") Opinion No. 25, "Accounting for Stock Issued to Employees" ("APB No. 25") and related interpretations, and amends FASB Statement No. 95, "Statement of Cash Flows." Generally, the approach in SFAS 123(R) is similar to the approach described in SFAS 123. However, SFAS 123(R) requires all stock-based payments to employees, including grants of employee stock options, to be recognized in the income statement based on their fair values. Pro forma disclosure is no longer an alternative. In March 2005, the U.S. Securities and Exchange Commission, or the SEC, issued Staff Accounting Bulletin No. 107 ("SAB 107"), which provides supplemental implementation guidance on SFAS 123(R). We have applied the provisions of SAB 107 in our adoption of SFAS 123(R). Prior to October 1, 2005 the Company accounted for stock-based payments to employees under the recognition and measurement provisions of APB No. 25. Stock-based compensation expense recognized under SFAS 123(R) for the three and nine months ended June 30, 2006 was $10.9 million and $31.9 million.</w:t>
      </w:r>
    </w:p>
    <w:p>
      <w:pPr>
        <w:spacing w:after="0" w:line="185"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As of June 30, 2006, there was $51.9 million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78"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We adopted SFAS 123(R) using the modified prospective method. Under this transition method, compensation costs recognized in the three and nine months ended June 30, 2006 include (a) compensation costs for all stock-based payments granted prior to, but that had not yet vested as of, October 1, 2005, based on the grant date fair value estimated in accordance with the pro forma provisions of SFAS 123, and (b) compensation costs for the stock-based payments granted subsequent to October 1, 2005, based on the grant date fair value estimated in accordance with SFAS 123(R). Our consolidated financial statements for prior periods have not been restated to reflect, and do not include, the impact of SFAS 123(R). We selected the Black-Scholes option pricing model as the most appropriate fair value method for our stock-based awards and recognize compensation costs using the graded vesting attribution method that results in an accelerated recognition of compensation costs in comparison to the straight line method.</w:t>
      </w:r>
    </w:p>
    <w:p>
      <w:pPr>
        <w:spacing w:after="0" w:line="183"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As a result of adopting SFAS 123(R) on October 1, 2005, our income before income taxes for the three and nine months ended June 30, 2006 (not including restricted stock expense) was $9.3 million and $28.4 million lower, respectively, than if we had continued to account for stock-based compensation under APB No. 25. Net income for the three and nine months ended June 30, 2006 (not including restricted stock expense) was $8.3 million and $25.1 million lower, respectively, than if we had continued to account for stock-based compensation under APB No. 25. Basic earnings per share for the three and nine months ended June 30, 2006 was $0.04 and $0.12 lower, respectively, than if we had continued to account for stock-based compensation under APB No. 25. Diluted earnings per share for the three and nine months ended June 30, 2006 was $0.04 and $0.11 lower, respectively, than if we had continued to account for stock-based compensation under APB No. 25</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Prior to the adoption of SFAS 123(R), we presented all tax benefits of deductions resulting from the exercise of stock options as operating cash flows in the statement of cash flows. SFAS 123(R) requires the cash flows resulting from the tax deductions in excess of the compensation costs recognized for those stock options to be classified as financing cash flows. The $2.3 million excess tax benefit classified as financing cash inflows would have been classified as an operating cash inflow if we had not adopted SFAS 123(R).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2" w:right="1440" w:bottom="1440" w:gutter="0" w:footer="0" w:header="0"/>
        </w:sectPr>
      </w:pPr>
    </w:p>
    <w:bookmarkStart w:id="25" w:name="page26"/>
    <w:bookmarkEnd w:id="25"/>
    <w:p>
      <w:pPr>
        <w:ind w:right="2959" w:firstLine="545"/>
        <w:spacing w:after="0" w:line="246" w:lineRule="auto"/>
        <w:rPr>
          <w:sz w:val="20"/>
          <w:szCs w:val="20"/>
          <w:color w:val="auto"/>
        </w:rPr>
      </w:pPr>
      <w:r>
        <w:rPr>
          <w:rFonts w:ascii="Courier New" w:cs="Courier New" w:eastAsia="Courier New" w:hAnsi="Courier New"/>
          <w:sz w:val="15"/>
          <w:szCs w:val="15"/>
          <w:color w:val="auto"/>
        </w:rPr>
        <w:t>In conjunction with our adoption of SFAS 123(R), we began to use the implied volatility of the Company's traded options as the expected volatility assumption required in the Black-Scholes option valuation model. Prior to October 1, 2005, we had used our historical stock price volatility in accordance with SFAS 123 for purpose of presenting pro forma information. The selection of the implied volatility approach was based upon the availability of actively traded options on our shares and our assessment that implied volatility is more representative of future share price trends than historical volatility. As stock-based compensation expense recognized in the Consolidated Statement of Operations for the three and nine months ended on June 30, 2006 is based on awards ultimately expected to vest, it has been reduced for estimated forfeitures. SFAS 123(R) requires forfeitures to be estimated at the time of grant and revised, if necessary, in subsequent periods if actual forfeitures differ from those estimates. In our pro forma information required under SFAS</w:t>
      </w:r>
    </w:p>
    <w:p>
      <w:pPr>
        <w:spacing w:after="0" w:line="8"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123 for the periods prior to fiscal 2006, we accounted for forfeitures as they occurred.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3219" w:firstLine="545"/>
        <w:spacing w:after="0" w:line="247" w:lineRule="auto"/>
        <w:rPr>
          <w:sz w:val="20"/>
          <w:szCs w:val="20"/>
          <w:color w:val="auto"/>
        </w:rPr>
      </w:pPr>
      <w:r>
        <w:rPr>
          <w:rFonts w:ascii="Courier New" w:cs="Courier New" w:eastAsia="Courier New" w:hAnsi="Courier New"/>
          <w:sz w:val="15"/>
          <w:szCs w:val="15"/>
          <w:color w:val="auto"/>
        </w:rPr>
        <w:t>The following table sets forth for the three and nine months ended June 30, 2006 and 2005 certain items in our consolidated statements of income reflected as a percentage of total revenue: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80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THREE MONTHS ENDED</w:t>
            </w:r>
          </w:p>
        </w:tc>
        <w:tc>
          <w:tcPr>
            <w:tcW w:w="26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60" w:type="dxa"/>
            <w:vAlign w:val="bottom"/>
          </w:tcPr>
          <w:p>
            <w:pPr>
              <w:jc w:val="right"/>
              <w:ind w:right="964"/>
              <w:spacing w:after="0"/>
              <w:rPr>
                <w:sz w:val="20"/>
                <w:szCs w:val="20"/>
                <w:color w:val="auto"/>
              </w:rPr>
            </w:pPr>
            <w:r>
              <w:rPr>
                <w:rFonts w:ascii="Courier New" w:cs="Courier New" w:eastAsia="Courier New" w:hAnsi="Courier New"/>
                <w:sz w:val="15"/>
                <w:szCs w:val="15"/>
                <w:color w:val="auto"/>
                <w:w w:val="97"/>
              </w:rPr>
              <w:t>JUNE 30,</w:t>
            </w:r>
          </w:p>
        </w:tc>
        <w:tc>
          <w:tcPr>
            <w:tcW w:w="260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3500" w:type="dxa"/>
            <w:vAlign w:val="bottom"/>
          </w:tcPr>
          <w:p>
            <w:pPr>
              <w:spacing w:after="0"/>
              <w:rPr>
                <w:sz w:val="15"/>
                <w:szCs w:val="15"/>
                <w:color w:val="auto"/>
              </w:rPr>
            </w:pPr>
          </w:p>
        </w:tc>
        <w:tc>
          <w:tcPr>
            <w:tcW w:w="28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2006</w:t>
            </w: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2005</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2006</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3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License.............................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5.4%</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4.7%</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w:t>
            </w: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Service.............................</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96.3</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94.6</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95.3</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94.9</w:t>
            </w:r>
          </w:p>
        </w:tc>
      </w:tr>
      <w:tr>
        <w:trPr>
          <w:trHeight w:val="175"/>
        </w:trPr>
        <w:tc>
          <w:tcPr>
            <w:tcW w:w="3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3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Cost of license.....................</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0.2</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w:t>
            </w: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Cost of service.....................</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64.3</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63.9</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64.2</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63.4</w:t>
            </w: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6.2</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7.2</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w:t>
            </w: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11.1</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12.5</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w:t>
            </w: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purchased intangible</w:t>
            </w:r>
          </w:p>
        </w:tc>
        <w:tc>
          <w:tcPr>
            <w:tcW w:w="1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0.4</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0.6</w:t>
            </w:r>
          </w:p>
        </w:tc>
      </w:tr>
      <w:tr>
        <w:trPr>
          <w:trHeight w:val="175"/>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In-process research and development</w:t>
            </w:r>
          </w:p>
        </w:tc>
        <w:tc>
          <w:tcPr>
            <w:tcW w:w="1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0.5</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86.5</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81.8</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85.9</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82.2</w:t>
            </w:r>
          </w:p>
        </w:tc>
      </w:tr>
      <w:tr>
        <w:trPr>
          <w:trHeight w:val="175"/>
        </w:trPr>
        <w:tc>
          <w:tcPr>
            <w:tcW w:w="3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w w:val="99"/>
              </w:rPr>
              <w:t>Operating income......................</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18.2</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14.1</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17.8</w:t>
            </w: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w w:val="99"/>
              </w:rPr>
              <w:t>Interest income and other, net........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0.8</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r>
      <w:tr>
        <w:trPr>
          <w:trHeight w:val="175"/>
        </w:trPr>
        <w:tc>
          <w:tcPr>
            <w:tcW w:w="3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before income taxes............</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19.0</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18.9</w:t>
            </w: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taxes..........................</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3.8</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2.6</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w:t>
            </w:r>
          </w:p>
        </w:tc>
      </w:tr>
      <w:tr>
        <w:trPr>
          <w:trHeight w:val="175"/>
        </w:trPr>
        <w:tc>
          <w:tcPr>
            <w:tcW w:w="3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income............................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1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15.2%</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13.4%</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15.1%</w:t>
            </w:r>
          </w:p>
        </w:tc>
      </w:tr>
      <w:tr>
        <w:trPr>
          <w:trHeight w:val="175"/>
        </w:trPr>
        <w:tc>
          <w:tcPr>
            <w:tcW w:w="3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524"/>
        </w:trPr>
        <w:tc>
          <w:tcPr>
            <w:tcW w:w="3500" w:type="dxa"/>
            <w:vAlign w:val="bottom"/>
          </w:tcPr>
          <w:p>
            <w:pPr>
              <w:spacing w:after="0"/>
              <w:rPr>
                <w:sz w:val="24"/>
                <w:szCs w:val="24"/>
                <w:color w:val="auto"/>
              </w:rPr>
            </w:pPr>
          </w:p>
        </w:tc>
        <w:tc>
          <w:tcPr>
            <w:tcW w:w="1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25</w:t>
            </w: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26" w:name="page27"/>
    <w:bookmarkEnd w:id="26"/>
    <w:p>
      <w:pPr>
        <w:ind w:left="540"/>
        <w:spacing w:after="0"/>
        <w:rPr>
          <w:sz w:val="20"/>
          <w:szCs w:val="20"/>
          <w:color w:val="auto"/>
        </w:rPr>
      </w:pPr>
      <w:r>
        <w:rPr>
          <w:rFonts w:ascii="Courier New" w:cs="Courier New" w:eastAsia="Courier New" w:hAnsi="Courier New"/>
          <w:sz w:val="15"/>
          <w:szCs w:val="15"/>
          <w:color w:val="auto"/>
        </w:rPr>
        <w:t>NINE MONTHS ENDED JUNE 30, 2006 AND 2005</w:t>
      </w:r>
    </w:p>
    <w:p>
      <w:pPr>
        <w:spacing w:after="0" w:line="180"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nine months ended June 30, 2006 compared to the nine months ended June 30, 2005. Following the table is a discussion and analysis of our business and results of operations for the mentioned periods.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NINE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INCREASE (DECREASE)</w:t>
            </w:r>
          </w:p>
        </w:tc>
      </w:tr>
      <w:tr>
        <w:trPr>
          <w:trHeight w:val="175"/>
        </w:trPr>
        <w:tc>
          <w:tcPr>
            <w:tcW w:w="304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2"/>
              </w:rPr>
              <w:t>------------------------------</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2006</w:t>
            </w:r>
          </w:p>
        </w:tc>
        <w:tc>
          <w:tcPr>
            <w:tcW w:w="540" w:type="dxa"/>
            <w:vAlign w:val="bottom"/>
          </w:tcPr>
          <w:p>
            <w:pPr>
              <w:spacing w:after="0"/>
              <w:rPr>
                <w:sz w:val="15"/>
                <w:szCs w:val="15"/>
                <w:color w:val="auto"/>
              </w:rPr>
            </w:pPr>
          </w:p>
        </w:tc>
        <w:tc>
          <w:tcPr>
            <w:tcW w:w="10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44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350"/>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License......................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85,172</w:t>
            </w:r>
          </w:p>
        </w:tc>
        <w:tc>
          <w:tcPr>
            <w:tcW w:w="5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74,909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10,263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Service......................</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1,729,433</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1,390,394</w:t>
            </w:r>
          </w:p>
        </w:tc>
        <w:tc>
          <w:tcPr>
            <w:tcW w:w="2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339,039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24.4</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1,814,605</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1,465,303</w:t>
            </w:r>
          </w:p>
        </w:tc>
        <w:tc>
          <w:tcPr>
            <w:tcW w:w="2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349,302</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23.8</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2,973</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3,278</w:t>
            </w:r>
          </w:p>
        </w:tc>
        <w:tc>
          <w:tcPr>
            <w:tcW w:w="22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1,165,010</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929,487</w:t>
            </w:r>
          </w:p>
        </w:tc>
        <w:tc>
          <w:tcPr>
            <w:tcW w:w="2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235,523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25.3</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131,392</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97,567</w:t>
            </w:r>
          </w:p>
        </w:tc>
        <w:tc>
          <w:tcPr>
            <w:tcW w:w="2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33,825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34.7</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administrative.... ........</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227,289</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166,000</w:t>
            </w:r>
          </w:p>
        </w:tc>
        <w:tc>
          <w:tcPr>
            <w:tcW w:w="2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61,289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36.9</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intangible assets..........</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23,588</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7,875</w:t>
            </w:r>
          </w:p>
        </w:tc>
        <w:tc>
          <w:tcPr>
            <w:tcW w:w="2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15,713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development</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8,415</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8,415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1,558,667</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1,204,207</w:t>
            </w:r>
          </w:p>
        </w:tc>
        <w:tc>
          <w:tcPr>
            <w:tcW w:w="2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354,460</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29.4</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350"/>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50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255,938</w:t>
            </w:r>
          </w:p>
        </w:tc>
        <w:tc>
          <w:tcPr>
            <w:tcW w:w="54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261,096</w:t>
            </w:r>
          </w:p>
        </w:tc>
        <w:tc>
          <w:tcPr>
            <w:tcW w:w="220" w:type="dxa"/>
            <w:vAlign w:val="bottom"/>
          </w:tcPr>
          <w:p>
            <w:pPr>
              <w:spacing w:after="0"/>
              <w:rPr>
                <w:sz w:val="24"/>
                <w:szCs w:val="24"/>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(5,158)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33,659</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14,944</w:t>
            </w:r>
          </w:p>
        </w:tc>
        <w:tc>
          <w:tcPr>
            <w:tcW w:w="2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18,715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125.2</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289,597</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276,040</w:t>
            </w:r>
          </w:p>
        </w:tc>
        <w:tc>
          <w:tcPr>
            <w:tcW w:w="2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13,557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46,916</w:t>
            </w:r>
          </w:p>
        </w:tc>
        <w:tc>
          <w:tcPr>
            <w:tcW w:w="5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55,203</w:t>
            </w:r>
          </w:p>
        </w:tc>
        <w:tc>
          <w:tcPr>
            <w:tcW w:w="22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(8,287)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242,681</w:t>
            </w:r>
          </w:p>
        </w:tc>
        <w:tc>
          <w:tcPr>
            <w:tcW w:w="5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220,837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21,844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bl>
    <w:p>
      <w:pPr>
        <w:spacing w:after="0" w:line="35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REVENUE. Total revenue increased by $349.3 million, or 23.8%, in the nine months ended June 30, 2006 to $1,814.6 million from $1,465.3 million in the nine months ended June 30, 2005. Approximately $178.1 million of the increase was attributable to revenue contributed by DST Innovis, and the remainder was primarily attributable to projects for Tier 1 and Tier 2 customers.</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License and service revenue attributable to the sale of ICM-Enabling Systems was $1,607.2 million in the nine months ended June 30, 2006, an increase of $334.9 million, or 26.3%, over the nine months ended June 30, 2005. Approximately $178.1 million of the increase was attributable to revenue contributed by DST Innovis, and the remainder was primarily attributable to projects for Tier 1 and Tier 2 customers. License and service revenue resulted from the sale of ICM-Enabling Systems represented 88.6% and 86.8% of our total revenue in the nine months ended June 30, 2006 and 2005, respectively. The demand for our ICM-Enabling Systems is primarily driven by communications service providers' need to continue to integrate their billing, CRM and order management systems into an ICM approach. In the nine months ended June 30, 2006, we observed strong demand for our offerings.</w:t>
      </w:r>
    </w:p>
    <w:p>
      <w:pPr>
        <w:spacing w:after="0" w:line="182"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License and service revenue resulted from the sale of Directory Systems was $207.4 million in the nine months ended June 30, 2006, an increase of $14.4 million, or 7.5%, over the nine months ended June 30, 2005. Approximately 83% of the increase in Directory Systems revenue in the nine months ended June 30,</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3" w:right="1440" w:bottom="1440" w:gutter="0" w:footer="0" w:header="0"/>
        </w:sectPr>
      </w:pPr>
    </w:p>
    <w:bookmarkStart w:id="27" w:name="page28"/>
    <w:bookmarkEnd w:id="27"/>
    <w:p>
      <w:pPr>
        <w:ind w:right="3139"/>
        <w:spacing w:after="0" w:line="246" w:lineRule="auto"/>
        <w:rPr>
          <w:sz w:val="20"/>
          <w:szCs w:val="20"/>
          <w:color w:val="auto"/>
        </w:rPr>
      </w:pPr>
      <w:r>
        <w:rPr>
          <w:rFonts w:ascii="Courier New" w:cs="Courier New" w:eastAsia="Courier New" w:hAnsi="Courier New"/>
          <w:sz w:val="15"/>
          <w:szCs w:val="15"/>
          <w:color w:val="auto"/>
        </w:rPr>
        <w:t>2006 was attributable to an increase in business related to Managed Services customers. License and service revenue from the sale of Directory Systems represented 11.4% and 13.2% of our total revenue in the nine months ended June 30, 2006 and 2005, respectively. We believe that we are a leading provider of Directory Systems in most of the markets we serve. We expect that our revenue from Directory Systems in absolute amount will increase in fiscal 2006.</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 the nine months ended June 30, 2006, revenue from customers in North America, Europe and the rest of the world accounted for 70.3%, 21.5% and 8.2%, respectively, of total revenue compared to 67.0%, 24.8% and 8.2%, respectively, in the nine months ended June 30, 2005. Approximately 58.9% of the increase in revenue from customers in North America was attributable to revenues contributed by DST Innovis, and the remainder was primarily attributable to projects for Tier 1 and Tier 2 customers. Revenue from customers in Europe in the nine months ended June 30, 2006, increased in absolute amounts, but the increase was less than the 23.8% increase in our total revenue which resulted in a decrease in revenue from customers in Europe as a percentage of total revenue. Revenue from customers in the rest of the world as a percentage of our total revenue in the nine months ended June 30, 2006 was at the same level as in the nine months ended June 30, 2005.</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2006, cost of license as a percentage of license revenue was 3.5%, compared to 4.4% in the nine months ended June 30, 2005.</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COST OF SERVICE. The increase in cost of service in the nine months ended June 30, 2006 was 25.3%, which is greater than the increase in our total revenue in the nine months ended June 30, 2006. As a percentage of revenue, cost of service was 64.2% in the nine months ended June 30, 2006, compared to 63.4% in the nine months ended June 30, 2005. Cost of service in the nine months ended June 30, 2006 includes the effect of $12.2 million of stock-based compensation expense. Stock-based compensation expense in the nine months ended June 30, 2005 was insignificant. Our cost of service and gross margin may vary depending on the types and geographic locations of projects that we undertake.</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Research and development expense increased by $33.8 million, or 34.7%, in the nine months ended June 30, 2006 to $131.4 million from $97.6 million in the nine months ended June 30, 2005. Research and development expense increased as a percentage of revenue from 6.7% in the nine months ended June 30, 2005 to 7.2% in the nine months ended June 30, 2006. The increase in research and development expense was attributable mainly to research and development activities related to the DST Innovis acquisition, including integration efforts of DST Innovis' products into our ICM-Enabling Systems partially offset by cost savings. Research and development expense in the nine months ended June 30, 2006 includes the effect of $3.0 million of stock-based compensation expense. Stock-based compensation expense in the nine months ended June 30, 2005 was insignificant.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5"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by $61.3 million, or 36.9%, in the nine months ended June 30, 2006 to $227.3 million, from $166.0 million in the nine months ended June 30, 2005. Selling, general and administrative expense is primarily comprised of compensation expense. The increase in selling, general and administrative expense in the nine months ended June 30, 2006 was attributable to an overall increase in our operations, as well as to the inclusion of $16.7 million of stock-based compensation expense. Stock-based compensation expense in the nine months ended June 30, 2005 was insignificant.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2" w:right="1440" w:bottom="1440" w:gutter="0" w:footer="0" w:header="0"/>
        </w:sectPr>
      </w:pPr>
    </w:p>
    <w:bookmarkStart w:id="28" w:name="page29"/>
    <w:bookmarkEnd w:id="28"/>
    <w:p>
      <w:pPr>
        <w:ind w:right="2959" w:firstLine="545"/>
        <w:spacing w:after="0" w:line="246" w:lineRule="auto"/>
        <w:rPr>
          <w:sz w:val="20"/>
          <w:szCs w:val="20"/>
          <w:color w:val="auto"/>
        </w:rPr>
      </w:pPr>
      <w:r>
        <w:rPr>
          <w:rFonts w:ascii="Courier New" w:cs="Courier New" w:eastAsia="Courier New" w:hAnsi="Courier New"/>
          <w:sz w:val="15"/>
          <w:szCs w:val="15"/>
          <w:color w:val="auto"/>
        </w:rPr>
        <w:t>AMORTIZATION OF PURCHASED INTANGIBLE ASSETS. Amortization of purchased intangible assets in the nine months ended June 30, 2006 was $23.6 million, compared to $7.9 million in the nine months ended June 30, 2005. The increase in amortization of purchased intangible assets was due to purchased intangible assets acquired in the DST Innovis, Longshine and Qpass acquisitions, partially offset by purchased intangible assets that were fully amortized in the first quarter of fiscal 2005.</w:t>
      </w:r>
    </w:p>
    <w:p>
      <w:pPr>
        <w:spacing w:after="0" w:line="17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IN-PROCESS RESEARCH AND DEVELOPMENT. In-process research and development was $8.4 million for the nine months ended June 30, 2006, as compared to zero for the nine months ended June 30, 2005. Our third quarter 2006 in-process research and development expense was related primarily to our Qpass acquisition. The additional write-off was related to an immaterial acquisition.</w:t>
      </w:r>
    </w:p>
    <w:p>
      <w:pPr>
        <w:spacing w:after="0" w:line="178"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OPERATING INCOME. Operating income decreased by $5.2 million, or 2.0%, in the nine months ended June 30, 2006, to $255.9 million, or 14.1% of revenue, from $261.1 million, or 17.8% of revenue, in the nine months ended June 30, 2005. The decrease in operating income as a percentage of revenue was attributable to a 29.4% increase in operating expense which grew at a greater rate than the 23.8% increase in revenue during the nine months ended June 30, 2006. Stock-based compensation expense included in operating expense for the nine months ended June 30, 2006 was $31.9 million or 1.8% of revenue.</w:t>
      </w:r>
    </w:p>
    <w:p>
      <w:pPr>
        <w:spacing w:after="0" w:line="180"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INTEREST INCOME AND OTHER, NET. Interest income and other, net increased by $18.8 million in the nine months ended June 30, 2006 to $33.7 million from $14.9 million in the nine months ended June 30, 2005. The increase in interest income and other, net, is primarily attributable to the increase in market interest rates on our cash and short-term interest-bearing investments as well as the impact of foreign exchange benefits.</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INCOME TAXES. Income taxes for the nine months ended June 30, 2006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$46.9 million on pretax income of $289.6 million, resulting in an effective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of 16.2% compared to 20% in the nine months ended June 30,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2.5% of the reduction in our effective tax rate is attributable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continued expansion into countries with lower effective tax rates and to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slight release of certain tax reserves and approximately 1.3% is attributable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 effect of acquisition-related costs and stock-based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Our effective tax rate for the fourth quarter of fiscal 2006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to be between 16% to 18% compared to 20% in the fourth quarter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2005.Our effective tax rate may fluctuate between quarters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of discrete items that may affect a specific quarter.</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NET INCOME. Net income was $242.7 million in the nine months ended June 30, 2006, compared to net income of $220.8 million in the nine months ended June 30, 2005. The increase in net income, in absolute amounts, is attributable to the increase in interest income and other, net, and the decrease of our effective tax rate partially offset by the decrease in operating income.</w:t>
      </w:r>
    </w:p>
    <w:p>
      <w:pPr>
        <w:spacing w:after="0" w:line="178" w:lineRule="exact"/>
        <w:rPr>
          <w:sz w:val="20"/>
          <w:szCs w:val="20"/>
          <w:color w:val="auto"/>
        </w:rPr>
      </w:pPr>
    </w:p>
    <w:p>
      <w:pPr>
        <w:jc w:val="both"/>
        <w:ind w:right="2959" w:firstLine="545"/>
        <w:spacing w:after="0" w:line="247" w:lineRule="auto"/>
        <w:rPr>
          <w:sz w:val="20"/>
          <w:szCs w:val="20"/>
          <w:color w:val="auto"/>
        </w:rPr>
      </w:pPr>
      <w:r>
        <w:rPr>
          <w:rFonts w:ascii="Courier New" w:cs="Courier New" w:eastAsia="Courier New" w:hAnsi="Courier New"/>
          <w:sz w:val="15"/>
          <w:szCs w:val="15"/>
          <w:color w:val="auto"/>
        </w:rPr>
        <w:t>DILUTED EARNINGS PER SHARE. Diluted earnings per share increased by $0.10, or 9.7%, in the nine months ended June 30, 2006 to $1.13 from $1.03 in the nine months ended June 30, 2005.</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3" w:right="1440" w:bottom="1440" w:gutter="0" w:footer="0" w:header="0"/>
        </w:sectPr>
      </w:pPr>
    </w:p>
    <w:bookmarkStart w:id="29" w:name="page30"/>
    <w:bookmarkEnd w:id="29"/>
    <w:p>
      <w:pPr>
        <w:ind w:left="540"/>
        <w:spacing w:after="0"/>
        <w:rPr>
          <w:sz w:val="20"/>
          <w:szCs w:val="20"/>
          <w:color w:val="auto"/>
        </w:rPr>
      </w:pPr>
      <w:r>
        <w:rPr>
          <w:rFonts w:ascii="Courier New" w:cs="Courier New" w:eastAsia="Courier New" w:hAnsi="Courier New"/>
          <w:sz w:val="15"/>
          <w:szCs w:val="15"/>
          <w:color w:val="auto"/>
        </w:rPr>
        <w:t>THREE MONTHS ENDED JUNE 30, 2006 AND 2005</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three months ended June 30, 2006 compared to the three months ended June 30, 2005. Following the table is a discussion and analysis of our business and results of operations for such periods.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6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THREE MONTHS ENDED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INCREASE (DECREASE)</w:t>
            </w:r>
          </w:p>
        </w:tc>
      </w:tr>
      <w:tr>
        <w:trPr>
          <w:trHeight w:val="175"/>
        </w:trPr>
        <w:tc>
          <w:tcPr>
            <w:tcW w:w="304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2"/>
              </w:rPr>
              <w:t>------------------------------</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2006</w:t>
            </w:r>
          </w:p>
        </w:tc>
        <w:tc>
          <w:tcPr>
            <w:tcW w:w="440" w:type="dxa"/>
            <w:vAlign w:val="bottom"/>
          </w:tcPr>
          <w:p>
            <w:pPr>
              <w:spacing w:after="0"/>
              <w:rPr>
                <w:sz w:val="15"/>
                <w:szCs w:val="15"/>
                <w:color w:val="auto"/>
              </w:rPr>
            </w:pPr>
          </w:p>
        </w:tc>
        <w:tc>
          <w:tcPr>
            <w:tcW w:w="1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422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r>
      <w:tr>
        <w:trPr>
          <w:trHeight w:val="350"/>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License......................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23,220</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27,199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(3,979)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Service......................</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603,228</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480,156</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123,072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25.6</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626,448</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507,355</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119,093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23.5</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995</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1,125</w:t>
            </w:r>
          </w:p>
        </w:tc>
        <w:tc>
          <w:tcPr>
            <w:tcW w:w="2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402,626</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324,249</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78,377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46,455</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31,393</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15,062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48.0</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administrative.............</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74,940</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56,448</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18,492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32.8</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intangible assets..........</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8,547</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2,078</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6,469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311.3</w:t>
            </w: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development</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8,415</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8,415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541,978</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415,293</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126,685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r>
      <w:tr>
        <w:trPr>
          <w:trHeight w:val="350"/>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50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84,470</w:t>
            </w:r>
          </w:p>
        </w:tc>
        <w:tc>
          <w:tcPr>
            <w:tcW w:w="44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92,062</w:t>
            </w:r>
          </w:p>
        </w:tc>
        <w:tc>
          <w:tcPr>
            <w:tcW w:w="2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(7,592)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14,938</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4,305</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10,633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247.0</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99,408</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96,367</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3,041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5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13,823</w:t>
            </w:r>
          </w:p>
        </w:tc>
        <w:tc>
          <w:tcPr>
            <w:tcW w:w="4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19,270</w:t>
            </w:r>
          </w:p>
        </w:tc>
        <w:tc>
          <w:tcPr>
            <w:tcW w:w="2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(5,447)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(28.3)</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85,585</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77,097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8,488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w:t>
            </w:r>
          </w:p>
        </w:tc>
      </w:tr>
      <w:tr>
        <w:trPr>
          <w:trHeight w:val="175"/>
        </w:trPr>
        <w:tc>
          <w:tcPr>
            <w:tcW w:w="3040" w:type="dxa"/>
            <w:vAlign w:val="bottom"/>
          </w:tcPr>
          <w:p>
            <w:pPr>
              <w:spacing w:after="0"/>
              <w:rPr>
                <w:sz w:val="15"/>
                <w:szCs w:val="15"/>
                <w:color w:val="auto"/>
              </w:rPr>
            </w:pP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r>
    </w:tbl>
    <w:p>
      <w:pPr>
        <w:spacing w:after="0" w:line="35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REVENUE. Total revenue increased by $119.0 million, or 23.5%, in the three months ended June 30, 2006 to $626.4 million from $507.4 million in the three months ended June 30, 2005. Approximately $61.6 million of the increase was attributable to revenue contributed by DST Innovis, and the remainder was primarily attributable to projects for Tier 1 and Tier 2 customers.</w:t>
      </w:r>
    </w:p>
    <w:p>
      <w:pPr>
        <w:spacing w:after="0" w:line="178"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License and service revenue attributable to the sale of ICM-Enabling Systems was $556.5 million in the three months ended June 30, 2006, an increase of $116.5 million, or 26.5%, over the three months ended June 30, 2005. Approximately $61.6 million of the increase was attributable to revenue contributed by DST Innovis, and the remainder was primarily attributable to projects for Tier 1 and Tier 2 customers. License and service revenue resulted from the sale of ICM-Enabling Systems represented 88.8% and 86.7% of our total revenue in the three months ended June 30, 2006 and 2005, respectively. The demand for our ICM-Enabling Systems is primarily driven by communications service providers' need to continue to integrate their billing,</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2" w:right="1440" w:bottom="1440" w:gutter="0" w:footer="0" w:header="0"/>
        </w:sectPr>
      </w:pPr>
    </w:p>
    <w:bookmarkStart w:id="30" w:name="page31"/>
    <w:bookmarkEnd w:id="30"/>
    <w:p>
      <w:pPr>
        <w:ind w:right="2959"/>
        <w:spacing w:after="0" w:line="247" w:lineRule="auto"/>
        <w:rPr>
          <w:sz w:val="20"/>
          <w:szCs w:val="20"/>
          <w:color w:val="auto"/>
        </w:rPr>
      </w:pPr>
      <w:r>
        <w:rPr>
          <w:rFonts w:ascii="Courier New" w:cs="Courier New" w:eastAsia="Courier New" w:hAnsi="Courier New"/>
          <w:sz w:val="15"/>
          <w:szCs w:val="15"/>
          <w:color w:val="auto"/>
        </w:rPr>
        <w:t>CRM and order management systems into an ICM approach. In the three months ended June 30, 2006, we observed strong demand for our offerings.</w:t>
      </w:r>
    </w:p>
    <w:p>
      <w:pPr>
        <w:spacing w:after="0" w:line="175"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License and service revenue resulted from the sale of Directory Systems was $69.9 million in the three months ended June 30, 2006, an increase of $2.5 million, or 3.8%, over the three months ended June 30, 2005. Approximately 66.1% of the increase in Directory Systems revenue in the three months ended June 30, 2006 was attributable to an increase in business related to Managed Services customers. License and service revenue from the sale of Directory Systems represented 11.2% and 13.3% of our total revenue in the three months ended June 30, 2006 and 2005, respectively. We believe that we are a leading provider of Directory Systems in most of the markets we serve. We expect that our revenue from Directory Systems in absolute amount will increase in fiscal 2006.</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 the three months ended June 30, 2006, revenue from customers in North America, Europe and the rest of the world accounted for 68.1%, 24.0% and 7.9%, respectively, of total revenue compared to 68.4%, 24.7% and 6.9%, respectively, in the three months ended June 30, 2005. Approximately 76.0% of the increase in revenue from customers in North America, in absolute amount, was attributable to revenues contributed by DST Innovis, and the remainder was primarily attributable to projects for Tier 1 and Tier 2 customers.The increase in revenue from customers in North America was slightly less than the 23.5% increase in our total revenue. Revenue from customers in Europe in the three months ended June 30, 2006, in absolute amounts, increased, but the increase was less than the 23.5% increase in our total revenue, which resulted in a slight decrease in revenue from customers in Europe as a percentage of total revenue compared to the three months ended June 30, 2005. Revenue from customers in the rest of the world increased in the three months ended June 30, 2006, as a result of revenue contributed by Longshine.</w:t>
      </w:r>
    </w:p>
    <w:p>
      <w:pPr>
        <w:spacing w:after="0" w:line="18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2006, cost of license as a percentage of license revenue was 4.3% compared to 4.1% in the three months ended June 30, 2005.</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COST OF SERVICE. The increase in cost of service in the three months ended June 30, 2006 was 24.2%, which is greater than the increase in our total revenue in the three months ended June 30, 2006. As a percentage of revenue, cost of service was 64.3% in the three months ended June 30, 2006, compared to 63.9% in the three months ended June 30, 2005. Cost of service in the three months ended June 30, 2006 includes the effect of $4.2 million of stock-based compensation expense. Stock-based compensation expense in the three months ended June 30, 2005 was insignificant. Our cost of service and gross margin may vary depending on the types and geographic locations of projects that we undertake.</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Research and development expense increased by $15.1 million, or 48%, in the three months ended June 30, 2006 to $46.5 million from $31.4 million in the three months ended June 30, 2005. Research and development expense increased as a percentage of revenue from 6.2% in the three months ended June 30, 2005 to 7.4% in the three months ended June 30, 2006. The increase in research and development expense was attributable mainly to research and development activities related to the DST Innovis acquisition, including integration efforts of DST Innovis' products into our ICM-Enabling Systems partially offset by cost savings. Research and development expense in the three months ended June 30, 2006 includes the effect of $1.2 million of stock-based compensation expense. Stock-based compensation expense in the three months ended June 30, 2005 was insignificant.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5" w:lineRule="exact"/>
        <w:rPr>
          <w:sz w:val="20"/>
          <w:szCs w:val="20"/>
          <w:color w:val="auto"/>
        </w:rPr>
      </w:pPr>
    </w:p>
    <w:p>
      <w:pPr>
        <w:ind w:right="2959" w:firstLine="545"/>
        <w:spacing w:after="0" w:line="24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by $18.5 million, or 32.8%, in the three months ended June 30, 2006 to $74.9 million, from $56.4 million in the three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3" w:right="1440" w:bottom="1440" w:gutter="0" w:footer="0" w:header="0"/>
        </w:sectPr>
      </w:pPr>
    </w:p>
    <w:bookmarkStart w:id="31" w:name="page32"/>
    <w:bookmarkEnd w:id="31"/>
    <w:p>
      <w:pPr>
        <w:ind w:right="3039"/>
        <w:spacing w:after="0" w:line="246" w:lineRule="auto"/>
        <w:rPr>
          <w:sz w:val="20"/>
          <w:szCs w:val="20"/>
          <w:color w:val="auto"/>
        </w:rPr>
      </w:pPr>
      <w:r>
        <w:rPr>
          <w:rFonts w:ascii="Courier New" w:cs="Courier New" w:eastAsia="Courier New" w:hAnsi="Courier New"/>
          <w:sz w:val="15"/>
          <w:szCs w:val="15"/>
          <w:color w:val="auto"/>
        </w:rPr>
        <w:t>months ended June 30, 2005. Selling, general and administrative expense is primarily comprised of compensation expense. The increase in selling, general and administrative expense in the three months ended June 30, 2006 was attributable to an overall increase in our operations, as well as to the inclusion of $5.6 million of stock-based compensation expense. Stock-based compensation expense in the three months ended June 30, 2005 was insignificant.</w:t>
      </w:r>
    </w:p>
    <w:p>
      <w:pPr>
        <w:spacing w:after="0" w:line="178"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AMORTIZATION OF PURCHASED INTANGIBLE ASSETS. Amortization of purchased intangible assets in the three months ended June 30, 2006 was $8.5 million, compared to $2.1 million in the three months ended June 30, 2005. The increase in amortization of purchased intangible assets was due to purchased intangible assets acquired in the DST Innovis, Longshine and Qpass acquisitions.</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IN-PROCESS RESEARCH AND DEVELOPMENT. In-process research and development was $8.4 million for the three months ended June 30, 2006, as compared to zero for the three months ended June 30, 2005. Our third quarter 2006 in-process research and development expense was related primarily to our Qpass acquisition. The additional write-off was related to an immaterial acquisition.</w:t>
      </w:r>
    </w:p>
    <w:p>
      <w:pPr>
        <w:spacing w:after="0" w:line="178"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OPERATING INCOME. Operating income decreased by $7.6 million, or 8.2%, in the three months ended June 30, 2006, to $84.5 million, or 13.5% of revenue, from $92.1 million, or 18.2% of revenue, in the three months ended June 30, 2005. The decrease in operating income as a percentage of revenue was attributable to a 30.5% increase in operating expense which grew at a greater rate than the 23.5% increase in revenue during the three months ended June 30, 2006. Stock-based compensation expense included in operating expense for the three months ended June 30, 2006 was $10.9 million or 1.7% of revenue.</w:t>
      </w:r>
    </w:p>
    <w:p>
      <w:pPr>
        <w:spacing w:after="0" w:line="180"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INTEREST INCOME AND OTHER, NET. Interest income and other, net increased by $10.6 million in the three months ended June 30, 2006 to $14.9 million from $4.3 million in the three months ended June 30, 2005. The increase in interest income and other, net, is primarily attributable to the increase in market interest rates on our cash and short-term interest-bearing investments as well as the impact of foreign exchange benefits.</w:t>
      </w:r>
    </w:p>
    <w:p>
      <w:pPr>
        <w:spacing w:after="0" w:line="178" w:lineRule="exact"/>
        <w:rPr>
          <w:sz w:val="20"/>
          <w:szCs w:val="20"/>
          <w:color w:val="auto"/>
        </w:rPr>
      </w:pPr>
    </w:p>
    <w:p>
      <w:pPr>
        <w:jc w:val="both"/>
        <w:ind w:right="3139" w:firstLine="545"/>
        <w:spacing w:after="0" w:line="246" w:lineRule="auto"/>
        <w:rPr>
          <w:sz w:val="20"/>
          <w:szCs w:val="20"/>
          <w:color w:val="auto"/>
        </w:rPr>
      </w:pPr>
      <w:r>
        <w:rPr>
          <w:rFonts w:ascii="Courier New" w:cs="Courier New" w:eastAsia="Courier New" w:hAnsi="Courier New"/>
          <w:sz w:val="15"/>
          <w:szCs w:val="15"/>
          <w:color w:val="auto"/>
        </w:rPr>
        <w:t>INCOME TAXES. Income taxes for the three months ended June 30, 2006 were $13.8 million on pretax income of $99.4 million, resulting in an effective tax rate of 13.9% compared to 20% in the three months ended June 30, 2005.</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Approximately 3.4% of the reduction in our effective tax rate is attributable to our continued expansion into countries with lower effective tax rates and to a slight release of certain tax reserves and approximately 2.7% is attributable to the net effect of acquisition-related costs and stock-based compensation expense. Our effective tax rate for the fourth quarter of fiscal 2006 is expected to be between 16% to 18% compared to 20% in the fourth quarter of fiscal 2005. Our effective tax rate may fluctuate between quarters as a result of discrete items that may affect a specific quarter.</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NET INCOME. Net income was $85.6 million in the three months ended June 30, 2006, compared to net income of $77.1 million in the three months ended June 30, 2005. The increase in net income, in absolute amounts, is attributable to the increase in interest income and other, net, and the decrease of our effective tax rate partially offset by the decrease in our operation income.</w:t>
      </w:r>
    </w:p>
    <w:p>
      <w:pPr>
        <w:spacing w:after="0" w:line="178" w:lineRule="exact"/>
        <w:rPr>
          <w:sz w:val="20"/>
          <w:szCs w:val="20"/>
          <w:color w:val="auto"/>
        </w:rPr>
      </w:pPr>
    </w:p>
    <w:p>
      <w:pPr>
        <w:ind w:right="2959" w:firstLine="545"/>
        <w:spacing w:after="0" w:line="247" w:lineRule="auto"/>
        <w:rPr>
          <w:sz w:val="20"/>
          <w:szCs w:val="20"/>
          <w:color w:val="auto"/>
        </w:rPr>
      </w:pPr>
      <w:r>
        <w:rPr>
          <w:rFonts w:ascii="Courier New" w:cs="Courier New" w:eastAsia="Courier New" w:hAnsi="Courier New"/>
          <w:sz w:val="15"/>
          <w:szCs w:val="15"/>
          <w:color w:val="auto"/>
        </w:rPr>
        <w:t>DILUTED EARNINGS PER SHARE. Diluted earnings per share increased by $0.03, or 8.3%, in the three months ended June 30, 2006 to $0.39 from $0.36 in the three months ended June 30, 2005.</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Cash, cash equivalents and short-term interest-bearing investments totaled $1,207.6 million as of June 30, 2006, compared to $1,145.6 million as of September 30, 2005. The increase is mainly attributable to positive cash flows from operations of $301.4 million, proceeds from employee stock options exercised and issuance of restricted stock of $83.2 million, partially offset by $271.9 net cash paid for acquisitions and $53.6 million of capital expenditures. Net cash provided by operating activities amounted to $301.4 million and $256.6 million for the nine months ended June 30, 2006 and 2005, respectively.</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77"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As of June 30, 2006, $450.0 million and $0.2 million aggregate principal amount of our 0.50% Notes and 2% Notes were outstanding, respectively. As of June 30, 2006, we had available short-term general revolving lines of credit totaling $31.0 million, none of which was outstanding, and outstanding letters of credit and bank guarantees from various banks totaling $6.0 million. As of June 30, 2006, we had outstanding short term loans totalling $1.7 million secured by specified pledges and guaranties.</w:t>
      </w:r>
    </w:p>
    <w:p>
      <w:pPr>
        <w:spacing w:after="0" w:line="179"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We have contractual obligations for our convertible notes, financing arrangements, capital leases and non-cancelable operating leases that were summarized in a table of contractual obligations in our Annual Report on Form 20-F for fiscal 2005. Since September 30, 2005, there have been no material changes in contractual obligations outside the ordinary course of our business.</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Our capital expenditures were approximately $53.6 million in the nine months ended June 30, 2006. Approximately 80% of these expenditures consisted of purchases of computer equipment, and the remainder to leasehold improvements. We funded our capital expenditures principally from operating cash flows. We do not anticipate any changes to this policy in the foreseeable future.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17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During the three and nine months ended June 30, 2006 and 2005, approximately 70% to 80% of our revenue and approximately 50% to 60% of our operating expenses were in U.S. dollars or linked to the U.S. dollar. As a result of long-term contracts in currencies other than the U.S. dollar and more customers seeking contracts that are denominated in currencies such as the Euro, the percentage of our revenue and operating expenses in U.S. dollar or linked to the U.S. dollar may decrease slightly over time. Historically, the effect of fluctuations in currency exchange rates on our consolidated operations was not material.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3" w:right="1440" w:bottom="1440" w:gutter="0" w:footer="0" w:header="0"/>
        </w:sectPr>
      </w:pPr>
    </w:p>
    <w:bookmarkStart w:id="33" w:name="page34"/>
    <w:bookmarkEnd w:id="33"/>
    <w:p>
      <w:pPr>
        <w:ind w:left="7"/>
        <w:spacing w:after="0"/>
        <w:rPr>
          <w:sz w:val="20"/>
          <w:szCs w:val="20"/>
          <w:color w:val="auto"/>
        </w:rPr>
      </w:pPr>
      <w:r>
        <w:rPr>
          <w:rFonts w:ascii="Courier New" w:cs="Courier New" w:eastAsia="Courier New" w:hAnsi="Courier New"/>
          <w:sz w:val="15"/>
          <w:szCs w:val="15"/>
          <w:color w:val="auto"/>
        </w:rPr>
        <w:t>PART II OTHER INFORMATION</w:t>
      </w:r>
    </w:p>
    <w:p>
      <w:pPr>
        <w:spacing w:after="0" w:line="180" w:lineRule="exact"/>
        <w:rPr>
          <w:sz w:val="20"/>
          <w:szCs w:val="20"/>
          <w:color w:val="auto"/>
        </w:rPr>
      </w:pPr>
    </w:p>
    <w:p>
      <w:pPr>
        <w:ind w:left="7" w:right="3360"/>
        <w:spacing w:after="0" w:line="247" w:lineRule="auto"/>
        <w:rPr>
          <w:sz w:val="20"/>
          <w:szCs w:val="20"/>
          <w:color w:val="auto"/>
        </w:rPr>
      </w:pPr>
      <w:r>
        <w:rPr>
          <w:rFonts w:ascii="Courier New" w:cs="Courier New" w:eastAsia="Courier New" w:hAnsi="Courier New"/>
          <w:sz w:val="15"/>
          <w:szCs w:val="15"/>
          <w:color w:val="auto"/>
        </w:rPr>
        <w:t>ITEM 1. CHANGES IN SECURITIES, USE OF PROCEEDS AND ISSUER PURCHASES OF EQUITY SECURITIES.</w:t>
      </w:r>
    </w:p>
    <w:p>
      <w:pPr>
        <w:spacing w:after="0" w:line="17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Convertible Notes</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tcPr>
          <w:p>
            <w:pPr>
              <w:jc w:val="center"/>
              <w:ind w:right="404"/>
              <w:spacing w:after="0"/>
              <w:rPr>
                <w:sz w:val="20"/>
                <w:szCs w:val="20"/>
                <w:color w:val="auto"/>
              </w:rPr>
            </w:pPr>
            <w:r>
              <w:rPr>
                <w:rFonts w:ascii="Courier New" w:cs="Courier New" w:eastAsia="Courier New" w:hAnsi="Courier New"/>
                <w:sz w:val="15"/>
                <w:szCs w:val="15"/>
                <w:color w:val="auto"/>
              </w:rPr>
              <w:t>(d)</w:t>
            </w:r>
          </w:p>
        </w:tc>
      </w:tr>
      <w:tr>
        <w:trPr>
          <w:trHeight w:val="175"/>
        </w:trPr>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6"/>
              </w:rPr>
              <w:t>(c)</w:t>
            </w:r>
          </w:p>
        </w:tc>
        <w:tc>
          <w:tcPr>
            <w:tcW w:w="240" w:type="dxa"/>
            <w:vAlign w:val="bottom"/>
          </w:tcPr>
          <w:p>
            <w:pPr>
              <w:spacing w:after="0"/>
              <w:rPr>
                <w:sz w:val="15"/>
                <w:szCs w:val="15"/>
                <w:color w:val="auto"/>
              </w:rPr>
            </w:pPr>
          </w:p>
        </w:tc>
        <w:tc>
          <w:tcPr>
            <w:tcW w:w="23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MAXIMUM NUMBER (OR</w:t>
            </w:r>
          </w:p>
        </w:tc>
      </w:tr>
      <w:tr>
        <w:trPr>
          <w:trHeight w:val="175"/>
        </w:trPr>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(b)</w:t>
            </w:r>
          </w:p>
        </w:tc>
        <w:tc>
          <w:tcPr>
            <w:tcW w:w="140" w:type="dxa"/>
            <w:vAlign w:val="bottom"/>
          </w:tcPr>
          <w:p>
            <w:pPr>
              <w:spacing w:after="0"/>
              <w:rPr>
                <w:sz w:val="15"/>
                <w:szCs w:val="15"/>
                <w:color w:val="auto"/>
              </w:rPr>
            </w:pPr>
          </w:p>
        </w:tc>
        <w:tc>
          <w:tcPr>
            <w:tcW w:w="186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TOTAL NUMBER OF</w:t>
            </w:r>
          </w:p>
        </w:tc>
        <w:tc>
          <w:tcPr>
            <w:tcW w:w="240" w:type="dxa"/>
            <w:vAlign w:val="bottom"/>
          </w:tcPr>
          <w:p>
            <w:pPr>
              <w:spacing w:after="0"/>
              <w:rPr>
                <w:sz w:val="15"/>
                <w:szCs w:val="15"/>
                <w:color w:val="auto"/>
              </w:rPr>
            </w:pPr>
          </w:p>
        </w:tc>
        <w:tc>
          <w:tcPr>
            <w:tcW w:w="23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APPROXIMATE DOLLAR</w:t>
            </w:r>
          </w:p>
        </w:tc>
      </w:tr>
      <w:tr>
        <w:trPr>
          <w:trHeight w:val="175"/>
        </w:trPr>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AVERAGE PRICE</w:t>
            </w:r>
          </w:p>
        </w:tc>
        <w:tc>
          <w:tcPr>
            <w:tcW w:w="200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PRINCIPAL AMOUNT OF</w:t>
            </w:r>
          </w:p>
        </w:tc>
        <w:tc>
          <w:tcPr>
            <w:tcW w:w="240" w:type="dxa"/>
            <w:vAlign w:val="bottom"/>
          </w:tcPr>
          <w:p>
            <w:pPr>
              <w:spacing w:after="0"/>
              <w:rPr>
                <w:sz w:val="15"/>
                <w:szCs w:val="15"/>
                <w:color w:val="auto"/>
              </w:rPr>
            </w:pPr>
          </w:p>
        </w:tc>
        <w:tc>
          <w:tcPr>
            <w:tcW w:w="2360" w:type="dxa"/>
            <w:vAlign w:val="bottom"/>
          </w:tcPr>
          <w:p>
            <w:pPr>
              <w:jc w:val="center"/>
              <w:ind w:right="404"/>
              <w:spacing w:after="0"/>
              <w:rPr>
                <w:sz w:val="20"/>
                <w:szCs w:val="20"/>
                <w:color w:val="auto"/>
              </w:rPr>
            </w:pPr>
            <w:r>
              <w:rPr>
                <w:rFonts w:ascii="Courier New" w:cs="Courier New" w:eastAsia="Courier New" w:hAnsi="Courier New"/>
                <w:sz w:val="15"/>
                <w:szCs w:val="15"/>
                <w:color w:val="auto"/>
              </w:rPr>
              <w:t>VALUE) OF PRINCIPAL</w:t>
            </w:r>
          </w:p>
        </w:tc>
      </w:tr>
      <w:tr>
        <w:trPr>
          <w:trHeight w:val="175"/>
        </w:trPr>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(a)</w:t>
            </w:r>
          </w:p>
        </w:tc>
        <w:tc>
          <w:tcPr>
            <w:tcW w:w="14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PAID PER $1,000</w:t>
            </w:r>
          </w:p>
        </w:tc>
        <w:tc>
          <w:tcPr>
            <w:tcW w:w="140" w:type="dxa"/>
            <w:vAlign w:val="bottom"/>
          </w:tcPr>
          <w:p>
            <w:pPr>
              <w:spacing w:after="0"/>
              <w:rPr>
                <w:sz w:val="15"/>
                <w:szCs w:val="15"/>
                <w:color w:val="auto"/>
              </w:rPr>
            </w:pPr>
          </w:p>
        </w:tc>
        <w:tc>
          <w:tcPr>
            <w:tcW w:w="186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CONVERTIBLE NOTES</w:t>
            </w:r>
          </w:p>
        </w:tc>
        <w:tc>
          <w:tcPr>
            <w:tcW w:w="240" w:type="dxa"/>
            <w:vAlign w:val="bottom"/>
          </w:tcPr>
          <w:p>
            <w:pPr>
              <w:spacing w:after="0"/>
              <w:rPr>
                <w:sz w:val="15"/>
                <w:szCs w:val="15"/>
                <w:color w:val="auto"/>
              </w:rPr>
            </w:pPr>
          </w:p>
        </w:tc>
        <w:tc>
          <w:tcPr>
            <w:tcW w:w="236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AMOUNT OF CONVERTIBLE</w:t>
            </w:r>
          </w:p>
        </w:tc>
      </w:tr>
      <w:tr>
        <w:trPr>
          <w:trHeight w:val="175"/>
        </w:trPr>
        <w:tc>
          <w:tcPr>
            <w:tcW w:w="1760" w:type="dxa"/>
            <w:vAlign w:val="bottom"/>
          </w:tcPr>
          <w:p>
            <w:pPr>
              <w:spacing w:after="0"/>
              <w:rPr>
                <w:sz w:val="15"/>
                <w:szCs w:val="15"/>
                <w:color w:val="auto"/>
              </w:rPr>
            </w:pPr>
          </w:p>
        </w:tc>
        <w:tc>
          <w:tcPr>
            <w:tcW w:w="2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TOTAL PRINCIPAL AMOUNT</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PRINCIPAL AMOUNT</w:t>
            </w:r>
          </w:p>
        </w:tc>
        <w:tc>
          <w:tcPr>
            <w:tcW w:w="2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PURCHASED AS PART OF</w:t>
            </w:r>
          </w:p>
        </w:tc>
        <w:tc>
          <w:tcPr>
            <w:tcW w:w="240" w:type="dxa"/>
            <w:vAlign w:val="bottom"/>
          </w:tcPr>
          <w:p>
            <w:pPr>
              <w:spacing w:after="0"/>
              <w:rPr>
                <w:sz w:val="15"/>
                <w:szCs w:val="15"/>
                <w:color w:val="auto"/>
              </w:rPr>
            </w:pPr>
          </w:p>
        </w:tc>
        <w:tc>
          <w:tcPr>
            <w:tcW w:w="236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NOTES THAT MAY YET BE</w:t>
            </w:r>
          </w:p>
        </w:tc>
      </w:tr>
      <w:tr>
        <w:trPr>
          <w:trHeight w:val="175"/>
        </w:trPr>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OF CONVERTIBLE NOTES</w:t>
            </w:r>
          </w:p>
        </w:tc>
        <w:tc>
          <w:tcPr>
            <w:tcW w:w="14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OF CONVERTIBLE</w:t>
            </w:r>
          </w:p>
        </w:tc>
        <w:tc>
          <w:tcPr>
            <w:tcW w:w="140" w:type="dxa"/>
            <w:vAlign w:val="bottom"/>
          </w:tcPr>
          <w:p>
            <w:pPr>
              <w:spacing w:after="0"/>
              <w:rPr>
                <w:sz w:val="15"/>
                <w:szCs w:val="15"/>
                <w:color w:val="auto"/>
              </w:rPr>
            </w:pP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PUBLICLY ANNOUNCED</w:t>
            </w:r>
          </w:p>
        </w:tc>
        <w:tc>
          <w:tcPr>
            <w:tcW w:w="26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PURCHASED UNDER THE PLANS</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40" w:type="dxa"/>
            <w:vAlign w:val="bottom"/>
          </w:tcPr>
          <w:p>
            <w:pPr>
              <w:spacing w:after="0"/>
              <w:rPr>
                <w:sz w:val="15"/>
                <w:szCs w:val="15"/>
                <w:color w:val="auto"/>
              </w:rPr>
            </w:pPr>
          </w:p>
        </w:tc>
        <w:tc>
          <w:tcPr>
            <w:tcW w:w="21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PURCHASED</w:t>
            </w:r>
          </w:p>
        </w:tc>
        <w:tc>
          <w:tcPr>
            <w:tcW w:w="140" w:type="dxa"/>
            <w:vAlign w:val="bottom"/>
          </w:tcPr>
          <w:p>
            <w:pPr>
              <w:spacing w:after="0"/>
              <w:rPr>
                <w:sz w:val="15"/>
                <w:szCs w:val="15"/>
                <w:color w:val="auto"/>
              </w:rPr>
            </w:pPr>
          </w:p>
        </w:tc>
        <w:tc>
          <w:tcPr>
            <w:tcW w:w="158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NOTES</w:t>
            </w:r>
          </w:p>
        </w:tc>
        <w:tc>
          <w:tcPr>
            <w:tcW w:w="140" w:type="dxa"/>
            <w:vAlign w:val="bottom"/>
          </w:tcPr>
          <w:p>
            <w:pPr>
              <w:spacing w:after="0"/>
              <w:rPr>
                <w:sz w:val="15"/>
                <w:szCs w:val="15"/>
                <w:color w:val="auto"/>
              </w:rPr>
            </w:pPr>
          </w:p>
        </w:tc>
        <w:tc>
          <w:tcPr>
            <w:tcW w:w="186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PLANS OR PROGRAMS</w:t>
            </w:r>
          </w:p>
        </w:tc>
        <w:tc>
          <w:tcPr>
            <w:tcW w:w="240" w:type="dxa"/>
            <w:vAlign w:val="bottom"/>
          </w:tcPr>
          <w:p>
            <w:pPr>
              <w:spacing w:after="0"/>
              <w:rPr>
                <w:sz w:val="15"/>
                <w:szCs w:val="15"/>
                <w:color w:val="auto"/>
              </w:rPr>
            </w:pPr>
          </w:p>
        </w:tc>
        <w:tc>
          <w:tcPr>
            <w:tcW w:w="2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OR PROGRAMS (1)</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4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0"/>
                <w:szCs w:val="20"/>
                <w:color w:val="auto"/>
              </w:rPr>
            </w:pPr>
            <w:r>
              <w:rPr>
                <w:rFonts w:ascii="Courier New" w:cs="Courier New" w:eastAsia="Courier New" w:hAnsi="Courier New"/>
                <w:sz w:val="15"/>
                <w:szCs w:val="15"/>
                <w:color w:val="auto"/>
              </w:rPr>
              <w:t>04/01/06-04/30/06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2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272,000</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05/01/06-05/31/06</w:t>
            </w:r>
          </w:p>
        </w:tc>
        <w:tc>
          <w:tcPr>
            <w:tcW w:w="140" w:type="dxa"/>
            <w:vAlign w:val="bottom"/>
          </w:tcPr>
          <w:p>
            <w:pPr>
              <w:spacing w:after="0"/>
              <w:rPr>
                <w:sz w:val="15"/>
                <w:szCs w:val="15"/>
                <w:color w:val="auto"/>
              </w:rPr>
            </w:pPr>
          </w:p>
        </w:tc>
        <w:tc>
          <w:tcPr>
            <w:tcW w:w="2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2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272,000</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06/01/06-06/30/06</w:t>
            </w:r>
          </w:p>
        </w:tc>
        <w:tc>
          <w:tcPr>
            <w:tcW w:w="140" w:type="dxa"/>
            <w:vAlign w:val="bottom"/>
          </w:tcPr>
          <w:p>
            <w:pPr>
              <w:spacing w:after="0"/>
              <w:rPr>
                <w:sz w:val="15"/>
                <w:szCs w:val="15"/>
                <w:color w:val="auto"/>
              </w:rPr>
            </w:pPr>
          </w:p>
        </w:tc>
        <w:tc>
          <w:tcPr>
            <w:tcW w:w="2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97,000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spacing w:after="0"/>
              <w:rPr>
                <w:sz w:val="15"/>
                <w:szCs w:val="15"/>
                <w:color w:val="auto"/>
              </w:rPr>
            </w:pPr>
          </w:p>
        </w:tc>
        <w:tc>
          <w:tcPr>
            <w:tcW w:w="1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97,000</w:t>
            </w:r>
          </w:p>
        </w:tc>
        <w:tc>
          <w:tcPr>
            <w:tcW w:w="240" w:type="dxa"/>
            <w:vAlign w:val="bottom"/>
          </w:tcPr>
          <w:p>
            <w:pPr>
              <w:spacing w:after="0"/>
              <w:rPr>
                <w:sz w:val="15"/>
                <w:szCs w:val="15"/>
                <w:color w:val="auto"/>
              </w:rPr>
            </w:pPr>
          </w:p>
        </w:tc>
        <w:tc>
          <w:tcPr>
            <w:tcW w:w="2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175,000</w:t>
            </w:r>
          </w:p>
        </w:tc>
      </w:tr>
      <w:tr>
        <w:trPr>
          <w:trHeight w:val="175"/>
        </w:trPr>
        <w:tc>
          <w:tcPr>
            <w:tcW w:w="1760" w:type="dxa"/>
            <w:vAlign w:val="bottom"/>
          </w:tcPr>
          <w:p>
            <w:pPr>
              <w:spacing w:after="0"/>
              <w:rPr>
                <w:sz w:val="15"/>
                <w:szCs w:val="15"/>
                <w:color w:val="auto"/>
              </w:rPr>
            </w:pPr>
          </w:p>
        </w:tc>
        <w:tc>
          <w:tcPr>
            <w:tcW w:w="2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2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97,000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175,000</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7" w:right="3180" w:hanging="547"/>
        <w:spacing w:after="0" w:line="247" w:lineRule="auto"/>
        <w:tabs>
          <w:tab w:leader="none" w:pos="54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2004, the Company's board of directors authorized the Company to repurchase the outstanding amount of the 2% Notes.</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367"/>
          </w:cols>
          <w:pgMar w:left="233" w:top="642" w:right="1299" w:bottom="1440" w:gutter="0" w:footer="0" w:header="0"/>
        </w:sectPr>
      </w:pPr>
    </w:p>
    <w:bookmarkStart w:id="34" w:name="page35"/>
    <w:bookmarkEnd w:id="34"/>
    <w:p>
      <w:pPr>
        <w:ind w:left="7"/>
        <w:spacing w:after="0"/>
        <w:tabs>
          <w:tab w:leader="none" w:pos="886"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REPORTS ON FORM 6-K</w:t>
      </w:r>
    </w:p>
    <w:p>
      <w:pPr>
        <w:spacing w:after="0" w:line="180" w:lineRule="exact"/>
        <w:rPr>
          <w:sz w:val="20"/>
          <w:szCs w:val="20"/>
          <w:color w:val="auto"/>
        </w:rPr>
      </w:pPr>
    </w:p>
    <w:p>
      <w:pPr>
        <w:ind w:left="547" w:hanging="547"/>
        <w:spacing w:after="0"/>
        <w:tabs>
          <w:tab w:leader="none" w:pos="5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9" w:lineRule="exact"/>
        <w:rPr>
          <w:rFonts w:ascii="Courier New" w:cs="Courier New" w:eastAsia="Courier New" w:hAnsi="Courier New"/>
          <w:sz w:val="15"/>
          <w:szCs w:val="15"/>
          <w:color w:val="auto"/>
        </w:rPr>
      </w:pPr>
    </w:p>
    <w:p>
      <w:pPr>
        <w:ind w:left="54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furnished or filed the following reports on Form 6-K during the three months ended June 30, 2006:</w:t>
      </w:r>
    </w:p>
    <w:p>
      <w:pPr>
        <w:spacing w:after="0" w:line="174" w:lineRule="exact"/>
        <w:rPr>
          <w:rFonts w:ascii="Courier New" w:cs="Courier New" w:eastAsia="Courier New" w:hAnsi="Courier New"/>
          <w:sz w:val="15"/>
          <w:szCs w:val="15"/>
          <w:color w:val="auto"/>
        </w:rPr>
      </w:pPr>
    </w:p>
    <w:p>
      <w:pPr>
        <w:ind w:left="1087" w:hanging="542"/>
        <w:spacing w:after="0"/>
        <w:tabs>
          <w:tab w:leader="none" w:pos="108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April 21, 2006.</w:t>
      </w:r>
    </w:p>
    <w:p>
      <w:pPr>
        <w:spacing w:after="0" w:line="179" w:lineRule="exact"/>
        <w:rPr>
          <w:rFonts w:ascii="Courier New" w:cs="Courier New" w:eastAsia="Courier New" w:hAnsi="Courier New"/>
          <w:sz w:val="15"/>
          <w:szCs w:val="15"/>
          <w:color w:val="auto"/>
        </w:rPr>
      </w:pPr>
    </w:p>
    <w:p>
      <w:pPr>
        <w:ind w:left="1087" w:hanging="542"/>
        <w:spacing w:after="0"/>
        <w:tabs>
          <w:tab w:leader="none" w:pos="108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April 27, 2006.</w:t>
      </w:r>
    </w:p>
    <w:p>
      <w:pPr>
        <w:spacing w:after="0" w:line="179" w:lineRule="exact"/>
        <w:rPr>
          <w:rFonts w:ascii="Courier New" w:cs="Courier New" w:eastAsia="Courier New" w:hAnsi="Courier New"/>
          <w:sz w:val="15"/>
          <w:szCs w:val="15"/>
          <w:color w:val="auto"/>
        </w:rPr>
      </w:pPr>
    </w:p>
    <w:p>
      <w:pPr>
        <w:ind w:left="1087" w:hanging="542"/>
        <w:spacing w:after="0"/>
        <w:tabs>
          <w:tab w:leader="none" w:pos="108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May 15, 2006.</w:t>
      </w:r>
    </w:p>
    <w:p>
      <w:pPr>
        <w:spacing w:after="0" w:line="179" w:lineRule="exact"/>
        <w:rPr>
          <w:rFonts w:ascii="Courier New" w:cs="Courier New" w:eastAsia="Courier New" w:hAnsi="Courier New"/>
          <w:sz w:val="15"/>
          <w:szCs w:val="15"/>
          <w:color w:val="auto"/>
        </w:rPr>
      </w:pPr>
    </w:p>
    <w:p>
      <w:pPr>
        <w:ind w:left="1087" w:hanging="542"/>
        <w:spacing w:after="0"/>
        <w:tabs>
          <w:tab w:leader="none" w:pos="108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May 17, 2006.</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6"/>
          </w:cols>
          <w:pgMar w:left="233" w:top="643" w:right="1440" w:bottom="1440" w:gutter="0" w:footer="0" w:header="0"/>
        </w:sectPr>
      </w:pPr>
    </w:p>
    <w:bookmarkStart w:id="35" w:name="page36"/>
    <w:bookmarkEnd w:id="35"/>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AMDOCS LIMITED</w:t>
      </w:r>
    </w:p>
    <w:p>
      <w:pPr>
        <w:spacing w:after="0" w:line="180"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Thomas G. O'Brien</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Treasurer and Secretary</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Authorized U.S. Representative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15, 2006</w:t>
      </w:r>
    </w:p>
    <w:sectPr>
      <w:pgSz w:w="11900" w:h="16838" w:orient="portrait"/>
      <w:cols w:equalWidth="0" w:num="1">
        <w:col w:w="10219"/>
      </w:cols>
      <w:pgMar w:left="240" w:top="6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lvl w:ilvl="1">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2019-12-14T19:39:08Z</dcterms:created>
  <dcterms:modified xsi:type="dcterms:W3CDTF">2019-12-14T19:39:08Z</dcterms:modified>
</cp:coreProperties>
</file>