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186690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3580"/>
        <w:spacing w:after="0"/>
        <w:rPr>
          <w:sz w:val="20"/>
          <w:szCs w:val="20"/>
          <w:color w:val="auto"/>
        </w:rPr>
      </w:pPr>
      <w:r>
        <w:rPr>
          <w:rFonts w:ascii="Arial" w:cs="Arial" w:eastAsia="Arial" w:hAnsi="Arial"/>
          <w:sz w:val="22"/>
          <w:szCs w:val="22"/>
          <w:b w:val="1"/>
          <w:bCs w:val="1"/>
          <w:color w:val="auto"/>
        </w:rPr>
        <w:t>PURSUANT TO RULE 13a-16 OR 15d-16 OF</w:t>
      </w:r>
    </w:p>
    <w:p>
      <w:pPr>
        <w:ind w:left="34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For the Quarter Ended June 30, 2019</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245110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240" w:top="230" w:right="8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0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gridSpan w:val="4"/>
          </w:tcPr>
          <w:p>
            <w:pPr>
              <w:jc w:val="center"/>
              <w:ind w:right="2400"/>
              <w:spacing w:after="0"/>
              <w:rPr>
                <w:sz w:val="20"/>
                <w:szCs w:val="20"/>
                <w:color w:val="auto"/>
              </w:rPr>
            </w:pPr>
            <w:r>
              <w:rPr>
                <w:rFonts w:ascii="Arial" w:cs="Arial" w:eastAsia="Arial" w:hAnsi="Arial"/>
                <w:sz w:val="18"/>
                <w:szCs w:val="18"/>
                <w:color w:val="auto"/>
              </w:rPr>
              <w:t>AMDOCS LIMITED</w:t>
            </w:r>
          </w:p>
        </w:tc>
        <w:tc>
          <w:tcPr>
            <w:tcW w:w="198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gridSpan w:val="2"/>
          </w:tcPr>
          <w:p>
            <w:pPr>
              <w:jc w:val="center"/>
              <w:ind w:right="2980"/>
              <w:spacing w:after="0"/>
              <w:rPr>
                <w:sz w:val="20"/>
                <w:szCs w:val="20"/>
                <w:color w:val="auto"/>
              </w:rPr>
            </w:pPr>
            <w:r>
              <w:rPr>
                <w:rFonts w:ascii="Arial" w:cs="Arial" w:eastAsia="Arial" w:hAnsi="Arial"/>
                <w:sz w:val="18"/>
                <w:szCs w:val="18"/>
                <w:color w:val="auto"/>
                <w:w w:val="97"/>
              </w:rPr>
              <w:t>FORM 6-K</w:t>
            </w:r>
          </w:p>
        </w:tc>
        <w:tc>
          <w:tcPr>
            <w:tcW w:w="198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gridSpan w:val="7"/>
          </w:tcPr>
          <w:p>
            <w:pPr>
              <w:jc w:val="center"/>
              <w:ind w:right="1600"/>
              <w:spacing w:after="0"/>
              <w:rPr>
                <w:sz w:val="20"/>
                <w:szCs w:val="20"/>
                <w:color w:val="auto"/>
              </w:rPr>
            </w:pPr>
            <w:r>
              <w:rPr>
                <w:rFonts w:ascii="Arial" w:cs="Arial" w:eastAsia="Arial" w:hAnsi="Arial"/>
                <w:sz w:val="18"/>
                <w:szCs w:val="18"/>
                <w:color w:val="auto"/>
                <w:w w:val="92"/>
              </w:rPr>
              <w:t>REPORT OF FOREIGN PRIVATE ISSUER</w:t>
            </w:r>
          </w:p>
        </w:tc>
        <w:tc>
          <w:tcPr>
            <w:tcW w:w="1980" w:type="dxa"/>
            <w:vAlign w:val="bottom"/>
          </w:tcPr>
          <w:p>
            <w:pPr>
              <w:spacing w:after="0"/>
              <w:rPr>
                <w:sz w:val="24"/>
                <w:szCs w:val="24"/>
                <w:color w:val="auto"/>
              </w:rPr>
            </w:pPr>
          </w:p>
        </w:tc>
      </w:tr>
      <w:tr>
        <w:trPr>
          <w:trHeight w:val="418"/>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gridSpan w:val="7"/>
          </w:tcPr>
          <w:p>
            <w:pPr>
              <w:jc w:val="center"/>
              <w:ind w:right="1600"/>
              <w:spacing w:after="0"/>
              <w:rPr>
                <w:sz w:val="20"/>
                <w:szCs w:val="20"/>
                <w:color w:val="auto"/>
              </w:rPr>
            </w:pPr>
            <w:r>
              <w:rPr>
                <w:rFonts w:ascii="Arial" w:cs="Arial" w:eastAsia="Arial" w:hAnsi="Arial"/>
                <w:sz w:val="18"/>
                <w:szCs w:val="18"/>
                <w:color w:val="auto"/>
                <w:w w:val="93"/>
              </w:rPr>
              <w:t>FOR THE QUARTER ENDED JUNE 30, 2019</w:t>
            </w:r>
          </w:p>
        </w:tc>
        <w:tc>
          <w:tcPr>
            <w:tcW w:w="198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80" w:type="dxa"/>
            <w:vAlign w:val="bottom"/>
            <w:gridSpan w:val="2"/>
          </w:tcPr>
          <w:p>
            <w:pPr>
              <w:jc w:val="center"/>
              <w:ind w:right="2980"/>
              <w:spacing w:after="0"/>
              <w:rPr>
                <w:sz w:val="20"/>
                <w:szCs w:val="20"/>
                <w:color w:val="auto"/>
              </w:rPr>
            </w:pPr>
            <w:r>
              <w:rPr>
                <w:rFonts w:ascii="Arial" w:cs="Arial" w:eastAsia="Arial" w:hAnsi="Arial"/>
                <w:sz w:val="18"/>
                <w:szCs w:val="18"/>
                <w:color w:val="auto"/>
              </w:rPr>
              <w:t>INDEX</w:t>
            </w:r>
          </w:p>
        </w:tc>
        <w:tc>
          <w:tcPr>
            <w:tcW w:w="1980" w:type="dxa"/>
            <w:vAlign w:val="bottom"/>
          </w:tcPr>
          <w:p>
            <w:pPr>
              <w:spacing w:after="0"/>
              <w:rPr>
                <w:sz w:val="20"/>
                <w:szCs w:val="20"/>
                <w:color w:val="auto"/>
              </w:rPr>
            </w:pPr>
          </w:p>
        </w:tc>
      </w:tr>
      <w:tr>
        <w:trPr>
          <w:trHeight w:val="419"/>
        </w:trPr>
        <w:tc>
          <w:tcPr>
            <w:tcW w:w="200" w:type="dxa"/>
            <w:vAlign w:val="bottom"/>
          </w:tcPr>
          <w:p>
            <w:pPr>
              <w:spacing w:after="0"/>
              <w:rPr>
                <w:sz w:val="24"/>
                <w:szCs w:val="24"/>
                <w:color w:val="auto"/>
              </w:rPr>
            </w:pPr>
          </w:p>
        </w:tc>
        <w:tc>
          <w:tcPr>
            <w:tcW w:w="90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80" w:type="dxa"/>
            <w:vAlign w:val="bottom"/>
            <w:tcBorders>
              <w:top w:val="single" w:sz="8" w:color="0000EE"/>
            </w:tcBorders>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160" w:type="dxa"/>
            <w:vAlign w:val="bottom"/>
            <w:gridSpan w:val="9"/>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40" w:type="dxa"/>
            <w:vAlign w:val="bottom"/>
            <w:gridSpan w:val="15"/>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980" w:type="dxa"/>
            <w:vAlign w:val="bottom"/>
          </w:tcPr>
          <w:p>
            <w:pPr>
              <w:spacing w:after="0"/>
              <w:rPr>
                <w:sz w:val="22"/>
                <w:szCs w:val="22"/>
                <w:color w:val="auto"/>
              </w:rPr>
            </w:pPr>
          </w:p>
        </w:tc>
      </w:tr>
      <w:tr>
        <w:trPr>
          <w:trHeight w:val="203"/>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202"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5820" w:type="dxa"/>
            <w:vAlign w:val="bottom"/>
            <w:gridSpan w:val="8"/>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23"/>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9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90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Changes in Equity</w:t>
              </w:r>
            </w:hyperlink>
          </w:p>
        </w:tc>
        <w:tc>
          <w:tcPr>
            <w:tcW w:w="380" w:type="dxa"/>
            <w:vAlign w:val="bottom"/>
            <w:tcBorders>
              <w:top w:val="single" w:sz="8" w:color="0000EE"/>
            </w:tcBorders>
          </w:tcPr>
          <w:p>
            <w:pPr>
              <w:spacing w:after="0"/>
              <w:rPr>
                <w:sz w:val="19"/>
                <w:szCs w:val="19"/>
                <w:color w:val="auto"/>
              </w:rPr>
            </w:pPr>
          </w:p>
        </w:tc>
        <w:tc>
          <w:tcPr>
            <w:tcW w:w="4180" w:type="dxa"/>
            <w:vAlign w:val="bottom"/>
            <w:gridSpan w:val="3"/>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Consolidated Statements of Cash Flows</w:t>
              </w:r>
            </w:hyperlink>
          </w:p>
        </w:tc>
        <w:tc>
          <w:tcPr>
            <w:tcW w:w="5040" w:type="dxa"/>
            <w:vAlign w:val="bottom"/>
            <w:gridSpan w:val="6"/>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900" w:type="dxa"/>
            <w:vAlign w:val="bottom"/>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 Operating and Financial Review and Prospects</w:t>
              </w:r>
            </w:hyperlink>
          </w:p>
        </w:tc>
        <w:tc>
          <w:tcPr>
            <w:tcW w:w="4700" w:type="dxa"/>
            <w:vAlign w:val="bottom"/>
            <w:gridSpan w:val="5"/>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200" w:type="dxa"/>
            <w:vAlign w:val="bottom"/>
          </w:tcPr>
          <w:p>
            <w:pPr>
              <w:spacing w:after="0"/>
              <w:rPr>
                <w:sz w:val="19"/>
                <w:szCs w:val="19"/>
                <w:color w:val="auto"/>
              </w:rPr>
            </w:pPr>
          </w:p>
        </w:tc>
        <w:tc>
          <w:tcPr>
            <w:tcW w:w="25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PART II OTHER INFORMATION</w:t>
              </w:r>
            </w:hyperlink>
          </w:p>
        </w:tc>
        <w:tc>
          <w:tcPr>
            <w:tcW w:w="6460" w:type="dxa"/>
            <w:vAlign w:val="bottom"/>
            <w:gridSpan w:val="10"/>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 Changes in Securities, Use of Proceeds and Issuer Purchases of Equity Securities</w:t>
              </w:r>
            </w:hyperlink>
          </w:p>
        </w:tc>
        <w:tc>
          <w:tcPr>
            <w:tcW w:w="2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4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Reports on Form 6-K</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540" w:type="dxa"/>
            <w:vAlign w:val="bottom"/>
            <w:gridSpan w:val="11"/>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900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Short-term interest-bearing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235,644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1,646,242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1,720,717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492,718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2,452,803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2,444,895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195,592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447,264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5,234,619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5,347,815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655,880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706,637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1,183,028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1,294,957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202,263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321,643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1,706,934</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1,855,773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Ordinary Shares — Authorized 700,000 shares; £0.01 par value; 276,865 and 275,896 issued and 135,889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140,177 outstanding,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3,643,889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3,587,625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140,976 and 135,719 ordinary shares, respectively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(5,092,388)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(4,784,352)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4,929,185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4,673,901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b w:val="1"/>
                <w:bCs w:val="1"/>
                <w:color w:val="auto"/>
              </w:rPr>
              <w:t>Total Amdocs Limited shareholders’ equity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3,485,332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3,448,879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3,527,685</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3,492,042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5,234,619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5,347,815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1,024,704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1,002,198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3,056,416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2,972,249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1,986,043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1,940,353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203,827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73,543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882,384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896,680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2,630,824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2,612,761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357,419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ordinary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6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$131,448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$ 91,530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$357,419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$310,130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(30,637)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31,430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1,498</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(30,724)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32,928</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(43,169)</w:t>
            </w:r>
          </w:p>
        </w:tc>
        <w:tc>
          <w:tcPr>
            <w:tcW w:w="0" w:type="dxa"/>
            <w:vAlign w:val="bottom"/>
          </w:tcPr>
          <w:p>
            <w:pPr>
              <w:spacing w:after="0"/>
              <w:rPr>
                <w:sz w:val="1"/>
                <w:szCs w:val="1"/>
                <w:color w:val="auto"/>
              </w:rPr>
            </w:pPr>
          </w:p>
        </w:tc>
      </w:tr>
      <w:tr>
        <w:trPr>
          <w:trHeight w:val="223"/>
        </w:trPr>
        <w:tc>
          <w:tcPr>
            <w:tcW w:w="76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139,448</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$ 60,806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390,347</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266,961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0" w:hanging="436"/>
        <w:spacing w:after="0" w:line="258"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$(1,094) and $2,498 for the three months ended June 30, 2019 and 2018, respectively and of $(1,728) and $4,783 for the nine months ended June 30, 2019 and 2018, respectively.</w:t>
      </w:r>
    </w:p>
    <w:p>
      <w:pPr>
        <w:spacing w:after="0" w:line="1" w:lineRule="exact"/>
        <w:rPr>
          <w:rFonts w:ascii="Arial" w:cs="Arial" w:eastAsia="Arial" w:hAnsi="Arial"/>
          <w:sz w:val="18"/>
          <w:szCs w:val="18"/>
          <w:color w:val="auto"/>
        </w:rPr>
      </w:pPr>
    </w:p>
    <w:p>
      <w:pPr>
        <w:ind w:left="640" w:right="220" w:hanging="436"/>
        <w:spacing w:after="0" w:line="261"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$0 and $5 for the three months ended June 30, 2019 and 2018, respectively, and of $0 and $9 for the nine months ended June 30, 2019 and 2018, respectively.</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20" w:type="dxa"/>
            <w:vAlign w:val="bottom"/>
            <w:gridSpan w:val="5"/>
            <w:vMerge w:val="restart"/>
          </w:tcPr>
          <w:p>
            <w:pPr>
              <w:jc w:val="right"/>
              <w:ind w:right="28"/>
              <w:spacing w:after="0"/>
              <w:rPr>
                <w:sz w:val="20"/>
                <w:szCs w:val="20"/>
                <w:color w:val="auto"/>
              </w:rPr>
            </w:pPr>
            <w:r>
              <w:rPr>
                <w:rFonts w:ascii="Arial" w:cs="Arial" w:eastAsia="Arial" w:hAnsi="Arial"/>
                <w:sz w:val="14"/>
                <w:szCs w:val="14"/>
                <w:b w:val="1"/>
                <w:bCs w:val="1"/>
                <w:color w:val="auto"/>
              </w:rPr>
              <w:t>Ordinary Shares</w:t>
            </w: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Limited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20" w:type="dxa"/>
            <w:vAlign w:val="bottom"/>
            <w:tcBorders>
              <w:bottom w:val="single" w:sz="8" w:color="auto"/>
            </w:tcBorders>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20" w:type="dxa"/>
            <w:vAlign w:val="bottom"/>
            <w:gridSpan w:val="2"/>
          </w:tcPr>
          <w:p>
            <w:pPr>
              <w:jc w:val="center"/>
              <w:ind w:right="68"/>
              <w:spacing w:after="0" w:line="125" w:lineRule="exact"/>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25" w:lineRule="exact"/>
              <w:rPr>
                <w:sz w:val="20"/>
                <w:szCs w:val="20"/>
                <w:color w:val="auto"/>
              </w:rPr>
            </w:pPr>
            <w:r>
              <w:rPr>
                <w:rFonts w:ascii="Arial" w:cs="Arial" w:eastAsia="Arial" w:hAnsi="Arial"/>
                <w:sz w:val="14"/>
                <w:szCs w:val="14"/>
                <w:b w:val="1"/>
                <w:bCs w:val="1"/>
                <w:color w:val="auto"/>
                <w:w w:val="98"/>
              </w:rPr>
              <w:t>Retained</w:t>
            </w:r>
          </w:p>
        </w:tc>
        <w:tc>
          <w:tcPr>
            <w:tcW w:w="1060" w:type="dxa"/>
            <w:vAlign w:val="bottom"/>
            <w:gridSpan w:val="4"/>
          </w:tcPr>
          <w:p>
            <w:pPr>
              <w:ind w:left="80"/>
              <w:spacing w:after="0" w:line="125" w:lineRule="exact"/>
              <w:rPr>
                <w:sz w:val="20"/>
                <w:szCs w:val="20"/>
                <w:color w:val="auto"/>
              </w:rPr>
            </w:pPr>
            <w:r>
              <w:rPr>
                <w:rFonts w:ascii="Arial" w:cs="Arial" w:eastAsia="Arial" w:hAnsi="Arial"/>
                <w:sz w:val="14"/>
                <w:szCs w:val="14"/>
                <w:b w:val="1"/>
                <w:bCs w:val="1"/>
                <w:color w:val="auto"/>
              </w:rPr>
              <w:t>Shareholders’</w:t>
            </w:r>
          </w:p>
        </w:tc>
        <w:tc>
          <w:tcPr>
            <w:tcW w:w="80" w:type="dxa"/>
            <w:vAlign w:val="bottom"/>
          </w:tcPr>
          <w:p>
            <w:pPr>
              <w:spacing w:after="0"/>
              <w:rPr>
                <w:sz w:val="11"/>
                <w:szCs w:val="11"/>
                <w:color w:val="auto"/>
              </w:rPr>
            </w:pPr>
          </w:p>
        </w:tc>
        <w:tc>
          <w:tcPr>
            <w:tcW w:w="6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8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(Loss)(1)</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interests(2)</w:t>
            </w:r>
          </w:p>
        </w:tc>
        <w:tc>
          <w:tcPr>
            <w:tcW w:w="14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March 31, 2019</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137,131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4,445</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$3,620,891</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(5,003,566)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(7,803)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$4,836,467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3,450,434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42,353</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$3,492,787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income(2)</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131,448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131,448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w w:val="85"/>
              </w:rPr>
              <w:t>304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14,163</w:t>
            </w:r>
          </w:p>
        </w:tc>
        <w:tc>
          <w:tcPr>
            <w:tcW w:w="140" w:type="dxa"/>
            <w:vAlign w:val="bottom"/>
          </w:tcPr>
          <w:p>
            <w:pPr>
              <w:spacing w:after="0"/>
              <w:rPr>
                <w:sz w:val="12"/>
                <w:szCs w:val="12"/>
                <w:color w:val="auto"/>
              </w:rPr>
            </w:pPr>
          </w:p>
        </w:tc>
        <w:tc>
          <w:tcPr>
            <w:tcW w:w="8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14,167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(88,822)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(88,822)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Cash dividends declared ($0.285 per ordinary share)</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(38,730)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(38,730)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Equity-based compensation expense related to</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Arial" w:cs="Arial" w:eastAsia="Arial" w:hAnsi="Arial"/>
                <w:sz w:val="14"/>
                <w:szCs w:val="14"/>
                <w:color w:val="auto"/>
              </w:rPr>
              <w:t>employees</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8,835</w:t>
            </w:r>
          </w:p>
        </w:tc>
        <w:tc>
          <w:tcPr>
            <w:tcW w:w="14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8,835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3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June 30, 2019</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135,889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4,449</w:t>
            </w:r>
          </w:p>
        </w:tc>
        <w:tc>
          <w:tcPr>
            <w:tcW w:w="1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3,643,889</w:t>
            </w:r>
          </w:p>
        </w:tc>
        <w:tc>
          <w:tcPr>
            <w:tcW w:w="14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(5,092,388</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ind w:left="680"/>
              <w:spacing w:after="0" w:line="155" w:lineRule="exact"/>
              <w:rPr>
                <w:sz w:val="20"/>
                <w:szCs w:val="20"/>
                <w:color w:val="auto"/>
              </w:rPr>
            </w:pPr>
            <w:r>
              <w:rPr>
                <w:rFonts w:ascii="Arial" w:cs="Arial" w:eastAsia="Arial" w:hAnsi="Arial"/>
                <w:sz w:val="14"/>
                <w:szCs w:val="14"/>
                <w:color w:val="auto"/>
                <w:w w:val="85"/>
              </w:rPr>
              <w:t>197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4,929,185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3,485,332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42,353</w:t>
            </w:r>
          </w:p>
        </w:tc>
        <w:tc>
          <w:tcPr>
            <w:tcW w:w="1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3,527,685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20" w:type="dxa"/>
            <w:vAlign w:val="bottom"/>
            <w:gridSpan w:val="5"/>
            <w:vMerge w:val="restart"/>
          </w:tcPr>
          <w:p>
            <w:pPr>
              <w:jc w:val="right"/>
              <w:ind w:right="28"/>
              <w:spacing w:after="0"/>
              <w:rPr>
                <w:sz w:val="20"/>
                <w:szCs w:val="20"/>
                <w:color w:val="auto"/>
              </w:rPr>
            </w:pPr>
            <w:r>
              <w:rPr>
                <w:rFonts w:ascii="Arial" w:cs="Arial" w:eastAsia="Arial" w:hAnsi="Arial"/>
                <w:sz w:val="14"/>
                <w:szCs w:val="14"/>
                <w:b w:val="1"/>
                <w:bCs w:val="1"/>
                <w:color w:val="auto"/>
              </w:rPr>
              <w:t>Ordinary Shares</w:t>
            </w: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Limited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20" w:type="dxa"/>
            <w:vAlign w:val="bottom"/>
            <w:tcBorders>
              <w:bottom w:val="single" w:sz="8" w:color="auto"/>
            </w:tcBorders>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20" w:type="dxa"/>
            <w:vAlign w:val="bottom"/>
            <w:gridSpan w:val="2"/>
          </w:tcPr>
          <w:p>
            <w:pPr>
              <w:jc w:val="center"/>
              <w:ind w:right="68"/>
              <w:spacing w:after="0" w:line="125" w:lineRule="exact"/>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25" w:lineRule="exact"/>
              <w:rPr>
                <w:sz w:val="20"/>
                <w:szCs w:val="20"/>
                <w:color w:val="auto"/>
              </w:rPr>
            </w:pPr>
            <w:r>
              <w:rPr>
                <w:rFonts w:ascii="Arial" w:cs="Arial" w:eastAsia="Arial" w:hAnsi="Arial"/>
                <w:sz w:val="14"/>
                <w:szCs w:val="14"/>
                <w:b w:val="1"/>
                <w:bCs w:val="1"/>
                <w:color w:val="auto"/>
                <w:w w:val="98"/>
              </w:rPr>
              <w:t>Retained</w:t>
            </w:r>
          </w:p>
        </w:tc>
        <w:tc>
          <w:tcPr>
            <w:tcW w:w="1060" w:type="dxa"/>
            <w:vAlign w:val="bottom"/>
            <w:gridSpan w:val="4"/>
          </w:tcPr>
          <w:p>
            <w:pPr>
              <w:ind w:left="80"/>
              <w:spacing w:after="0" w:line="125" w:lineRule="exact"/>
              <w:rPr>
                <w:sz w:val="20"/>
                <w:szCs w:val="20"/>
                <w:color w:val="auto"/>
              </w:rPr>
            </w:pPr>
            <w:r>
              <w:rPr>
                <w:rFonts w:ascii="Arial" w:cs="Arial" w:eastAsia="Arial" w:hAnsi="Arial"/>
                <w:sz w:val="14"/>
                <w:szCs w:val="14"/>
                <w:b w:val="1"/>
                <w:bCs w:val="1"/>
                <w:color w:val="auto"/>
              </w:rPr>
              <w:t>Shareholders’</w:t>
            </w:r>
          </w:p>
        </w:tc>
        <w:tc>
          <w:tcPr>
            <w:tcW w:w="80" w:type="dxa"/>
            <w:vAlign w:val="bottom"/>
          </w:tcPr>
          <w:p>
            <w:pPr>
              <w:spacing w:after="0"/>
              <w:rPr>
                <w:sz w:val="11"/>
                <w:szCs w:val="11"/>
                <w:color w:val="auto"/>
              </w:rPr>
            </w:pPr>
          </w:p>
        </w:tc>
        <w:tc>
          <w:tcPr>
            <w:tcW w:w="6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8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(Loss)(1)</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interests(2)</w:t>
            </w:r>
          </w:p>
        </w:tc>
        <w:tc>
          <w:tcPr>
            <w:tcW w:w="14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March 31, 2018</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142,535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$3,548,666</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(4,604,903)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6,345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$4,608,514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3,563,054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43,163</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$3,606,217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income(2)</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(30,724)</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(30,724)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60,806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60,806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w w:val="85"/>
              </w:rPr>
              <w:t>230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10,506</w:t>
            </w:r>
          </w:p>
        </w:tc>
        <w:tc>
          <w:tcPr>
            <w:tcW w:w="140" w:type="dxa"/>
            <w:vAlign w:val="bottom"/>
          </w:tcPr>
          <w:p>
            <w:pPr>
              <w:spacing w:after="0"/>
              <w:rPr>
                <w:sz w:val="12"/>
                <w:szCs w:val="12"/>
                <w:color w:val="auto"/>
              </w:rPr>
            </w:pPr>
          </w:p>
        </w:tc>
        <w:tc>
          <w:tcPr>
            <w:tcW w:w="8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(89,814)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(89,814)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Cash dividends declared ($0.25 per ordinary share)</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(35,363)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(35,363)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(35,363)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Equity-based compensation expense related to</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Arial" w:cs="Arial" w:eastAsia="Arial" w:hAnsi="Arial"/>
                <w:sz w:val="14"/>
                <w:szCs w:val="14"/>
                <w:color w:val="auto"/>
              </w:rPr>
              <w:t>employees</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10,514</w:t>
            </w:r>
          </w:p>
        </w:tc>
        <w:tc>
          <w:tcPr>
            <w:tcW w:w="14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10,514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3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June 30, 2018</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141,444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4,435</w:t>
            </w:r>
          </w:p>
        </w:tc>
        <w:tc>
          <w:tcPr>
            <w:tcW w:w="1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3,569,686</w:t>
            </w:r>
          </w:p>
        </w:tc>
        <w:tc>
          <w:tcPr>
            <w:tcW w:w="14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(4,694,717</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(24,379)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4,664,681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3,519,706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43,163</w:t>
            </w:r>
          </w:p>
        </w:tc>
        <w:tc>
          <w:tcPr>
            <w:tcW w:w="1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3,562,869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right="60" w:hanging="436"/>
        <w:spacing w:after="0" w:line="256"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June 30, 2019 and 2018, accumulated other comprehensive income (loss) is comprised of unrealized gain (loss) on derivatives, net of tax, of $4,822 and $(17,388), unrealized (loss) on short-term interest-bearing investments, net of tax, of $(94) and $(1,683) and unrealized (loss) on defined benefit plan, net of tax, of $(4,531) and $(5,308).</w:t>
      </w:r>
    </w:p>
    <w:p>
      <w:pPr>
        <w:ind w:left="640" w:right="280" w:hanging="436"/>
        <w:spacing w:after="0" w:line="25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and nine months ended June 30, 2019, and 2018, all of the Company’s net income is attributable to Amdocs Limited as the net income attributable to the Non-controlling interests is negligible.</w:t>
      </w:r>
    </w:p>
    <w:p>
      <w:pPr>
        <w:ind w:left="640" w:right="340" w:hanging="436"/>
        <w:spacing w:after="0" w:line="261"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Cumulative effect adjustments as of October 1, 2018 include an increase of $14,294 to retained earnings due to the impact of adoptions of ASU No. 2014-09 (ASC 606) and decrease of $3,860 to retained earnings due to adoption of ASU No. 2016-16.</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Amdocs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Limited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160" w:type="dxa"/>
            <w:vAlign w:val="bottom"/>
            <w:tcBorders>
              <w:bottom w:val="single" w:sz="8" w:color="auto"/>
            </w:tcBorders>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800" w:type="dxa"/>
            <w:vAlign w:val="bottom"/>
            <w:gridSpan w:val="3"/>
          </w:tcPr>
          <w:p>
            <w:pPr>
              <w:jc w:val="right"/>
              <w:ind w:right="168"/>
              <w:spacing w:after="0" w:line="125" w:lineRule="exact"/>
              <w:rPr>
                <w:sz w:val="20"/>
                <w:szCs w:val="20"/>
                <w:color w:val="auto"/>
              </w:rPr>
            </w:pPr>
            <w:r>
              <w:rPr>
                <w:rFonts w:ascii="Arial" w:cs="Arial" w:eastAsia="Arial" w:hAnsi="Arial"/>
                <w:sz w:val="14"/>
                <w:szCs w:val="14"/>
                <w:b w:val="1"/>
                <w:bCs w:val="1"/>
                <w:color w:val="auto"/>
                <w:w w:val="91"/>
              </w:rPr>
              <w:t>Treasury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280"/>
              <w:spacing w:after="0" w:line="125"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1"/>
                <w:szCs w:val="11"/>
                <w:color w:val="auto"/>
              </w:rPr>
            </w:pPr>
          </w:p>
        </w:tc>
        <w:tc>
          <w:tcPr>
            <w:tcW w:w="760" w:type="dxa"/>
            <w:vAlign w:val="bottom"/>
            <w:gridSpan w:val="3"/>
          </w:tcPr>
          <w:p>
            <w:pPr>
              <w:jc w:val="right"/>
              <w:ind w:right="200"/>
              <w:spacing w:after="0" w:line="125" w:lineRule="exact"/>
              <w:rPr>
                <w:sz w:val="20"/>
                <w:szCs w:val="20"/>
                <w:color w:val="auto"/>
              </w:rPr>
            </w:pPr>
            <w:r>
              <w:rPr>
                <w:rFonts w:ascii="Arial" w:cs="Arial" w:eastAsia="Arial" w:hAnsi="Arial"/>
                <w:sz w:val="14"/>
                <w:szCs w:val="14"/>
                <w:b w:val="1"/>
                <w:bCs w:val="1"/>
                <w:color w:val="auto"/>
                <w:w w:val="91"/>
              </w:rPr>
              <w:t>Retained</w:t>
            </w:r>
          </w:p>
        </w:tc>
        <w:tc>
          <w:tcPr>
            <w:tcW w:w="1040" w:type="dxa"/>
            <w:vAlign w:val="bottom"/>
            <w:gridSpan w:val="5"/>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60" w:type="dxa"/>
            <w:vAlign w:val="bottom"/>
          </w:tcPr>
          <w:p>
            <w:pPr>
              <w:spacing w:after="0"/>
              <w:rPr>
                <w:sz w:val="11"/>
                <w:szCs w:val="11"/>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99"/>
              </w:rPr>
              <w:t>controlling</w:t>
            </w: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(Loss)(1)</w:t>
            </w:r>
          </w:p>
        </w:tc>
        <w:tc>
          <w:tcPr>
            <w:tcW w:w="10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Earnings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8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interests(2)</w:t>
            </w:r>
          </w:p>
        </w:tc>
        <w:tc>
          <w:tcPr>
            <w:tcW w:w="14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2018</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140,177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jc w:val="right"/>
              <w:ind w:right="13"/>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4,436</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$3,587,625</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 (4,784,352)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$4,673,901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3,448,879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43,163</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$3,492,042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Cumulative effect adjustment(3)</w:t>
            </w:r>
          </w:p>
        </w:tc>
        <w:tc>
          <w:tcPr>
            <w:tcW w:w="60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10,434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10,434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280"/>
              <w:spacing w:after="0" w:line="149" w:lineRule="exact"/>
              <w:rPr>
                <w:sz w:val="20"/>
                <w:szCs w:val="20"/>
                <w:color w:val="auto"/>
              </w:rPr>
            </w:pPr>
            <w:r>
              <w:rPr>
                <w:rFonts w:ascii="Arial" w:cs="Arial" w:eastAsia="Arial" w:hAnsi="Arial"/>
                <w:sz w:val="14"/>
                <w:szCs w:val="14"/>
                <w:color w:val="auto"/>
              </w:rPr>
              <w:t>Net income(2)</w:t>
            </w:r>
          </w:p>
        </w:tc>
        <w:tc>
          <w:tcPr>
            <w:tcW w:w="60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357,419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357,419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357,419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6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center"/>
              <w:ind w:left="16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ind w:left="280"/>
              <w:spacing w:after="0" w:line="155" w:lineRule="exact"/>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390,347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ind w:left="168"/>
              <w:spacing w:after="0" w:line="155"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390,347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4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5"/>
              </w:rPr>
              <w:t>574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25,698</w:t>
            </w: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25,706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25,706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(308,036)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(308,036)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(308,036)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($0.82 per ordinary share)</w:t>
            </w:r>
          </w:p>
        </w:tc>
        <w:tc>
          <w:tcPr>
            <w:tcW w:w="6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center"/>
              <w:ind w:left="16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(112,569)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(112,569)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w w:val="85"/>
              </w:rPr>
              <w:t>395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 expense related to</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employees</w:t>
            </w: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30,566</w:t>
            </w: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980" w:type="dxa"/>
            <w:vAlign w:val="bottom"/>
            <w:gridSpan w:val="3"/>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30,566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left="46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(810)</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June 30, 2019</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135,889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4,449</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3,643,889</w:t>
            </w: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 (5,092,388)</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4,929,185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3,485,332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42,353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3,527,685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Amdocs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2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Limited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20" w:type="dxa"/>
            <w:vAlign w:val="bottom"/>
            <w:tcBorders>
              <w:bottom w:val="single" w:sz="8" w:color="auto"/>
            </w:tcBorders>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20"/>
              <w:spacing w:after="0" w:line="12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00" w:type="dxa"/>
            <w:vAlign w:val="bottom"/>
            <w:gridSpan w:val="3"/>
          </w:tcPr>
          <w:p>
            <w:pPr>
              <w:jc w:val="right"/>
              <w:ind w:right="108"/>
              <w:spacing w:after="0" w:line="125" w:lineRule="exact"/>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160"/>
              <w:spacing w:after="0" w:line="125"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1"/>
                <w:szCs w:val="11"/>
                <w:color w:val="auto"/>
              </w:rPr>
            </w:pPr>
          </w:p>
        </w:tc>
        <w:tc>
          <w:tcPr>
            <w:tcW w:w="760" w:type="dxa"/>
            <w:vAlign w:val="bottom"/>
            <w:gridSpan w:val="3"/>
          </w:tcPr>
          <w:p>
            <w:pPr>
              <w:jc w:val="right"/>
              <w:ind w:right="160"/>
              <w:spacing w:after="0" w:line="125" w:lineRule="exact"/>
              <w:rPr>
                <w:sz w:val="20"/>
                <w:szCs w:val="20"/>
                <w:color w:val="auto"/>
              </w:rPr>
            </w:pPr>
            <w:r>
              <w:rPr>
                <w:rFonts w:ascii="Arial" w:cs="Arial" w:eastAsia="Arial" w:hAnsi="Arial"/>
                <w:sz w:val="14"/>
                <w:szCs w:val="14"/>
                <w:b w:val="1"/>
                <w:bCs w:val="1"/>
                <w:color w:val="auto"/>
                <w:w w:val="98"/>
              </w:rPr>
              <w:t>Retained</w:t>
            </w:r>
          </w:p>
        </w:tc>
        <w:tc>
          <w:tcPr>
            <w:tcW w:w="40" w:type="dxa"/>
            <w:vAlign w:val="bottom"/>
          </w:tcPr>
          <w:p>
            <w:pPr>
              <w:spacing w:after="0"/>
              <w:rPr>
                <w:sz w:val="11"/>
                <w:szCs w:val="11"/>
                <w:color w:val="auto"/>
              </w:rPr>
            </w:pPr>
          </w:p>
        </w:tc>
        <w:tc>
          <w:tcPr>
            <w:tcW w:w="1000" w:type="dxa"/>
            <w:vAlign w:val="bottom"/>
            <w:gridSpan w:val="4"/>
          </w:tcPr>
          <w:p>
            <w:pPr>
              <w:jc w:val="center"/>
              <w:ind w:right="2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60" w:type="dxa"/>
            <w:vAlign w:val="bottom"/>
          </w:tcPr>
          <w:p>
            <w:pPr>
              <w:spacing w:after="0"/>
              <w:rPr>
                <w:sz w:val="11"/>
                <w:szCs w:val="11"/>
                <w:color w:val="auto"/>
              </w:rPr>
            </w:pPr>
          </w:p>
        </w:tc>
        <w:tc>
          <w:tcPr>
            <w:tcW w:w="74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8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(Loss)(1)</w:t>
            </w:r>
          </w:p>
        </w:tc>
        <w:tc>
          <w:tcPr>
            <w:tcW w:w="10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interests(2)</w:t>
            </w:r>
          </w:p>
        </w:tc>
        <w:tc>
          <w:tcPr>
            <w:tcW w:w="14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2017</w:t>
            </w: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144,391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4,410</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$3,458,887</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(4,365,124)</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gridSpan w:val="2"/>
            <w:shd w:val="clear" w:color="auto" w:fill="CCEEFF"/>
          </w:tcPr>
          <w:p>
            <w:pPr>
              <w:jc w:val="center"/>
              <w:ind w:left="428"/>
              <w:spacing w:after="0" w:line="142" w:lineRule="exact"/>
              <w:rPr>
                <w:sz w:val="20"/>
                <w:szCs w:val="20"/>
                <w:color w:val="auto"/>
              </w:rPr>
            </w:pPr>
            <w:r>
              <w:rPr>
                <w:rFonts w:ascii="Arial" w:cs="Arial" w:eastAsia="Arial" w:hAnsi="Arial"/>
                <w:sz w:val="14"/>
                <w:szCs w:val="14"/>
                <w:color w:val="auto"/>
                <w:w w:val="93"/>
              </w:rPr>
              <w:t>18,790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$4,457,107</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3,574,070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$3,574,070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income(2)</w:t>
            </w:r>
          </w:p>
        </w:tc>
        <w:tc>
          <w:tcPr>
            <w:tcW w:w="6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310,130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310,130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310,130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6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5"/>
              </w:rPr>
              <w:t>(43,169)</w:t>
            </w:r>
          </w:p>
        </w:tc>
        <w:tc>
          <w:tcPr>
            <w:tcW w:w="100" w:type="dxa"/>
            <w:vAlign w:val="bottom"/>
          </w:tcPr>
          <w:p>
            <w:pPr>
              <w:spacing w:after="0"/>
              <w:rPr>
                <w:sz w:val="13"/>
                <w:szCs w:val="13"/>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(43,169)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(43,169)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top w:val="single" w:sz="8" w:color="auto"/>
              <w:left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266,961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266,961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800" w:type="dxa"/>
            <w:vAlign w:val="bottom"/>
            <w:gridSpan w:val="3"/>
          </w:tcPr>
          <w:p>
            <w:pPr>
              <w:jc w:val="center"/>
              <w:ind w:left="328"/>
              <w:spacing w:after="0" w:line="149" w:lineRule="exact"/>
              <w:rPr>
                <w:sz w:val="20"/>
                <w:szCs w:val="20"/>
                <w:color w:val="auto"/>
              </w:rPr>
            </w:pPr>
            <w:r>
              <w:rPr>
                <w:rFonts w:ascii="Arial" w:cs="Arial" w:eastAsia="Arial" w:hAnsi="Arial"/>
                <w:sz w:val="14"/>
                <w:szCs w:val="14"/>
                <w:color w:val="auto"/>
                <w:w w:val="93"/>
              </w:rPr>
              <w:t>76,219</w:t>
            </w:r>
          </w:p>
        </w:tc>
        <w:tc>
          <w:tcPr>
            <w:tcW w:w="140" w:type="dxa"/>
            <w:vAlign w:val="bottom"/>
          </w:tcPr>
          <w:p>
            <w:pPr>
              <w:spacing w:after="0"/>
              <w:rPr>
                <w:sz w:val="12"/>
                <w:szCs w:val="12"/>
                <w:color w:val="auto"/>
              </w:rPr>
            </w:pPr>
          </w:p>
        </w:tc>
        <w:tc>
          <w:tcPr>
            <w:tcW w:w="80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76,242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76,242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(4,973)</w:t>
            </w: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(329,593)</w:t>
            </w:r>
          </w:p>
        </w:tc>
        <w:tc>
          <w:tcPr>
            <w:tcW w:w="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(329,593)</w:t>
            </w: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(329,593)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Cash dividends declared ($0.72 per ordinary share)</w:t>
            </w:r>
          </w:p>
        </w:tc>
        <w:tc>
          <w:tcPr>
            <w:tcW w:w="6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(102,556)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(102,556)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(102,556)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85"/>
              </w:rPr>
              <w:t>334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Equity-based compensation expense related to</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Arial" w:cs="Arial" w:eastAsia="Arial" w:hAnsi="Arial"/>
                <w:sz w:val="14"/>
                <w:szCs w:val="14"/>
                <w:color w:val="auto"/>
              </w:rPr>
              <w:t>employees</w:t>
            </w:r>
          </w:p>
        </w:tc>
        <w:tc>
          <w:tcPr>
            <w:tcW w:w="60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center"/>
              <w:ind w:left="328"/>
              <w:spacing w:after="0"/>
              <w:rPr>
                <w:sz w:val="20"/>
                <w:szCs w:val="20"/>
                <w:color w:val="auto"/>
              </w:rPr>
            </w:pPr>
            <w:r>
              <w:rPr>
                <w:rFonts w:ascii="Arial" w:cs="Arial" w:eastAsia="Arial" w:hAnsi="Arial"/>
                <w:sz w:val="14"/>
                <w:szCs w:val="14"/>
                <w:color w:val="auto"/>
                <w:w w:val="93"/>
              </w:rPr>
              <w:t>34,580</w:t>
            </w:r>
          </w:p>
        </w:tc>
        <w:tc>
          <w:tcPr>
            <w:tcW w:w="140" w:type="dxa"/>
            <w:vAlign w:val="bottom"/>
          </w:tcPr>
          <w:p>
            <w:pPr>
              <w:spacing w:after="0"/>
              <w:rPr>
                <w:sz w:val="14"/>
                <w:szCs w:val="14"/>
                <w:color w:val="auto"/>
              </w:rPr>
            </w:pPr>
          </w:p>
        </w:tc>
        <w:tc>
          <w:tcPr>
            <w:tcW w:w="80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34,580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34,580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6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3"/>
              </w:rPr>
              <w:t>43,163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43,163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June 30, 2018</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8"/>
              </w:rPr>
              <w:t>141,444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4,435</w:t>
            </w:r>
          </w:p>
        </w:tc>
        <w:tc>
          <w:tcPr>
            <w:tcW w:w="14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3,569,686</w:t>
            </w:r>
          </w:p>
        </w:tc>
        <w:tc>
          <w:tcPr>
            <w:tcW w:w="140" w:type="dxa"/>
            <w:vAlign w:val="bottom"/>
          </w:tcPr>
          <w:p>
            <w:pPr>
              <w:spacing w:after="0"/>
              <w:rPr>
                <w:sz w:val="13"/>
                <w:szCs w:val="13"/>
                <w:color w:val="auto"/>
              </w:rPr>
            </w:pPr>
          </w:p>
        </w:tc>
        <w:tc>
          <w:tcPr>
            <w:tcW w:w="7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6"/>
              </w:rPr>
              <w:t>$ (4,694,717</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(24,379)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4,664,681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3,519,706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gridSpan w:val="2"/>
          </w:tcPr>
          <w:p>
            <w:pPr>
              <w:jc w:val="center"/>
              <w:ind w:left="128"/>
              <w:spacing w:after="0" w:line="155" w:lineRule="exact"/>
              <w:rPr>
                <w:sz w:val="20"/>
                <w:szCs w:val="20"/>
                <w:color w:val="auto"/>
              </w:rPr>
            </w:pPr>
            <w:r>
              <w:rPr>
                <w:rFonts w:ascii="Arial" w:cs="Arial" w:eastAsia="Arial" w:hAnsi="Arial"/>
                <w:sz w:val="14"/>
                <w:szCs w:val="14"/>
                <w:color w:val="auto"/>
                <w:w w:val="93"/>
              </w:rPr>
              <w:t>43,163</w:t>
            </w:r>
          </w:p>
        </w:tc>
        <w:tc>
          <w:tcPr>
            <w:tcW w:w="1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3,562,869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Nine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357,419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310,130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155,258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157,421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(9,455)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(79,232)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Income taxes payable,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442,752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441,900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 of property and equipment, net (*)</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(93,761)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(197,253)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302,949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(352,599)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(325,354)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(308,036)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(329,593)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(108,886)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Investment by noncontrolling interests, net (*)</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(4,776)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(403,793)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(305,596)</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(10,995)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(189,050)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418,783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649,611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407,788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460,561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paid for:</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80" w:hanging="436"/>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of $9,676 relating to the refund of betterment levy for the nine months ended June 30, 2019, ($4,776 of which was a refund to the noncontrolling interests), proceeds from sale of property and equipment of $74 and $113 for the nine months ended June 30, 2019 and 2018, respectively.</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amdocsONE, an open and modular solution set.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subsidiaries around the world, the vast majority of which are wholly-owned.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87" w:lineRule="exact"/>
        <w:rPr>
          <w:sz w:val="20"/>
          <w:szCs w:val="20"/>
          <w:color w:val="auto"/>
        </w:rPr>
      </w:pPr>
    </w:p>
    <w:p>
      <w:pPr>
        <w:ind w:left="200" w:right="1280" w:firstLine="441"/>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2018, set forth in the Company’s Annual Report on Form 20-F filed on December 10, 2018 with the U.S. Securities and Exchange Commission, or the SEC.</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November 2018, the Financial Accounting Standards Board, or FASB, issued Accounting Standard Update, or ASU, No. 2018-18</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The ASU clarifies the interaction between collaborative arrangements and the new revenue standards. This ASU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the Company on October 1, 2020, and early adoption is permitted. The Company currently expects that adoption of this ASU will not have a material impact on its consolidated financial statements.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This ASU will be effective for the Company on October 1, 2020, and early adoption is permitted. The Company currently expects that adoption of this ASU will not have a material impact on its consolidated financial statements.</w:t>
      </w:r>
    </w:p>
    <w:p>
      <w:pPr>
        <w:spacing w:after="0" w:line="18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This ASU will be effective for the Company on October 1, 2020, and early adoption is permitted with specific limitations. The Company currently expects that adoption of this ASU may result in changes to its financial statements disclosure and will not have a material impact on its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 retirement benefit plans. This ASU will be effective for the Company on October 1, 2020, and early adoption is permitted. The Company expects that the adoption of this ASU will not have a material impact on its consolidated financial statements.</w:t>
      </w:r>
    </w:p>
    <w:p>
      <w:pPr>
        <w:spacing w:after="0" w:line="187" w:lineRule="exact"/>
        <w:rPr>
          <w:sz w:val="20"/>
          <w:szCs w:val="20"/>
          <w:color w:val="auto"/>
        </w:rPr>
      </w:pPr>
    </w:p>
    <w:p>
      <w:pPr>
        <w:jc w:val="both"/>
        <w:ind w:left="200" w:right="360" w:firstLine="441"/>
        <w:spacing w:after="0" w:line="279" w:lineRule="auto"/>
        <w:rPr>
          <w:sz w:val="20"/>
          <w:szCs w:val="20"/>
          <w:color w:val="auto"/>
        </w:rPr>
      </w:pPr>
      <w:r>
        <w:rPr>
          <w:rFonts w:ascii="Arial" w:cs="Arial" w:eastAsia="Arial" w:hAnsi="Arial"/>
          <w:sz w:val="17"/>
          <w:szCs w:val="17"/>
          <w:color w:val="auto"/>
        </w:rPr>
        <w:t>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ASU aligns the measurement and classification for share-based payments to nonemployees with the guidance for share-based payments to employees, with certain exceptions. This ASU will be effective for the Company on October 1, 2019, and early adoption is permitted with certain limitations. The Company expects that the adoption of this ASU will not have a material impact on its consolidated financial statements.</w:t>
      </w:r>
    </w:p>
    <w:p>
      <w:pPr>
        <w:spacing w:after="0" w:line="17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The ASU amends existing guidance to simplify the application of hedge accounting in certain situations and allows companies to better align their hedge accounting with their risk management activities. This ASU will be effective for the Company on October 1, 2020, and earlier adoption by one year is permitted. The Company currently expects that adoption of this ASU will not have a material impact on its consolidated financial statements.</w:t>
      </w:r>
    </w:p>
    <w:p>
      <w:pPr>
        <w:spacing w:after="0" w:line="17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ASU which introduces an impairment model that is based on expected losses rather than incurred losses and will apply to financial assets subject to credit losses and measured at amortized cost, and certain off-balance sheet credit exposures. This ASU will be effective for the Company on October 1, 2020, and earlier adoption by one year is permitted. The Company is currently evaluating the impact of adoption of this ASU on its consolidated financial statements.</w:t>
      </w:r>
    </w:p>
    <w:p>
      <w:pPr>
        <w:spacing w:after="0" w:line="154"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ASU increases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will be effective for the Company on October 1, 2019 and early adoption is permitted. The Company will adopt this ASU using a modified retrospective method. The Company is in process of gathering and analyzing its lease contracts and evaluating changes to system, business processes and controls needed to support recognition and disclosure under this new standard. The Company expects its leases designated as operating leases will be reported on the consolidated balance sheet upon adoption, which will increase its total assets and liabilities. The Company currently expects that the adoption of this ASU will not have a material impact on its consolidated statement of income and on its consolidated statement of cash flow.</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December 2017, the SEC issued Staff Accounting Bulletin No. 118 (“SAB No. 118”) in response to the new tax legislation in the United States (The Tax Cuts and Jobs Act or “The Act”). The Act, which was enacted on December 22, 2017, reduces the US federal corporate tax rate from 35% to 21%, which requires the payment of a one-time transition tax on earnings of certain foreign subsidiaries and creates new taxes on certain foreign sourced earnings. The guidance provided in SAB No.118 allowed the Company to record provisional amounts of income tax effects of the Act during a one-year measurement period. As of December 31, 2018, the Company has completed its accounting for the tax effects of enactment of the Act and made a reasonable estimate of the effects on its existing deferred tax balances and the one-time transition tax. There was no material impact on the Company’s consolidated financial statements, see also Note 9 to the consolidated financial statements.</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ASU revises and narrows the definition of a business and provides a framework that gives entities a basis for making reasonable judgments about whether a transaction involves an asset or a business. The Company prospectively adopted this ASU effective October 1, 2018. As of the date of the adoption there was no impact on the Company’s consolidated financial statements.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The ASU requires the Company to recognize the income tax consequences of intra-entity transfers, other than inventory, when the transfer occurs. The Company adopted this ASU as of October 1, 2018 using the modified retrospective transition approach, which resulted in a cumulative adjustment of $3,860 decrease of the retained earnings.</w:t>
      </w:r>
    </w:p>
    <w:p>
      <w:pPr>
        <w:spacing w:after="0" w:line="1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In August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The ASU intends to reduce diversity in practice in how certain transactions are classified in the statement of cash flows. The Company retrospectively adopted this ASU effective October 1, 2018, which resulted in the classification of certain cash payments of contingent consideration in financing activities on the Company’s consolidated statement of cash flow during the nine months ended June 30, 2019. There was no such impact during the nine months ended June 30, 2018.</w:t>
      </w:r>
    </w:p>
    <w:p>
      <w:pPr>
        <w:spacing w:after="0" w:line="18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In January 2016, the FASB issued ASU No.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The ASU updates certain aspects of recognition and measurement of financial assets and financial liabilities. The ASU affects the accounting for equity investments, financial liabilities under the fair value option, and the presentation and disclosure requirements for financial instruments. The Company prospectively adopted this ASU effective October 1, 2018. There was no material impact on the Company’s consolidated financial statements, see also Note 5 to the consolidated financial statements.</w:t>
      </w:r>
    </w:p>
    <w:p>
      <w:pPr>
        <w:spacing w:after="0" w:line="15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May 2014, the FASB issued ASU No. 2014-09,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ASU on revenue from contracts with customers, or the new revenue standard, which outlines a single comprehensive model for entities to use in accounting for revenue arising from contracts with customers and supersedes most current revenue recognition guidance. The Company developed a transition plan, including changes to policies, processes and internal controls, as well as system enhancements to generate the information necessary for new disclosure requirements and recently completed an assessment to identify the potential areas of impact that this new revenue recognition standard will have on its consolidated financial statement and internal control environment. As part of the assessment, the Company reviewed a representative sample of its contracts across its various customers and geographies to identify potential differences that could result from applying the requirements of the new standard. As of October 1, 2018, the Company adopted this ASU using the modified retrospective transition approach. This method was applied to contracts that were not complete as of the date of adoption.</w:t>
      </w:r>
    </w:p>
    <w:p>
      <w:pPr>
        <w:spacing w:after="0" w:line="182"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The cumulative impact of adopting ASC 606, which was immaterial, was a net increase in the opening balance of retained earnings of $14,294, net of tax, from total amount of $4,673,901 to $4,688,195. The impact was primarily related to (i) the removal of the limitation on contingent revenue, as revenue allocated to satisfied performance obligations is no longer restricted to the amount that is not contingent upon the satisfaction of additional performance obligations (ii) the change of definition of contract term to represent the period for which enforceable rights and obligations exist, and (iii) the capitalization and amortization of certain sales commissions in accordance with ASC 606.</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depicts the impact of adoption as of October 1, 2018 on the Company’s consolidated balance sheet: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October 1, 2018</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Balance as of</w:t>
            </w:r>
          </w:p>
        </w:tc>
        <w:tc>
          <w:tcPr>
            <w:tcW w:w="14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Balance as of</w:t>
            </w:r>
          </w:p>
        </w:tc>
        <w:tc>
          <w:tcPr>
            <w:tcW w:w="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040" w:type="dxa"/>
            <w:vAlign w:val="bottom"/>
            <w:gridSpan w:val="2"/>
          </w:tcPr>
          <w:p>
            <w:pPr>
              <w:jc w:val="center"/>
              <w:ind w:left="3034"/>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due to</w:t>
            </w:r>
          </w:p>
        </w:tc>
        <w:tc>
          <w:tcPr>
            <w:tcW w:w="1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October 1,</w:t>
            </w:r>
          </w:p>
        </w:tc>
      </w:t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040" w:type="dxa"/>
            <w:vAlign w:val="bottom"/>
            <w:gridSpan w:val="2"/>
          </w:tcPr>
          <w:p>
            <w:pPr>
              <w:jc w:val="center"/>
              <w:ind w:left="3054"/>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ASC 606</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1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Balance Sheet:</w:t>
            </w:r>
          </w:p>
        </w:tc>
        <w:tc>
          <w:tcPr>
            <w:tcW w:w="3400" w:type="dxa"/>
            <w:vAlign w:val="bottom"/>
            <w:tcBorders>
              <w:top w:val="single" w:sz="8" w:color="CCEEFF"/>
              <w:bottom w:val="single" w:sz="8" w:color="CCEEFF"/>
            </w:tcBorders>
            <w:shd w:val="clear" w:color="auto" w:fill="CCEEFF"/>
          </w:tcPr>
          <w:p>
            <w:pPr>
              <w:spacing w:after="0"/>
              <w:rPr>
                <w:sz w:val="15"/>
                <w:szCs w:val="15"/>
                <w:color w:val="auto"/>
              </w:rPr>
            </w:pP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Account receivable – unbilled</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  263,997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10,039</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274,036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229,999</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229,028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Other noncurrent assets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420,369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15,636</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436,005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 (current)</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706,637</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(14,062)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692,575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224,572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234,996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4,673,901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14,294</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4,688,195</w:t>
            </w:r>
          </w:p>
        </w:tc>
        <w:tc>
          <w:tcPr>
            <w:tcW w:w="60" w:type="dxa"/>
            <w:vAlign w:val="bottom"/>
          </w:tcPr>
          <w:p>
            <w:pPr>
              <w:spacing w:after="0"/>
              <w:rPr>
                <w:sz w:val="20"/>
                <w:szCs w:val="20"/>
                <w:color w:val="auto"/>
              </w:rPr>
            </w:pPr>
          </w:p>
        </w:tc>
      </w:tr>
      <w:tr>
        <w:trPr>
          <w:trHeight w:val="404"/>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60" w:type="dxa"/>
            <w:vAlign w:val="bottom"/>
          </w:tcPr>
          <w:p>
            <w:pPr>
              <w:jc w:val="right"/>
              <w:ind w:right="2014"/>
              <w:spacing w:after="0"/>
              <w:rPr>
                <w:sz w:val="20"/>
                <w:szCs w:val="20"/>
                <w:color w:val="auto"/>
              </w:rPr>
            </w:pPr>
            <w:r>
              <w:rPr>
                <w:rFonts w:ascii="Arial" w:cs="Arial" w:eastAsia="Arial" w:hAnsi="Arial"/>
                <w:sz w:val="18"/>
                <w:szCs w:val="18"/>
                <w:color w:val="auto"/>
              </w:rPr>
              <w:t>11</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Revenue Recognition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As discussed in Note 3, the Company adopted ASC 606 using the modified retrospective transition method. Other than the policies discussed below, no material changes have been made to the Company’s significant accounting policies disclosed in Note 2, Summary of Significant Accounting Policies, in its Annual Report on Form 20-F, filed on December 10, 2018, for the fiscal year ended September 30, 2018.</w:t>
      </w:r>
    </w:p>
    <w:p>
      <w:pPr>
        <w:spacing w:after="0" w:line="166"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recognizes revenue under the five-step methodology required under ASC 606, which requires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primary revenue categories, related performance obligations, and associated recognition patterns are as follows:</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i w:val="1"/>
          <w:iCs w:val="1"/>
          <w:color w:val="auto"/>
        </w:rPr>
        <w:t xml:space="preserve">Revenue Recognition for projects </w:t>
      </w:r>
      <w:r>
        <w:rPr>
          <w:rFonts w:ascii="Arial" w:cs="Arial" w:eastAsia="Arial" w:hAnsi="Arial"/>
          <w:sz w:val="18"/>
          <w:szCs w:val="18"/>
          <w:color w:val="auto"/>
        </w:rPr>
        <w:t>– The Company usually sells its software licenses as part of an overall solution offered to a customer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customization, modification, implementation and integration. Those services are deemed essential to the software revenues for these projects are recognized over time, usually based on a percentage that incurred labor effort to date bears to total projected labor effort. Incurred effort represents work performed, which corresponds with, and thereby best depicts, the transfer of control to the customer.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 Revenue for services that are not deemed essential to the software is recognized over time as services are performed.</w:t>
      </w:r>
    </w:p>
    <w:p>
      <w:pPr>
        <w:spacing w:after="0" w:line="192"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As a significant portion of the Company’s revenue is satisfied over time as work progresses, the annual and quarterly operating results may be affected by the size and timing of the initiation of customer projects as well as the Company’s progress in completing such projects.</w:t>
      </w:r>
    </w:p>
    <w:p>
      <w:pPr>
        <w:spacing w:after="0" w:line="14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i w:val="1"/>
          <w:iCs w:val="1"/>
          <w:color w:val="auto"/>
        </w:rPr>
        <w:t xml:space="preserve">Revenue Recognition for subsequent license fee </w:t>
      </w:r>
      <w:r>
        <w:rPr>
          <w:rFonts w:ascii="Arial" w:cs="Arial" w:eastAsia="Arial" w:hAnsi="Arial"/>
          <w:sz w:val="18"/>
          <w:szCs w:val="18"/>
          <w:color w:val="auto"/>
        </w:rPr>
        <w:t>– Subsequent license fee revenue is recognized when the customer has access to the license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use and benefit from the license. In cases when the conditions require delivery, then delivery must have occurred for purposes of revenue recognition. Subsequent license fee is based on a customer’s subscriber level, transaction volume or other measurements when greater than the level specified in the contract for the initial license fee.</w:t>
      </w:r>
    </w:p>
    <w:p>
      <w:pPr>
        <w:spacing w:after="0" w:line="187"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i w:val="1"/>
          <w:iCs w:val="1"/>
          <w:color w:val="auto"/>
        </w:rPr>
        <w:t xml:space="preserve">Revenue Recognition for term-based license and perpetual license </w:t>
      </w:r>
      <w:r>
        <w:rPr>
          <w:rFonts w:ascii="Arial" w:cs="Arial" w:eastAsia="Arial" w:hAnsi="Arial"/>
          <w:sz w:val="18"/>
          <w:szCs w:val="18"/>
          <w:color w:val="auto"/>
        </w:rPr>
        <w:t>– Revenue related to software solutions that do not require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customization, implementation and modification are recognized upon delivery.</w:t>
      </w:r>
    </w:p>
    <w:p>
      <w:pPr>
        <w:spacing w:after="0" w:line="17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i w:val="1"/>
          <w:iCs w:val="1"/>
          <w:color w:val="auto"/>
        </w:rPr>
        <w:t xml:space="preserve">Revenue Recognition for managed services arrangement </w:t>
      </w:r>
      <w:r>
        <w:rPr>
          <w:rFonts w:ascii="Arial" w:cs="Arial" w:eastAsia="Arial" w:hAnsi="Arial"/>
          <w:sz w:val="18"/>
          <w:szCs w:val="18"/>
          <w:color w:val="auto"/>
        </w:rPr>
        <w:t>– Managed services arrangements include management of data center operations and IT</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application management and ongoing support, management of end-to-end business processes, and managed transformation that includes both a transformation project as well as taking over managed services responsibility.</w:t>
      </w:r>
    </w:p>
    <w:p>
      <w:pPr>
        <w:spacing w:after="0" w:line="181"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The revenue from managed services arrangement is recognized for each individual performance obligation according to its relevant revenue category, including but not limited to, revenue from the management of a customer’s operations, revenue from projects and revenue from on going support services.</w:t>
      </w:r>
    </w:p>
    <w:p>
      <w:pPr>
        <w:spacing w:after="0" w:line="181"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Revenue from the management of a customer’s operations pursuant to managed services arrangements, is recognized over time as services are preformed, using one method of measuring performance such as time elapsed, output produced, volume of data processed or subscriber count that provides the most faithful depiction of the transfer of services. pursuant to the specific contract terms of the managed services arrangement. Typically, managed services arrangements are long term in duration and are not subject to significant seasonality.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Revenue Recognition for maintenance </w:t>
      </w:r>
      <w:r>
        <w:rPr>
          <w:rFonts w:ascii="Arial" w:cs="Arial" w:eastAsia="Arial" w:hAnsi="Arial"/>
          <w:sz w:val="18"/>
          <w:szCs w:val="18"/>
          <w:color w:val="auto"/>
        </w:rPr>
        <w:t>– Maintenance revenue is recognized ratably over the term of the maintenance agreement.</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Revenue Recognition for ongoing support services – </w:t>
      </w:r>
      <w:r>
        <w:rPr>
          <w:rFonts w:ascii="Arial" w:cs="Arial" w:eastAsia="Arial" w:hAnsi="Arial"/>
          <w:sz w:val="18"/>
          <w:szCs w:val="18"/>
          <w:color w:val="auto"/>
        </w:rPr>
        <w:t>Revenue from ongoing support services is recognized as work is performed.</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Revenue Recognition for third-party hardware and software </w:t>
      </w:r>
      <w:r>
        <w:rPr>
          <w:rFonts w:ascii="Arial" w:cs="Arial" w:eastAsia="Arial" w:hAnsi="Arial"/>
          <w:sz w:val="18"/>
          <w:szCs w:val="18"/>
          <w:color w:val="auto"/>
        </w:rPr>
        <w:t>– Third-party hardware sales are recognized upon delivery or installation, and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third-party software sales is recognized upon delivery. Revenue from third-party hardware and software sales is recorded at gross amount for transactions in which the Company is the primary obligor under the arrangement. In specific circumstances where the Company does not meet the above criteria, particularly when the contract stipulates that the Company is not the primary obligor, the Company recognizes revenue on a net basis. In certain arrangements, the Company may earn revenue from other third-party services which is recorded at a gross amount as the Company is the primary obligor under the arrangement.</w:t>
      </w:r>
    </w:p>
    <w:p>
      <w:pPr>
        <w:spacing w:after="0" w:line="19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i w:val="1"/>
          <w:iCs w:val="1"/>
          <w:color w:val="auto"/>
        </w:rPr>
        <w:t xml:space="preserve">Arrangements with Multiple Performance Obligations </w:t>
      </w:r>
      <w:r>
        <w:rPr>
          <w:rFonts w:ascii="Arial" w:cs="Arial" w:eastAsia="Arial" w:hAnsi="Arial"/>
          <w:sz w:val="17"/>
          <w:szCs w:val="17"/>
          <w:color w:val="auto"/>
        </w:rPr>
        <w:t>– Many of the Company’s agreements include multiple performance obligations.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allocates the transaction price for each contract to each performance obligation identified in the contract based on the relative standalone selling price (SSP). The Company determines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the Company offers its services in accordance with ASC 606. The determination of SSP requires the exercise of judgement. If a specific performance obligation is sold for a broad range of amounts (that is, the selling price is highly variable) or if the Company has not yet established a price for that good or service, and the good or service has not previously been sold on a standalone basis (that is, the selling price is uncertain), the Company applies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78"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Billing terms and conditions generally vary by contract category. Amounts are billed as work progresses in accordance with agreed-upon contractual terms, either at periodic intervals (e.g., monthly or quarterly) or upon achievement of contractual milestones. In cases where timing of revenue recognition significantly differs from the timing of invoicing, the Company has determined that its contracts do not include a significant financing component. The Company elected to use the practical expedient in assessing the financing component in contracts where the time between cash collection and performance is less than one year.</w:t>
      </w:r>
    </w:p>
    <w:p>
      <w:pPr>
        <w:spacing w:after="0" w:line="188"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i w:val="1"/>
          <w:iCs w:val="1"/>
          <w:color w:val="auto"/>
        </w:rPr>
        <w:t xml:space="preserve">Accounts Receivable – Unbilled – </w:t>
      </w:r>
      <w:r>
        <w:rPr>
          <w:rFonts w:ascii="Arial" w:cs="Arial" w:eastAsia="Arial" w:hAnsi="Arial"/>
          <w:sz w:val="18"/>
          <w:szCs w:val="18"/>
          <w:color w:val="auto"/>
        </w:rPr>
        <w:t>Unbilled accounts receivable include all revenue amounts that had not been billed as of the balance sheet date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contractual billing terms with customers. Unbilled accounts receivable that are expected to be billed beyond the next 12 months are considered long-term unbilled receivables and included in other noncurrent assets.</w:t>
      </w:r>
    </w:p>
    <w:p>
      <w:pPr>
        <w:spacing w:after="0" w:line="18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i w:val="1"/>
          <w:iCs w:val="1"/>
          <w:color w:val="auto"/>
        </w:rPr>
        <w:t xml:space="preserve">Deferred Revenue – </w:t>
      </w:r>
      <w:r>
        <w:rPr>
          <w:rFonts w:ascii="Arial" w:cs="Arial" w:eastAsia="Arial" w:hAnsi="Arial"/>
          <w:sz w:val="18"/>
          <w:szCs w:val="18"/>
          <w:color w:val="auto"/>
        </w:rPr>
        <w:t>Deferred revenue represents billings to customers for which revenue has not yet been recognized. Deferred revenue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recognized beyond the next 12 months is considered long-term deferred revenue.</w:t>
      </w:r>
    </w:p>
    <w:p>
      <w:pPr>
        <w:spacing w:after="0" w:line="170"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i w:val="1"/>
          <w:iCs w:val="1"/>
          <w:color w:val="auto"/>
        </w:rPr>
        <w:t xml:space="preserve">Assets Recognized from the Costs to Obtain a Contract with a Customer – </w:t>
      </w:r>
      <w:r>
        <w:rPr>
          <w:rFonts w:ascii="Arial" w:cs="Arial" w:eastAsia="Arial" w:hAnsi="Arial"/>
          <w:sz w:val="17"/>
          <w:szCs w:val="17"/>
          <w:color w:val="auto"/>
        </w:rPr>
        <w:t>Incremental costs of obtaining a contract (e.g., sales commissions)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and amortized on a straight-line basis over the average contract period if the Company expects to recover those costs. Commissions on renewals are commensurate with the commission from the initial arrangement. Incremental costs of obtaining a contract include only those costs the Company incurs to obtain a contract that it would not have incurred if the contract had not been obtained. The Company has determined that certain sales commissions programs meet the requirements to be capitalized, which prior to the adoption of ASC 606, were previously expensed as incurred. Additionally, as a practical expedient, the Company expenses costs to obtain a contract as incurred if the amortization period would have been a year or less. Total capitalized costs to obtain a contract were immaterial during the periods presented and are included in other noncurrent assets in the Company’s consolidated balance sheets. The amortization of these costs is included in selling, general and administrative expenses in the Company’s consolidated statements of income.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Transition Disclosures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impact of adopting the new standard for the three and nine months ended June 30, 2019 was an increase of approximately $2,450 and $18,277 to revenue, respectively, an increase of approximately $4,896 and decrease of approximately $6,605 to cost of revenue, respectively. The impact of adopting the new standard on the balance sheet of June 30, 2019 are primarily as a result of the transition adjustments presented in Note 3 to the consolidated financial statements.</w:t>
      </w:r>
    </w:p>
    <w:p>
      <w:pPr>
        <w:spacing w:after="0" w:line="1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97"/>
              </w:rPr>
              <w:t>As of</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14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0"/>
                <w:szCs w:val="10"/>
                <w:color w:val="auto"/>
              </w:rPr>
            </w:pPr>
          </w:p>
        </w:tc>
        <w:tc>
          <w:tcPr>
            <w:tcW w:w="9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October 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(as adjusted)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Accounts receivable – billed (net of allowances for doubtful accounts of $21,211 and $29,600 as of</w:t>
            </w: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1, 2018 and June 30, 2019, respectively)</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707,505</w:t>
            </w:r>
          </w:p>
        </w:tc>
        <w:tc>
          <w:tcPr>
            <w:tcW w:w="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707,505</w:t>
            </w: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746,606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500" w:type="dxa"/>
            <w:vAlign w:val="bottom"/>
            <w:gridSpan w:val="2"/>
          </w:tcPr>
          <w:p>
            <w:pPr>
              <w:spacing w:after="0"/>
              <w:rPr>
                <w:sz w:val="20"/>
                <w:szCs w:val="20"/>
                <w:color w:val="auto"/>
              </w:rPr>
            </w:pPr>
            <w:r>
              <w:rPr>
                <w:rFonts w:ascii="Arial" w:cs="Arial" w:eastAsia="Arial" w:hAnsi="Arial"/>
                <w:sz w:val="18"/>
                <w:szCs w:val="18"/>
                <w:color w:val="auto"/>
              </w:rPr>
              <w:t>Accounts receivable – unbilled (current)</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263,997</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274,036</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206,285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00" w:type="dxa"/>
            <w:vAlign w:val="bottom"/>
            <w:gridSpan w:val="2"/>
          </w:tcPr>
          <w:p>
            <w:pPr>
              <w:spacing w:after="0"/>
              <w:rPr>
                <w:sz w:val="20"/>
                <w:szCs w:val="20"/>
                <w:color w:val="auto"/>
              </w:rPr>
            </w:pPr>
            <w:r>
              <w:rPr>
                <w:rFonts w:ascii="Arial" w:cs="Arial" w:eastAsia="Arial" w:hAnsi="Arial"/>
                <w:sz w:val="18"/>
                <w:szCs w:val="18"/>
                <w:color w:val="auto"/>
              </w:rPr>
              <w:t>Total Accounts receivable – unbilled</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287,221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222,968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(132,414)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(146,462)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(115,963)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(27,977)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(27,977)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160,391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174,439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Revenue recognized during the three and nine months ended June 30, 2019, which was included in deferred revenue (current) as of March 31, 2019 and October 1, 2018 was $48,151 and $70,352, respectively. Amounts billed during the three and nine months ended June 30, 2019, included in unbilled accounts receivable (current) as of March 31, 2019 and October 1, 2018, was $25,005 and $115,349, respectively.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Remaining Performance Obligations from Contracts with Customer</w:t>
      </w:r>
    </w:p>
    <w:p>
      <w:pPr>
        <w:spacing w:after="0" w:line="12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As of June 30, 2019, the aggregate amount of the transaction price allocated to remaining performance obligations that are unsatisfied or partially unsatisfied was approximately $4.7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82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arrangement</w:t>
            </w:r>
          </w:p>
        </w:tc>
        <w:tc>
          <w:tcPr>
            <w:tcW w:w="3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578,072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515,032</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$1,663,025</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$1,542,700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Others</w:t>
            </w:r>
          </w:p>
        </w:tc>
        <w:tc>
          <w:tcPr>
            <w:tcW w:w="3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446,632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487,166</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1,393,391</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1,429,549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1,024,704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1,002,198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3,056,416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2,972,249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40" w:type="dxa"/>
            <w:vAlign w:val="bottom"/>
            <w:vMerge w:val="restart"/>
          </w:tcPr>
          <w:p>
            <w:pPr>
              <w:jc w:val="right"/>
              <w:ind w:right="1190"/>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82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643,899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644,780</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$1,938,498</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$1,912,032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145,518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139,317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442,687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421,610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218,101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675,231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638,607</w:t>
            </w:r>
          </w:p>
        </w:tc>
        <w:tc>
          <w:tcPr>
            <w:tcW w:w="60" w:type="dxa"/>
            <w:vAlign w:val="bottom"/>
            <w:shd w:val="clear" w:color="auto" w:fill="CCEEFF"/>
          </w:tcPr>
          <w:p>
            <w:pPr>
              <w:spacing w:after="0"/>
              <w:rPr>
                <w:sz w:val="18"/>
                <w:szCs w:val="18"/>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1,024,704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1,002,198</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3,056,416</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2,972,249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jc w:val="both"/>
        <w:ind w:left="200" w:right="340" w:firstLine="441"/>
        <w:spacing w:after="0" w:line="302"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4"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640" w:right="3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present the Company’s assets and liabilities measured at fair value on a recurring basis as of June 30, 2019 and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2018:</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As of June 30, 2019</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2"/>
                <w:szCs w:val="12"/>
                <w:color w:val="auto"/>
              </w:rPr>
            </w:pPr>
          </w:p>
        </w:tc>
        <w:tc>
          <w:tcPr>
            <w:tcW w:w="6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3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$20,901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3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15,417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15,417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3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34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4,859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3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34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36,318</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34,502</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w:t>
            </w:r>
          </w:p>
        </w:tc>
        <w:tc>
          <w:tcPr>
            <w:tcW w:w="3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3440" w:type="dxa"/>
            <w:vAlign w:val="bottom"/>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(22,269)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36,318</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37,091</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$ 63,448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40" w:type="dxa"/>
            <w:vAlign w:val="bottom"/>
            <w:vMerge w:val="restart"/>
          </w:tcPr>
          <w:p>
            <w:pPr>
              <w:jc w:val="right"/>
              <w:ind w:right="1850"/>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As of September 30, 2018</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$ 47,531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47,531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30,883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23,258</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9,177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20" w:type="dxa"/>
            <w:vAlign w:val="bottom"/>
            <w:shd w:val="clear" w:color="auto" w:fill="CCEEFF"/>
          </w:tcPr>
          <w:p>
            <w:pPr>
              <w:spacing w:after="0"/>
              <w:rPr>
                <w:sz w:val="18"/>
                <w:szCs w:val="18"/>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2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54,141</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131,316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(27,842)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(27,842)</w:t>
            </w: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0"/>
              </w:rPr>
              <w:t>(37,954)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(37,954)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54,141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$ 49,333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(37,954)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nine months ended June 30, 2019. Level 3 liabilities relate to certain acquisition-related liabilities, which were valued using a Monte-Carlo simulation model. These liabilities were included in both accrued expenses and other current liabilities and other noncurrent liabilities as of June 30, 2019 and September 30, 2018. The decrease in Level 3 liabilities is primarily related to payments of certain acquisition-related liabilities during the three and nine months ended June 30, 2019. Level 3 assets relate to an equity investment, which was valued based on price changes in orderly transactions for similar investments of the same issuer.</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8"/>
              </w:rPr>
              <w:t>As of June 30, 2019</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Gross</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80" w:type="dxa"/>
            <w:vAlign w:val="bottom"/>
            <w:gridSpan w:val="2"/>
            <w:vMerge w:val="continue"/>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102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Losses</w:t>
            </w: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$ 20,901</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$ 20,901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19,927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8,532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2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$ 70,914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100" w:hanging="436"/>
        <w:spacing w:after="0" w:line="25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June 30, 2019, $49,919 of securities were classified as short-term interest-bearing investments and $20,901 of securities were classified as cash and cash equivalents.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As of September 30, 2018</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Gross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4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4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6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w w:val="82"/>
              </w:rPr>
              <w:t>Losses</w:t>
            </w:r>
          </w:p>
        </w:tc>
        <w:tc>
          <w:tcPr>
            <w:tcW w:w="3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48,252</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30,883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16,297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2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132,908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600" w:hanging="436"/>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September 30, 2018, $100,433 of securities were classified as short-term interest-bearing investments and $30,883 of securities were classified as cash and cash equivalents.</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As of June 30, 2019,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the nine months ended June 30, 2019 and 2018. Realized gains and losses on available-for-sale securities are included in earnings and are derived using the first-in-first-out (FIFO) method for determining the cost of securities.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2019, the Company’s available-for-sale securities had the following maturity dates: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22,785</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70,820</w:t>
            </w:r>
          </w:p>
        </w:tc>
        <w:tc>
          <w:tcPr>
            <w:tcW w:w="6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$5,652 as of June 30, 2019. The Company has limited its credit risk by entering into derivative transactions exclusively with investment-grade rated financial institutions and monitors the creditworthiness of these financial institutions on an ongoing basis.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June 30, 2019. Notional values are in U.S. dollars and are translated and calculated based on forward rates as of June 30, 2019 for forward contracts, and based on spot rates as of June 30, 2019 for options.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280" w:type="dxa"/>
            <w:vAlign w:val="bottom"/>
            <w:gridSpan w:val="3"/>
          </w:tcPr>
          <w:p>
            <w:pPr>
              <w:ind w:left="2240"/>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1,156,248</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220" w:hanging="436"/>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June 30, 2019 and September 30, 2018, is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6"/>
              </w:rPr>
              <w:t>June 30,</w:t>
            </w:r>
          </w:p>
        </w:tc>
        <w:tc>
          <w:tcPr>
            <w:tcW w:w="124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74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$ 7,766</w:t>
            </w:r>
          </w:p>
        </w:tc>
        <w:tc>
          <w:tcPr>
            <w:tcW w:w="14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880" w:type="dxa"/>
            <w:vAlign w:val="bottom"/>
            <w:gridSpan w:val="3"/>
          </w:tcPr>
          <w:p>
            <w:pPr>
              <w:jc w:val="right"/>
              <w:ind w:right="80"/>
              <w:spacing w:after="0"/>
              <w:rPr>
                <w:sz w:val="20"/>
                <w:szCs w:val="20"/>
                <w:color w:val="auto"/>
              </w:rPr>
            </w:pPr>
            <w:r>
              <w:rPr>
                <w:rFonts w:ascii="Arial" w:cs="Arial" w:eastAsia="Arial" w:hAnsi="Arial"/>
                <w:sz w:val="18"/>
                <w:szCs w:val="18"/>
                <w:color w:val="auto"/>
              </w:rPr>
              <w:t>(2,464)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(17,681)</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(10,030)</w:t>
            </w: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(4,457)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(3,135)</w:t>
            </w: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(2,959)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$ 2,589</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(27,842)</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June 30, 2019 is scheduled to mature within the next 12 months.</w:t>
      </w:r>
    </w:p>
    <w:p>
      <w:pPr>
        <w:spacing w:after="0" w:line="158"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w:t>
      </w:r>
    </w:p>
    <w:p>
      <w:pPr>
        <w:ind w:left="200" w:right="60"/>
        <w:spacing w:after="0" w:line="273" w:lineRule="auto"/>
        <w:rPr>
          <w:sz w:val="20"/>
          <w:szCs w:val="20"/>
          <w:color w:val="auto"/>
        </w:rPr>
      </w:pPr>
      <w:r>
        <w:rPr>
          <w:rFonts w:ascii="Arial" w:cs="Arial" w:eastAsia="Arial" w:hAnsi="Arial"/>
          <w:sz w:val="17"/>
          <w:szCs w:val="17"/>
          <w:color w:val="auto"/>
        </w:rPr>
        <w:t>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and nine months ended June 30, 2019 and 2018, respectively, which partially offsets the foreign currency impact from the underlying exposures, is summarized as follows: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7"/>
          </w:tcPr>
          <w:p>
            <w:pPr>
              <w:jc w:val="right"/>
              <w:spacing w:after="0"/>
              <w:rPr>
                <w:sz w:val="20"/>
                <w:szCs w:val="20"/>
                <w:color w:val="auto"/>
              </w:rPr>
            </w:pPr>
            <w:r>
              <w:rPr>
                <w:rFonts w:ascii="Arial" w:cs="Arial" w:eastAsia="Arial" w:hAnsi="Arial"/>
                <w:sz w:val="14"/>
                <w:szCs w:val="14"/>
                <w:b w:val="1"/>
                <w:bCs w:val="1"/>
                <w:color w:val="auto"/>
                <w:w w:val="89"/>
              </w:rPr>
              <w:t>(Losses) Gains Reclassified from</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gridSpan w:val="13"/>
          </w:tcPr>
          <w:p>
            <w:pPr>
              <w:jc w:val="right"/>
              <w:ind w:right="180"/>
              <w:spacing w:after="0"/>
              <w:rPr>
                <w:sz w:val="20"/>
                <w:szCs w:val="20"/>
                <w:color w:val="auto"/>
              </w:rPr>
            </w:pPr>
            <w:r>
              <w:rPr>
                <w:rFonts w:ascii="Arial" w:cs="Arial" w:eastAsia="Arial" w:hAnsi="Arial"/>
                <w:sz w:val="14"/>
                <w:szCs w:val="14"/>
                <w:b w:val="1"/>
                <w:bCs w:val="1"/>
                <w:color w:val="auto"/>
                <w:w w:val="93"/>
              </w:rPr>
              <w:t>Other Comprehensive Income (Loss) (Effective Portion)</w:t>
            </w:r>
          </w:p>
        </w:tc>
      </w:tr>
      <w:tr>
        <w:trPr>
          <w:trHeight w:val="119"/>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5"/>
          </w:tcPr>
          <w:p>
            <w:pPr>
              <w:jc w:val="right"/>
              <w:ind w:right="73"/>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4"/>
          </w:tcPr>
          <w:p>
            <w:pPr>
              <w:jc w:val="right"/>
              <w:ind w:right="233"/>
              <w:spacing w:after="0" w:line="119"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Revenue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(1,129)</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(2,402)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20" w:type="dxa"/>
            <w:vAlign w:val="bottom"/>
            <w:shd w:val="clear" w:color="auto" w:fill="CCEEFF"/>
          </w:tcPr>
          <w:p>
            <w:pPr>
              <w:spacing w:after="0"/>
              <w:rPr>
                <w:sz w:val="18"/>
                <w:szCs w:val="18"/>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(loss), net of tax, is as follows: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Nine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(losses) gains on cash flow hedges, net of tax,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(26,608)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$ 24,508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18,419</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(20,700)</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(gains) into earnings,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13,011</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(21,197)</w:t>
            </w: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color w:val="auto"/>
              </w:rPr>
              <w:t>Net unrealized gains (losses) on cash flow hedges, net of tax,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(17,389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40" w:firstLine="441"/>
        <w:spacing w:after="0" w:line="282" w:lineRule="auto"/>
        <w:rPr>
          <w:sz w:val="20"/>
          <w:szCs w:val="20"/>
          <w:color w:val="auto"/>
        </w:rPr>
      </w:pPr>
      <w:r>
        <w:rPr>
          <w:rFonts w:ascii="Arial" w:cs="Arial" w:eastAsia="Arial" w:hAnsi="Arial"/>
          <w:sz w:val="18"/>
          <w:szCs w:val="18"/>
          <w:color w:val="auto"/>
        </w:rPr>
        <w:t>Net gains (losses) from cash flow hedges recognized in other comprehensive income (loss) were $18,159 and $(23,165)</w:t>
      </w:r>
      <w:r>
        <w:rPr>
          <w:rFonts w:ascii="Arial" w:cs="Arial" w:eastAsia="Arial" w:hAnsi="Arial"/>
          <w:sz w:val="18"/>
          <w:szCs w:val="18"/>
          <w:b w:val="1"/>
          <w:bCs w:val="1"/>
          <w:color w:val="auto"/>
        </w:rPr>
        <w:t>,</w:t>
      </w:r>
      <w:r>
        <w:rPr>
          <w:rFonts w:ascii="Arial" w:cs="Arial" w:eastAsia="Arial" w:hAnsi="Arial"/>
          <w:sz w:val="18"/>
          <w:szCs w:val="18"/>
          <w:color w:val="auto"/>
        </w:rPr>
        <w:t xml:space="preserve"> or $18,419 and $(20,700) net of taxes, during the nine months ended June 30, 2019 and 2018, respectively.</w:t>
      </w:r>
    </w:p>
    <w:p>
      <w:pPr>
        <w:spacing w:after="0" w:line="166"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Of the net unrealized gain related to derivatives designated as cash flow hedges and recorded in accumulated other comprehensive income (loss) as of June 30, 2019, a net gain of $4,743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4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nine months ended June 30, 2019 and 2018, was not material.</w:t>
      </w:r>
    </w:p>
    <w:p>
      <w:pPr>
        <w:spacing w:after="0" w:line="170"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nine months ended June 30, 2019 and 2018, respectively, which partially offsets the foreign currency impact from the underlying exposure, is summarized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gridSpan w:val="14"/>
          </w:tcPr>
          <w:p>
            <w:pPr>
              <w:ind w:left="400"/>
              <w:spacing w:after="0"/>
              <w:rPr>
                <w:sz w:val="20"/>
                <w:szCs w:val="20"/>
                <w:color w:val="auto"/>
              </w:rPr>
            </w:pPr>
            <w:r>
              <w:rPr>
                <w:rFonts w:ascii="Arial" w:cs="Arial" w:eastAsia="Arial" w:hAnsi="Arial"/>
                <w:sz w:val="14"/>
                <w:szCs w:val="14"/>
                <w:b w:val="1"/>
                <w:bCs w:val="1"/>
                <w:color w:val="auto"/>
              </w:rPr>
              <w:t>(Losses) Gains Recognized in Income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6"/>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2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6"/>
          </w:tcPr>
          <w:p>
            <w:pPr>
              <w:ind w:left="140"/>
              <w:spacing w:after="0" w:line="119"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6"/>
          </w:tcPr>
          <w:p>
            <w:pPr>
              <w:ind w:left="2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(4,539)</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521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expense,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(2,891)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1,170</w:t>
            </w:r>
          </w:p>
        </w:tc>
        <w:tc>
          <w:tcPr>
            <w:tcW w:w="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$ 5,660</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8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gridSpan w:val="4"/>
          </w:tcPr>
          <w:p>
            <w:pPr>
              <w:jc w:val="right"/>
              <w:ind w:right="25"/>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88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$222,362</w:t>
            </w:r>
          </w:p>
        </w:tc>
        <w:tc>
          <w:tcPr>
            <w:tcW w:w="3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256,012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165,303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57,694</w:t>
            </w:r>
          </w:p>
        </w:tc>
        <w:tc>
          <w:tcPr>
            <w:tcW w:w="3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Dividends payable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38,730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35,046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3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164,870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211,176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655,880</w:t>
            </w:r>
          </w:p>
        </w:tc>
        <w:tc>
          <w:tcPr>
            <w:tcW w:w="5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706,637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The provision (benefit) for income taxes for the following periods consisted of:</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4"/>
              </w:rPr>
              <w:t>Three months ended</w:t>
            </w:r>
          </w:p>
        </w:tc>
        <w:tc>
          <w:tcPr>
            <w:tcW w:w="260" w:type="dxa"/>
            <w:vAlign w:val="bottom"/>
          </w:tcPr>
          <w:p>
            <w:pPr>
              <w:spacing w:after="0"/>
              <w:rPr>
                <w:sz w:val="24"/>
                <w:szCs w:val="24"/>
                <w:color w:val="auto"/>
              </w:rPr>
            </w:pPr>
          </w:p>
        </w:tc>
        <w:tc>
          <w:tcPr>
            <w:tcW w:w="15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83"/>
              </w:rPr>
              <w:t>2019</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$ 20,763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 (8,423)</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$73,325</w:t>
            </w:r>
          </w:p>
        </w:tc>
        <w:tc>
          <w:tcPr>
            <w:tcW w:w="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$32,656</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w:t>
            </w:r>
          </w:p>
        </w:tc>
        <w:tc>
          <w:tcPr>
            <w:tcW w:w="70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(13,850)</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19,199</w:t>
            </w:r>
          </w:p>
        </w:tc>
        <w:tc>
          <w:tcPr>
            <w:tcW w:w="60" w:type="dxa"/>
            <w:vAlign w:val="bottom"/>
          </w:tcPr>
          <w:p>
            <w:pPr>
              <w:spacing w:after="0"/>
              <w:rPr>
                <w:sz w:val="18"/>
                <w:szCs w:val="18"/>
                <w:color w:val="auto"/>
              </w:rPr>
            </w:pPr>
          </w:p>
        </w:tc>
        <w:tc>
          <w:tcPr>
            <w:tcW w:w="1060" w:type="dxa"/>
            <w:vAlign w:val="bottom"/>
            <w:gridSpan w:val="5"/>
          </w:tcPr>
          <w:p>
            <w:pPr>
              <w:jc w:val="right"/>
              <w:ind w:right="65"/>
              <w:spacing w:after="0"/>
              <w:rPr>
                <w:sz w:val="20"/>
                <w:szCs w:val="20"/>
                <w:color w:val="auto"/>
              </w:rPr>
            </w:pPr>
            <w:r>
              <w:rPr>
                <w:rFonts w:ascii="Arial" w:cs="Arial" w:eastAsia="Arial" w:hAnsi="Arial"/>
                <w:sz w:val="18"/>
                <w:szCs w:val="18"/>
                <w:color w:val="auto"/>
              </w:rPr>
              <w:t>(9,455)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13,372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10,776</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63,870</w:t>
            </w: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46,028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1170"/>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9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16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4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Foreign taxes</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8"/>
                <w:szCs w:val="18"/>
                <w:color w:val="auto"/>
              </w:rPr>
            </w:pPr>
          </w:p>
        </w:tc>
        <w:tc>
          <w:tcPr>
            <w:tcW w:w="960" w:type="dxa"/>
            <w:vAlign w:val="bottom"/>
            <w:gridSpan w:val="2"/>
          </w:tcPr>
          <w:p>
            <w:pPr>
              <w:jc w:val="right"/>
              <w:ind w:right="268"/>
              <w:spacing w:after="0"/>
              <w:rPr>
                <w:sz w:val="20"/>
                <w:szCs w:val="20"/>
                <w:color w:val="auto"/>
              </w:rPr>
            </w:pPr>
            <w:r>
              <w:rPr>
                <w:rFonts w:ascii="Arial" w:cs="Arial" w:eastAsia="Arial" w:hAnsi="Arial"/>
                <w:sz w:val="18"/>
                <w:szCs w:val="18"/>
                <w:color w:val="auto"/>
              </w:rPr>
              <w:t>15.2(1)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15.2%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7632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(1) Foreign taxes for the nine months ended June 30, 2019:</w:t>
      </w:r>
    </w:p>
    <w:p>
      <w:pPr>
        <w:spacing w:after="0" w:line="117" w:lineRule="exact"/>
        <w:rPr>
          <w:sz w:val="20"/>
          <w:szCs w:val="20"/>
          <w:color w:val="auto"/>
        </w:rPr>
      </w:pPr>
    </w:p>
    <w:p>
      <w:pPr>
        <w:jc w:val="both"/>
        <w:ind w:left="640" w:right="320" w:firstLine="423"/>
        <w:spacing w:after="0" w:line="277" w:lineRule="auto"/>
        <w:rPr>
          <w:sz w:val="20"/>
          <w:szCs w:val="20"/>
          <w:color w:val="auto"/>
        </w:rPr>
      </w:pPr>
      <w:r>
        <w:rPr>
          <w:rFonts w:ascii="Arial" w:cs="Arial" w:eastAsia="Arial" w:hAnsi="Arial"/>
          <w:sz w:val="18"/>
          <w:szCs w:val="18"/>
          <w:color w:val="auto"/>
        </w:rPr>
        <w:t>Foreign taxes in the nine months ended June 30, 2019 included a tax expense of $4,497 resulting from an internal restructuring in certain jurisdictions in which the Company operates.</w:t>
      </w:r>
    </w:p>
    <w:p>
      <w:pPr>
        <w:spacing w:after="0" w:line="62" w:lineRule="exact"/>
        <w:rPr>
          <w:sz w:val="20"/>
          <w:szCs w:val="20"/>
          <w:color w:val="auto"/>
        </w:rPr>
      </w:pPr>
    </w:p>
    <w:p>
      <w:pPr>
        <w:jc w:val="both"/>
        <w:ind w:left="640" w:right="320" w:firstLine="423"/>
        <w:spacing w:after="0" w:line="302" w:lineRule="auto"/>
        <w:rPr>
          <w:sz w:val="20"/>
          <w:szCs w:val="20"/>
          <w:color w:val="auto"/>
        </w:rPr>
      </w:pPr>
      <w:r>
        <w:rPr>
          <w:rFonts w:ascii="Arial" w:cs="Arial" w:eastAsia="Arial" w:hAnsi="Arial"/>
          <w:sz w:val="16"/>
          <w:szCs w:val="16"/>
          <w:color w:val="auto"/>
        </w:rPr>
        <w:t>Foreign taxes in the nine months ended June 30, 2019 also included $63,143 relating to release of a provision for gross unrecognized tax benefits due to expiration of the periods set forth in statutes of limitations in certain jurisdictions, and due to conclusions of tax audits (the vast majority of which was offset by income tax payments and an increase in Tax Payables). As a result, a net benefit of $22,284 and $25,772 was included within income tax expense for the three and nine months ended June 30, 2019, respectively.</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 Foreign taxes for the nine months ended June 30, 2018:</w:t>
      </w:r>
    </w:p>
    <w:p>
      <w:pPr>
        <w:spacing w:after="0" w:line="117" w:lineRule="exact"/>
        <w:rPr>
          <w:sz w:val="20"/>
          <w:szCs w:val="20"/>
          <w:color w:val="auto"/>
        </w:rPr>
      </w:pPr>
    </w:p>
    <w:p>
      <w:pPr>
        <w:jc w:val="both"/>
        <w:ind w:left="640" w:right="260" w:firstLine="423"/>
        <w:spacing w:after="0" w:line="342" w:lineRule="auto"/>
        <w:rPr>
          <w:sz w:val="20"/>
          <w:szCs w:val="20"/>
          <w:color w:val="auto"/>
        </w:rPr>
      </w:pPr>
      <w:r>
        <w:rPr>
          <w:rFonts w:ascii="Arial" w:cs="Arial" w:eastAsia="Arial" w:hAnsi="Arial"/>
          <w:sz w:val="16"/>
          <w:szCs w:val="16"/>
          <w:color w:val="auto"/>
        </w:rPr>
        <w:t>During the nine months ended June 30, 2018, as a result of funding decisions for the construction of the Company’s new campus in Israel the Company recorded a tax benefit of $23,099 related to the release of withholding and income tax reserves for pre-2018 unremitted earnings.</w:t>
      </w:r>
    </w:p>
    <w:p>
      <w:pPr>
        <w:spacing w:after="0" w:line="16" w:lineRule="exact"/>
        <w:rPr>
          <w:sz w:val="20"/>
          <w:szCs w:val="20"/>
          <w:color w:val="auto"/>
        </w:rPr>
      </w:pPr>
    </w:p>
    <w:p>
      <w:pPr>
        <w:ind w:left="640" w:right="580" w:firstLine="423"/>
        <w:spacing w:after="0" w:line="342" w:lineRule="auto"/>
        <w:rPr>
          <w:sz w:val="20"/>
          <w:szCs w:val="20"/>
          <w:color w:val="auto"/>
        </w:rPr>
      </w:pPr>
      <w:r>
        <w:rPr>
          <w:rFonts w:ascii="Arial" w:cs="Arial" w:eastAsia="Arial" w:hAnsi="Arial"/>
          <w:sz w:val="16"/>
          <w:szCs w:val="16"/>
          <w:color w:val="auto"/>
        </w:rPr>
        <w:t>Foreign taxes in the nine months ended June 30, 2018 also included a benefit of $20,976 relating to release of gross unrecognized tax benefits due to conclusions of tax audits and expiration of the periods set forth in statutes of limitations in certain jurisdictions.</w:t>
      </w:r>
    </w:p>
    <w:p>
      <w:pPr>
        <w:spacing w:after="0" w:line="16" w:lineRule="exact"/>
        <w:rPr>
          <w:sz w:val="20"/>
          <w:szCs w:val="20"/>
          <w:color w:val="auto"/>
        </w:rPr>
      </w:pPr>
    </w:p>
    <w:p>
      <w:pPr>
        <w:ind w:left="640" w:right="260" w:firstLine="423"/>
        <w:spacing w:after="0" w:line="259" w:lineRule="auto"/>
        <w:rPr>
          <w:sz w:val="20"/>
          <w:szCs w:val="20"/>
          <w:color w:val="auto"/>
        </w:rPr>
      </w:pPr>
      <w:r>
        <w:rPr>
          <w:rFonts w:ascii="Arial" w:cs="Arial" w:eastAsia="Arial" w:hAnsi="Arial"/>
          <w:sz w:val="18"/>
          <w:szCs w:val="18"/>
          <w:color w:val="auto"/>
        </w:rPr>
        <w:t>In addition, foreign taxes in the nine months ended June 30, 2018 included an expense of $431 relating to changes in tax law in United States. The expense is attributable to deemed repatriation of foreign income partially offset by a benefit resulting from the re-evaluation of the Company’s deferred tax assets and liabilities due to the expected lower blended effective U.S. federal tax rate when the assets and liabilities are expected to be utilized.</w:t>
      </w:r>
    </w:p>
    <w:p>
      <w:pPr>
        <w:spacing w:after="0" w:line="79" w:lineRule="exact"/>
        <w:rPr>
          <w:sz w:val="20"/>
          <w:szCs w:val="20"/>
          <w:color w:val="auto"/>
        </w:rPr>
      </w:pPr>
    </w:p>
    <w:p>
      <w:pPr>
        <w:ind w:left="640" w:right="120" w:firstLine="423"/>
        <w:spacing w:after="0" w:line="286" w:lineRule="auto"/>
        <w:rPr>
          <w:sz w:val="20"/>
          <w:szCs w:val="20"/>
          <w:color w:val="auto"/>
        </w:rPr>
      </w:pPr>
      <w:r>
        <w:rPr>
          <w:rFonts w:ascii="Arial" w:cs="Arial" w:eastAsia="Arial" w:hAnsi="Arial"/>
          <w:sz w:val="17"/>
          <w:szCs w:val="17"/>
          <w:color w:val="auto"/>
        </w:rPr>
        <w:t>In addition, foreign taxes in the nine months ended June 30, 2018, included an indirect consequence to the change in tax law in the United States as the Company no longer makes a permanently reinvest assertion relating to one of its subsidiaries, therefore, a tax liability of $4,059 was recorded related to the tax implications of remitting earnings that were previously asserted as permanently reinvested.</w:t>
      </w:r>
    </w:p>
    <w:p>
      <w:pPr>
        <w:spacing w:after="0" w:line="57" w:lineRule="exact"/>
        <w:rPr>
          <w:sz w:val="20"/>
          <w:szCs w:val="20"/>
          <w:color w:val="auto"/>
        </w:rPr>
      </w:pPr>
    </w:p>
    <w:p>
      <w:pPr>
        <w:ind w:left="640" w:right="180" w:firstLine="423"/>
        <w:spacing w:after="0" w:line="264" w:lineRule="auto"/>
        <w:rPr>
          <w:sz w:val="20"/>
          <w:szCs w:val="20"/>
          <w:color w:val="auto"/>
        </w:rPr>
      </w:pPr>
      <w:r>
        <w:rPr>
          <w:rFonts w:ascii="Arial" w:cs="Arial" w:eastAsia="Arial" w:hAnsi="Arial"/>
          <w:sz w:val="18"/>
          <w:szCs w:val="18"/>
          <w:color w:val="auto"/>
        </w:rPr>
        <w:t>Foreign taxes in the nine months ended June 30, 2018 also included a tax expense of $11,162 resulting from the increase of valuation allowances on deferred tax assets at one of the Company’s subsidiaries, which may not be realized based on the Company’s projections of future taxable income.</w:t>
      </w:r>
    </w:p>
    <w:p>
      <w:pPr>
        <w:spacing w:after="0" w:line="18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As of June 30, 2019, deferred tax assets of $103,314,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$152,918 as of June 30, 2019, all of which would affect the effective tax rate if realized.</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June 30, 2019, the Company had accrued $29,498 in income taxes payable for interest and penalties relating to unrecognized tax benefits.</w:t>
      </w:r>
    </w:p>
    <w:p>
      <w:pPr>
        <w:spacing w:after="0" w:line="24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131,448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91,530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357,419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310,130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Less-net income and dividends attributable to participating restricted shares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Numerator for basic earnings per common share</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130,537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354,946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307,793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Numerator for diluted earnings per common share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130,540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354,953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307,808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 – basic</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136,541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141,972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138,126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Less- weighted average number of participating restricted shares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 basic</w:t>
            </w: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135,595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140,924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137,170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340"/>
              <w:spacing w:after="0"/>
              <w:rPr>
                <w:sz w:val="20"/>
                <w:szCs w:val="20"/>
                <w:color w:val="auto"/>
              </w:rPr>
            </w:pPr>
            <w:r>
              <w:rPr>
                <w:rFonts w:ascii="Arial" w:cs="Arial" w:eastAsia="Arial" w:hAnsi="Arial"/>
                <w:sz w:val="18"/>
                <w:szCs w:val="18"/>
                <w:color w:val="auto"/>
              </w:rPr>
              <w:t>Effect of dilutive stock options granted</w:t>
            </w: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 diluted</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142,147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137,813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143,242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340"/>
              <w:spacing w:after="0"/>
              <w:rPr>
                <w:sz w:val="20"/>
                <w:szCs w:val="20"/>
                <w:color w:val="auto"/>
              </w:rPr>
            </w:pPr>
            <w:r>
              <w:rPr>
                <w:rFonts w:ascii="Arial" w:cs="Arial" w:eastAsia="Arial" w:hAnsi="Arial"/>
                <w:sz w:val="18"/>
                <w:szCs w:val="18"/>
                <w:color w:val="auto"/>
              </w:rPr>
              <w:t>Basic earnings per common share</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earnings per common share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For the three and nine months ended June 30, 2019, 4,807 and 3,968 shares, respectively, on a weighted average basis, were attributable to antidilutive outstanding stock options. For the three and nine months ended June 30, 2018, 1,767 and 1,213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 ordinary shares. On November 8, 2017, the Company’s Board of Directors adopted a share repurchase plan for the repurchase of up to an additional $800,000 of the Company’s outstanding ordinary shares with no expiration date. In the nine months ended June 30, 2019, the Company repurchased 5,257 ordinary shares at an average price of $58.58 per share (excluding broker and transaction fees). The November 2017 plan permits the Company to purchase its ordinary shares in open market or privately negotiated transactions at times and prices that it considers appropriate. As of June 30, 2019, the Company had remaining authority to repurchase up to $329,171 of its outstanding ordinary shares under the November 2017 plan.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December 2011, the Company entered into a $500,000 five-year revolving credit facility with a syndicate of banks. In December 2014 and in December 2017, the credit facility was amended and restated to, among other things, extend the maturity date of the facility to December 2019 and December 2022, respectively. As of June 30, 2019, the Company was in compliance with the financial covenants under the revolving credit facility and had no outstanding borrowings under the facility.</w:t>
      </w:r>
    </w:p>
    <w:p>
      <w:pPr>
        <w:spacing w:after="0" w:line="1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As of June 30, 2019, the Company had additional uncommitted lines of credit available for general corporate and other specific purposes and had outstanding letters of credit and bank guarantees from various banks totaling $54,396. These were supported by a combination of the uncommitted lines of credit that the Company maintains with various banks.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The issuance of such additional shares was registered with the SEC in February 2018. Awards granted under the Equity Incentive Plan generally vest over a period of three to four years and stock options have a term of ten years. Also, in accordance with the Equity Incentive Plan, options are issued at or above the market price at the time of grant.</w:t>
      </w:r>
    </w:p>
    <w:p>
      <w:pPr>
        <w:spacing w:after="0" w:line="178"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color w:val="auto"/>
        </w:rPr>
        <w:t>During the nine months ended June 30, 2019, the Company granted 504 restricted shares and options to purchase 1,885 ordinary shares. The weighted average fair values associated with these grants were $61.59 per restricted share and $9.16 per option.</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 equity-based compensation pre-tax expense for the three and nine months ended June 30, 2019 and 2018 was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$5,080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$15,261</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$14,501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17,416</w:t>
            </w:r>
          </w:p>
        </w:tc>
        <w:tc>
          <w:tcPr>
            <w:tcW w:w="60" w:type="dxa"/>
            <w:vAlign w:val="bottom"/>
            <w:shd w:val="clear" w:color="auto" w:fill="CCEEFF"/>
          </w:tcPr>
          <w:p>
            <w:pPr>
              <w:spacing w:after="0"/>
              <w:rPr>
                <w:sz w:val="18"/>
                <w:szCs w:val="18"/>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8,835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10,514</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30,566</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34,580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86"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June 30, 2019, there was $43,495 of unrecognized compensation expense related to unvested stock options and unvested restricted shares which is expected to be recognized over a weighted average period of approximately one year, based on the vesting periods of the grants.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Board of Directors declared the following dividends during the nine months ended June 30, 2019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Declaration Date</w:t>
            </w:r>
          </w:p>
        </w:tc>
        <w:tc>
          <w:tcPr>
            <w:tcW w:w="700" w:type="dxa"/>
            <w:vAlign w:val="bottom"/>
          </w:tcPr>
          <w:p>
            <w:pPr>
              <w:spacing w:after="0"/>
              <w:rPr>
                <w:sz w:val="14"/>
                <w:szCs w:val="1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Dividends Per</w:t>
            </w:r>
          </w:p>
        </w:tc>
        <w:tc>
          <w:tcPr>
            <w:tcW w:w="320" w:type="dxa"/>
            <w:vAlign w:val="bottom"/>
          </w:tcPr>
          <w:p>
            <w:pPr>
              <w:spacing w:after="0"/>
              <w:rPr>
                <w:sz w:val="14"/>
                <w:szCs w:val="14"/>
                <w:color w:val="auto"/>
              </w:rPr>
            </w:pPr>
          </w:p>
        </w:tc>
        <w:tc>
          <w:tcPr>
            <w:tcW w:w="22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Record Date</w:t>
            </w:r>
          </w:p>
        </w:tc>
        <w:tc>
          <w:tcPr>
            <w:tcW w:w="204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Total Amount</w:t>
            </w:r>
          </w:p>
        </w:tc>
        <w:tc>
          <w:tcPr>
            <w:tcW w:w="380" w:type="dxa"/>
            <w:vAlign w:val="bottom"/>
          </w:tcPr>
          <w:p>
            <w:pPr>
              <w:spacing w:after="0"/>
              <w:rPr>
                <w:sz w:val="14"/>
                <w:szCs w:val="14"/>
                <w:color w:val="auto"/>
              </w:rPr>
            </w:pPr>
          </w:p>
        </w:tc>
        <w:tc>
          <w:tcPr>
            <w:tcW w:w="21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2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Ordinary Share</w:t>
            </w:r>
          </w:p>
        </w:tc>
        <w:tc>
          <w:tcPr>
            <w:tcW w:w="32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May 14, 2019</w:t>
            </w:r>
          </w:p>
        </w:tc>
        <w:tc>
          <w:tcPr>
            <w:tcW w:w="1020" w:type="dxa"/>
            <w:vAlign w:val="bottom"/>
            <w:gridSpan w:val="2"/>
            <w:shd w:val="clear" w:color="auto" w:fill="CCEEFF"/>
          </w:tcPr>
          <w:p>
            <w:pPr>
              <w:jc w:val="right"/>
              <w:ind w:right="188"/>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0.285</w:t>
            </w:r>
          </w:p>
        </w:tc>
        <w:tc>
          <w:tcPr>
            <w:tcW w:w="3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June 28, 2019</w:t>
            </w:r>
          </w:p>
        </w:tc>
        <w:tc>
          <w:tcPr>
            <w:tcW w:w="10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38,730</w:t>
            </w:r>
          </w:p>
        </w:tc>
        <w:tc>
          <w:tcPr>
            <w:tcW w:w="3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July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February 5, 2019</w:t>
            </w:r>
          </w:p>
        </w:tc>
        <w:tc>
          <w:tcPr>
            <w:tcW w:w="10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0.285</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March 29, 2019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39,084</w:t>
            </w:r>
          </w:p>
        </w:tc>
        <w:tc>
          <w:tcPr>
            <w:tcW w:w="2480" w:type="dxa"/>
            <w:vAlign w:val="bottom"/>
            <w:gridSpan w:val="2"/>
          </w:tcPr>
          <w:p>
            <w:pPr>
              <w:ind w:left="380"/>
              <w:spacing w:after="0"/>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November 8, 2018</w:t>
            </w:r>
          </w:p>
        </w:tc>
        <w:tc>
          <w:tcPr>
            <w:tcW w:w="10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0.250</w:t>
            </w: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December 31, 2018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34,755</w:t>
            </w:r>
          </w:p>
        </w:tc>
        <w:tc>
          <w:tcPr>
            <w:tcW w:w="2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January 18,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May 10, 2018</w:t>
            </w:r>
          </w:p>
        </w:tc>
        <w:tc>
          <w:tcPr>
            <w:tcW w:w="10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0.250</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June 29, 2018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35,363</w:t>
            </w:r>
          </w:p>
        </w:tc>
        <w:tc>
          <w:tcPr>
            <w:tcW w:w="2480" w:type="dxa"/>
            <w:vAlign w:val="bottom"/>
            <w:gridSpan w:val="2"/>
          </w:tcPr>
          <w:p>
            <w:pPr>
              <w:ind w:left="380"/>
              <w:spacing w:after="0"/>
              <w:rPr>
                <w:sz w:val="20"/>
                <w:szCs w:val="20"/>
                <w:color w:val="auto"/>
              </w:rPr>
            </w:pPr>
            <w:r>
              <w:rPr>
                <w:rFonts w:ascii="Arial" w:cs="Arial" w:eastAsia="Arial" w:hAnsi="Arial"/>
                <w:sz w:val="18"/>
                <w:szCs w:val="18"/>
                <w:color w:val="auto"/>
              </w:rPr>
              <w:t>July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0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0.250</w:t>
            </w: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March 30, 2018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35,637</w:t>
            </w:r>
          </w:p>
        </w:tc>
        <w:tc>
          <w:tcPr>
            <w:tcW w:w="2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November 8, 2017</w:t>
            </w:r>
          </w:p>
        </w:tc>
        <w:tc>
          <w:tcPr>
            <w:tcW w:w="10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0.220</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December 29, 2017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31,556</w:t>
            </w:r>
          </w:p>
        </w:tc>
        <w:tc>
          <w:tcPr>
            <w:tcW w:w="2480" w:type="dxa"/>
            <w:vAlign w:val="bottom"/>
            <w:gridSpan w:val="2"/>
          </w:tcPr>
          <w:p>
            <w:pPr>
              <w:ind w:left="380"/>
              <w:spacing w:after="0"/>
              <w:rPr>
                <w:sz w:val="20"/>
                <w:szCs w:val="20"/>
                <w:color w:val="auto"/>
              </w:rPr>
            </w:pPr>
            <w:r>
              <w:rPr>
                <w:rFonts w:ascii="Arial" w:cs="Arial" w:eastAsia="Arial" w:hAnsi="Arial"/>
                <w:sz w:val="18"/>
                <w:szCs w:val="18"/>
                <w:color w:val="auto"/>
              </w:rPr>
              <w:t>January 19, 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amounts payable as a result of the May 14, 2019 and May 10, 2018 declarations were included in accrued expenses and other current liabilities as of June 30, 2019 and 2018, respectively.</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59"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On August 7, 2019, the Company’s Board of Directors approved a quarterly dividend payment of $0.285 per share and set September 30, 2019 as the record date for determining the shareholders entitled to receive the dividend, which will be payable on October 25, 2019.</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Since 2014, the Company has been defending a lawsuit against certain of its subsidiaries in the U.S. District Court in Oregon alleging breach of contract and trade secret misappropriation. According to the suit, the Company improperly utilized information received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continued. The District Court scheduled a tentative jury trial date for late October 2018. The Company filed a motion for summary judgment with the District Court during fiscal year 2018 and the District Court partially granted the motion with respect to two trade secrets. In October 2018, while continuing to deny the plaintiff’s allegations, the Company entered into a settlement agreement with the plaintiff, which included a $50,000 settlement payment by the Company, in consideration for a mutual release of each party and its respective customers with no admission of liability or fault. As a result of the settlement, the lawsuit was dismissed with prejudice on November 13, 2018. During the nine months ended June 30, 2019 the Company paid the settlement amount of $50,000 and $5,000 in legal and other fees which were accrued as of September 30, 2018.</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Subsequent Event</w:t>
      </w:r>
    </w:p>
    <w:p>
      <w:pPr>
        <w:spacing w:after="0" w:line="121"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As previously announced, in August 2019 , the Company acquired TTS Wireless for approximately $50,000 in cash and potential additional consideration based on the achievement of certain performance metrics. TTS Wireless is a leading provider of mobile network engineering services, specializing in network optimization, planning and software-enabled solutions.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left="200" w:right="160" w:firstLine="441"/>
        <w:spacing w:after="0" w:line="288"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w:t>
      </w:r>
    </w:p>
    <w:p>
      <w:pPr>
        <w:ind w:left="200" w:right="20"/>
        <w:spacing w:after="0" w:line="252" w:lineRule="auto"/>
        <w:rPr>
          <w:sz w:val="20"/>
          <w:szCs w:val="20"/>
          <w:color w:val="auto"/>
        </w:rPr>
      </w:pPr>
      <w:r>
        <w:rPr>
          <w:rFonts w:ascii="Arial" w:cs="Arial" w:eastAsia="Arial" w:hAnsi="Arial"/>
          <w:sz w:val="18"/>
          <w:szCs w:val="18"/>
          <w:color w:val="auto"/>
        </w:rPr>
        <w:t>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2018, filed on December 10, 2018 with the U.S. Securities and Exchange Commission.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Amdocs is a leading provider of software and services for more than 350 communications, Pay TV, entertainment and media industry and other service providers in developed countries and emerging markets. Our software and services, which we develop, implement and manage, are designed to meet the key industry journeys of our customers and help them modernize, automate and digitize their business. These journeys include the need to deliver a digital-first user experience and grow consumer revenues; expand the media and entertainment business; provide a superior, automated enterprise service; transform to an open network and realize 5G, and accelerate business and IT velocity. Our open and dynamic amdocsONE portfolio, launched in the second quarter of fiscal 2018, leverages industry-specific best practices and methodologies to give service providers of all sizes the business agility to successfully navigate the continuous digital transformation process.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the demand for our solutions is driven by our clients’ continued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amdocsONE is designed to meet the challenges facing our customers as they transform into digital service providers within the framework of a hybrid IT environment, which requires them to rapidly introduce new cloud-native applications while still operating legacy systems. amdocsONE’s open, modular and integrated solution set introduces a rich group of capabilities built on cloud-native, microservices and machine-learning technologies, and is delivered based on modern DevOps practices Our comprehensive line of services is designed to address every stage of a service provider’s lifecycle. They include advisory services, managed services, autonomous network service assurance, digital business operations, quality engineering services, and data and intelligence services.</w:t>
      </w:r>
    </w:p>
    <w:p>
      <w:pPr>
        <w:spacing w:after="0" w:line="19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the second quarter of fiscal 2018, we acquired Vubiquity, a leading provider of premium content services and technology solutions, to further expand into the media business where Amdocs now has technology and distribution ties to more than 600 content creators, bringing premium content to over 1,000 video distributors worldwide.</w:t>
      </w:r>
    </w:p>
    <w:p>
      <w:pPr>
        <w:spacing w:after="0" w:line="18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entertainment and media industry. In the nine months ended June 30, 2019, customers in North America accounted for 63.4% of our revenue, while customers in Europe and the rest of the world accounted for 14.5% and 22.1%, respectively. We maintain and support development facilities in Brazil, Canada, Cyprus, India, Ireland, Israel, Mexico, the Philippines, the UK and the United States.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180" w:right="4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1" w:lineRule="exact"/>
        <w:rPr>
          <w:sz w:val="20"/>
          <w:szCs w:val="20"/>
          <w:color w:val="auto"/>
        </w:rPr>
      </w:pPr>
    </w:p>
    <w:p>
      <w:pPr>
        <w:jc w:val="both"/>
        <w:ind w:left="200" w:right="40" w:firstLine="441"/>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4 to our consolidated financial statements.</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Revenue generated in connection with managed services arrangements is a significant part of our business, generating substantial, long-term recurring revenue streams and cash flow. Revenue from managed services arrangements accounted for approximately $578.1 million and $515.0 million in the three months ended June 30, 2019 and 2018, respectively, and $1.66 billion and $1.54 billion in the nine months ended June 30, 2019 and 2018, respectively. In the initial period of our managed services arrangements, we often invest in modernization and consolidation of the customer’s systems. In addition, from time to time we engage in managed transformations that include both a transformation project as well as taking over managed services responsibility. Managed services engagements can be less profitable in their early stages; however, margins tend to improve over time.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2019 and 2018, certain items in our consolidated statements of income reflected as a percentage of revenue (figures may not sum because of rounding):</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7"/>
              </w:rPr>
              <w:t>Three months ended</w:t>
            </w: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5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5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5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Interest and other expense, net</w:t>
            </w:r>
          </w:p>
        </w:tc>
        <w:tc>
          <w:tcPr>
            <w:tcW w:w="2600" w:type="dxa"/>
            <w:vAlign w:val="bottom"/>
          </w:tcPr>
          <w:p>
            <w:pPr>
              <w:spacing w:after="0"/>
              <w:rPr>
                <w:sz w:val="19"/>
                <w:szCs w:val="19"/>
                <w:color w:val="auto"/>
              </w:rPr>
            </w:pPr>
          </w:p>
        </w:tc>
        <w:tc>
          <w:tcPr>
            <w:tcW w:w="1000" w:type="dxa"/>
            <w:vAlign w:val="bottom"/>
            <w:gridSpan w:val="2"/>
          </w:tcPr>
          <w:p>
            <w:pPr>
              <w:jc w:val="right"/>
              <w:ind w:right="408"/>
              <w:spacing w:after="0"/>
              <w:rPr>
                <w:sz w:val="20"/>
                <w:szCs w:val="20"/>
                <w:color w:val="auto"/>
              </w:rPr>
            </w:pPr>
            <w:r>
              <w:rPr>
                <w:rFonts w:ascii="Arial" w:cs="Arial" w:eastAsia="Arial" w:hAnsi="Arial"/>
                <w:sz w:val="18"/>
                <w:szCs w:val="18"/>
                <w:color w:val="auto"/>
              </w:rPr>
              <w:t>(0.4)</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388"/>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26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6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6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12.8%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w:t>
            </w: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11.7%</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600" w:type="dxa"/>
            <w:vAlign w:val="bottom"/>
            <w:vMerge w:val="restart"/>
          </w:tcPr>
          <w:p>
            <w:pPr>
              <w:jc w:val="right"/>
              <w:ind w:right="1750"/>
              <w:spacing w:after="0"/>
              <w:rPr>
                <w:sz w:val="20"/>
                <w:szCs w:val="20"/>
                <w:color w:val="auto"/>
              </w:rPr>
            </w:pPr>
            <w:r>
              <w:rPr>
                <w:rFonts w:ascii="Arial" w:cs="Arial" w:eastAsia="Arial" w:hAnsi="Arial"/>
                <w:sz w:val="18"/>
                <w:szCs w:val="18"/>
                <w:color w:val="auto"/>
              </w:rPr>
              <w:t>28</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Nine Months Ended June 30, 2019 and 2018</w:t>
      </w:r>
    </w:p>
    <w:p>
      <w:pPr>
        <w:spacing w:after="0" w:line="121"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nine months ended June 30, 2019 compared to the nine months ended June 30, 2018. Following the table is a discussion and analysis of our business and results of operations for such periods.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62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3,056,416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2,972,249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$ 84,167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1,986,043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1,940,353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45,690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203,827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205,832</w:t>
            </w: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(2,005)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81,256</w:t>
            </w: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(7,713)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(30,057)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2,630,824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2,612,761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18,063</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359,488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66,104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(3,330)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(973)</w:t>
            </w:r>
          </w:p>
        </w:tc>
        <w:tc>
          <w:tcPr>
            <w:tcW w:w="52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65,131</w:t>
            </w: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taxes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357,419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310,130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$ 47,289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$84.2 million, or 2.8%, to $3,056.4 million in the nine months ended June 30, 2019, from $2,972.2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June 30, 2018. The increase in revenue was attributable to increased activity in North America, Europe and in the rest of the world. Revenue for the nine months ended June 30, 2019 increased by 4.4% compared to the nine months ended June 30, 2018, excluding approximately 1.6% negative foreign exchange fluctuations impact, and was also positively affected by activities related to acquisitions completed in fiscal year 2018.</w:t>
      </w:r>
    </w:p>
    <w:p>
      <w:pPr>
        <w:spacing w:after="0" w:line="154"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In the nine months ended June 30, 2019, revenue from customers in North America, Europe and the rest of the world accounted for 63.4%, 14.5% and 22.1%, respectively, of total revenue, compared to 64.3%, 14.2% and 21.5%, respectively, the nine months ended June 30, 2018. Revenue from customers in North America increased during the nine months ended June 30, 2019, while total revenue increased at a slightly higher rate, which resulted in a decrease of revenue from customers in North America as a percentage of total revenue. The increase in revenue from customers in North America in absolute amounts was primarily attributable to higher revenue from key customers in North America as we support the continuous digital transformation of the region’s communications, Pay TV and media companies and by activities related to fiscal year 2018 acquisitions, partially offset by lower activity with AT&amp;T. Revenue from customers in Europe increased during the nine months ended June 30, 2019, despite of negative foreign exchange fluctuations, primarily as a result of higher revenue from development and modernization activities while we expand our presence in this region. Revenue from customers in the rest of the world increased during the nine months ended June 30, 2019, despite of negative foreign exchange fluctuations, as a result of our expansion and progress of managed transformations activities for existing customers in the rest of the world.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costs of third-party products, as well as fee and royalty payments to software suppliers. Cost of revenue increased by $45.7 million, or 2.4%,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$1,986.0 million in the nine months ended June 30, 2019, from $1,940.4 million in the nine months ended June 30, 2018. The Cost of revenue increase,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excluding the impact of changes of certain acquisition-related liabilities measured at fair value recognized in the nine months ended June 30, 2019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2018, was commensurate with revenue growth.</w:t>
      </w:r>
    </w:p>
    <w:p>
      <w:pPr>
        <w:spacing w:after="0" w:line="211"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decreased by $2.0 million, or 1.0%, to $203.8 million in the nine months ended June 30, 2019, from $205.8 million in the nine months ended June 30, 2018. Research and development expense slightly decreased as a percentage of revenue from 6.9% in the nine months ended June 30, 2018, to 6.7% in the nine months ended June 30, 2019.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$12.1 million, or 3.4%, to $367.4 million in the nine months ended June 30, 2019, from $355.3 million in the nine months ended June 30, 2018. Selling, general and administrative expense as percentage of revenue was 12.0% in the nine months ended June 30, 2019 and 2018. Selling, general and administrative expense may fluctuate from time to time, depending upon such factors as changes in our workforce and sales efforts and the results of any operational efficiency programs that we may undertake.</w:t>
      </w:r>
    </w:p>
    <w:p>
      <w:pPr>
        <w:spacing w:after="0" w:line="18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b w:val="1"/>
          <w:bCs w:val="1"/>
          <w:i w:val="1"/>
          <w:iCs w:val="1"/>
          <w:color w:val="auto"/>
        </w:rPr>
        <w:t xml:space="preserve">Amortization of Purchased Intangible Assets and Other. </w:t>
      </w:r>
      <w:r>
        <w:rPr>
          <w:rFonts w:ascii="Arial" w:cs="Arial" w:eastAsia="Arial" w:hAnsi="Arial"/>
          <w:sz w:val="17"/>
          <w:szCs w:val="17"/>
          <w:color w:val="auto"/>
        </w:rPr>
        <w:t>Amortization of purchased intangible assets and other in the nine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decreased by $7.7 million, or 9.5% to $73.5 million from $81.3 million in the nine months ended June 30, 2018.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 2018.</w:t>
      </w:r>
    </w:p>
    <w:p>
      <w:pPr>
        <w:spacing w:after="0" w:line="17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There were no restructuring charges in the nine months ended June 30, 2019, while there were $30.1 million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in the nine months ended June 30, 2018. The restructuring charges were primarily associated with completed acquisitions and internal business realignment actions in North America.</w:t>
      </w:r>
    </w:p>
    <w:p>
      <w:pPr>
        <w:spacing w:after="0" w:line="18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increased by $66.1 million, or 18.4%, in the nine months ended June 30, 2019, to $425.6 million, or 13.9%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revenue, from $359.5 million, or 12.1% of revenue, in the nine months ended June 30, 2018. The increase in operating income was attributable primarily to revenue and cost of revenue growth during the nine months ended June 30, 2019 as well as restructuring charges recognized in the three months ended June 30, 2018. Negative foreign exchange impacts on our revenue were partially offset by the negative foreign exchange impacts on our operating expense, resulting in a negative impact on our operating income.</w:t>
      </w:r>
    </w:p>
    <w:p>
      <w:pPr>
        <w:spacing w:after="0" w:line="173"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changed from a net loss of $3.3 million in the nine months ended June 30,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net loss of $4.3 million in the nine months ended June 30, 2019.</w:t>
      </w:r>
    </w:p>
    <w:p>
      <w:pPr>
        <w:spacing w:after="0" w:line="17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nine months ended June 30, 2019 were $63.9 million on pre-tax income of $421.3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15.2%, compared to 12.9% in the nine months ended June 30, 2018. Our effective tax rate may fluctuate between periods as a result of discrete items that may affect a particular period. Please see Note 9 to our consolidated financial statements.</w:t>
      </w:r>
    </w:p>
    <w:p>
      <w:pPr>
        <w:spacing w:after="0" w:line="166"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$47.3 million, or 15.2%, to $357.4 million in the nine months ended June 30, 2019, from $310.1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June 30, 2018. The increase in net income was attributable to the increase in Operating Income partially offset by increase in income taxes.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$0.43, or 20.0%, to $2.58 in the nine months ended June 30, 2019, from</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$2.15 in the nine months ended June 30, 2018. The increase in diluted earnings per share was primarily attributable to the increase in net income as well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to the decrease in the diluted weighted average number of shares outstanding which resulted from share repurchases. Please see also Note 10 to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consolidated financial statements.</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Three Months Ended June 30, 2019 and 2018</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2019 compared to the three months ended June 30, 2018. Following the table is a discussion and analysis of our business and results of operations for such periods.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2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1,024,704</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1,002,198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$ 22,506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650,569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72,729</w:t>
            </w: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(4,353)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26,929</w:t>
            </w: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(2,871)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(30,057)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882,384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896,680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(14,296)</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(3,212)</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(747)</w:t>
            </w:r>
          </w:p>
        </w:tc>
        <w:tc>
          <w:tcPr>
            <w:tcW w:w="52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36,055</w:t>
            </w: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taxes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(3,863)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131,448</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$ 39,918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$22.5 million, or 2.2%, to $1,024.7 million in the three months ended June 30, 2019, from $1,002.2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2018. The increase in revenue was attributable to increased activity in Europe and in the rest of the world. Revenue for the three months ended June 30, 2019 increased by 3.4% compared to the three months ended June 30, 2018, excluding approximately 1.2% negative foreign exchange fluctuations impact.</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the three months ended June 30, 2019, revenue from customers in North America, Europe and the rest of the world accounted for 62.8%, 14.2% and 23.0%, respectively, of total revenue, compared to 64.3%, 13.9% and 21.8%, respectively, in the three months ended June 30, 2018. Revenue from customers in North America in absolute amount was at the same level during the three months ended June 30, 2019 and 2018, while total revenue increased and as a result the percentage of revenue from customers in North America decreased. This was mainly due to the lower activity with AT&amp;T, which was offset by higher revenue from other key customers in North America.</w:t>
      </w:r>
    </w:p>
    <w:p>
      <w:pPr>
        <w:spacing w:after="0" w:line="18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Revenue from customers in Europe increased during the three months ended June 30, 2019, despite of negative foreign exchange fluctuations. The increase in revenue from customers in Europe was primarily attributable to higher revenue from development and modernization activities while we expand our presence in this region. Revenue from customers in the rest of the world increased during the three months ended June 30, 2019 as a result of our expansion and progress of managed transformations activities with existing customers in the rest of the world.</w:t>
      </w:r>
    </w:p>
    <w:p>
      <w:pPr>
        <w:spacing w:after="0" w:line="17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consists primarily of costs associated with providing services to customers, including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costs of third-party products, as well as fee and royalty payments to software suppliers. Cost of revenue increased by $14.3 million, or 2.2%, to $664.9 million in the three months ended June 30, 2019, from $650.6 million in the three months ended June 30, 2018. The Cost of revenue increase, excluding the impact of changes of certain acquisition-related liabilities measured at fair value recognized in the three months ended June 30, 2019 and June 30, 2018, was commensurate with revenue growth.</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decreased by $4.4 million, or 6.0%, to $68.4 million in the three months ended June 30, 2019, from $72.7 million in the three months ended June 30, 2018. Research and development expense decreased as a percentage of revenue from 7.3% in the three months ended June 30, 2018, to 6.7% in the three months ended June 30, 2019.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color w:val="auto"/>
        </w:rPr>
        <w:t>. 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$8.7 million, or 7.5%, to $125.1 million in the three months ended June 30, 2019, from $116.4 million in the three months ended June 30, 2018. The increase in selling, general and administrative expense was primarily attributable to changes in the accounts receivable allowances.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Selling, general and administrative expense may fluctuate from time to time, depending upon such factors as changes in our workforce and sales efforts and the results of any operational efficiency programs that we may undertake.</w:t>
      </w:r>
    </w:p>
    <w:p>
      <w:pPr>
        <w:spacing w:after="0" w:line="170"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2019, decreased by $2.9 million, or 10.7% to $24.1 million from $26.9 million in the three months ended June 30, 2018. The decrease in amortization of purchased intangible assets and other was primarily attributable to a completion of amortization of previously purchased intangible assets.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There were no restructuring charges in the three months ended June 30, 2019, while there were $30.1 million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in the three months ended June 30, 2018. The restructuring charges were primarily associated with recently completed acquisitions and internal business realignment actions in North America.</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$36.8 million, or 34.9%, in the three months ended June 30, 2019, to $142.3 million, or 13.9%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from $105.5 million, or 10.5% of revenue, in the three months ended June 30, 2018. The increase in operating income was attributable primarily to restructuring charges recognized in the three months ended June 30, 2018. Negative foreign exchange impacts on our revenue were partially offset by the negative foreign exchange impacts on our operating expense, resulting in a negative impact on our operating income.</w:t>
      </w:r>
    </w:p>
    <w:p>
      <w:pPr>
        <w:spacing w:after="0" w:line="15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changed from a net loss of $3.2 million in the three months ended June 30,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net loss of $4.0 million in the three months ended June 30, 2019.</w:t>
      </w:r>
    </w:p>
    <w:p>
      <w:pPr>
        <w:spacing w:after="0" w:line="170"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June 30, 2019 were $6.9 million on pre-tax income of $138.4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5.0%, compared to 10.5% in the three months ended June 30, 2018. Our effective tax rate may fluctuate between periods as a result of discrete items that may affect a particular period. Please see Note 9 to our consolidated financial statements.</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$39.9 million, or 43.6%, to $131.4 million in the three months ended June 30, 2019, from $91.5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2018. The increase in net income during the three months ended June 30, 2019 was primarily attributable to the increase in Operating Income and to decrease in income taxes.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$0.32, or 50.0%, to $0.96 in the three months ended June 30, 2019, from</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$0.64 in the three months ended June 30, 2018. The increase in diluted earnings per share was primarily attributable to the increase in net income due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restructuring charges recognized in the three months ended June 30, 2018, as well as to the decrease in the diluted weighted average number of shares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outstanding which resulted from share repurchases. Please see also Note 10 to our consolidated financial statements.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totaled</w:t>
      </w:r>
      <w:r>
        <w:rPr>
          <w:rFonts w:ascii="Arial" w:cs="Arial" w:eastAsia="Arial" w:hAnsi="Arial"/>
          <w:sz w:val="16"/>
          <w:szCs w:val="16"/>
          <w:i w:val="1"/>
          <w:iCs w:val="1"/>
          <w:color w:val="auto"/>
        </w:rPr>
        <w:t xml:space="preserve"> </w:t>
      </w:r>
      <w:r>
        <w:rPr>
          <w:rFonts w:ascii="Arial" w:cs="Arial" w:eastAsia="Arial" w:hAnsi="Arial"/>
          <w:sz w:val="16"/>
          <w:szCs w:val="16"/>
          <w:color w:val="auto"/>
        </w:rPr>
        <w:t>$457.7 million as of June 30, 2019, compared to $519.2 million as of September 30, 2018. The decrease was mainly attributable to $308 million repurchase of our ordinary shares, $108.9 million of cash dividend payment, $93.8 million for capital expenditures, net, $8.8 million acquisition payment, $7.5 million contingent consideration payment from a business acquisition and $4.8 million payment to non-controlling interests, partially offset by $442.8 million in positive cash flow from operations and $25.7 million of proceeds from stock option exercises. Net cash provided by operating activities amounted to $442.8 million and $441.9 in the nine months ended June 30, 2019 and 2018, respectively.</w:t>
      </w:r>
    </w:p>
    <w:p>
      <w:pPr>
        <w:spacing w:after="0" w:line="16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Our normalized free cash flow for the nine months ended June 30, 2019 was $423.9 million, which is calculated as net cash provided by operating activities for the period less $93.8 million for capital expenditures, net and excluding $55.0 million of payments related to the settlement of the legal dispute in the U.S. District Court in Oregon, $14.4 million of payments for the non-recurring charges for re-alignment actions in North-America,</w:t>
      </w:r>
    </w:p>
    <w:p>
      <w:pPr>
        <w:ind w:left="200" w:right="200"/>
        <w:spacing w:after="0" w:line="261" w:lineRule="auto"/>
        <w:rPr>
          <w:sz w:val="20"/>
          <w:szCs w:val="20"/>
          <w:color w:val="auto"/>
        </w:rPr>
      </w:pPr>
      <w:r>
        <w:rPr>
          <w:rFonts w:ascii="Arial" w:cs="Arial" w:eastAsia="Arial" w:hAnsi="Arial"/>
          <w:sz w:val="18"/>
          <w:szCs w:val="18"/>
          <w:color w:val="auto"/>
        </w:rPr>
        <w:t>$7.7 million of payment of acquisition related liabilities and $2.2 million of the capital expenditures associated with the multiyear development of our new campus in Israel, (which is net of proceeds of $9.7 million relating to the refund of betterment levy).</w:t>
      </w:r>
    </w:p>
    <w:p>
      <w:pPr>
        <w:spacing w:after="0" w:line="18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our current lines of credit and our ability to access capital markets will provide sufficient resources to meet our operational needs and to fund share repurchases and the payment of cash dividends for at least the next twelve months.</w:t>
      </w:r>
    </w:p>
    <w:p>
      <w:pPr>
        <w:spacing w:after="0" w:line="1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In fiscal year 2019, we plan to return to shareholders the majority of our normalized free cash flow subject to factors such as mergers and acquisitions, financial markets and prevailing industry conditions, through our ongoing share repurchase and dividend program. While having this plan in mind,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bank deposits, money market funds, corporate bonds, U.S. government treasuries and U.S. agency securities. We believe we have conservative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investment policy guidelines. Our interest-bearing investments are stated at fair value with the unrealized gains or losses reported as a separate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component of accumulated other comprehensive income (loss), net of tax, unless a security is other than temporarily impaired, in which case the loss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recorded in the consolidated statements of income. Our interest-bearing investments are priced by pricing vendors and are classified as Level 1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Level 2 investments, since these vendors either provide a quoted market price in an active market or use other observable inputs to price these securities.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nine months ended June 30, 2019 and 2018, we did not recognize any credit losses. Please see Notes 5 and 6 to the consolidated financial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December 2011, we entered into an unsecured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$500.0 million five-year revolving credit facility with a syndicate of banks. In December 2014 and in December 2017, the credit facility was amended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restated to, among other things, extend the maturity date of the facility to December 2019 and December 2022, respectively. As of June 30, 2019,</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were in compliance with the financial covenants under the revolving credit facility and had no outstanding borrowings under the facility.</w:t>
      </w:r>
    </w:p>
    <w:p>
      <w:pPr>
        <w:spacing w:after="0" w:line="21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of June 30, 2019, we had additional uncommitted lines of credit available for general corporate and other specific purposes and had outstanding letters of credit and bank guarantees from various banks totaling $54.4 million. These were supported by a combination of the uncommitted lines of credit that we maintain with various banks.</w:t>
      </w:r>
    </w:p>
    <w:p>
      <w:pPr>
        <w:spacing w:after="0" w:line="181"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We have contractual obligations for our non-cancelable operating leases, long-term debt,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2018, filed on December 10, 2018 with the SEC. Since September 30, 2018, there have been no material changes in our aggregate contractual obligations.</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Generally, 80% to 90% of our capital expenditures (excluding the investment in our new campus in Israel)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computer equipment, and the remainder is attributable mainly to leasehold improvements. Our capital expenditures were approximately $93.8 million in the nine months ended June 30, 2019 and were mainly attributable to investments in our operating facilities and our development centers around the world. The total net investment we expect to make in connection with the new campus in Israel is estimated to be approximately $350 million over a period of four to five years, starting with fiscal year 2018. Out of which approximately $100 million was incurred in fiscal year 2018 by both us and our partner Union at equal portions (i.e. our net investment was approximately $50 million), and up to $30 million cash investment is expected to be incurred in fiscal year 2019.</w:t>
      </w:r>
    </w:p>
    <w:p>
      <w:pPr>
        <w:spacing w:after="0" w:line="18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From time to time, our Board of Directors can adopt share repurchase plans authorizing the repurchase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On November 8, 2017, our Board of Directors adopted a share repurchase plan for the repurchase of up to an additional $800.0 million of our outstanding ordinary shares with no expiration date. In the nine months ended June 30, 2019, we repurchased 5.3 million ordinary shares at an average price of $58.58 per share (excluding broker and transaction fees). The November 2017 plan permits us to purchase our ordinary shares in open market or privately negotiated transactions at times and prices that it considers appropriate. As of June 30, 2019, we had remaining authority to repurchase up to $329.2 million of our outstanding ordinary shares under the November 2017 plan.</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nine months ended June 30, 2019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vMerge w:val="restart"/>
          </w:tcPr>
          <w:p>
            <w:pPr>
              <w:spacing w:after="0"/>
              <w:rPr>
                <w:sz w:val="14"/>
                <w:szCs w:val="14"/>
                <w:color w:val="auto"/>
              </w:rPr>
            </w:pPr>
          </w:p>
        </w:tc>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1160" w:type="dxa"/>
            <w:vAlign w:val="bottom"/>
          </w:tcPr>
          <w:p>
            <w:pPr>
              <w:spacing w:after="0"/>
              <w:rPr>
                <w:sz w:val="14"/>
                <w:szCs w:val="1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Dividends Per</w:t>
            </w:r>
          </w:p>
        </w:tc>
        <w:tc>
          <w:tcPr>
            <w:tcW w:w="320" w:type="dxa"/>
            <w:vAlign w:val="bottom"/>
          </w:tcPr>
          <w:p>
            <w:pPr>
              <w:spacing w:after="0"/>
              <w:rPr>
                <w:sz w:val="14"/>
                <w:szCs w:val="14"/>
                <w:color w:val="auto"/>
              </w:rPr>
            </w:pPr>
          </w:p>
        </w:tc>
        <w:tc>
          <w:tcPr>
            <w:tcW w:w="22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Record Date</w:t>
            </w:r>
          </w:p>
        </w:tc>
        <w:tc>
          <w:tcPr>
            <w:tcW w:w="204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Total Amount</w:t>
            </w:r>
          </w:p>
        </w:tc>
        <w:tc>
          <w:tcPr>
            <w:tcW w:w="380" w:type="dxa"/>
            <w:vAlign w:val="bottom"/>
          </w:tcPr>
          <w:p>
            <w:pPr>
              <w:spacing w:after="0"/>
              <w:rPr>
                <w:sz w:val="14"/>
                <w:szCs w:val="14"/>
                <w:color w:val="auto"/>
              </w:rPr>
            </w:pPr>
          </w:p>
        </w:tc>
        <w:tc>
          <w:tcPr>
            <w:tcW w:w="21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4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Ordinary Share</w:t>
            </w:r>
          </w:p>
        </w:tc>
        <w:tc>
          <w:tcPr>
            <w:tcW w:w="32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May 14, 2019</w:t>
            </w:r>
          </w:p>
        </w:tc>
        <w:tc>
          <w:tcPr>
            <w:tcW w:w="1480" w:type="dxa"/>
            <w:vAlign w:val="bottom"/>
            <w:gridSpan w:val="2"/>
            <w:shd w:val="clear" w:color="auto" w:fill="CCEEFF"/>
          </w:tcPr>
          <w:p>
            <w:pPr>
              <w:jc w:val="right"/>
              <w:ind w:right="188"/>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0.285</w:t>
            </w:r>
          </w:p>
        </w:tc>
        <w:tc>
          <w:tcPr>
            <w:tcW w:w="3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June 28, 2019</w:t>
            </w:r>
          </w:p>
        </w:tc>
        <w:tc>
          <w:tcPr>
            <w:tcW w:w="10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38.7</w:t>
            </w:r>
          </w:p>
        </w:tc>
        <w:tc>
          <w:tcPr>
            <w:tcW w:w="3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July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February 5, 2019</w:t>
            </w:r>
          </w:p>
        </w:tc>
        <w:tc>
          <w:tcPr>
            <w:tcW w:w="14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0.285</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March 29, 2019</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39.1</w:t>
            </w:r>
          </w:p>
        </w:tc>
        <w:tc>
          <w:tcPr>
            <w:tcW w:w="2480" w:type="dxa"/>
            <w:vAlign w:val="bottom"/>
            <w:gridSpan w:val="2"/>
          </w:tcPr>
          <w:p>
            <w:pPr>
              <w:ind w:left="380"/>
              <w:spacing w:after="0"/>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November 8, 2018</w:t>
            </w:r>
          </w:p>
        </w:tc>
        <w:tc>
          <w:tcPr>
            <w:tcW w:w="1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0.250</w:t>
            </w: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December 31, 2018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w:t>
            </w:r>
          </w:p>
        </w:tc>
        <w:tc>
          <w:tcPr>
            <w:tcW w:w="2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January 18,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May 10, 2018</w:t>
            </w:r>
          </w:p>
        </w:tc>
        <w:tc>
          <w:tcPr>
            <w:tcW w:w="14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0.250</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June 29, 2018</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35.3</w:t>
            </w:r>
          </w:p>
        </w:tc>
        <w:tc>
          <w:tcPr>
            <w:tcW w:w="2480" w:type="dxa"/>
            <w:vAlign w:val="bottom"/>
            <w:gridSpan w:val="2"/>
          </w:tcPr>
          <w:p>
            <w:pPr>
              <w:ind w:left="380"/>
              <w:spacing w:after="0"/>
              <w:rPr>
                <w:sz w:val="20"/>
                <w:szCs w:val="20"/>
                <w:color w:val="auto"/>
              </w:rPr>
            </w:pPr>
            <w:r>
              <w:rPr>
                <w:rFonts w:ascii="Arial" w:cs="Arial" w:eastAsia="Arial" w:hAnsi="Arial"/>
                <w:sz w:val="18"/>
                <w:szCs w:val="18"/>
                <w:color w:val="auto"/>
              </w:rPr>
              <w:t>July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0.250</w:t>
            </w: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March 30, 2018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w:t>
            </w:r>
          </w:p>
        </w:tc>
        <w:tc>
          <w:tcPr>
            <w:tcW w:w="2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9"/>
              </w:rPr>
              <w:t>November 8, 2017</w:t>
            </w:r>
          </w:p>
        </w:tc>
        <w:tc>
          <w:tcPr>
            <w:tcW w:w="14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0.220</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December 29, 2017</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31.6</w:t>
            </w:r>
          </w:p>
        </w:tc>
        <w:tc>
          <w:tcPr>
            <w:tcW w:w="2480" w:type="dxa"/>
            <w:vAlign w:val="bottom"/>
            <w:gridSpan w:val="2"/>
          </w:tcPr>
          <w:p>
            <w:pPr>
              <w:ind w:left="380"/>
              <w:spacing w:after="0"/>
              <w:rPr>
                <w:sz w:val="20"/>
                <w:szCs w:val="20"/>
                <w:color w:val="auto"/>
              </w:rPr>
            </w:pPr>
            <w:r>
              <w:rPr>
                <w:rFonts w:ascii="Arial" w:cs="Arial" w:eastAsia="Arial" w:hAnsi="Arial"/>
                <w:sz w:val="18"/>
                <w:szCs w:val="18"/>
                <w:color w:val="auto"/>
              </w:rPr>
              <w:t>January 19, 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On August 7, 2019, our Board of Directors approved a quarterly dividend payment of $0.285 per share and set September 30, 2019 as the record date for determining the shareholders entitled to receive the dividend, which will be payable on October 25, 2019.</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During the nine months ended June 30, 2019 and 2018,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2019 of equity securities that are registered by us pursuant to Section 12 of the Exchange Act:</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jc w:val="center"/>
              <w:ind w:right="499"/>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12"/>
                <w:szCs w:val="12"/>
                <w:color w:val="auto"/>
              </w:rPr>
            </w:pPr>
          </w:p>
        </w:tc>
        <w:tc>
          <w:tcPr>
            <w:tcW w:w="210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jc w:val="center"/>
              <w:ind w:right="499"/>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gridSpan w:val="2"/>
            <w:vMerge w:val="restart"/>
          </w:tcPr>
          <w:p>
            <w:pPr>
              <w:jc w:val="center"/>
              <w:ind w:right="1000"/>
              <w:spacing w:after="0"/>
              <w:rPr>
                <w:sz w:val="20"/>
                <w:szCs w:val="20"/>
                <w:color w:val="auto"/>
              </w:rPr>
            </w:pPr>
            <w:r>
              <w:rPr>
                <w:rFonts w:ascii="Arial" w:cs="Arial" w:eastAsia="Arial" w:hAnsi="Arial"/>
                <w:sz w:val="14"/>
                <w:szCs w:val="14"/>
                <w:b w:val="1"/>
                <w:bCs w:val="1"/>
                <w:color w:val="auto"/>
              </w:rPr>
              <w:t>(b)</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2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2"/>
                <w:szCs w:val="12"/>
                <w:color w:val="auto"/>
              </w:rPr>
            </w:pPr>
          </w:p>
        </w:tc>
        <w:tc>
          <w:tcPr>
            <w:tcW w:w="230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rPr>
              <w:t>Average Price</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jc w:val="center"/>
              <w:ind w:right="479"/>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2120" w:type="dxa"/>
            <w:vAlign w:val="bottom"/>
            <w:gridSpan w:val="4"/>
            <w:vMerge w:val="continue"/>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2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 per Share(1)</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jc w:val="center"/>
              <w:ind w:right="499"/>
              <w:spacing w:after="0"/>
              <w:rPr>
                <w:sz w:val="20"/>
                <w:szCs w:val="20"/>
                <w:color w:val="auto"/>
              </w:rPr>
            </w:pPr>
            <w:r>
              <w:rPr>
                <w:rFonts w:ascii="Arial" w:cs="Arial" w:eastAsia="Arial" w:hAnsi="Arial"/>
                <w:sz w:val="14"/>
                <w:szCs w:val="14"/>
                <w:b w:val="1"/>
                <w:bCs w:val="1"/>
                <w:color w:val="auto"/>
                <w:w w:val="93"/>
              </w:rPr>
              <w:t>or Programs(2)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04/01/19-04/30/19</w:t>
            </w: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423,146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94"/>
              <w:spacing w:after="0" w:line="203" w:lineRule="exact"/>
              <w:rPr>
                <w:sz w:val="20"/>
                <w:szCs w:val="20"/>
                <w:color w:val="auto"/>
              </w:rPr>
            </w:pPr>
            <w:r>
              <w:rPr>
                <w:rFonts w:ascii="Arial" w:cs="Arial" w:eastAsia="Arial" w:hAnsi="Arial"/>
                <w:sz w:val="18"/>
                <w:szCs w:val="18"/>
                <w:color w:val="auto"/>
              </w:rPr>
              <w:t>54.35</w:t>
            </w: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423,146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399"/>
              <w:spacing w:after="0" w:line="203" w:lineRule="exact"/>
              <w:rPr>
                <w:sz w:val="20"/>
                <w:szCs w:val="20"/>
                <w:color w:val="auto"/>
              </w:rPr>
            </w:pPr>
            <w:r>
              <w:rPr>
                <w:rFonts w:ascii="Arial" w:cs="Arial" w:eastAsia="Arial" w:hAnsi="Arial"/>
                <w:sz w:val="18"/>
                <w:szCs w:val="18"/>
                <w:color w:val="auto"/>
              </w:rPr>
              <w:t>394,971,008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05/01/19-05/31/19</w:t>
            </w:r>
          </w:p>
        </w:tc>
        <w:tc>
          <w:tcPr>
            <w:tcW w:w="2100" w:type="dxa"/>
            <w:vAlign w:val="bottom"/>
          </w:tcPr>
          <w:p>
            <w:pPr>
              <w:jc w:val="right"/>
              <w:spacing w:after="0"/>
              <w:rPr>
                <w:sz w:val="20"/>
                <w:szCs w:val="20"/>
                <w:color w:val="auto"/>
              </w:rPr>
            </w:pPr>
            <w:r>
              <w:rPr>
                <w:rFonts w:ascii="Arial" w:cs="Arial" w:eastAsia="Arial" w:hAnsi="Arial"/>
                <w:sz w:val="18"/>
                <w:szCs w:val="18"/>
                <w:color w:val="auto"/>
              </w:rPr>
              <w:t>463,771</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94"/>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463,771</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399"/>
              <w:spacing w:after="0"/>
              <w:rPr>
                <w:sz w:val="20"/>
                <w:szCs w:val="20"/>
                <w:color w:val="auto"/>
              </w:rPr>
            </w:pPr>
            <w:r>
              <w:rPr>
                <w:rFonts w:ascii="Arial" w:cs="Arial" w:eastAsia="Arial" w:hAnsi="Arial"/>
                <w:sz w:val="18"/>
                <w:szCs w:val="18"/>
                <w:color w:val="auto"/>
              </w:rPr>
              <w:t>368,437,600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06/01/19-06/30/19</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60.92</w:t>
            </w:r>
          </w:p>
        </w:tc>
        <w:tc>
          <w:tcPr>
            <w:tcW w:w="100" w:type="dxa"/>
            <w:vAlign w:val="bottom"/>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329,170,948</w:t>
            </w:r>
          </w:p>
        </w:tc>
        <w:tc>
          <w:tcPr>
            <w:tcW w:w="0" w:type="dxa"/>
            <w:vAlign w:val="bottom"/>
          </w:tcPr>
          <w:p>
            <w:pPr>
              <w:spacing w:after="0"/>
              <w:rPr>
                <w:sz w:val="1"/>
                <w:szCs w:val="1"/>
                <w:color w:val="auto"/>
              </w:rPr>
            </w:pPr>
          </w:p>
        </w:tc>
      </w:tr>
      <w:tr>
        <w:trPr>
          <w:trHeight w:val="223"/>
        </w:trPr>
        <w:tc>
          <w:tcPr>
            <w:tcW w:w="2120" w:type="dxa"/>
            <w:vAlign w:val="bottom"/>
            <w:gridSpan w:val="4"/>
          </w:tcPr>
          <w:p>
            <w:pPr>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1,531,458</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94"/>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1,531,458</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399"/>
              <w:spacing w:after="0"/>
              <w:rPr>
                <w:sz w:val="20"/>
                <w:szCs w:val="20"/>
                <w:color w:val="auto"/>
              </w:rPr>
            </w:pPr>
            <w:r>
              <w:rPr>
                <w:rFonts w:ascii="Arial" w:cs="Arial" w:eastAsia="Arial" w:hAnsi="Arial"/>
                <w:sz w:val="18"/>
                <w:szCs w:val="18"/>
                <w:color w:val="auto"/>
              </w:rPr>
              <w:t>329,170,948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640" w:right="240" w:hanging="436"/>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November 8, 2017, our Board of Directors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we consider appropriate.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2019:</w:t>
      </w:r>
    </w:p>
    <w:p>
      <w:pPr>
        <w:spacing w:after="0" w:line="131" w:lineRule="exact"/>
        <w:rPr>
          <w:sz w:val="20"/>
          <w:szCs w:val="20"/>
          <w:color w:val="auto"/>
        </w:rPr>
      </w:pPr>
    </w:p>
    <w:p>
      <w:pPr>
        <w:ind w:left="1180" w:hanging="544"/>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May 15, 2019</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May 28, 2019</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AMDOCS LIMITED</w:t>
      </w:r>
    </w:p>
    <w:p>
      <w:pPr>
        <w:spacing w:after="0" w:line="33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Matthew E. Smith</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Secretary and Authorized Signatory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August 19, 2019</w:t>
      </w:r>
    </w:p>
    <w:p>
      <w:pPr>
        <w:spacing w:after="0" w:line="200" w:lineRule="exact"/>
        <w:rPr>
          <w:sz w:val="20"/>
          <w:szCs w:val="20"/>
          <w:color w:val="auto"/>
        </w:rPr>
      </w:pPr>
    </w:p>
    <w:p>
      <w:pPr>
        <w:spacing w:after="0" w:line="25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sectPr>
      <w:pgSz w:w="11900" w:h="16838" w:orient="portrait"/>
      <w:cols w:equalWidth="0" w:num="1">
        <w:col w:w="10920"/>
      </w:cols>
      <w:pgMar w:left="240" w:top="459"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2019-12-21T01:24:09Z</dcterms:created>
  <dcterms:modified xsi:type="dcterms:W3CDTF">2019-12-21T01:24:09Z</dcterms:modified>
</cp:coreProperties>
</file>