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PROSPECTUS SUPPLEMENT NO. 15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Prospectus dated September 25, 2001)</w:t>
      </w:r>
    </w:p>
    <w:p>
      <w:pPr>
        <w:spacing w:after="0" w:line="20" w:lineRule="exact"/>
        <w:rPr>
          <w:sz w:val="24"/>
          <w:szCs w:val="24"/>
          <w:color w:val="auto"/>
        </w:rPr>
      </w:pPr>
      <w:r>
        <w:rPr>
          <w:sz w:val="24"/>
          <w:szCs w:val="24"/>
          <w:color w:val="auto"/>
        </w:rPr>
        <w:br w:type="column"/>
      </w:r>
    </w:p>
    <w:p>
      <w:pPr>
        <w:ind w:right="1779" w:firstLine="421"/>
        <w:spacing w:after="0" w:line="290" w:lineRule="auto"/>
        <w:rPr>
          <w:sz w:val="20"/>
          <w:szCs w:val="20"/>
          <w:color w:val="auto"/>
        </w:rPr>
      </w:pPr>
      <w:r>
        <w:rPr>
          <w:rFonts w:ascii="Courier New" w:cs="Courier New" w:eastAsia="Courier New" w:hAnsi="Courier New"/>
          <w:sz w:val="16"/>
          <w:szCs w:val="16"/>
          <w:color w:val="auto"/>
        </w:rPr>
        <w:t>FILED PURSUANT TO RULE 424(B)(3) Registration Statement No. 333-67572</w:t>
      </w:r>
    </w:p>
    <w:p>
      <w:pPr>
        <w:spacing w:after="0" w:line="164" w:lineRule="exact"/>
        <w:rPr>
          <w:sz w:val="24"/>
          <w:szCs w:val="24"/>
          <w:color w:val="auto"/>
        </w:rPr>
      </w:pPr>
    </w:p>
    <w:p>
      <w:pPr>
        <w:sectPr>
          <w:pgSz w:w="11900" w:h="16838" w:orient="portrait"/>
          <w:cols w:equalWidth="0" w:num="2">
            <w:col w:w="4220" w:space="420"/>
            <w:col w:w="5579"/>
          </w:cols>
          <w:pgMar w:left="240" w:top="649" w:right="1440" w:bottom="1440" w:gutter="0" w:footer="0" w:header="0"/>
        </w:sect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$500,000,000</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2% Convertible Notes due June 1, 2008</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5,429,350 Ordinary Shares Issuable</w:t>
      </w:r>
    </w:p>
    <w:p>
      <w:pPr>
        <w:jc w:val="center"/>
        <w:ind w:right="1779"/>
        <w:spacing w:after="0"/>
        <w:rPr>
          <w:sz w:val="20"/>
          <w:szCs w:val="20"/>
          <w:color w:val="auto"/>
        </w:rPr>
      </w:pPr>
      <w:r>
        <w:rPr>
          <w:rFonts w:ascii="Courier New" w:cs="Courier New" w:eastAsia="Courier New" w:hAnsi="Courier New"/>
          <w:sz w:val="18"/>
          <w:szCs w:val="18"/>
          <w:color w:val="auto"/>
        </w:rPr>
        <w:t>Upon Conversion of the Notes</w:t>
      </w:r>
    </w:p>
    <w:p>
      <w:pPr>
        <w:sectPr>
          <w:pgSz w:w="11900" w:h="16838" w:orient="portrait"/>
          <w:cols w:equalWidth="0" w:num="1">
            <w:col w:w="10219"/>
          </w:cols>
          <w:pgMar w:left="240" w:top="649" w:right="1440" w:bottom="1440" w:gutter="0" w:footer="0" w:header="0"/>
          <w:type w:val="continuous"/>
        </w:sectPr>
      </w:pPr>
    </w:p>
    <w:p>
      <w:pPr>
        <w:ind w:left="296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prospectus supplement relates to the resale by holders of our 2% Convertible Notes due June 1, 2008 and ordinary shares issuable upon conversion of the notes. This prospectus supplement may only be delivered or used in connection with our prospectus dated September 25, 2001. Our ordinary shares are traded on the New York Stock Exchange under the symbol "DOX."</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PROSPECTUS SUPPLEMENT DATED APRIL 15, 2002</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right="1879" w:firstLine="527"/>
        <w:spacing w:after="0" w:line="237" w:lineRule="auto"/>
        <w:rPr>
          <w:sz w:val="20"/>
          <w:szCs w:val="20"/>
          <w:color w:val="auto"/>
        </w:rPr>
      </w:pPr>
      <w:r>
        <w:rPr>
          <w:rFonts w:ascii="Courier New" w:cs="Courier New" w:eastAsia="Courier New" w:hAnsi="Courier New"/>
          <w:sz w:val="18"/>
          <w:szCs w:val="18"/>
          <w:color w:val="auto"/>
        </w:rPr>
        <w:t>The information appearing in the following table supplements or supersedes in part the information in the table under the caption "Selling Holders", beginning on page 50 in our prospectus and was provided by or on behalf of the selling holders.</w:t>
      </w:r>
    </w:p>
    <w:p>
      <w:pPr>
        <w:spacing w:after="0" w:line="202"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PRINCIPAL</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ORDINARY</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AMOUNT OF</w:t>
      </w:r>
    </w:p>
    <w:p>
      <w:pPr>
        <w:jc w:val="center"/>
        <w:ind w:right="8959"/>
        <w:spacing w:after="0"/>
        <w:rPr>
          <w:sz w:val="20"/>
          <w:szCs w:val="20"/>
          <w:color w:val="auto"/>
        </w:rPr>
      </w:pPr>
      <w:r>
        <w:rPr>
          <w:rFonts w:ascii="Courier New" w:cs="Courier New" w:eastAsia="Courier New" w:hAnsi="Courier New"/>
          <w:sz w:val="18"/>
          <w:szCs w:val="18"/>
          <w:color w:val="auto"/>
        </w:rPr>
        <w:t>SHARES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NOTES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 AFTER</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OWNED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BEFORE</w:t>
      </w:r>
    </w:p>
    <w:p>
      <w:pPr>
        <w:jc w:val="center"/>
        <w:ind w:right="8959"/>
        <w:spacing w:after="0"/>
        <w:rPr>
          <w:sz w:val="20"/>
          <w:szCs w:val="20"/>
          <w:color w:val="auto"/>
        </w:rPr>
      </w:pPr>
      <w:r>
        <w:rPr>
          <w:rFonts w:ascii="Courier New" w:cs="Courier New" w:eastAsia="Courier New" w:hAnsi="Courier New"/>
          <w:sz w:val="18"/>
          <w:szCs w:val="18"/>
          <w:color w:val="auto"/>
        </w:rPr>
        <w:t>SHARES ----</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60" w:right="9059" w:hanging="151"/>
        <w:spacing w:after="0" w:line="268" w:lineRule="auto"/>
        <w:tabs>
          <w:tab w:leader="none" w:pos="31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w:t>
      </w:r>
    </w:p>
    <w:p>
      <w:pPr>
        <w:jc w:val="center"/>
        <w:ind w:right="8959"/>
        <w:spacing w:after="0" w:line="233" w:lineRule="auto"/>
        <w:rPr>
          <w:sz w:val="20"/>
          <w:szCs w:val="20"/>
          <w:color w:val="auto"/>
        </w:rPr>
      </w:pPr>
      <w:r>
        <w:rPr>
          <w:rFonts w:ascii="Courier New" w:cs="Courier New" w:eastAsia="Courier New" w:hAnsi="Courier New"/>
          <w:sz w:val="18"/>
          <w:szCs w:val="18"/>
          <w:color w:val="auto"/>
        </w:rPr>
        <w:t>OFFERED</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OFFERED(1)</w:t>
      </w:r>
    </w:p>
    <w:p>
      <w:pPr>
        <w:jc w:val="center"/>
        <w:ind w:right="8959"/>
        <w:spacing w:after="0"/>
        <w:rPr>
          <w:sz w:val="20"/>
          <w:szCs w:val="20"/>
          <w:color w:val="auto"/>
        </w:rPr>
      </w:pPr>
      <w:r>
        <w:rPr>
          <w:rFonts w:ascii="Courier New" w:cs="Courier New" w:eastAsia="Courier New" w:hAnsi="Courier New"/>
          <w:sz w:val="18"/>
          <w:szCs w:val="18"/>
          <w:color w:val="auto"/>
        </w:rPr>
        <w:t>AMOUNT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PERCENT ---</w:t>
      </w:r>
    </w:p>
    <w:p>
      <w:pPr>
        <w:ind w:left="60"/>
        <w:spacing w:after="0"/>
        <w:rPr>
          <w:sz w:val="20"/>
          <w:szCs w:val="20"/>
          <w:color w:val="auto"/>
        </w:rPr>
      </w:pPr>
      <w:r>
        <w:rPr>
          <w:rFonts w:ascii="Courier New" w:cs="Courier New" w:eastAsia="Courier New" w:hAnsi="Courier New"/>
          <w:sz w:val="18"/>
          <w:szCs w:val="18"/>
          <w:color w:val="auto"/>
        </w:rPr>
        <w:t>-----------</w:t>
      </w:r>
    </w:p>
    <w:p>
      <w:pPr>
        <w:ind w:left="380" w:hanging="323"/>
        <w:spacing w:after="0" w:line="237" w:lineRule="auto"/>
        <w:tabs>
          <w:tab w:leader="none" w:pos="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311"/>
        <w:spacing w:after="0" w:line="238" w:lineRule="auto"/>
        <w:tabs>
          <w:tab w:leader="none" w:pos="4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Goldman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Sachs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Company</w:t>
      </w:r>
    </w:p>
    <w:p>
      <w:pPr>
        <w:jc w:val="center"/>
        <w:ind w:right="8959"/>
        <w:spacing w:after="0"/>
        <w:rPr>
          <w:sz w:val="20"/>
          <w:szCs w:val="20"/>
          <w:color w:val="auto"/>
        </w:rPr>
      </w:pPr>
      <w:r>
        <w:rPr>
          <w:rFonts w:ascii="Courier New" w:cs="Courier New" w:eastAsia="Courier New" w:hAnsi="Courier New"/>
          <w:sz w:val="18"/>
          <w:szCs w:val="18"/>
          <w:color w:val="auto"/>
        </w:rPr>
        <w:t>$900,000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9,772 9,772</w:t>
      </w:r>
    </w:p>
    <w:p>
      <w:pPr>
        <w:jc w:val="center"/>
        <w:ind w:right="8959"/>
        <w:spacing w:after="0"/>
        <w:rPr>
          <w:sz w:val="20"/>
          <w:szCs w:val="20"/>
          <w:color w:val="auto"/>
        </w:rPr>
      </w:pPr>
      <w:r>
        <w:rPr>
          <w:rFonts w:ascii="Courier New" w:cs="Courier New" w:eastAsia="Courier New" w:hAnsi="Courier New"/>
          <w:sz w:val="18"/>
          <w:szCs w:val="18"/>
          <w:color w:val="auto"/>
        </w:rPr>
        <w:t>0 * 295</w:t>
      </w:r>
    </w:p>
    <w:p>
      <w:pPr>
        <w:jc w:val="center"/>
        <w:ind w:right="8959"/>
        <w:spacing w:after="0" w:line="237" w:lineRule="auto"/>
        <w:rPr>
          <w:sz w:val="20"/>
          <w:szCs w:val="20"/>
          <w:color w:val="auto"/>
        </w:rPr>
      </w:pPr>
      <w:r>
        <w:rPr>
          <w:rFonts w:ascii="Courier New" w:cs="Courier New" w:eastAsia="Courier New" w:hAnsi="Courier New"/>
          <w:sz w:val="18"/>
          <w:szCs w:val="18"/>
          <w:color w:val="auto"/>
        </w:rPr>
        <w:t>Chipeta Way</w:t>
      </w:r>
    </w:p>
    <w:p>
      <w:pPr>
        <w:jc w:val="center"/>
        <w:ind w:right="8959"/>
        <w:spacing w:after="0"/>
        <w:rPr>
          <w:sz w:val="20"/>
          <w:szCs w:val="20"/>
          <w:color w:val="auto"/>
        </w:rPr>
      </w:pPr>
      <w:r>
        <w:rPr>
          <w:rFonts w:ascii="Courier New" w:cs="Courier New" w:eastAsia="Courier New" w:hAnsi="Courier New"/>
          <w:sz w:val="18"/>
          <w:szCs w:val="18"/>
          <w:color w:val="auto"/>
        </w:rPr>
        <w:t>Salt Lake</w:t>
      </w:r>
    </w:p>
    <w:p>
      <w:pPr>
        <w:jc w:val="center"/>
        <w:ind w:right="8959"/>
        <w:spacing w:after="0" w:line="237" w:lineRule="auto"/>
        <w:rPr>
          <w:sz w:val="20"/>
          <w:szCs w:val="20"/>
          <w:color w:val="auto"/>
        </w:rPr>
      </w:pPr>
      <w:r>
        <w:rPr>
          <w:rFonts w:ascii="Courier New" w:cs="Courier New" w:eastAsia="Courier New" w:hAnsi="Courier New"/>
          <w:sz w:val="18"/>
          <w:szCs w:val="18"/>
          <w:color w:val="auto"/>
        </w:rPr>
        <w:t>City, UT</w:t>
      </w:r>
    </w:p>
    <w:p>
      <w:pPr>
        <w:jc w:val="center"/>
        <w:ind w:right="8959"/>
        <w:spacing w:after="0" w:line="238" w:lineRule="auto"/>
        <w:rPr>
          <w:sz w:val="20"/>
          <w:szCs w:val="20"/>
          <w:color w:val="auto"/>
        </w:rPr>
      </w:pPr>
      <w:r>
        <w:rPr>
          <w:rFonts w:ascii="Courier New" w:cs="Courier New" w:eastAsia="Courier New" w:hAnsi="Courier New"/>
          <w:sz w:val="18"/>
          <w:szCs w:val="18"/>
          <w:color w:val="auto"/>
        </w:rPr>
        <w:t>84108</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Indicates less than 1%.</w:t>
      </w:r>
    </w:p>
    <w:p>
      <w:pPr>
        <w:spacing w:after="0" w:line="207" w:lineRule="exact"/>
        <w:rPr>
          <w:sz w:val="20"/>
          <w:szCs w:val="20"/>
          <w:color w:val="auto"/>
        </w:rPr>
      </w:pPr>
    </w:p>
    <w:p>
      <w:pPr>
        <w:ind w:left="420" w:right="1779" w:hanging="412"/>
        <w:spacing w:after="0" w:line="271" w:lineRule="auto"/>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the holder's notes at a conversion rate of 10.8587 ordinary shares per each $1,000 principal amount of the notes and resale of all ordinary shares offered hereby. In addition, the per share conversion price, and therefore the number of ordinary shares issuable upon conversion of the notes, is subject to adjustment. As a result, the aggregate principal amount of the notes and the number of shares of ordinary shares issuable upon conversion of the notes may increase or decrease.</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2019-12-12T01:06:38Z</dcterms:created>
  <dcterms:modified xsi:type="dcterms:W3CDTF">2019-12-12T01:06:38Z</dcterms:modified>
</cp:coreProperties>
</file>