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ind w:left="266"/>
        <w:spacing w:after="0"/>
        <w:rPr>
          <w:sz w:val="20"/>
          <w:szCs w:val="20"/>
          <w:color w:val="auto"/>
        </w:rPr>
      </w:pPr>
      <w:r>
        <w:rPr>
          <w:rFonts w:ascii="Courier New" w:cs="Courier New" w:eastAsia="Courier New" w:hAnsi="Courier New"/>
          <w:sz w:val="15"/>
          <w:szCs w:val="15"/>
          <w:color w:val="auto"/>
        </w:rPr>
        <w:t>1</w:t>
      </w:r>
    </w:p>
    <w:p>
      <w:pPr>
        <w:spacing w:after="0" w:line="359" w:lineRule="exact"/>
        <w:rPr>
          <w:sz w:val="24"/>
          <w:szCs w:val="24"/>
          <w:color w:val="auto"/>
        </w:rPr>
      </w:pPr>
    </w:p>
    <w:p>
      <w:pPr>
        <w:ind w:left="466"/>
        <w:spacing w:after="0"/>
        <w:rPr>
          <w:sz w:val="20"/>
          <w:szCs w:val="20"/>
          <w:color w:val="auto"/>
        </w:rPr>
      </w:pPr>
      <w:r>
        <w:rPr>
          <w:rFonts w:ascii="Courier New" w:cs="Courier New" w:eastAsia="Courier New" w:hAnsi="Courier New"/>
          <w:sz w:val="15"/>
          <w:szCs w:val="15"/>
          <w:color w:val="auto"/>
        </w:rPr>
        <w:t>AS FILED WITH THE SECURITIES AND EXCHANGE COMMISSION ON APRIL 3, 2001.</w:t>
      </w:r>
    </w:p>
    <w:p>
      <w:pPr>
        <w:spacing w:after="0" w:line="359" w:lineRule="exact"/>
        <w:rPr>
          <w:sz w:val="24"/>
          <w:szCs w:val="24"/>
          <w:color w:val="auto"/>
        </w:rPr>
      </w:pPr>
    </w:p>
    <w:p>
      <w:pPr>
        <w:ind w:left="4946"/>
        <w:spacing w:after="0"/>
        <w:rPr>
          <w:sz w:val="20"/>
          <w:szCs w:val="20"/>
          <w:color w:val="auto"/>
        </w:rPr>
      </w:pPr>
      <w:r>
        <w:rPr>
          <w:rFonts w:ascii="Courier New" w:cs="Courier New" w:eastAsia="Courier New" w:hAnsi="Courier New"/>
          <w:sz w:val="15"/>
          <w:szCs w:val="15"/>
          <w:color w:val="auto"/>
        </w:rPr>
        <w:t>REGISTRATION NO. 333-57036</w:t>
      </w:r>
    </w:p>
    <w:p>
      <w:pPr>
        <w:spacing w:after="0" w:line="182" w:lineRule="exact"/>
        <w:rPr>
          <w:sz w:val="24"/>
          <w:szCs w:val="24"/>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4"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UNITED STATES</w:t>
      </w:r>
    </w:p>
    <w:p>
      <w:pPr>
        <w:spacing w:after="0" w:line="34"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WASHINGTON, D.C. 20549</w:t>
      </w:r>
    </w:p>
    <w:p>
      <w:pPr>
        <w:spacing w:after="0" w:line="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331"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AMENDMENT NO. 1</w:t>
      </w:r>
    </w:p>
    <w:p>
      <w:pPr>
        <w:spacing w:after="0" w:line="359" w:lineRule="exact"/>
        <w:rPr>
          <w:sz w:val="24"/>
          <w:szCs w:val="24"/>
          <w:color w:val="auto"/>
        </w:rPr>
      </w:pPr>
    </w:p>
    <w:p>
      <w:pPr>
        <w:ind w:left="3566"/>
        <w:spacing w:after="0"/>
        <w:rPr>
          <w:sz w:val="20"/>
          <w:szCs w:val="20"/>
          <w:color w:val="auto"/>
        </w:rPr>
      </w:pPr>
      <w:r>
        <w:rPr>
          <w:rFonts w:ascii="Courier New" w:cs="Courier New" w:eastAsia="Courier New" w:hAnsi="Courier New"/>
          <w:sz w:val="15"/>
          <w:szCs w:val="15"/>
          <w:color w:val="auto"/>
        </w:rPr>
        <w:t>TO</w:t>
      </w:r>
    </w:p>
    <w:p>
      <w:pPr>
        <w:spacing w:after="0" w:line="359" w:lineRule="exact"/>
        <w:rPr>
          <w:sz w:val="24"/>
          <w:szCs w:val="24"/>
          <w:color w:val="auto"/>
        </w:rPr>
      </w:pPr>
    </w:p>
    <w:p>
      <w:pPr>
        <w:ind w:left="3306"/>
        <w:spacing w:after="0"/>
        <w:rPr>
          <w:sz w:val="20"/>
          <w:szCs w:val="20"/>
          <w:color w:val="auto"/>
        </w:rPr>
      </w:pPr>
      <w:r>
        <w:rPr>
          <w:rFonts w:ascii="Courier New" w:cs="Courier New" w:eastAsia="Courier New" w:hAnsi="Courier New"/>
          <w:sz w:val="15"/>
          <w:szCs w:val="15"/>
          <w:color w:val="auto"/>
        </w:rPr>
        <w:t>FORM F-3</w:t>
      </w:r>
    </w:p>
    <w:p>
      <w:pPr>
        <w:spacing w:after="0" w:line="34" w:lineRule="exact"/>
        <w:rPr>
          <w:sz w:val="24"/>
          <w:szCs w:val="24"/>
          <w:color w:val="auto"/>
        </w:rPr>
      </w:pPr>
    </w:p>
    <w:p>
      <w:pPr>
        <w:ind w:left="2666"/>
        <w:spacing w:after="0"/>
        <w:rPr>
          <w:sz w:val="20"/>
          <w:szCs w:val="20"/>
          <w:color w:val="auto"/>
        </w:rPr>
      </w:pPr>
      <w:r>
        <w:rPr>
          <w:rFonts w:ascii="Courier New" w:cs="Courier New" w:eastAsia="Courier New" w:hAnsi="Courier New"/>
          <w:sz w:val="15"/>
          <w:szCs w:val="15"/>
          <w:color w:val="auto"/>
        </w:rPr>
        <w:t>REGISTRATION STATEMENT</w:t>
      </w:r>
    </w:p>
    <w:p>
      <w:pPr>
        <w:spacing w:after="0" w:line="6" w:lineRule="exact"/>
        <w:rPr>
          <w:sz w:val="24"/>
          <w:szCs w:val="24"/>
          <w:color w:val="auto"/>
        </w:rPr>
      </w:pPr>
    </w:p>
    <w:p>
      <w:pPr>
        <w:ind w:left="3386"/>
        <w:spacing w:after="0"/>
        <w:rPr>
          <w:sz w:val="20"/>
          <w:szCs w:val="20"/>
          <w:color w:val="auto"/>
        </w:rPr>
      </w:pPr>
      <w:r>
        <w:rPr>
          <w:rFonts w:ascii="Courier New" w:cs="Courier New" w:eastAsia="Courier New" w:hAnsi="Courier New"/>
          <w:sz w:val="15"/>
          <w:szCs w:val="15"/>
          <w:color w:val="auto"/>
        </w:rPr>
        <w:t>UNDER</w:t>
      </w:r>
    </w:p>
    <w:p>
      <w:pPr>
        <w:spacing w:after="0" w:line="6" w:lineRule="exact"/>
        <w:rPr>
          <w:sz w:val="24"/>
          <w:szCs w:val="24"/>
          <w:color w:val="auto"/>
        </w:rPr>
      </w:pPr>
    </w:p>
    <w:p>
      <w:pPr>
        <w:ind w:left="2466"/>
        <w:spacing w:after="0"/>
        <w:rPr>
          <w:sz w:val="20"/>
          <w:szCs w:val="20"/>
          <w:color w:val="auto"/>
        </w:rPr>
      </w:pPr>
      <w:r>
        <w:rPr>
          <w:rFonts w:ascii="Courier New" w:cs="Courier New" w:eastAsia="Courier New" w:hAnsi="Courier New"/>
          <w:sz w:val="15"/>
          <w:szCs w:val="15"/>
          <w:color w:val="auto"/>
        </w:rPr>
        <w:t>THE SECURITIES ACT OF 1933</w:t>
      </w:r>
    </w:p>
    <w:p>
      <w:pPr>
        <w:spacing w:after="0" w:line="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154"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AMDOCS LIMITED</w:t>
      </w:r>
    </w:p>
    <w:p>
      <w:pPr>
        <w:spacing w:after="0" w:line="34"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900" w:orient="portrait"/>
          <w:cols w:equalWidth="0" w:num="1">
            <w:col w:w="10225"/>
          </w:cols>
          <w:pgMar w:left="234" w:top="207" w:right="1440" w:bottom="0" w:gutter="0" w:footer="0" w:header="0"/>
        </w:sectPr>
      </w:pPr>
    </w:p>
    <w:p>
      <w:pPr>
        <w:spacing w:after="0" w:line="200" w:lineRule="exact"/>
        <w:rPr>
          <w:sz w:val="24"/>
          <w:szCs w:val="24"/>
          <w:color w:val="auto"/>
        </w:rPr>
      </w:pPr>
    </w:p>
    <w:p>
      <w:pPr>
        <w:spacing w:after="0" w:line="307" w:lineRule="exact"/>
        <w:rPr>
          <w:sz w:val="24"/>
          <w:szCs w:val="24"/>
          <w:color w:val="auto"/>
        </w:rPr>
      </w:pPr>
    </w:p>
    <w:p>
      <w:pPr>
        <w:ind w:left="6" w:firstLine="550"/>
        <w:spacing w:after="0" w:line="310" w:lineRule="auto"/>
        <w:rPr>
          <w:sz w:val="20"/>
          <w:szCs w:val="20"/>
          <w:color w:val="auto"/>
        </w:rPr>
      </w:pPr>
      <w:r>
        <w:rPr>
          <w:rFonts w:ascii="Courier New" w:cs="Courier New" w:eastAsia="Courier New" w:hAnsi="Courier New"/>
          <w:sz w:val="15"/>
          <w:szCs w:val="15"/>
          <w:color w:val="auto"/>
        </w:rPr>
        <w:t>ISLAND OF GUERNSEY (STATE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7" w:lineRule="exact"/>
        <w:rPr>
          <w:sz w:val="24"/>
          <w:szCs w:val="24"/>
          <w:color w:val="auto"/>
        </w:rPr>
      </w:pPr>
    </w:p>
    <w:p>
      <w:pPr>
        <w:jc w:val="center"/>
        <w:ind w:right="100"/>
        <w:spacing w:after="0"/>
        <w:rPr>
          <w:sz w:val="20"/>
          <w:szCs w:val="20"/>
          <w:color w:val="auto"/>
        </w:rPr>
      </w:pPr>
      <w:r>
        <w:rPr>
          <w:rFonts w:ascii="Courier New" w:cs="Courier New" w:eastAsia="Courier New" w:hAnsi="Courier New"/>
          <w:sz w:val="15"/>
          <w:szCs w:val="15"/>
          <w:color w:val="auto"/>
        </w:rPr>
        <w:t>7371</w:t>
      </w:r>
    </w:p>
    <w:p>
      <w:pPr>
        <w:spacing w:after="0" w:line="34" w:lineRule="exact"/>
        <w:rPr>
          <w:sz w:val="24"/>
          <w:szCs w:val="24"/>
          <w:color w:val="auto"/>
        </w:rPr>
      </w:pPr>
    </w:p>
    <w:p>
      <w:pPr>
        <w:jc w:val="center"/>
        <w:ind w:right="100"/>
        <w:spacing w:after="0"/>
        <w:rPr>
          <w:sz w:val="20"/>
          <w:szCs w:val="20"/>
          <w:color w:val="auto"/>
        </w:rPr>
      </w:pPr>
      <w:r>
        <w:rPr>
          <w:rFonts w:ascii="Courier New" w:cs="Courier New" w:eastAsia="Courier New" w:hAnsi="Courier New"/>
          <w:sz w:val="15"/>
          <w:szCs w:val="15"/>
          <w:color w:val="auto"/>
        </w:rPr>
        <w:t>(PRIMARY STANDARD INDUSTRIAL</w:t>
      </w:r>
    </w:p>
    <w:p>
      <w:pPr>
        <w:spacing w:after="0" w:line="6"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7" w:lineRule="exact"/>
        <w:rPr>
          <w:sz w:val="24"/>
          <w:szCs w:val="24"/>
          <w:color w:val="auto"/>
        </w:rPr>
      </w:pPr>
    </w:p>
    <w:p>
      <w:pPr>
        <w:ind w:left="200"/>
        <w:spacing w:after="0"/>
        <w:rPr>
          <w:sz w:val="20"/>
          <w:szCs w:val="20"/>
          <w:color w:val="auto"/>
        </w:rPr>
      </w:pPr>
      <w:r>
        <w:rPr>
          <w:rFonts w:ascii="Courier New" w:cs="Courier New" w:eastAsia="Courier New" w:hAnsi="Courier New"/>
          <w:sz w:val="15"/>
          <w:szCs w:val="15"/>
          <w:color w:val="auto"/>
        </w:rPr>
        <w:t>NOT APPLICABLE</w:t>
      </w:r>
    </w:p>
    <w:p>
      <w:pPr>
        <w:spacing w:after="0" w:line="34"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308" w:lineRule="exact"/>
        <w:rPr>
          <w:sz w:val="24"/>
          <w:szCs w:val="24"/>
          <w:color w:val="auto"/>
        </w:rPr>
      </w:pPr>
    </w:p>
    <w:p>
      <w:pPr>
        <w:sectPr>
          <w:pgSz w:w="11900" w:h="16900" w:orient="portrait"/>
          <w:cols w:equalWidth="0" w:num="3">
            <w:col w:w="2846" w:space="180"/>
            <w:col w:w="2660" w:space="720"/>
            <w:col w:w="3819"/>
          </w:cols>
          <w:pgMar w:left="234" w:top="207" w:right="1440" w:bottom="0" w:gutter="0" w:footer="0" w:header="0"/>
          <w:type w:val="continuous"/>
        </w:sectPr>
      </w:pPr>
    </w:p>
    <w:p>
      <w:pPr>
        <w:spacing w:after="0" w:line="2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SUITE 5, TOWER HILL HOUSE LE BORDAGE</w:t>
      </w:r>
    </w:p>
    <w:p>
      <w:pPr>
        <w:spacing w:after="0" w:line="34"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011-44-1481-728444</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spacing w:after="0" w:line="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154"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AMDOCS, INC.</w:t>
      </w:r>
    </w:p>
    <w:p>
      <w:pPr>
        <w:spacing w:after="0" w:line="34"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6"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ATTENTION: THOMAS G. O'BRIEN, TREASURER</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(314) 212-8328</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54"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THE COMMISSION IS REQUESTED TO SEND COPIES OF ALL COMMUNICATIONS TO:</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ROBERT A. SCHWED, ESQ.</w:t>
      </w:r>
    </w:p>
    <w:p>
      <w:pPr>
        <w:spacing w:after="0" w:line="34"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JONATHAN P. CRAMER, ESQ.</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REBOUL, MACMURRAY, HEWITT, MAYNARD &amp; KRISTOL</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45 ROCKEFELLER PLAZA</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NEW YORK, NEW YORK 10111</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(212) 841-5700</w:t>
      </w:r>
    </w:p>
    <w:p>
      <w:pPr>
        <w:spacing w:after="0" w:line="154" w:lineRule="exact"/>
        <w:rPr>
          <w:sz w:val="24"/>
          <w:szCs w:val="24"/>
          <w:color w:val="auto"/>
        </w:rPr>
      </w:pPr>
    </w:p>
    <w:p>
      <w:pPr>
        <w:ind w:left="6" w:right="2979" w:firstLine="366"/>
        <w:spacing w:after="0" w:line="372"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2" w:lineRule="exact"/>
        <w:rPr>
          <w:sz w:val="24"/>
          <w:szCs w:val="24"/>
          <w:color w:val="auto"/>
        </w:rPr>
      </w:pPr>
    </w:p>
    <w:p>
      <w:pPr>
        <w:ind w:left="6" w:right="2979" w:firstLine="366"/>
        <w:spacing w:after="0" w:line="310"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please check the following box. [X] ________</w:t>
      </w:r>
    </w:p>
    <w:p>
      <w:pPr>
        <w:spacing w:after="0" w:line="46" w:lineRule="exact"/>
        <w:rPr>
          <w:sz w:val="24"/>
          <w:szCs w:val="24"/>
          <w:color w:val="auto"/>
        </w:rPr>
      </w:pPr>
    </w:p>
    <w:p>
      <w:pPr>
        <w:ind w:left="6" w:right="2899" w:firstLine="366"/>
        <w:spacing w:after="0" w:line="28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w:t>
      </w:r>
    </w:p>
    <w:p>
      <w:pPr>
        <w:spacing w:after="0" w:line="62" w:lineRule="exact"/>
        <w:rPr>
          <w:sz w:val="24"/>
          <w:szCs w:val="24"/>
          <w:color w:val="auto"/>
        </w:rPr>
      </w:pPr>
    </w:p>
    <w:p>
      <w:pPr>
        <w:jc w:val="both"/>
        <w:ind w:left="6" w:right="3179" w:firstLine="366"/>
        <w:spacing w:after="0" w:line="289"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w:t>
      </w:r>
    </w:p>
    <w:p>
      <w:pPr>
        <w:spacing w:after="0" w:line="62" w:lineRule="exact"/>
        <w:rPr>
          <w:sz w:val="24"/>
          <w:szCs w:val="24"/>
          <w:color w:val="auto"/>
        </w:rPr>
      </w:pPr>
    </w:p>
    <w:p>
      <w:pPr>
        <w:ind w:left="6" w:right="3079" w:firstLine="366"/>
        <w:spacing w:after="0" w:line="372"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 ________</w:t>
      </w:r>
    </w:p>
    <w:p>
      <w:pPr>
        <w:spacing w:after="0" w:line="178" w:lineRule="exact"/>
        <w:rPr>
          <w:sz w:val="24"/>
          <w:szCs w:val="24"/>
          <w:color w:val="auto"/>
        </w:rPr>
      </w:pPr>
    </w:p>
    <w:p>
      <w:pPr>
        <w:ind w:left="6" w:right="3079" w:firstLine="366"/>
        <w:spacing w:after="0" w:line="289" w:lineRule="auto"/>
        <w:rPr>
          <w:sz w:val="20"/>
          <w:szCs w:val="20"/>
          <w:color w:val="auto"/>
        </w:rPr>
      </w:pPr>
      <w:r>
        <w:rPr>
          <w:rFonts w:ascii="Courier New" w:cs="Courier New" w:eastAsia="Courier New" w:hAnsi="Courier New"/>
          <w:sz w:val="15"/>
          <w:szCs w:val="15"/>
          <w:color w:val="auto"/>
        </w:rPr>
        <w:t>Pursuant to Rule 429 of the Securities Act of 1933, as amended, the prospectus contained herein is a combined prospectus relating to securities registered hereby and under Registration Statement No. 333-39278 filed on June 14, 2000 and Registration Statement No. 333-44944 filed on August 31, 2000.</w:t>
      </w:r>
    </w:p>
    <w:p>
      <w:pPr>
        <w:spacing w:after="0" w:line="62"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6" w:right="2899" w:firstLine="366"/>
        <w:spacing w:after="0" w:line="279"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w:t>
      </w:r>
    </w:p>
    <w:p>
      <w:pPr>
        <w:sectPr>
          <w:pgSz w:w="11900" w:h="16900" w:orient="portrait"/>
          <w:cols w:equalWidth="0" w:num="1">
            <w:col w:w="10225"/>
          </w:cols>
          <w:pgMar w:left="234" w:top="207" w:right="1440" w:bottom="0" w:gutter="0" w:footer="0" w:header="0"/>
          <w:type w:val="continuous"/>
        </w:sectPr>
      </w:pPr>
    </w:p>
    <w:bookmarkStart w:id="1" w:name="page2"/>
    <w:bookmarkEnd w:id="1"/>
    <w:p>
      <w:pPr>
        <w:ind w:left="6" w:right="2979"/>
        <w:spacing w:after="0" w:line="268" w:lineRule="auto"/>
        <w:rPr>
          <w:sz w:val="20"/>
          <w:szCs w:val="20"/>
          <w:color w:val="auto"/>
        </w:rPr>
      </w:pPr>
      <w:r>
        <w:rPr>
          <w:rFonts w:ascii="Courier New" w:cs="Courier New" w:eastAsia="Courier New" w:hAnsi="Courier New"/>
          <w:sz w:val="15"/>
          <w:szCs w:val="15"/>
          <w:color w:val="auto"/>
        </w:rPr>
        <w:t>EFFECTIVE ON SUCH DATE AS THE COMMISSION, ACTING PURSUANT TO SAID SECTION 8(a), MAY DETERMINE.</w:t>
      </w:r>
    </w:p>
    <w:p>
      <w:pPr>
        <w:spacing w:after="0" w:line="1" w:lineRule="exact"/>
        <w:rPr>
          <w:sz w:val="20"/>
          <w:szCs w:val="20"/>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4" w:top="114"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p>
      <w:pPr>
        <w:ind w:left="540" w:right="2899"/>
        <w:spacing w:after="0" w:line="264" w:lineRule="auto"/>
        <w:rPr>
          <w:sz w:val="20"/>
          <w:szCs w:val="20"/>
          <w:color w:val="auto"/>
        </w:rPr>
      </w:pPr>
      <w:r>
        <w:rPr>
          <w:rFonts w:ascii="Courier New" w:cs="Courier New" w:eastAsia="Courier New" w:hAnsi="Courier New"/>
          <w:sz w:val="15"/>
          <w:szCs w:val="15"/>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THE REGISTRATION OR QUALIFICATION UNDER THE SECURITIES LAWS OF ANY SUCH STATE.</w:t>
      </w:r>
    </w:p>
    <w:p>
      <w:pPr>
        <w:spacing w:after="0" w:line="25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SUBJECT TO COMPLETION, DATED APRIL 3, 2001</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359"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7,257,570 Shares</w:t>
      </w:r>
    </w:p>
    <w:p>
      <w:pPr>
        <w:spacing w:after="0" w:line="359"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Ordinary Shares</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right="2979" w:firstLine="458"/>
        <w:spacing w:after="0" w:line="264" w:lineRule="auto"/>
        <w:rPr>
          <w:sz w:val="20"/>
          <w:szCs w:val="20"/>
          <w:color w:val="auto"/>
        </w:rPr>
      </w:pPr>
      <w:r>
        <w:rPr>
          <w:rFonts w:ascii="Courier New" w:cs="Courier New" w:eastAsia="Courier New" w:hAnsi="Courier New"/>
          <w:sz w:val="15"/>
          <w:szCs w:val="15"/>
          <w:color w:val="auto"/>
        </w:rPr>
        <w:t>This prospectus relates to the offer and sale of up to 7,257,570 ordinary shares, L0.01 par value, of Amdocs Limited by some of our current and future shareholders. These ordinary shares have been issued or may be issued in the future upon exchange of the Exchangeable Shares of Solect Technology Group Inc. by the holders of the Exchangeable Shares, all of whom were formerly common shareholders of Solect. Solect issued the Exchangeable Shares to its shareholders when we acquired the outstanding common shares of Solect on April 5, 2000. We will not receive any proceeds from the sale of these ordinary shares.</w:t>
      </w:r>
    </w:p>
    <w:p>
      <w:pPr>
        <w:spacing w:after="0" w:line="200" w:lineRule="exact"/>
        <w:rPr>
          <w:sz w:val="20"/>
          <w:szCs w:val="20"/>
          <w:color w:val="auto"/>
        </w:rPr>
      </w:pPr>
    </w:p>
    <w:p>
      <w:pPr>
        <w:spacing w:after="0" w:line="232" w:lineRule="exact"/>
        <w:rPr>
          <w:sz w:val="20"/>
          <w:szCs w:val="20"/>
          <w:color w:val="auto"/>
        </w:rPr>
      </w:pPr>
    </w:p>
    <w:p>
      <w:pPr>
        <w:jc w:val="both"/>
        <w:ind w:right="3259" w:firstLine="458"/>
        <w:spacing w:after="0" w:line="310" w:lineRule="auto"/>
        <w:rPr>
          <w:sz w:val="20"/>
          <w:szCs w:val="20"/>
          <w:color w:val="auto"/>
        </w:rPr>
      </w:pPr>
      <w:r>
        <w:rPr>
          <w:rFonts w:ascii="Courier New" w:cs="Courier New" w:eastAsia="Courier New" w:hAnsi="Courier New"/>
          <w:sz w:val="15"/>
          <w:szCs w:val="15"/>
          <w:color w:val="auto"/>
        </w:rPr>
        <w:t>Our ordinary shares are listed on the New York Stock Exchange under the symbol "DOX." The last reported sale price of the ordinary shares on the New York Stock Exchange on March 30, 2001 was $47.90 per share.</w:t>
      </w:r>
    </w:p>
    <w:p>
      <w:pPr>
        <w:spacing w:after="0" w:line="222" w:lineRule="exact"/>
        <w:rPr>
          <w:sz w:val="20"/>
          <w:szCs w:val="20"/>
          <w:color w:val="auto"/>
        </w:rPr>
      </w:pPr>
    </w:p>
    <w:p>
      <w:pPr>
        <w:ind w:right="3359" w:firstLine="458"/>
        <w:spacing w:after="0" w:line="372" w:lineRule="auto"/>
        <w:rPr>
          <w:sz w:val="20"/>
          <w:szCs w:val="20"/>
          <w:color w:val="auto"/>
        </w:rPr>
      </w:pPr>
      <w:r>
        <w:rPr>
          <w:rFonts w:ascii="Courier New" w:cs="Courier New" w:eastAsia="Courier New" w:hAnsi="Courier New"/>
          <w:sz w:val="15"/>
          <w:szCs w:val="15"/>
          <w:color w:val="auto"/>
        </w:rPr>
        <w:t>See "Risk Factors" on page 8 to read about factors you should consider before buying the ordinary shares.</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right="2899" w:firstLine="458"/>
        <w:spacing w:after="0" w:line="289"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6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2100" w:type="dxa"/>
        <w:tblCellMar>
          <w:top w:w="0" w:type="dxa"/>
          <w:left w:w="0" w:type="dxa"/>
          <w:bottom w:w="0" w:type="dxa"/>
          <w:right w:w="0" w:type="dxa"/>
        </w:tblCellMar>
      </w:tblPr>
      <w:tr>
        <w:trPr>
          <w:trHeight w:val="257"/>
        </w:trPr>
        <w:tc>
          <w:tcPr>
            <w:tcW w:w="1980" w:type="dxa"/>
            <w:vAlign w:val="bottom"/>
          </w:tcPr>
          <w:p>
            <w:pPr>
              <w:spacing w:after="0"/>
              <w:rPr>
                <w:sz w:val="20"/>
                <w:szCs w:val="20"/>
                <w:color w:val="auto"/>
              </w:rPr>
            </w:pPr>
            <w:r>
              <w:rPr>
                <w:rFonts w:ascii="Courier New" w:cs="Courier New" w:eastAsia="Courier New" w:hAnsi="Courier New"/>
                <w:sz w:val="15"/>
                <w:szCs w:val="15"/>
                <w:color w:val="auto"/>
              </w:rPr>
              <w:t>PROSPECTUS DATED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2001.</w:t>
            </w:r>
          </w:p>
        </w:tc>
      </w:tr>
    </w:tbl>
    <w:p>
      <w:pPr>
        <w:sectPr>
          <w:pgSz w:w="11900" w:h="16838" w:orient="portrait"/>
          <w:cols w:equalWidth="0" w:num="1">
            <w:col w:w="10219"/>
          </w:cols>
          <w:pgMar w:left="240" w:top="266"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ENFORCEABILITY OF CIVIL LIABILITIES</w:t>
      </w:r>
    </w:p>
    <w:p>
      <w:pPr>
        <w:spacing w:after="0" w:line="182" w:lineRule="exact"/>
        <w:rPr>
          <w:sz w:val="20"/>
          <w:szCs w:val="20"/>
          <w:color w:val="auto"/>
        </w:rPr>
      </w:pPr>
    </w:p>
    <w:p>
      <w:pPr>
        <w:ind w:right="2899" w:firstLine="458"/>
        <w:spacing w:after="0" w:line="260" w:lineRule="auto"/>
        <w:rPr>
          <w:sz w:val="20"/>
          <w:szCs w:val="20"/>
          <w:color w:val="auto"/>
        </w:rPr>
      </w:pPr>
      <w:r>
        <w:rPr>
          <w:rFonts w:ascii="Courier New" w:cs="Courier New" w:eastAsia="Courier New" w:hAnsi="Courier New"/>
          <w:sz w:val="15"/>
          <w:szCs w:val="15"/>
          <w:color w:val="auto"/>
        </w:rPr>
        <w:t>We are incorporated under the laws of the Island of Guernsey. Several of our directors and officers named in this prospectus are not residents of the United States, and a significant portion of our assets and the assets of those persons are located outside the United States. As a result, it may not be possible for investors to effect service of process within the United States upon those persons or to enforce against them in U.S. courts judgments predicated upon the civil liability provisions of the laws of the United States, including the federal securities laws. We have irrevocably appointed Amdocs, Inc., one of our U.S. subsidiaries, as our agent to receive service of process in any action against us in any Federal court or court of the State of New York arising out of the offering and sale of securities in connection with this prospectus.</w:t>
      </w:r>
    </w:p>
    <w:p>
      <w:pPr>
        <w:spacing w:after="0" w:line="266" w:lineRule="exact"/>
        <w:rPr>
          <w:sz w:val="20"/>
          <w:szCs w:val="20"/>
          <w:color w:val="auto"/>
        </w:rPr>
      </w:pPr>
    </w:p>
    <w:p>
      <w:pPr>
        <w:ind w:right="2899" w:firstLine="458"/>
        <w:spacing w:after="0" w:line="260" w:lineRule="auto"/>
        <w:rPr>
          <w:sz w:val="20"/>
          <w:szCs w:val="20"/>
          <w:color w:val="auto"/>
        </w:rPr>
      </w:pPr>
      <w:r>
        <w:rPr>
          <w:rFonts w:ascii="Courier New" w:cs="Courier New" w:eastAsia="Courier New" w:hAnsi="Courier New"/>
          <w:sz w:val="15"/>
          <w:szCs w:val="15"/>
          <w:color w:val="auto"/>
        </w:rPr>
        <w:t>We have been advised by Carey Langlois,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 However, subject to certain time limitations, Guernsey courts may base original actions in Guernsey on foreign final executory judgments, including those of the United States, for liquidated amounts in civil matters, obtained after completion of due process before a court of competent jurisdiction (according to the rules of private international law currently prevailing in Guernsey) which recognizes and enforces similar Guernsey judgments, provided that:</w:t>
      </w:r>
    </w:p>
    <w:p>
      <w:pPr>
        <w:spacing w:after="0" w:line="266" w:lineRule="exact"/>
        <w:rPr>
          <w:sz w:val="20"/>
          <w:szCs w:val="20"/>
          <w:color w:val="auto"/>
        </w:rPr>
      </w:pPr>
    </w:p>
    <w:p>
      <w:pPr>
        <w:ind w:left="640" w:right="2899" w:hanging="188"/>
        <w:spacing w:after="0" w:line="372" w:lineRule="auto"/>
        <w:tabs>
          <w:tab w:leader="none" w:pos="6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service of process has been effected and the defendant has had a reasonable opportunity to be heard;</w:t>
      </w:r>
    </w:p>
    <w:p>
      <w:pPr>
        <w:spacing w:after="0" w:line="1" w:lineRule="exact"/>
        <w:rPr>
          <w:rFonts w:ascii="Courier New" w:cs="Courier New" w:eastAsia="Courier New" w:hAnsi="Courier New"/>
          <w:sz w:val="15"/>
          <w:szCs w:val="15"/>
          <w:color w:val="auto"/>
        </w:rPr>
      </w:pPr>
    </w:p>
    <w:p>
      <w:pPr>
        <w:ind w:left="640" w:right="3179" w:hanging="188"/>
        <w:spacing w:after="0" w:line="372" w:lineRule="auto"/>
        <w:tabs>
          <w:tab w:leader="none" w:pos="6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or the enforcement thereof are not contrary to the law, public policy, security or sovereignty of Guernsey;</w:t>
      </w:r>
    </w:p>
    <w:p>
      <w:pPr>
        <w:spacing w:after="0" w:line="1" w:lineRule="exact"/>
        <w:rPr>
          <w:rFonts w:ascii="Courier New" w:cs="Courier New" w:eastAsia="Courier New" w:hAnsi="Courier New"/>
          <w:sz w:val="15"/>
          <w:szCs w:val="15"/>
          <w:color w:val="auto"/>
        </w:rPr>
      </w:pPr>
    </w:p>
    <w:p>
      <w:pPr>
        <w:ind w:left="640" w:right="2979" w:hanging="188"/>
        <w:spacing w:after="0" w:line="310" w:lineRule="auto"/>
        <w:tabs>
          <w:tab w:leader="none" w:pos="6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were not obtained by fraudulent means and do not conflict with any other valid judgment in the same matter between the same parties; and</w:t>
      </w:r>
    </w:p>
    <w:p>
      <w:pPr>
        <w:spacing w:after="0" w:line="46" w:lineRule="exact"/>
        <w:rPr>
          <w:rFonts w:ascii="Courier New" w:cs="Courier New" w:eastAsia="Courier New" w:hAnsi="Courier New"/>
          <w:sz w:val="15"/>
          <w:szCs w:val="15"/>
          <w:color w:val="auto"/>
        </w:rPr>
      </w:pPr>
    </w:p>
    <w:p>
      <w:pPr>
        <w:jc w:val="both"/>
        <w:ind w:left="640" w:right="3079" w:hanging="188"/>
        <w:spacing w:after="0" w:line="310" w:lineRule="auto"/>
        <w:tabs>
          <w:tab w:leader="none" w:pos="6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action between the same parties in the same matter is not pending in any Guernsey court at the time the lawsuit is instituted in the foreign court.</w:t>
      </w:r>
    </w:p>
    <w:p>
      <w:pPr>
        <w:spacing w:after="0" w:line="4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66"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82" w:lineRule="exact"/>
        <w:rPr>
          <w:sz w:val="20"/>
          <w:szCs w:val="20"/>
          <w:color w:val="auto"/>
        </w:rPr>
      </w:pPr>
    </w:p>
    <w:p>
      <w:pPr>
        <w:ind w:right="2899" w:firstLine="458"/>
        <w:spacing w:after="0" w:line="266" w:lineRule="auto"/>
        <w:rPr>
          <w:sz w:val="20"/>
          <w:szCs w:val="20"/>
          <w:color w:val="auto"/>
        </w:rPr>
      </w:pPr>
      <w:r>
        <w:rPr>
          <w:rFonts w:ascii="Courier New" w:cs="Courier New" w:eastAsia="Courier New" w:hAnsi="Courier New"/>
          <w:sz w:val="15"/>
          <w:szCs w:val="15"/>
          <w:color w:val="auto"/>
        </w:rPr>
        <w:t>We file annual reports, quarterly reports and current reports and other information with the Securities and Exchange Commission. You may read and copy any of our SEC filings at the SEC's Public Reference Room at 450 Fifth Street, N.W., Washington, D.C. 20549. You may call the SEC at 1-800-SEC-0330 for further information about the Public Reference Room. Our SEC filings are also available to the public on the SEC's website at http://www.sec.gov. Reports and other information concerning Amdocs can also be inspected at the offices of the New York Stock Exchange, 20 Broad Street, New York, New York 10005.</w:t>
      </w:r>
    </w:p>
    <w:p>
      <w:pPr>
        <w:spacing w:after="0" w:line="79" w:lineRule="exact"/>
        <w:rPr>
          <w:sz w:val="20"/>
          <w:szCs w:val="20"/>
          <w:color w:val="auto"/>
        </w:rPr>
      </w:pPr>
    </w:p>
    <w:p>
      <w:pPr>
        <w:ind w:right="3619" w:firstLine="458"/>
        <w:spacing w:after="0" w:line="372" w:lineRule="auto"/>
        <w:rPr>
          <w:sz w:val="20"/>
          <w:szCs w:val="20"/>
          <w:color w:val="auto"/>
        </w:rPr>
      </w:pPr>
      <w:r>
        <w:rPr>
          <w:rFonts w:ascii="Courier New" w:cs="Courier New" w:eastAsia="Courier New" w:hAnsi="Courier New"/>
          <w:sz w:val="15"/>
          <w:szCs w:val="15"/>
          <w:color w:val="auto"/>
        </w:rPr>
        <w:t>You may request copies of the filings, at no cost, by writing to or telephoning us as follows:</w:t>
      </w:r>
    </w:p>
    <w:p>
      <w:pPr>
        <w:spacing w:after="0" w:line="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Amdocs, Inc.</w:t>
      </w:r>
    </w:p>
    <w:p>
      <w:pPr>
        <w:spacing w:after="0" w:line="3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1390 Timberlake Manor Parkway</w:t>
      </w:r>
    </w:p>
    <w:p>
      <w:pPr>
        <w:spacing w:after="0" w:line="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Chesterfield, Missouri 63017</w:t>
      </w:r>
    </w:p>
    <w:p>
      <w:pPr>
        <w:spacing w:after="0" w:line="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Telephone: (314) 212-8328</w:t>
      </w:r>
    </w:p>
    <w:p>
      <w:pPr>
        <w:spacing w:after="0" w:line="154" w:lineRule="exact"/>
        <w:rPr>
          <w:sz w:val="20"/>
          <w:szCs w:val="20"/>
          <w:color w:val="auto"/>
        </w:rPr>
      </w:pPr>
    </w:p>
    <w:p>
      <w:pPr>
        <w:ind w:right="3079" w:firstLine="458"/>
        <w:spacing w:after="0" w:line="279" w:lineRule="auto"/>
        <w:rPr>
          <w:sz w:val="20"/>
          <w:szCs w:val="20"/>
          <w:color w:val="auto"/>
        </w:rPr>
      </w:pPr>
      <w:r>
        <w:rPr>
          <w:rFonts w:ascii="Courier New" w:cs="Courier New" w:eastAsia="Courier New" w:hAnsi="Courier New"/>
          <w:sz w:val="15"/>
          <w:szCs w:val="15"/>
          <w:color w:val="auto"/>
        </w:rPr>
        <w:t>This prospectus is part of a registration statement on Form F-3 that we filed with the SEC under the Securities Act. This prospectus does not contain all the information contained in the registration statement. For further information about us and our ordinary shares, you should read the registration statement and the exhibits filed with the registration statement.</w:t>
      </w:r>
    </w:p>
    <w:p>
      <w:pPr>
        <w:spacing w:after="0" w:line="69"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82" w:lineRule="exact"/>
        <w:rPr>
          <w:sz w:val="20"/>
          <w:szCs w:val="20"/>
          <w:color w:val="auto"/>
        </w:rPr>
      </w:pPr>
    </w:p>
    <w:p>
      <w:pPr>
        <w:ind w:right="2899" w:firstLine="458"/>
        <w:spacing w:after="0" w:line="270"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 SEC. This permits us to disclose important information to you by referring to these filed documents. Any information incorporated by reference is considered part of this prospectus, and any information filed by us with the SEC after the date of this prospectus will automatically update and supersede this information. We incorporate by reference the following documents filed with the SEC:</w:t>
      </w:r>
    </w:p>
    <w:p>
      <w:pPr>
        <w:spacing w:after="0" w:line="200" w:lineRule="exact"/>
        <w:rPr>
          <w:sz w:val="20"/>
          <w:szCs w:val="20"/>
          <w:color w:val="auto"/>
        </w:rPr>
      </w:pPr>
    </w:p>
    <w:p>
      <w:pPr>
        <w:spacing w:after="0" w:line="239" w:lineRule="exact"/>
        <w:rPr>
          <w:sz w:val="20"/>
          <w:szCs w:val="20"/>
          <w:color w:val="auto"/>
        </w:rPr>
      </w:pPr>
    </w:p>
    <w:p>
      <w:pPr>
        <w:jc w:val="both"/>
        <w:ind w:left="640" w:right="3259" w:hanging="188"/>
        <w:spacing w:after="0" w:line="310" w:lineRule="auto"/>
        <w:tabs>
          <w:tab w:leader="none" w:pos="6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20-F for the year ended September 30, 2000, filed on January 4, 2001 (as amended by Form 20-F/A filed on April 3, 2001).</w:t>
      </w:r>
    </w:p>
    <w:p>
      <w:pPr>
        <w:spacing w:after="0" w:line="222" w:lineRule="exact"/>
        <w:rPr>
          <w:rFonts w:ascii="Courier New" w:cs="Courier New" w:eastAsia="Courier New" w:hAnsi="Courier New"/>
          <w:sz w:val="15"/>
          <w:szCs w:val="15"/>
          <w:color w:val="auto"/>
        </w:rPr>
      </w:pPr>
    </w:p>
    <w:p>
      <w:pPr>
        <w:ind w:left="640" w:right="2979" w:hanging="188"/>
        <w:spacing w:after="0" w:line="372" w:lineRule="auto"/>
        <w:tabs>
          <w:tab w:leader="none" w:pos="6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 on Form 6-K for the quarterly period ended December 31, 2000, filed on February 1, 2001.</w:t>
      </w:r>
    </w:p>
    <w:p>
      <w:pPr>
        <w:spacing w:after="0" w:line="1" w:lineRule="exact"/>
        <w:rPr>
          <w:rFonts w:ascii="Courier New" w:cs="Courier New" w:eastAsia="Courier New" w:hAnsi="Courier New"/>
          <w:sz w:val="15"/>
          <w:szCs w:val="15"/>
          <w:color w:val="auto"/>
        </w:rPr>
      </w:pPr>
    </w:p>
    <w:p>
      <w:pPr>
        <w:ind w:left="640" w:right="3359" w:hanging="188"/>
        <w:spacing w:after="0" w:line="289" w:lineRule="auto"/>
        <w:tabs>
          <w:tab w:leader="none" w:pos="6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ordinary shares contained in our Registration Statement on Form 8-A filed on June 17, 1998 under Section 12 of the Securities Exchange Act of 1934, including any amendment or report updating this description.</w:t>
      </w:r>
    </w:p>
    <w:p>
      <w:pPr>
        <w:spacing w:after="0" w:line="62" w:lineRule="exact"/>
        <w:rPr>
          <w:rFonts w:ascii="Courier New" w:cs="Courier New" w:eastAsia="Courier New" w:hAnsi="Courier New"/>
          <w:sz w:val="15"/>
          <w:szCs w:val="15"/>
          <w:color w:val="auto"/>
        </w:rPr>
      </w:pPr>
    </w:p>
    <w:p>
      <w:pPr>
        <w:ind w:left="640" w:right="2899" w:hanging="188"/>
        <w:spacing w:after="0" w:line="310" w:lineRule="auto"/>
        <w:tabs>
          <w:tab w:leader="none" w:pos="6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reports of foreign private issuer on Form 6-K filed on December 13, 1999, April 11, 2000 (as amended by Form 6-K/A filed on June 8, 2000) and December 29, 2000.</w:t>
      </w:r>
    </w:p>
    <w:p>
      <w:pPr>
        <w:spacing w:after="0" w:line="46" w:lineRule="exact"/>
        <w:rPr>
          <w:sz w:val="20"/>
          <w:szCs w:val="20"/>
          <w:color w:val="auto"/>
        </w:rPr>
      </w:pPr>
    </w:p>
    <w:p>
      <w:pPr>
        <w:ind w:right="3079" w:firstLine="458"/>
        <w:spacing w:after="0" w:line="289" w:lineRule="auto"/>
        <w:rPr>
          <w:sz w:val="20"/>
          <w:szCs w:val="20"/>
          <w:color w:val="auto"/>
        </w:rPr>
      </w:pPr>
      <w:r>
        <w:rPr>
          <w:rFonts w:ascii="Courier New" w:cs="Courier New" w:eastAsia="Courier New" w:hAnsi="Courier New"/>
          <w:sz w:val="15"/>
          <w:szCs w:val="15"/>
          <w:color w:val="auto"/>
        </w:rPr>
        <w:t>We also incorporate by reference documents filed with or furnished to the SEC pursuant to Sections 13(a), 13(c), 14 and 15(d) of the Exchange Act, subsequent to the date of this prospectus and prior to the termination of the offering. These include:</w:t>
      </w:r>
    </w:p>
    <w:p>
      <w:pPr>
        <w:spacing w:after="0" w:line="62" w:lineRule="exact"/>
        <w:rPr>
          <w:sz w:val="20"/>
          <w:szCs w:val="20"/>
          <w:color w:val="auto"/>
        </w:rPr>
      </w:pPr>
    </w:p>
    <w:p>
      <w:pPr>
        <w:ind w:left="640" w:right="2899" w:hanging="188"/>
        <w:spacing w:after="0" w:line="310" w:lineRule="auto"/>
        <w:tabs>
          <w:tab w:leader="none" w:pos="6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annual reports filed on Form 20-F, Form 40-F or Form 10-K, and all subsequent reports on Forms 10-Q and 8-K filed by us pursuant to the Exchange Act.</w:t>
      </w:r>
    </w:p>
    <w:p>
      <w:pPr>
        <w:spacing w:after="0" w:line="46" w:lineRule="exact"/>
        <w:rPr>
          <w:rFonts w:ascii="Courier New" w:cs="Courier New" w:eastAsia="Courier New" w:hAnsi="Courier New"/>
          <w:sz w:val="15"/>
          <w:szCs w:val="15"/>
          <w:color w:val="auto"/>
        </w:rPr>
      </w:pPr>
    </w:p>
    <w:p>
      <w:pPr>
        <w:ind w:left="640" w:right="2979" w:hanging="188"/>
        <w:spacing w:after="0" w:line="289" w:lineRule="auto"/>
        <w:tabs>
          <w:tab w:leader="none" w:pos="6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reports on Form 6-K furnished by us pursuant to the Exchange Act that contain financial statements, and all other subsequent reports on Form 6-K unless we state in the report that it is not being incorporated by reference into this prospectus.</w:t>
      </w:r>
    </w:p>
    <w:p>
      <w:pPr>
        <w:spacing w:after="0" w:line="239" w:lineRule="exact"/>
        <w:rPr>
          <w:sz w:val="20"/>
          <w:szCs w:val="20"/>
          <w:color w:val="auto"/>
        </w:rPr>
      </w:pPr>
    </w:p>
    <w:p>
      <w:pPr>
        <w:ind w:right="2899" w:firstLine="458"/>
        <w:spacing w:after="0" w:line="273" w:lineRule="auto"/>
        <w:rPr>
          <w:sz w:val="20"/>
          <w:szCs w:val="20"/>
          <w:color w:val="auto"/>
        </w:rPr>
      </w:pPr>
      <w:r>
        <w:rPr>
          <w:rFonts w:ascii="Courier New" w:cs="Courier New" w:eastAsia="Courier New" w:hAnsi="Courier New"/>
          <w:sz w:val="15"/>
          <w:szCs w:val="15"/>
          <w:color w:val="auto"/>
        </w:rPr>
        <w:t>This prospectus is part of a Registration Statement we filed with the SEC (File No. 333-57036). We will provide without charge to each person to whom a prospectus is delivered, on written or oral request, a copy of any of the documents above other than exhibits to those documents. Requests should be addressed to: Mr. Thomas G. O'Brien, Amdocs Inc., 1390 Timberlake Manor Parkway, Chesterfield, Missouri 63017 (telephone: (314) 212-8328).</w:t>
      </w:r>
    </w:p>
    <w:p>
      <w:pPr>
        <w:sectPr>
          <w:pgSz w:w="11900" w:h="16838" w:orient="portrait"/>
          <w:cols w:equalWidth="0" w:num="1">
            <w:col w:w="10219"/>
          </w:cols>
          <w:pgMar w:left="240" w:top="266" w:right="1440" w:bottom="1440" w:gutter="0" w:footer="0" w:header="0"/>
        </w:sectPr>
      </w:pPr>
    </w:p>
    <w:p>
      <w:pPr>
        <w:spacing w:after="0" w:line="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6"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FORWARD-LOOKING STATEMENTS</w:t>
      </w:r>
    </w:p>
    <w:p>
      <w:pPr>
        <w:spacing w:after="0" w:line="182" w:lineRule="exact"/>
        <w:rPr>
          <w:sz w:val="20"/>
          <w:szCs w:val="20"/>
          <w:color w:val="auto"/>
        </w:rPr>
      </w:pPr>
    </w:p>
    <w:p>
      <w:pPr>
        <w:ind w:right="2899" w:firstLine="458"/>
        <w:spacing w:after="0" w:line="257" w:lineRule="auto"/>
        <w:rPr>
          <w:sz w:val="20"/>
          <w:szCs w:val="20"/>
          <w:color w:val="auto"/>
        </w:rPr>
      </w:pPr>
      <w:r>
        <w:rPr>
          <w:rFonts w:ascii="Courier New" w:cs="Courier New" w:eastAsia="Courier New" w:hAnsi="Courier New"/>
          <w:sz w:val="15"/>
          <w:szCs w:val="15"/>
          <w:color w:val="auto"/>
        </w:rPr>
        <w:t>Some of the information in this prospectus contains forward-looking statements that involve substantial risks and uncertainties. You can identify these statements by forward-looking words such as "expect," "anticipate," "plan," "believe," "seek," "estimate" and similar words. Statements that we make in this prospectus that are not statements of historical fact may also be forward-looking statements. Forward-looking statements are not guarantees of our future performance, and involve risks, uncertainties and assumptions that may cause our actual results to differ materially from the expectations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Before you invest in our ordinary shares, you should be aware that the factors we discuss in "Risk Factors" and elsewhere in this prospectus could cause our actual results to differ from any forward-looking statements.</w:t>
      </w:r>
    </w:p>
    <w:p>
      <w:pPr>
        <w:spacing w:after="0" w:line="90"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6"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182" w:lineRule="exact"/>
        <w:rPr>
          <w:sz w:val="20"/>
          <w:szCs w:val="20"/>
          <w:color w:val="auto"/>
        </w:rPr>
      </w:pPr>
    </w:p>
    <w:p>
      <w:pPr>
        <w:ind w:right="2979" w:firstLine="458"/>
        <w:spacing w:after="0" w:line="264" w:lineRule="auto"/>
        <w:rPr>
          <w:sz w:val="20"/>
          <w:szCs w:val="20"/>
          <w:color w:val="auto"/>
        </w:rPr>
      </w:pPr>
      <w:r>
        <w:rPr>
          <w:rFonts w:ascii="Courier New" w:cs="Courier New" w:eastAsia="Courier New" w:hAnsi="Courier New"/>
          <w:sz w:val="15"/>
          <w:szCs w:val="15"/>
          <w:color w:val="auto"/>
        </w:rPr>
        <w:t>In this document, references to "Amdocs," "we," "our," "us" and the "Company" refer to Amdocs Limited and its consolidated subsidiaries and their respective predecessors. References to "dollars" or $ are to United States dollars. Unless otherwise stated, all references in this prospectus to ordinary shares are to both voting and nonvoting ordinary shares, all references to percentage ownership of our ordinary shares assume the exchange of all outstanding Exchangeable Shares for our ordinary shares and all references to ordinary voting and nonvoting share ownership, as expressed in percentages, are as of February 28, 2001.</w:t>
      </w:r>
    </w:p>
    <w:p>
      <w:pPr>
        <w:spacing w:after="0" w:line="80"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AMDOCS</w:t>
      </w:r>
    </w:p>
    <w:p>
      <w:pPr>
        <w:spacing w:after="0" w:line="182" w:lineRule="exact"/>
        <w:rPr>
          <w:sz w:val="20"/>
          <w:szCs w:val="20"/>
          <w:color w:val="auto"/>
        </w:rPr>
      </w:pPr>
    </w:p>
    <w:p>
      <w:pPr>
        <w:ind w:right="3259" w:firstLine="458"/>
        <w:spacing w:after="0" w:line="372" w:lineRule="auto"/>
        <w:rPr>
          <w:sz w:val="20"/>
          <w:szCs w:val="20"/>
          <w:color w:val="auto"/>
        </w:rPr>
      </w:pPr>
      <w:r>
        <w:rPr>
          <w:rFonts w:ascii="Courier New" w:cs="Courier New" w:eastAsia="Courier New" w:hAnsi="Courier New"/>
          <w:sz w:val="15"/>
          <w:szCs w:val="15"/>
          <w:color w:val="auto"/>
        </w:rPr>
        <w:t>We are a leading provider of software products and services to major communications companies in North America, Europe and the rest of the world.</w:t>
      </w:r>
    </w:p>
    <w:p>
      <w:pPr>
        <w:spacing w:after="0" w:line="2" w:lineRule="exact"/>
        <w:rPr>
          <w:sz w:val="20"/>
          <w:szCs w:val="20"/>
          <w:color w:val="auto"/>
        </w:rPr>
      </w:pPr>
    </w:p>
    <w:p>
      <w:pPr>
        <w:ind w:right="2899" w:firstLine="458"/>
        <w:spacing w:after="0" w:line="258" w:lineRule="auto"/>
        <w:rPr>
          <w:sz w:val="20"/>
          <w:szCs w:val="20"/>
          <w:color w:val="auto"/>
        </w:rPr>
      </w:pPr>
      <w:r>
        <w:rPr>
          <w:rFonts w:ascii="Courier New" w:cs="Courier New" w:eastAsia="Courier New" w:hAnsi="Courier New"/>
          <w:sz w:val="15"/>
          <w:szCs w:val="15"/>
          <w:color w:val="auto"/>
        </w:rPr>
        <w:t>Our Business Support Systems, or BSS, products consist of families of customized software products and services designed to meet the critical business needs of specific communications market sectors. We provide primarily Customer Care, Billing and Order Management Systems, or CC&amp;B Systems, for communications and Internet Protocol, or IP, service providers. Our systems support a wide range of communications services including wireline, wireless, broadband, electronic and mobile commerce and Internet services. We also support companies that offer multiple service packages, commonly referred to as convergent services. In addition, we provide a full range of Directory Sales and Publishing Systems, or Directory Systems, to publishers of both traditional printed yellow page and white page directories and electronic Internet directories. Due to the complexity of the process and the expertise required for system support, we also provide extensive customization, implementation, system integration, ongoing support, system enhancement, maintenance and outsourcing services.</w:t>
      </w:r>
    </w:p>
    <w:p>
      <w:pPr>
        <w:spacing w:after="0" w:line="85" w:lineRule="exact"/>
        <w:rPr>
          <w:sz w:val="20"/>
          <w:szCs w:val="20"/>
          <w:color w:val="auto"/>
        </w:rPr>
      </w:pPr>
    </w:p>
    <w:p>
      <w:pPr>
        <w:ind w:right="3079" w:firstLine="458"/>
        <w:spacing w:after="0" w:line="260"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and foreign communications companies, including major wireline companies (such as Verizon, BellSouth, SBC, Bell Canada, Tele Danmark and Deutsche Telekom), wireless companies (such as Sprint PCS, Pacific Wireless, Vodafone Group, Mannesmann Mobilfunk and Telstra) and Internet companies (such as BT, E-Plus and Freeserve).</w:t>
      </w:r>
    </w:p>
    <w:p>
      <w:pPr>
        <w:spacing w:after="0" w:line="81" w:lineRule="exact"/>
        <w:rPr>
          <w:sz w:val="20"/>
          <w:szCs w:val="20"/>
          <w:color w:val="auto"/>
        </w:rPr>
      </w:pPr>
    </w:p>
    <w:p>
      <w:pPr>
        <w:ind w:right="3079" w:firstLine="458"/>
        <w:spacing w:after="0" w:line="273" w:lineRule="auto"/>
        <w:rPr>
          <w:sz w:val="20"/>
          <w:szCs w:val="20"/>
          <w:color w:val="auto"/>
        </w:rPr>
      </w:pPr>
      <w:r>
        <w:rPr>
          <w:rFonts w:ascii="Courier New" w:cs="Courier New" w:eastAsia="Courier New" w:hAnsi="Courier New"/>
          <w:sz w:val="15"/>
          <w:szCs w:val="15"/>
          <w:color w:val="auto"/>
        </w:rPr>
        <w:t>Our BSS products and related services are designed to manage and improve key aspects of the business operations of communications companies, such as customer care, order management, call rating, invoice calculation and preparation, bill formatting, collections, fraud management and directory publishing services. We tailor our BSS products to address the unique needs of each communications provider.</w:t>
      </w:r>
    </w:p>
    <w:p>
      <w:pPr>
        <w:spacing w:after="0" w:line="74" w:lineRule="exact"/>
        <w:rPr>
          <w:sz w:val="20"/>
          <w:szCs w:val="20"/>
          <w:color w:val="auto"/>
        </w:rPr>
      </w:pPr>
    </w:p>
    <w:p>
      <w:pPr>
        <w:ind w:right="2979" w:firstLine="458"/>
        <w:spacing w:after="0" w:line="260" w:lineRule="auto"/>
        <w:rPr>
          <w:sz w:val="20"/>
          <w:szCs w:val="20"/>
          <w:color w:val="auto"/>
        </w:rPr>
      </w:pPr>
      <w:r>
        <w:rPr>
          <w:rFonts w:ascii="Courier New" w:cs="Courier New" w:eastAsia="Courier New" w:hAnsi="Courier New"/>
          <w:sz w:val="15"/>
          <w:szCs w:val="15"/>
          <w:color w:val="auto"/>
        </w:rPr>
        <w:t>As of December 31, 2000, we employed on a full-time basis approximately 7,700 software and information technology specialists, engaged in research, development, maintenance and support activities, and approximately 1,100 managers and administrative professionals. We employ approximately 4,200 and 1,900 software and information technology specialists in Israel and North America, respectively, with the remaining principally located in Europe and the Asia-Pacific region. We often maintain teams of employees at a customer's premises to work on specific projects. In the United States, our main development center is located in St. Louis, Missouri. The executive offices of our principal subsidiary in the United States are located at 1390 Timberlake Manor Parkway, Chesterfield, Missouri 63017, and the telephone number at that location is (314) 212-8328.</w:t>
      </w:r>
    </w:p>
    <w:p>
      <w:pPr>
        <w:spacing w:after="0" w:line="81"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66"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82" w:lineRule="exact"/>
        <w:rPr>
          <w:sz w:val="20"/>
          <w:szCs w:val="20"/>
          <w:color w:val="auto"/>
        </w:rPr>
      </w:pPr>
    </w:p>
    <w:p>
      <w:pPr>
        <w:ind w:right="2899" w:firstLine="458"/>
        <w:spacing w:after="0" w:line="264" w:lineRule="auto"/>
        <w:rPr>
          <w:sz w:val="20"/>
          <w:szCs w:val="20"/>
          <w:color w:val="auto"/>
        </w:rPr>
      </w:pPr>
      <w:r>
        <w:rPr>
          <w:rFonts w:ascii="Courier New" w:cs="Courier New" w:eastAsia="Courier New" w:hAnsi="Courier New"/>
          <w:sz w:val="15"/>
          <w:szCs w:val="15"/>
          <w:color w:val="auto"/>
        </w:rPr>
        <w:t>On April 5, 2000, we acquired Solect Technology Group Inc., or Solect, in a stock-for-stock transaction. Solect is a leading provider of billing and customer care software to Internet service providers. In connection with the consummation of the transaction, Solect issued 13.8 million Exchangeable Shares, each exchangeable for one of our ordinary shares, and we granted options to acquire 1.7 million of our ordinary shares. The total purchase price of approximately $1.1 billion, based on a per share price of $69.875 for our ordinary shares at the time of the transaction, included both the issuance of and grant of options for ordinary shares, as well as transaction costs.</w:t>
      </w:r>
    </w:p>
    <w:p>
      <w:pPr>
        <w:spacing w:after="0" w:line="80"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66"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RISK FACTORS</w:t>
      </w:r>
    </w:p>
    <w:p>
      <w:pPr>
        <w:spacing w:after="0" w:line="182" w:lineRule="exact"/>
        <w:rPr>
          <w:sz w:val="20"/>
          <w:szCs w:val="20"/>
          <w:color w:val="auto"/>
        </w:rPr>
      </w:pPr>
    </w:p>
    <w:p>
      <w:pPr>
        <w:ind w:right="2899" w:firstLine="458"/>
        <w:spacing w:after="0" w:line="264" w:lineRule="auto"/>
        <w:rPr>
          <w:sz w:val="20"/>
          <w:szCs w:val="20"/>
          <w:color w:val="auto"/>
        </w:rPr>
      </w:pPr>
      <w:r>
        <w:rPr>
          <w:rFonts w:ascii="Courier New" w:cs="Courier New" w:eastAsia="Courier New" w:hAnsi="Courier New"/>
          <w:sz w:val="15"/>
          <w:szCs w:val="15"/>
          <w:color w:val="auto"/>
        </w:rPr>
        <w:t>Investing in our ordinary shares involves significant risks. You should carefully consider the following risks before deciding to invest in our ordinary shares. In preparing this document, we have made certain assumptions and projections. We generally use words like "expect," "believe" and "intend" to indicate these assumptions and projections. Our assumptions and projections could be wrong for many reasons, including the reasons discussed in this section. We do not promise to notify you if we learn that our assumptions or projections in this prospectus are wrong. See "Forward-Looking Statements" on page 5 for more information.</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BUSINESS</w:t>
      </w:r>
    </w:p>
    <w:p>
      <w:pPr>
        <w:spacing w:after="0" w:line="182" w:lineRule="exact"/>
        <w:rPr>
          <w:sz w:val="20"/>
          <w:szCs w:val="20"/>
          <w:color w:val="auto"/>
        </w:rPr>
      </w:pPr>
    </w:p>
    <w:p>
      <w:pPr>
        <w:ind w:right="3079" w:firstLine="183"/>
        <w:spacing w:after="0" w:line="372" w:lineRule="auto"/>
        <w:rPr>
          <w:sz w:val="20"/>
          <w:szCs w:val="20"/>
          <w:color w:val="auto"/>
        </w:rPr>
      </w:pPr>
      <w:r>
        <w:rPr>
          <w:rFonts w:ascii="Courier New" w:cs="Courier New" w:eastAsia="Courier New" w:hAnsi="Courier New"/>
          <w:sz w:val="15"/>
          <w:szCs w:val="15"/>
          <w:color w:val="auto"/>
        </w:rPr>
        <w:t>FUNDAMENTAL CHANGES IN THE COMMUNICATIONS MARKET COULD REDUCE DEMAND FOR OUR SYSTEMS</w:t>
      </w:r>
    </w:p>
    <w:p>
      <w:pPr>
        <w:spacing w:after="0" w:line="2" w:lineRule="exact"/>
        <w:rPr>
          <w:sz w:val="20"/>
          <w:szCs w:val="20"/>
          <w:color w:val="auto"/>
        </w:rPr>
      </w:pPr>
    </w:p>
    <w:p>
      <w:pPr>
        <w:ind w:right="2899" w:firstLine="458"/>
        <w:spacing w:after="0" w:line="269" w:lineRule="auto"/>
        <w:rPr>
          <w:sz w:val="20"/>
          <w:szCs w:val="20"/>
          <w:color w:val="auto"/>
        </w:rPr>
      </w:pPr>
      <w:r>
        <w:rPr>
          <w:rFonts w:ascii="Courier New" w:cs="Courier New" w:eastAsia="Courier New" w:hAnsi="Courier New"/>
          <w:sz w:val="15"/>
          <w:szCs w:val="15"/>
          <w:color w:val="auto"/>
        </w:rPr>
        <w:t>Future developments in the communications industry, such as continued industry consolidation, the formation of alliances among network operators and service providers, and changes in the regulatory environment, could materially affect our existing or potential customers. This could reduce the demand for our products and services. As a result, we may be unable to effectively market and sell our information systems to potential customers in the communications industry.</w:t>
      </w:r>
    </w:p>
    <w:p>
      <w:pPr>
        <w:spacing w:after="0" w:line="76" w:lineRule="exact"/>
        <w:rPr>
          <w:sz w:val="20"/>
          <w:szCs w:val="20"/>
          <w:color w:val="auto"/>
        </w:rPr>
      </w:pPr>
    </w:p>
    <w:p>
      <w:pPr>
        <w:ind w:right="2899" w:firstLine="458"/>
        <w:spacing w:after="0" w:line="266" w:lineRule="auto"/>
        <w:rPr>
          <w:sz w:val="20"/>
          <w:szCs w:val="20"/>
          <w:color w:val="auto"/>
        </w:rPr>
      </w:pPr>
      <w:r>
        <w:rPr>
          <w:rFonts w:ascii="Courier New" w:cs="Courier New" w:eastAsia="Courier New" w:hAnsi="Courier New"/>
          <w:sz w:val="15"/>
          <w:szCs w:val="15"/>
          <w:color w:val="auto"/>
        </w:rPr>
        <w:t>A portion of our revenue is derived from products and services provided to directory publishers. We believe that the demand for those products and services will be reduced as a result of the increased competition between directory publishers and other media channels, as well as a broader introduction of electronic directories. Our new products for these markets may not be successful and we believe our current levels of revenue from the sales of products and services to directory publishers are not likely to grow but will remain relatively stable.</w:t>
      </w:r>
    </w:p>
    <w:p>
      <w:pPr>
        <w:spacing w:after="0" w:line="79" w:lineRule="exact"/>
        <w:rPr>
          <w:sz w:val="20"/>
          <w:szCs w:val="20"/>
          <w:color w:val="auto"/>
        </w:rPr>
      </w:pPr>
    </w:p>
    <w:p>
      <w:pPr>
        <w:ind w:left="180" w:right="3619"/>
        <w:spacing w:after="0" w:line="372" w:lineRule="auto"/>
        <w:rPr>
          <w:sz w:val="20"/>
          <w:szCs w:val="20"/>
          <w:color w:val="auto"/>
        </w:rPr>
      </w:pPr>
      <w:r>
        <w:rPr>
          <w:rFonts w:ascii="Courier New" w:cs="Courier New" w:eastAsia="Courier New" w:hAnsi="Courier New"/>
          <w:sz w:val="15"/>
          <w:szCs w:val="15"/>
          <w:color w:val="auto"/>
        </w:rPr>
        <w:t>IF WE CANNOT COMPETE SUCCESSFULLY WITH EXISTING OR NEW COMPETITORS OUR BUSINESS COULD BE MATERIALLY ADVERSELY AFFECTED</w:t>
      </w:r>
    </w:p>
    <w:p>
      <w:pPr>
        <w:spacing w:after="0" w:line="2" w:lineRule="exact"/>
        <w:rPr>
          <w:sz w:val="20"/>
          <w:szCs w:val="20"/>
          <w:color w:val="auto"/>
        </w:rPr>
      </w:pPr>
    </w:p>
    <w:p>
      <w:pPr>
        <w:ind w:right="3079" w:firstLine="458"/>
        <w:spacing w:after="0" w:line="289" w:lineRule="auto"/>
        <w:rPr>
          <w:sz w:val="20"/>
          <w:szCs w:val="20"/>
          <w:color w:val="auto"/>
        </w:rPr>
      </w:pPr>
      <w:r>
        <w:rPr>
          <w:rFonts w:ascii="Courier New" w:cs="Courier New" w:eastAsia="Courier New" w:hAnsi="Courier New"/>
          <w:sz w:val="15"/>
          <w:szCs w:val="15"/>
          <w:color w:val="auto"/>
        </w:rPr>
        <w:t>We may be unable to compete successfully with existing or new competitors and our failure to adapt to changing market conditions and to compete successfully with established or new competitors could have a material adverse effect on our results of operations and financial condition.</w:t>
      </w:r>
    </w:p>
    <w:p>
      <w:pPr>
        <w:spacing w:after="0" w:line="62" w:lineRule="exact"/>
        <w:rPr>
          <w:sz w:val="20"/>
          <w:szCs w:val="20"/>
          <w:color w:val="auto"/>
        </w:rPr>
      </w:pPr>
    </w:p>
    <w:p>
      <w:pPr>
        <w:ind w:right="2899" w:firstLine="458"/>
        <w:spacing w:after="0" w:line="260" w:lineRule="auto"/>
        <w:rPr>
          <w:sz w:val="20"/>
          <w:szCs w:val="20"/>
          <w:color w:val="auto"/>
        </w:rPr>
      </w:pPr>
      <w:r>
        <w:rPr>
          <w:rFonts w:ascii="Courier New" w:cs="Courier New" w:eastAsia="Courier New" w:hAnsi="Courier New"/>
          <w:sz w:val="15"/>
          <w:szCs w:val="15"/>
          <w:color w:val="auto"/>
        </w:rPr>
        <w:t>The market for communications information systems is highly competitive and fragmented, and we expect competition to increase. We compete with independent providers of information systems and services and with in-house software departments of communications companies. Our competitors include firms that provide comprehensive information systems,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 We anticipate continued growth and competition in the communications industry and, consequently, the emergence of new software providers in the industry that will compete with us.</w:t>
      </w:r>
    </w:p>
    <w:p>
      <w:pPr>
        <w:spacing w:after="0" w:line="81" w:lineRule="exact"/>
        <w:rPr>
          <w:sz w:val="20"/>
          <w:szCs w:val="20"/>
          <w:color w:val="auto"/>
        </w:rPr>
      </w:pPr>
    </w:p>
    <w:p>
      <w:pPr>
        <w:ind w:right="2979" w:firstLine="458"/>
        <w:spacing w:after="0" w:line="372" w:lineRule="auto"/>
        <w:rPr>
          <w:sz w:val="20"/>
          <w:szCs w:val="20"/>
          <w:color w:val="auto"/>
        </w:rPr>
      </w:pPr>
      <w:r>
        <w:rPr>
          <w:rFonts w:ascii="Courier New" w:cs="Courier New" w:eastAsia="Courier New" w:hAnsi="Courier New"/>
          <w:sz w:val="15"/>
          <w:szCs w:val="15"/>
          <w:color w:val="auto"/>
        </w:rPr>
        <w:t>We also believe that our ability to compete depends in part on a number of factors, including:</w:t>
      </w:r>
    </w:p>
    <w:p>
      <w:pPr>
        <w:spacing w:after="0" w:line="2" w:lineRule="exact"/>
        <w:rPr>
          <w:sz w:val="20"/>
          <w:szCs w:val="20"/>
          <w:color w:val="auto"/>
        </w:rPr>
      </w:pPr>
    </w:p>
    <w:p>
      <w:pPr>
        <w:ind w:left="720" w:right="3439" w:hanging="268"/>
        <w:spacing w:after="0" w:line="372" w:lineRule="auto"/>
        <w:tabs>
          <w:tab w:leader="none" w:pos="7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by others of software that is competitive with our products and services,</w:t>
      </w:r>
    </w:p>
    <w:p>
      <w:pPr>
        <w:spacing w:after="0" w:line="1"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others offer competitive software and services,</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responsiveness of our competitors to customer needs, and</w:t>
      </w:r>
    </w:p>
    <w:p>
      <w:pPr>
        <w:spacing w:after="0" w:line="182" w:lineRule="exact"/>
        <w:rPr>
          <w:rFonts w:ascii="Courier New" w:cs="Courier New" w:eastAsia="Courier New" w:hAnsi="Courier New"/>
          <w:sz w:val="15"/>
          <w:szCs w:val="15"/>
          <w:color w:val="auto"/>
        </w:rPr>
      </w:pPr>
    </w:p>
    <w:p>
      <w:pPr>
        <w:ind w:left="720" w:right="3719" w:hanging="268"/>
        <w:spacing w:after="0" w:line="372" w:lineRule="auto"/>
        <w:tabs>
          <w:tab w:leader="none" w:pos="7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our competitors to hire, retain and motivate key personnel.</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66"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182" w:lineRule="exact"/>
        <w:rPr>
          <w:sz w:val="20"/>
          <w:szCs w:val="20"/>
          <w:color w:val="auto"/>
        </w:rPr>
      </w:pPr>
    </w:p>
    <w:p>
      <w:pPr>
        <w:ind w:right="2899" w:firstLine="458"/>
        <w:spacing w:after="0" w:line="257"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 and greater name recognition than us.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8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WE MUST CONTINUALLY ENHANCE OUR PRODUCTS TO REMAIN COMPETITIVE</w:t>
      </w:r>
    </w:p>
    <w:p>
      <w:pPr>
        <w:spacing w:after="0" w:line="182" w:lineRule="exact"/>
        <w:rPr>
          <w:sz w:val="20"/>
          <w:szCs w:val="20"/>
          <w:color w:val="auto"/>
        </w:rPr>
      </w:pPr>
    </w:p>
    <w:p>
      <w:pPr>
        <w:ind w:right="2899" w:firstLine="458"/>
        <w:spacing w:after="0" w:line="262" w:lineRule="auto"/>
        <w:rPr>
          <w:sz w:val="20"/>
          <w:szCs w:val="20"/>
          <w:color w:val="auto"/>
        </w:rPr>
      </w:pPr>
      <w:r>
        <w:rPr>
          <w:rFonts w:ascii="Courier New" w:cs="Courier New" w:eastAsia="Courier New" w:hAnsi="Courier New"/>
          <w:sz w:val="15"/>
          <w:szCs w:val="15"/>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BSS products that operate in state-of-the-art computing environments. Our present or future products may not satisfy the evolving needs of the communications market. If we are unable to anticipate or respond adequately to those demands, due to resource, technological or other constraints, our business and results of operations could be materially adversely affected.</w:t>
      </w:r>
    </w:p>
    <w:p>
      <w:pPr>
        <w:spacing w:after="0" w:line="83" w:lineRule="exact"/>
        <w:rPr>
          <w:sz w:val="20"/>
          <w:szCs w:val="20"/>
          <w:color w:val="auto"/>
        </w:rPr>
      </w:pPr>
    </w:p>
    <w:p>
      <w:pPr>
        <w:ind w:right="2899" w:firstLine="458"/>
        <w:spacing w:after="0" w:line="258" w:lineRule="auto"/>
        <w:rPr>
          <w:sz w:val="20"/>
          <w:szCs w:val="20"/>
          <w:color w:val="auto"/>
        </w:rPr>
      </w:pPr>
      <w:r>
        <w:rPr>
          <w:rFonts w:ascii="Courier New" w:cs="Courier New" w:eastAsia="Courier New" w:hAnsi="Courier New"/>
          <w:sz w:val="15"/>
          <w:szCs w:val="15"/>
          <w:color w:val="auto"/>
        </w:rPr>
        <w:t>On November 30, 1999, in a stock-for-stock transaction, we completed our acquisition of International Telecommunication Data Systems, Inc., or ITDS, a leading provider of billing and customer care service bureau solutions to wireless communications service providers. On April 5, 2000, in a stock-for-stock transaction, we completed our acquisition of Solect Technology Group Inc., a leading provider of IP billing and customer care software to Internet service providers, including wireless companies and Application Service Providers, or ASPs. We also may acquire other companies where we believe we can acquire new products or services or otherwise enhance our market position or strategic strengths. We cannot assure you that suitable acquisition candidates can be found, that acquisitions can be consummated on favorable terms, that the ITDS or Solect acquisitions will enhance our products or strengthen our competitive position or that we will be able to successfully and efficiently integrate these businesses into our own.</w:t>
      </w:r>
    </w:p>
    <w:p>
      <w:pPr>
        <w:spacing w:after="0" w:line="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OUR BUSINESS IS HIGHLY DEPENDENT ON A LIMITED NUMBER OF SIGNIFICANT CUSTOMERS</w:t>
      </w:r>
    </w:p>
    <w:p>
      <w:pPr>
        <w:spacing w:after="0" w:line="182" w:lineRule="exact"/>
        <w:rPr>
          <w:sz w:val="20"/>
          <w:szCs w:val="20"/>
          <w:color w:val="auto"/>
        </w:rPr>
      </w:pPr>
    </w:p>
    <w:p>
      <w:pPr>
        <w:ind w:right="2899" w:firstLine="458"/>
        <w:spacing w:after="0" w:line="260" w:lineRule="auto"/>
        <w:rPr>
          <w:sz w:val="20"/>
          <w:szCs w:val="20"/>
          <w:color w:val="auto"/>
        </w:rPr>
      </w:pPr>
      <w:r>
        <w:rPr>
          <w:rFonts w:ascii="Courier New" w:cs="Courier New" w:eastAsia="Courier New" w:hAnsi="Courier New"/>
          <w:sz w:val="15"/>
          <w:szCs w:val="15"/>
          <w:color w:val="auto"/>
        </w:rPr>
        <w:t>Our business is highly dependent on a limited number of significant customers. The loss of any significant customer or a significant decrease in business from any of those customers could have a material adverse effect on our results of operations and financial condition. Aggregate revenue derived from the multiple business arrangements we have with each of our five largest customer groups and their affiliates, excluding SBC and its operating subsidiaries (see below), accounted for approximately 39.9% of revenue in the three months ended December 31, 2000 and 39.7%, 33.4% and 39.0% of revenue in fiscal 2000, 1999 and 1998, respectively. After giving effect to the acquisition of Mannesmann Mobilfunk by Vodafone Group in 2000, the combined company would have been one of our largest customers and would have accounted for more than 10% of our revenue in each of fiscal 2000 and 1999.</w:t>
      </w:r>
    </w:p>
    <w:p>
      <w:pPr>
        <w:spacing w:after="0" w:line="81" w:lineRule="exact"/>
        <w:rPr>
          <w:sz w:val="20"/>
          <w:szCs w:val="20"/>
          <w:color w:val="auto"/>
        </w:rPr>
      </w:pPr>
    </w:p>
    <w:p>
      <w:pPr>
        <w:ind w:right="2899" w:firstLine="458"/>
        <w:spacing w:after="0" w:line="289" w:lineRule="auto"/>
        <w:rPr>
          <w:sz w:val="20"/>
          <w:szCs w:val="20"/>
          <w:color w:val="auto"/>
        </w:rPr>
      </w:pPr>
      <w:r>
        <w:rPr>
          <w:rFonts w:ascii="Courier New" w:cs="Courier New" w:eastAsia="Courier New" w:hAnsi="Courier New"/>
          <w:sz w:val="15"/>
          <w:szCs w:val="15"/>
          <w:color w:val="auto"/>
        </w:rPr>
        <w:t>Although we have received a substantial portion of our revenue from repeat business with established customers, most of our major customers do not have any obligation to purchase additional products or services and generally have already acquired fully paid licenses to their</w:t>
      </w:r>
    </w:p>
    <w:p>
      <w:pPr>
        <w:spacing w:after="0" w:line="6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66"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182" w:lineRule="exact"/>
        <w:rPr>
          <w:sz w:val="20"/>
          <w:szCs w:val="20"/>
          <w:color w:val="auto"/>
        </w:rPr>
      </w:pPr>
    </w:p>
    <w:p>
      <w:pPr>
        <w:ind w:right="2979"/>
        <w:spacing w:after="0" w:line="372" w:lineRule="auto"/>
        <w:rPr>
          <w:sz w:val="20"/>
          <w:szCs w:val="20"/>
          <w:color w:val="auto"/>
        </w:rPr>
      </w:pPr>
      <w:r>
        <w:rPr>
          <w:rFonts w:ascii="Courier New" w:cs="Courier New" w:eastAsia="Courier New" w:hAnsi="Courier New"/>
          <w:sz w:val="15"/>
          <w:szCs w:val="15"/>
          <w:color w:val="auto"/>
        </w:rPr>
        <w:t>installed systems. Therefore, our customers may not continue to purchase new systems, system enhancements and services in amounts similar to previous years.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WE DEPEND ON SBC COMMUNICATIONS INC. FOR A SIGNIFICANT PORTION OF OUR REVENUE</w:t>
      </w:r>
    </w:p>
    <w:p>
      <w:pPr>
        <w:spacing w:after="0" w:line="182" w:lineRule="exact"/>
        <w:rPr>
          <w:sz w:val="20"/>
          <w:szCs w:val="20"/>
          <w:color w:val="auto"/>
        </w:rPr>
      </w:pPr>
    </w:p>
    <w:p>
      <w:pPr>
        <w:ind w:right="2899" w:firstLine="458"/>
        <w:spacing w:after="0" w:line="262" w:lineRule="auto"/>
        <w:rPr>
          <w:sz w:val="20"/>
          <w:szCs w:val="20"/>
          <w:color w:val="auto"/>
        </w:rPr>
      </w:pPr>
      <w:r>
        <w:rPr>
          <w:rFonts w:ascii="Courier New" w:cs="Courier New" w:eastAsia="Courier New" w:hAnsi="Courier New"/>
          <w:sz w:val="15"/>
          <w:szCs w:val="15"/>
          <w:color w:val="auto"/>
        </w:rPr>
        <w:t>One of our largest groups of customers is SBC Communications Inc., or SBC, and its operating subsidiaries. SBC International Inc., or SBCI, a wholly-owned subsidiary of SBC, is also one of our largest shareholders. As of February 28, 2001, SBCI and its subsidiary SBC Option Delivery LLC together held approximately 9.9% of our outstanding voting ordinary shares and all of our outstanding non-voting ordinary shares. SBCI also has the power to vote an additional 10,000,000 voting ordinary shares pursuant to an irrevocable proxy that it received on December 19, 2000. A significant decrease in the sale of products and services to SBC or its subsidiaries may materially adversely affect our results of operations and financial condition.</w:t>
      </w:r>
    </w:p>
    <w:p>
      <w:pPr>
        <w:spacing w:after="0" w:line="83" w:lineRule="exact"/>
        <w:rPr>
          <w:sz w:val="20"/>
          <w:szCs w:val="20"/>
          <w:color w:val="auto"/>
        </w:rPr>
      </w:pPr>
    </w:p>
    <w:p>
      <w:pPr>
        <w:ind w:right="2899" w:firstLine="458"/>
        <w:spacing w:after="0" w:line="262" w:lineRule="auto"/>
        <w:rPr>
          <w:sz w:val="20"/>
          <w:szCs w:val="20"/>
          <w:color w:val="auto"/>
        </w:rPr>
      </w:pPr>
      <w:r>
        <w:rPr>
          <w:rFonts w:ascii="Courier New" w:cs="Courier New" w:eastAsia="Courier New" w:hAnsi="Courier New"/>
          <w:sz w:val="15"/>
          <w:szCs w:val="15"/>
          <w:color w:val="auto"/>
        </w:rPr>
        <w:t>Substantially all of our work for SBC is conducted directly with SBC's operating subsidiaries, such as Southwestern Bell Mobile Systems, Southwestern Bell Yellow Pages, Southwestern Bell Communications Services (SBC's long distance provider) and Southwestern Bell Telephone Company. These SBC relationships accounted for in the aggregate 13.5% of revenue in the three months ended December 31, 2000 and 12.6%, 15.9% and 20.8% of our total revenue in fiscal 2000, 1999 and 1998, respectively. The amount of revenue attributable to SBC and such subsidiaries amounted to $46.3 million in the three months ended December 31, 2000 and $141.0 million, $99.5 million and $84.4 million in fiscal 2000, 1999 and 1998, respectively.</w:t>
      </w:r>
    </w:p>
    <w:p>
      <w:pPr>
        <w:spacing w:after="0" w:line="83" w:lineRule="exact"/>
        <w:rPr>
          <w:sz w:val="20"/>
          <w:szCs w:val="20"/>
          <w:color w:val="auto"/>
        </w:rPr>
      </w:pPr>
    </w:p>
    <w:p>
      <w:pPr>
        <w:ind w:right="3079" w:firstLine="183"/>
        <w:spacing w:after="0" w:line="372" w:lineRule="auto"/>
        <w:rPr>
          <w:sz w:val="20"/>
          <w:szCs w:val="20"/>
          <w:color w:val="auto"/>
        </w:rPr>
      </w:pPr>
      <w:r>
        <w:rPr>
          <w:rFonts w:ascii="Courier New" w:cs="Courier New" w:eastAsia="Courier New" w:hAnsi="Courier New"/>
          <w:sz w:val="15"/>
          <w:szCs w:val="15"/>
          <w:color w:val="auto"/>
        </w:rPr>
        <w:t>OUR FUTURE SUCCESS DEPENDS ON OUR ABILITY TO DEVELOP LONG-TERM RELATIONSHIPS WITH OUR CUSTOMERS</w:t>
      </w:r>
    </w:p>
    <w:p>
      <w:pPr>
        <w:spacing w:after="0" w:line="2" w:lineRule="exact"/>
        <w:rPr>
          <w:sz w:val="20"/>
          <w:szCs w:val="20"/>
          <w:color w:val="auto"/>
        </w:rPr>
      </w:pPr>
    </w:p>
    <w:p>
      <w:pPr>
        <w:ind w:right="2899" w:firstLine="458"/>
        <w:spacing w:after="0" w:line="266" w:lineRule="auto"/>
        <w:rPr>
          <w:sz w:val="20"/>
          <w:szCs w:val="20"/>
          <w:color w:val="auto"/>
        </w:rPr>
      </w:pPr>
      <w:r>
        <w:rPr>
          <w:rFonts w:ascii="Courier New" w:cs="Courier New" w:eastAsia="Courier New" w:hAnsi="Courier New"/>
          <w:sz w:val="15"/>
          <w:szCs w:val="15"/>
          <w:color w:val="auto"/>
        </w:rPr>
        <w:t>We believe that our future success depends to a significant extent on our ability to develop long-term relationships with successful network operators and service providers with the financial and other resources required to invest in significant ongoing BSS products. We may be unable to develop new customer relationships and our new customers may be unsuccessful. Our failure to maintain customer relationships or the failure of new customers to be successful could have a material adverse effect on our business, results of operations and financial condition.</w:t>
      </w:r>
    </w:p>
    <w:p>
      <w:pPr>
        <w:spacing w:after="0" w:line="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SKILLED EMPLOYEES THAT WE NEED MAY BE DIFFICULT TO HIRE AND RETAIN</w:t>
      </w:r>
    </w:p>
    <w:p>
      <w:pPr>
        <w:spacing w:after="0" w:line="182" w:lineRule="exact"/>
        <w:rPr>
          <w:sz w:val="20"/>
          <w:szCs w:val="20"/>
          <w:color w:val="auto"/>
        </w:rPr>
      </w:pPr>
    </w:p>
    <w:p>
      <w:pPr>
        <w:ind w:right="2899" w:firstLine="458"/>
        <w:spacing w:after="0" w:line="254" w:lineRule="auto"/>
        <w:rPr>
          <w:sz w:val="20"/>
          <w:szCs w:val="20"/>
          <w:color w:val="auto"/>
        </w:rPr>
      </w:pPr>
      <w:r>
        <w:rPr>
          <w:rFonts w:ascii="Courier New" w:cs="Courier New" w:eastAsia="Courier New" w:hAnsi="Courier New"/>
          <w:sz w:val="15"/>
          <w:szCs w:val="15"/>
          <w:color w:val="auto"/>
        </w:rPr>
        <w:t>Our success depends in large part on our ability to attract, train, motivate and retain highly skilled information technology professionals, software programmers and communications engineers. These types of qualified personnel are in great demand and are likely to remain a limited resource for the foreseeable future. As of December 31, 2000, we employed on a full-time basis approximately 7,700 software and information technology specialists, of which over 4,200 are located in Israel and over 1,900 are located in North America. We intensively recruit technical personnel for our principal development centers in Israel, the United States, Cyprus, Ireland and Canada. Our ability to expand our business is highly dependent upon our success in recruiting such personnel and our ability to manage and coordinate our worldwide development efforts. We may be unable to continue to attract and retain the skilled employees we require and any inability to do so could adversely impact our ability to manage and complete our existing projects and to compete for new customer contracts. In addition, the resources required to attract and retain such personnel may adversely affect our operating margins. The failure to attract and retain qualified personnel may have a material adverse effect on our business, results of operations and financial condition. Our success also depends, to a certain extent, upon the continued active participation of a relatively small group of senior management personnel who have been with us for many years. The loss of the services of all or some of these employees could have a material adverse effect on our business.</w:t>
      </w:r>
    </w:p>
    <w:p>
      <w:pPr>
        <w:spacing w:after="0" w:line="2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6"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82" w:lineRule="exact"/>
        <w:rPr>
          <w:sz w:val="20"/>
          <w:szCs w:val="20"/>
          <w:color w:val="auto"/>
        </w:rPr>
      </w:pPr>
    </w:p>
    <w:p>
      <w:pPr>
        <w:ind w:right="3259" w:firstLine="458"/>
        <w:spacing w:after="0" w:line="289" w:lineRule="auto"/>
        <w:rPr>
          <w:sz w:val="20"/>
          <w:szCs w:val="20"/>
          <w:color w:val="auto"/>
        </w:rPr>
      </w:pPr>
      <w:r>
        <w:rPr>
          <w:rFonts w:ascii="Courier New" w:cs="Courier New" w:eastAsia="Courier New" w:hAnsi="Courier New"/>
          <w:sz w:val="15"/>
          <w:szCs w:val="15"/>
          <w:color w:val="auto"/>
        </w:rPr>
        <w:t>We have experienced fluctuations in our quarterly operating results and anticipate that such fluctuations may continue and could intensify. Our quarterly operating results may fluctuate as a result of many factors, including:</w:t>
      </w:r>
    </w:p>
    <w:p>
      <w:pPr>
        <w:spacing w:after="0" w:line="62" w:lineRule="exact"/>
        <w:rPr>
          <w:sz w:val="20"/>
          <w:szCs w:val="20"/>
          <w:color w:val="auto"/>
        </w:rPr>
      </w:pPr>
    </w:p>
    <w:p>
      <w:pPr>
        <w:ind w:left="720" w:hanging="268"/>
        <w:spacing w:after="0"/>
        <w:tabs>
          <w:tab w:leader="none" w:pos="7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size and timing of significant customer projects and license fees,</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cancellations of significant projects by customers,</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operating expenses,</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strategy,</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changes,</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exchange rates, and</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political factors.</w:t>
      </w:r>
    </w:p>
    <w:p>
      <w:pPr>
        <w:spacing w:after="0" w:line="182" w:lineRule="exact"/>
        <w:rPr>
          <w:sz w:val="20"/>
          <w:szCs w:val="20"/>
          <w:color w:val="auto"/>
        </w:rPr>
      </w:pPr>
    </w:p>
    <w:p>
      <w:pPr>
        <w:ind w:right="2979" w:firstLine="458"/>
        <w:spacing w:after="0" w:line="273" w:lineRule="auto"/>
        <w:rPr>
          <w:sz w:val="20"/>
          <w:szCs w:val="20"/>
          <w:color w:val="auto"/>
        </w:rPr>
      </w:pPr>
      <w:r>
        <w:rPr>
          <w:rFonts w:ascii="Courier New" w:cs="Courier New" w:eastAsia="Courier New" w:hAnsi="Courier New"/>
          <w:sz w:val="15"/>
          <w:szCs w:val="15"/>
          <w:color w:val="auto"/>
        </w:rPr>
        <w:t>Generally, our license fee revenue and our service fee revenue relating to customization and implementation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74" w:lineRule="exact"/>
        <w:rPr>
          <w:sz w:val="20"/>
          <w:szCs w:val="20"/>
          <w:color w:val="auto"/>
        </w:rPr>
      </w:pPr>
    </w:p>
    <w:p>
      <w:pPr>
        <w:ind w:right="2979" w:firstLine="458"/>
        <w:spacing w:after="0" w:line="266" w:lineRule="auto"/>
        <w:rPr>
          <w:sz w:val="20"/>
          <w:szCs w:val="20"/>
          <w:color w:val="auto"/>
        </w:rPr>
      </w:pPr>
      <w:r>
        <w:rPr>
          <w:rFonts w:ascii="Courier New" w:cs="Courier New" w:eastAsia="Courier New" w:hAnsi="Courier New"/>
          <w:sz w:val="15"/>
          <w:szCs w:val="15"/>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would result in lower profitability for that quarter.</w:t>
      </w:r>
    </w:p>
    <w:p>
      <w:pPr>
        <w:spacing w:after="0" w:line="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OUR LENGTHY SALES CYCLE MAKES IT DIFFICULT TO ANTICIPATE THE TIMING OF SALES</w:t>
      </w:r>
    </w:p>
    <w:p>
      <w:pPr>
        <w:spacing w:after="0" w:line="182" w:lineRule="exact"/>
        <w:rPr>
          <w:sz w:val="20"/>
          <w:szCs w:val="20"/>
          <w:color w:val="auto"/>
        </w:rPr>
      </w:pPr>
    </w:p>
    <w:p>
      <w:pPr>
        <w:ind w:right="2899" w:firstLine="458"/>
        <w:spacing w:after="0" w:line="260" w:lineRule="auto"/>
        <w:rPr>
          <w:sz w:val="20"/>
          <w:szCs w:val="20"/>
          <w:color w:val="auto"/>
        </w:rPr>
      </w:pPr>
      <w:r>
        <w:rPr>
          <w:rFonts w:ascii="Courier New" w:cs="Courier New" w:eastAsia="Courier New" w:hAnsi="Courier New"/>
          <w:sz w:val="15"/>
          <w:szCs w:val="15"/>
          <w:color w:val="auto"/>
        </w:rPr>
        <w:t>The sales cycle associated with the purchase of our information systems is lengthy, with the time between the making of an initial proposal to a prospective customer and the signing of a sales contract typically being between three and twelve months. Information systems for communications companies are relatively complex and their purchase generally involves a significant commitment of capital, with attendant delays frequently associated with large capital expenditures and implementation procedures within an organization. Moreover, the purchase of such products typically requires coordination and agreement across a potential customer's entire organization. Delays associated with such timing factors may reduce our revenue in a particular period without a corresponding reduction in our costs, which could have a material adverse effect on our results of operations and financial condition.</w:t>
      </w:r>
    </w:p>
    <w:p>
      <w:pPr>
        <w:spacing w:after="0" w:line="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OUR INTERNATIONAL PRESENCE CREATES SPECIAL RISKS</w:t>
      </w:r>
    </w:p>
    <w:p>
      <w:pPr>
        <w:spacing w:after="0" w:line="182" w:lineRule="exact"/>
        <w:rPr>
          <w:sz w:val="20"/>
          <w:szCs w:val="20"/>
          <w:color w:val="auto"/>
        </w:rPr>
      </w:pPr>
    </w:p>
    <w:p>
      <w:pPr>
        <w:ind w:right="2899" w:firstLine="458"/>
        <w:spacing w:after="0" w:line="372" w:lineRule="auto"/>
        <w:rPr>
          <w:sz w:val="20"/>
          <w:szCs w:val="20"/>
          <w:color w:val="auto"/>
        </w:rPr>
      </w:pPr>
      <w:r>
        <w:rPr>
          <w:rFonts w:ascii="Courier New" w:cs="Courier New" w:eastAsia="Courier New" w:hAnsi="Courier New"/>
          <w:sz w:val="15"/>
          <w:szCs w:val="15"/>
          <w:color w:val="auto"/>
        </w:rPr>
        <w:t>We are subject to certain risks inherent in doing business in international markets, including:</w:t>
      </w:r>
    </w:p>
    <w:p>
      <w:pPr>
        <w:spacing w:after="0" w:line="2" w:lineRule="exact"/>
        <w:rPr>
          <w:sz w:val="20"/>
          <w:szCs w:val="20"/>
          <w:color w:val="auto"/>
        </w:rPr>
      </w:pPr>
    </w:p>
    <w:p>
      <w:pPr>
        <w:ind w:left="720" w:hanging="268"/>
        <w:spacing w:after="0"/>
        <w:tabs>
          <w:tab w:leader="none" w:pos="7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acceptance of non-localized products,</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cultural differences in the conduct of business,</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operations,</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collecting accounts receivable and withholding taxes</w:t>
      </w:r>
    </w:p>
    <w:p>
      <w:pPr>
        <w:spacing w:after="0" w:line="34"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that limit the repatriation of earnings,</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66"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182" w:lineRule="exact"/>
        <w:rPr>
          <w:sz w:val="20"/>
          <w:szCs w:val="20"/>
          <w:color w:val="auto"/>
        </w:rPr>
      </w:pPr>
    </w:p>
    <w:p>
      <w:pPr>
        <w:ind w:left="720" w:hanging="268"/>
        <w:spacing w:after="0"/>
        <w:tabs>
          <w:tab w:leader="none" w:pos="7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barriers,</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immigration regulations that limit our ability to deploy our employees,</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and</w:t>
      </w:r>
    </w:p>
    <w:p>
      <w:pPr>
        <w:spacing w:after="0" w:line="182" w:lineRule="exact"/>
        <w:rPr>
          <w:rFonts w:ascii="Courier New" w:cs="Courier New" w:eastAsia="Courier New" w:hAnsi="Courier New"/>
          <w:sz w:val="15"/>
          <w:szCs w:val="15"/>
          <w:color w:val="auto"/>
        </w:rPr>
      </w:pPr>
    </w:p>
    <w:p>
      <w:pPr>
        <w:ind w:left="720" w:right="3539" w:hanging="268"/>
        <w:spacing w:after="0" w:line="372" w:lineRule="auto"/>
        <w:tabs>
          <w:tab w:leader="none" w:pos="7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effective income tax rates among countries where we conduct business.</w:t>
      </w:r>
    </w:p>
    <w:p>
      <w:pPr>
        <w:spacing w:after="0" w:line="2" w:lineRule="exact"/>
        <w:rPr>
          <w:sz w:val="20"/>
          <w:szCs w:val="20"/>
          <w:color w:val="auto"/>
        </w:rPr>
      </w:pPr>
    </w:p>
    <w:p>
      <w:pPr>
        <w:ind w:right="3179" w:firstLine="458"/>
        <w:spacing w:after="0" w:line="372" w:lineRule="auto"/>
        <w:rPr>
          <w:sz w:val="20"/>
          <w:szCs w:val="20"/>
          <w:color w:val="auto"/>
        </w:rPr>
      </w:pPr>
      <w:r>
        <w:rPr>
          <w:rFonts w:ascii="Courier New" w:cs="Courier New" w:eastAsia="Courier New" w:hAnsi="Courier New"/>
          <w:sz w:val="15"/>
          <w:szCs w:val="15"/>
          <w:color w:val="auto"/>
        </w:rPr>
        <w:t>One or more of these factors could have a material adverse effect on our international operations.</w:t>
      </w:r>
    </w:p>
    <w:p>
      <w:pPr>
        <w:spacing w:after="0" w:line="2" w:lineRule="exact"/>
        <w:rPr>
          <w:sz w:val="20"/>
          <w:szCs w:val="20"/>
          <w:color w:val="auto"/>
        </w:rPr>
      </w:pPr>
    </w:p>
    <w:p>
      <w:pPr>
        <w:ind w:right="3179" w:firstLine="458"/>
        <w:spacing w:after="0" w:line="269" w:lineRule="auto"/>
        <w:rPr>
          <w:sz w:val="20"/>
          <w:szCs w:val="20"/>
          <w:color w:val="auto"/>
        </w:rPr>
      </w:pPr>
      <w:r>
        <w:rPr>
          <w:rFonts w:ascii="Courier New" w:cs="Courier New" w:eastAsia="Courier New" w:hAnsi="Courier New"/>
          <w:sz w:val="15"/>
          <w:szCs w:val="15"/>
          <w:color w:val="auto"/>
        </w:rPr>
        <w:t>We maintain development facilities in Israel, the United States, Cyprus, Ireland and Canada, operate a support center in Brazil and have operations in North America, Europe, Latin America and the Asia-Pacific region. Although a majority of our revenue in fiscal 2000 was derived from customers in North America and Europe, we obtain significant revenue from customers in the Asia-Pacific region and Latin America. Our strategy is to continue to broaden our customer base in all of these regional customer markets.</w:t>
      </w:r>
    </w:p>
    <w:p>
      <w:pPr>
        <w:spacing w:after="0" w:line="76" w:lineRule="exact"/>
        <w:rPr>
          <w:sz w:val="20"/>
          <w:szCs w:val="20"/>
          <w:color w:val="auto"/>
        </w:rPr>
      </w:pPr>
    </w:p>
    <w:p>
      <w:pPr>
        <w:ind w:right="3259" w:firstLine="183"/>
        <w:spacing w:after="0" w:line="372" w:lineRule="auto"/>
        <w:rPr>
          <w:sz w:val="20"/>
          <w:szCs w:val="20"/>
          <w:color w:val="auto"/>
        </w:rPr>
      </w:pPr>
      <w:r>
        <w:rPr>
          <w:rFonts w:ascii="Courier New" w:cs="Courier New" w:eastAsia="Courier New" w:hAnsi="Courier New"/>
          <w:sz w:val="15"/>
          <w:szCs w:val="15"/>
          <w:color w:val="auto"/>
        </w:rPr>
        <w:t>FLUCTUATIONS IN FOREIGN CURRENCY EXCHANGE RATES COULD ADVERSELY AFFECT OUR BUSINESS</w:t>
      </w:r>
    </w:p>
    <w:p>
      <w:pPr>
        <w:spacing w:after="0" w:line="2" w:lineRule="exact"/>
        <w:rPr>
          <w:sz w:val="20"/>
          <w:szCs w:val="20"/>
          <w:color w:val="auto"/>
        </w:rPr>
      </w:pPr>
    </w:p>
    <w:p>
      <w:pPr>
        <w:ind w:right="2899" w:firstLine="458"/>
        <w:spacing w:after="0" w:line="261" w:lineRule="auto"/>
        <w:rPr>
          <w:sz w:val="20"/>
          <w:szCs w:val="20"/>
          <w:color w:val="auto"/>
        </w:rPr>
      </w:pPr>
      <w:r>
        <w:rPr>
          <w:rFonts w:ascii="Courier New" w:cs="Courier New" w:eastAsia="Courier New" w:hAnsi="Courier New"/>
          <w:sz w:val="15"/>
          <w:szCs w:val="15"/>
          <w:color w:val="auto"/>
        </w:rPr>
        <w:t>A significant portion of our operating costs are incurred outside the United States, and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with a time delay)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82" w:lineRule="exact"/>
        <w:rPr>
          <w:sz w:val="20"/>
          <w:szCs w:val="20"/>
          <w:color w:val="auto"/>
        </w:rPr>
      </w:pPr>
    </w:p>
    <w:p>
      <w:pPr>
        <w:ind w:right="3079" w:firstLine="458"/>
        <w:spacing w:after="0" w:line="289" w:lineRule="auto"/>
        <w:rPr>
          <w:sz w:val="20"/>
          <w:szCs w:val="20"/>
          <w:color w:val="auto"/>
        </w:rPr>
      </w:pPr>
      <w:r>
        <w:rPr>
          <w:rFonts w:ascii="Courier New" w:cs="Courier New" w:eastAsia="Courier New" w:hAnsi="Courier New"/>
          <w:sz w:val="15"/>
          <w:szCs w:val="15"/>
          <w:color w:val="auto"/>
        </w:rPr>
        <w:t>Generally, the effects of fluctuations in foreign currency exchange rates are mitigated by the fact that a significant portion of our revenue is in dollars and we generally hedge our currency exposure on both a short-term and long-term basis with respect to the balance of our revenue.</w:t>
      </w:r>
    </w:p>
    <w:p>
      <w:pPr>
        <w:spacing w:after="0" w:line="62" w:lineRule="exact"/>
        <w:rPr>
          <w:sz w:val="20"/>
          <w:szCs w:val="20"/>
          <w:color w:val="auto"/>
        </w:rPr>
      </w:pPr>
    </w:p>
    <w:p>
      <w:pPr>
        <w:jc w:val="both"/>
        <w:ind w:right="3079" w:firstLine="458"/>
        <w:spacing w:after="0" w:line="310" w:lineRule="auto"/>
        <w:rPr>
          <w:sz w:val="20"/>
          <w:szCs w:val="20"/>
          <w:color w:val="auto"/>
        </w:rPr>
      </w:pPr>
      <w:r>
        <w:rPr>
          <w:rFonts w:ascii="Courier New" w:cs="Courier New" w:eastAsia="Courier New" w:hAnsi="Courier New"/>
          <w:sz w:val="15"/>
          <w:szCs w:val="15"/>
          <w:color w:val="auto"/>
        </w:rPr>
        <w:t>The imposition of exchange or price controls or other restrictions on the conversion of foreign currencies could also have a material adverse effect on our business, results of operations and financial condition.</w:t>
      </w:r>
    </w:p>
    <w:p>
      <w:pPr>
        <w:spacing w:after="0" w:line="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WE MAY BE UNABLE TO PROTECT OUR PROPRIETARY TECHNOLOGY</w:t>
      </w:r>
    </w:p>
    <w:p>
      <w:pPr>
        <w:spacing w:after="0" w:line="182" w:lineRule="exact"/>
        <w:rPr>
          <w:sz w:val="20"/>
          <w:szCs w:val="20"/>
          <w:color w:val="auto"/>
        </w:rPr>
      </w:pPr>
    </w:p>
    <w:p>
      <w:pPr>
        <w:ind w:right="2899" w:firstLine="458"/>
        <w:spacing w:after="0" w:line="262" w:lineRule="auto"/>
        <w:rPr>
          <w:sz w:val="20"/>
          <w:szCs w:val="20"/>
          <w:color w:val="auto"/>
        </w:rPr>
      </w:pPr>
      <w:r>
        <w:rPr>
          <w:rFonts w:ascii="Courier New" w:cs="Courier New" w:eastAsia="Courier New" w:hAnsi="Courier New"/>
          <w:sz w:val="15"/>
          <w:szCs w:val="15"/>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and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customers and potential customers and limit access to and distribution of proprietary information.</w:t>
      </w:r>
    </w:p>
    <w:p>
      <w:pPr>
        <w:spacing w:after="0" w:line="83" w:lineRule="exact"/>
        <w:rPr>
          <w:sz w:val="20"/>
          <w:szCs w:val="20"/>
          <w:color w:val="auto"/>
        </w:rPr>
      </w:pPr>
    </w:p>
    <w:p>
      <w:pPr>
        <w:ind w:right="2979" w:firstLine="458"/>
        <w:spacing w:after="0" w:line="269" w:lineRule="auto"/>
        <w:rPr>
          <w:sz w:val="20"/>
          <w:szCs w:val="20"/>
          <w:color w:val="auto"/>
        </w:rPr>
      </w:pPr>
      <w:r>
        <w:rPr>
          <w:rFonts w:ascii="Courier New" w:cs="Courier New" w:eastAsia="Courier New" w:hAnsi="Courier New"/>
          <w:sz w:val="15"/>
          <w:szCs w:val="15"/>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to the same extent as the laws of the United States. Other companies could independently develop similar or superior technology without violating our proprietary rights.</w:t>
      </w:r>
    </w:p>
    <w:p>
      <w:pPr>
        <w:spacing w:after="0" w:line="76" w:lineRule="exact"/>
        <w:rPr>
          <w:sz w:val="20"/>
          <w:szCs w:val="20"/>
          <w:color w:val="auto"/>
        </w:rPr>
      </w:pPr>
    </w:p>
    <w:p>
      <w:pPr>
        <w:ind w:right="3259" w:firstLine="458"/>
        <w:spacing w:after="0" w:line="310" w:lineRule="auto"/>
        <w:rPr>
          <w:sz w:val="20"/>
          <w:szCs w:val="20"/>
          <w:color w:val="auto"/>
        </w:rPr>
      </w:pPr>
      <w:r>
        <w:rPr>
          <w:rFonts w:ascii="Courier New" w:cs="Courier New" w:eastAsia="Courier New" w:hAnsi="Courier New"/>
          <w:sz w:val="15"/>
          <w:szCs w:val="15"/>
          <w:color w:val="auto"/>
        </w:rPr>
        <w:t>If we have to resort to legal proceedings to enforce our intellectual property rights, the proceedings could be burdensome and expensive and could involve a high degree of risk.</w:t>
      </w:r>
    </w:p>
    <w:p>
      <w:pPr>
        <w:spacing w:after="0" w:line="4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66"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182" w:lineRule="exact"/>
        <w:rPr>
          <w:sz w:val="20"/>
          <w:szCs w:val="20"/>
          <w:color w:val="auto"/>
        </w:rPr>
      </w:pPr>
    </w:p>
    <w:p>
      <w:pPr>
        <w:ind w:left="180" w:right="2979"/>
        <w:spacing w:after="0" w:line="372" w:lineRule="auto"/>
        <w:rPr>
          <w:sz w:val="20"/>
          <w:szCs w:val="20"/>
          <w:color w:val="auto"/>
        </w:rPr>
      </w:pPr>
      <w:r>
        <w:rPr>
          <w:rFonts w:ascii="Courier New" w:cs="Courier New" w:eastAsia="Courier New" w:hAnsi="Courier New"/>
          <w:sz w:val="15"/>
          <w:szCs w:val="15"/>
          <w:color w:val="auto"/>
        </w:rPr>
        <w:t>CLAIMS BY OTHERS THAT WE INFRINGE THEIR PROPRIETARY TECHNOLOGY COULD HARM OUR BUSINESS</w:t>
      </w:r>
    </w:p>
    <w:p>
      <w:pPr>
        <w:spacing w:after="0" w:line="2" w:lineRule="exact"/>
        <w:rPr>
          <w:sz w:val="20"/>
          <w:szCs w:val="20"/>
          <w:color w:val="auto"/>
        </w:rPr>
      </w:pPr>
    </w:p>
    <w:p>
      <w:pPr>
        <w:ind w:right="2899" w:firstLine="458"/>
        <w:spacing w:after="0" w:line="260" w:lineRule="auto"/>
        <w:rPr>
          <w:sz w:val="20"/>
          <w:szCs w:val="20"/>
          <w:color w:val="auto"/>
        </w:rPr>
      </w:pPr>
      <w:r>
        <w:rPr>
          <w:rFonts w:ascii="Courier New" w:cs="Courier New" w:eastAsia="Courier New" w:hAnsi="Courier New"/>
          <w:sz w:val="15"/>
          <w:szCs w:val="15"/>
          <w:color w:val="auto"/>
        </w:rPr>
        <w:t>Although we have not received any notices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 and overlaps occur. Any claim of infringement by a third party could cause us to incur substantial costs defending against the claim, even if the claim is invalid, and could distract our management from our business. Furthermore, a party making such a claim could secure a judgment that requires us to pay substantial damages. A judgment could also include an injunction or other court order that could prevent us from selling our products. Any of these events could seriously harm our business.</w:t>
      </w:r>
    </w:p>
    <w:p>
      <w:pPr>
        <w:spacing w:after="0" w:line="81" w:lineRule="exact"/>
        <w:rPr>
          <w:sz w:val="20"/>
          <w:szCs w:val="20"/>
          <w:color w:val="auto"/>
        </w:rPr>
      </w:pPr>
    </w:p>
    <w:p>
      <w:pPr>
        <w:ind w:right="2979" w:firstLine="458"/>
        <w:spacing w:after="0" w:line="266" w:lineRule="auto"/>
        <w:rPr>
          <w:sz w:val="20"/>
          <w:szCs w:val="20"/>
          <w:color w:val="auto"/>
        </w:rPr>
      </w:pPr>
      <w:r>
        <w:rPr>
          <w:rFonts w:ascii="Courier New" w:cs="Courier New" w:eastAsia="Courier New" w:hAnsi="Courier New"/>
          <w:sz w:val="15"/>
          <w:szCs w:val="15"/>
          <w:color w:val="auto"/>
        </w:rPr>
        <w:t>If anyone asserts a claim against us relating to proprietary technology or information, we might seek to license their intellectual property or to develop non-infringing technology. We might not be able to obtain a license on commercially reasonable terms or on any terms. Alternatively, our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79" w:lineRule="exact"/>
        <w:rPr>
          <w:sz w:val="20"/>
          <w:szCs w:val="20"/>
          <w:color w:val="auto"/>
        </w:rPr>
      </w:pPr>
    </w:p>
    <w:p>
      <w:pPr>
        <w:ind w:left="180" w:right="3079"/>
        <w:spacing w:after="0" w:line="372" w:lineRule="auto"/>
        <w:rPr>
          <w:sz w:val="20"/>
          <w:szCs w:val="20"/>
          <w:color w:val="auto"/>
        </w:rPr>
      </w:pPr>
      <w:r>
        <w:rPr>
          <w:rFonts w:ascii="Courier New" w:cs="Courier New" w:eastAsia="Courier New" w:hAnsi="Courier New"/>
          <w:sz w:val="15"/>
          <w:szCs w:val="15"/>
          <w:color w:val="auto"/>
        </w:rPr>
        <w:t>THE TERMINATION OR REDUCTION OF CERTAIN GOVERNMENT PROGRAMS AND TAX BENEFITS COULD ADVERSELY AFFECT OUR OVERALL EFFECTIVE TAX RATE</w:t>
      </w:r>
    </w:p>
    <w:p>
      <w:pPr>
        <w:spacing w:after="0" w:line="2" w:lineRule="exact"/>
        <w:rPr>
          <w:sz w:val="20"/>
          <w:szCs w:val="20"/>
          <w:color w:val="auto"/>
        </w:rPr>
      </w:pPr>
    </w:p>
    <w:p>
      <w:pPr>
        <w:jc w:val="both"/>
        <w:ind w:right="3079" w:firstLine="458"/>
        <w:spacing w:after="0" w:line="258" w:lineRule="auto"/>
        <w:rPr>
          <w:sz w:val="20"/>
          <w:szCs w:val="20"/>
          <w:color w:val="auto"/>
        </w:rPr>
      </w:pPr>
      <w:r>
        <w:rPr>
          <w:rFonts w:ascii="Courier New" w:cs="Courier New" w:eastAsia="Courier New" w:hAnsi="Courier New"/>
          <w:sz w:val="15"/>
          <w:szCs w:val="15"/>
          <w:color w:val="auto"/>
        </w:rPr>
        <w:t>We benefit from certain government programs and tax benefits, including programs and benefits in Israel, Cyprus and Ireland. To be eligible for these programs and tax benefits, we must meet certain conditions. If we fail to meet these conditions we could be required to refund tax benefits already received.</w:t>
      </w:r>
    </w:p>
    <w:p>
      <w:pPr>
        <w:spacing w:after="0" w:line="2" w:lineRule="exact"/>
        <w:rPr>
          <w:sz w:val="20"/>
          <w:szCs w:val="20"/>
          <w:color w:val="auto"/>
        </w:rPr>
      </w:pPr>
    </w:p>
    <w:p>
      <w:pPr>
        <w:ind w:right="2979"/>
        <w:spacing w:after="0" w:line="290" w:lineRule="auto"/>
        <w:rPr>
          <w:sz w:val="20"/>
          <w:szCs w:val="20"/>
          <w:color w:val="auto"/>
        </w:rPr>
      </w:pPr>
      <w:r>
        <w:rPr>
          <w:rFonts w:ascii="Courier New" w:cs="Courier New" w:eastAsia="Courier New" w:hAnsi="Courier New"/>
          <w:sz w:val="15"/>
          <w:szCs w:val="15"/>
          <w:color w:val="auto"/>
        </w:rPr>
        <w:t>Additionally, some of these programs and the related tax benefits are available to us for a limited number of years, and these benefits expire from time to time.</w:t>
      </w:r>
    </w:p>
    <w:p>
      <w:pPr>
        <w:spacing w:after="0" w:line="61" w:lineRule="exact"/>
        <w:rPr>
          <w:sz w:val="20"/>
          <w:szCs w:val="20"/>
          <w:color w:val="auto"/>
        </w:rPr>
      </w:pPr>
    </w:p>
    <w:p>
      <w:pPr>
        <w:ind w:right="2979" w:firstLine="458"/>
        <w:spacing w:after="0" w:line="372" w:lineRule="auto"/>
        <w:rPr>
          <w:sz w:val="20"/>
          <w:szCs w:val="20"/>
          <w:color w:val="auto"/>
        </w:rPr>
      </w:pPr>
      <w:r>
        <w:rPr>
          <w:rFonts w:ascii="Courier New" w:cs="Courier New" w:eastAsia="Courier New" w:hAnsi="Courier New"/>
          <w:sz w:val="15"/>
          <w:szCs w:val="15"/>
          <w:color w:val="auto"/>
        </w:rPr>
        <w:t>Any of the following could have a material affect on our overall effective tax rate:</w:t>
      </w:r>
    </w:p>
    <w:p>
      <w:pPr>
        <w:spacing w:after="0" w:line="2" w:lineRule="exact"/>
        <w:rPr>
          <w:sz w:val="20"/>
          <w:szCs w:val="20"/>
          <w:color w:val="auto"/>
        </w:rPr>
      </w:pPr>
    </w:p>
    <w:p>
      <w:pPr>
        <w:ind w:left="640" w:hanging="188"/>
        <w:spacing w:after="0"/>
        <w:tabs>
          <w:tab w:leader="none" w:pos="6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programs may be discontinued,</w:t>
      </w:r>
    </w:p>
    <w:p>
      <w:pPr>
        <w:spacing w:after="0" w:line="182" w:lineRule="exact"/>
        <w:rPr>
          <w:rFonts w:ascii="Courier New" w:cs="Courier New" w:eastAsia="Courier New" w:hAnsi="Courier New"/>
          <w:sz w:val="15"/>
          <w:szCs w:val="15"/>
          <w:color w:val="auto"/>
        </w:rPr>
      </w:pPr>
    </w:p>
    <w:p>
      <w:pPr>
        <w:ind w:left="640" w:right="3079" w:hanging="188"/>
        <w:spacing w:after="0" w:line="372" w:lineRule="auto"/>
        <w:tabs>
          <w:tab w:leader="none" w:pos="6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meet the requirements for continuing to qualify for some programs,</w:t>
      </w:r>
    </w:p>
    <w:p>
      <w:pPr>
        <w:spacing w:after="0" w:line="1" w:lineRule="exact"/>
        <w:rPr>
          <w:rFonts w:ascii="Courier New" w:cs="Courier New" w:eastAsia="Courier New" w:hAnsi="Courier New"/>
          <w:sz w:val="15"/>
          <w:szCs w:val="15"/>
          <w:color w:val="auto"/>
        </w:rPr>
      </w:pPr>
    </w:p>
    <w:p>
      <w:pPr>
        <w:ind w:left="640" w:right="3439" w:hanging="188"/>
        <w:spacing w:after="0" w:line="372" w:lineRule="auto"/>
        <w:tabs>
          <w:tab w:leader="none" w:pos="6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programs and tax benefits may be unavailable at their current levels, or</w:t>
      </w:r>
    </w:p>
    <w:p>
      <w:pPr>
        <w:spacing w:after="0" w:line="1" w:lineRule="exact"/>
        <w:rPr>
          <w:rFonts w:ascii="Courier New" w:cs="Courier New" w:eastAsia="Courier New" w:hAnsi="Courier New"/>
          <w:sz w:val="15"/>
          <w:szCs w:val="15"/>
          <w:color w:val="auto"/>
        </w:rPr>
      </w:pPr>
    </w:p>
    <w:p>
      <w:pPr>
        <w:ind w:left="640" w:right="2979" w:hanging="188"/>
        <w:spacing w:after="0" w:line="279" w:lineRule="auto"/>
        <w:tabs>
          <w:tab w:leader="none" w:pos="6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a particular benefit, we may not be eligible to participate in a new program or qualify for a new tax benefit that would offset the loss of the expiring tax benefit or we may be required to refund previously accredited tax benefits if we are found to be in violation of the stipulated conditions.</w:t>
      </w:r>
    </w:p>
    <w:p>
      <w:pPr>
        <w:spacing w:after="0" w:line="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PRODUCT DEFECTS OR SOFTWARE ERRORS COULD ADVERSELY AFFECT OUR BUSINESS</w:t>
      </w:r>
    </w:p>
    <w:p>
      <w:pPr>
        <w:spacing w:after="0" w:line="182" w:lineRule="exact"/>
        <w:rPr>
          <w:sz w:val="20"/>
          <w:szCs w:val="20"/>
          <w:color w:val="auto"/>
        </w:rPr>
      </w:pPr>
    </w:p>
    <w:p>
      <w:pPr>
        <w:ind w:right="2899" w:firstLine="458"/>
        <w:spacing w:after="0" w:line="279" w:lineRule="auto"/>
        <w:rPr>
          <w:sz w:val="20"/>
          <w:szCs w:val="20"/>
          <w:color w:val="auto"/>
        </w:rPr>
      </w:pPr>
      <w:r>
        <w:rPr>
          <w:rFonts w:ascii="Courier New" w:cs="Courier New" w:eastAsia="Courier New" w:hAnsi="Courier New"/>
          <w:sz w:val="15"/>
          <w:szCs w:val="15"/>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69" w:lineRule="exact"/>
        <w:rPr>
          <w:sz w:val="20"/>
          <w:szCs w:val="20"/>
          <w:color w:val="auto"/>
        </w:rPr>
      </w:pPr>
    </w:p>
    <w:p>
      <w:pPr>
        <w:ind w:right="2899" w:firstLine="458"/>
        <w:spacing w:after="0" w:line="252" w:lineRule="auto"/>
        <w:rPr>
          <w:sz w:val="20"/>
          <w:szCs w:val="20"/>
          <w:color w:val="auto"/>
        </w:rPr>
      </w:pPr>
      <w:r>
        <w:rPr>
          <w:rFonts w:ascii="Courier New" w:cs="Courier New" w:eastAsia="Courier New" w:hAnsi="Courier New"/>
          <w:sz w:val="15"/>
          <w:szCs w:val="15"/>
          <w:color w:val="auto"/>
        </w:rPr>
        <w:t>Since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Completion of the development and implementation phases of a project requires between six and twelve months of work. During this period, a customer's budgeting constraints and internal reviews, over which we have little or no control, can impact operating results. Our failure or inability to meet a customer's expectations in providing products or performing services may result in the termination of our relationship with that customer or could give rise to claims against us. Although we have license</w:t>
      </w:r>
    </w:p>
    <w:p>
      <w:pPr>
        <w:spacing w:after="0" w:line="3"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66"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182" w:lineRule="exact"/>
        <w:rPr>
          <w:sz w:val="20"/>
          <w:szCs w:val="20"/>
          <w:color w:val="auto"/>
        </w:rPr>
      </w:pPr>
    </w:p>
    <w:p>
      <w:pPr>
        <w:ind w:right="3179"/>
        <w:spacing w:after="0" w:line="273" w:lineRule="auto"/>
        <w:rPr>
          <w:sz w:val="20"/>
          <w:szCs w:val="20"/>
          <w:color w:val="auto"/>
        </w:rPr>
      </w:pPr>
      <w:r>
        <w:rPr>
          <w:rFonts w:ascii="Courier New" w:cs="Courier New" w:eastAsia="Courier New" w:hAnsi="Courier New"/>
          <w:sz w:val="15"/>
          <w:szCs w:val="15"/>
          <w:color w:val="auto"/>
        </w:rPr>
        <w:t>agreements with our customers that contain provisions designed to limit our exposure to potential claims and liabilities arising from customer problems, these provisions may not effectively protect us against such claims in all cases. Claims and liabilities arising from customer problems could damage our reputation, adversely affecting our business, results of operations and financial condition.</w:t>
      </w:r>
    </w:p>
    <w:p>
      <w:pPr>
        <w:spacing w:after="0" w:line="74" w:lineRule="exact"/>
        <w:rPr>
          <w:sz w:val="20"/>
          <w:szCs w:val="20"/>
          <w:color w:val="auto"/>
        </w:rPr>
      </w:pPr>
    </w:p>
    <w:p>
      <w:pPr>
        <w:ind w:left="180" w:right="3079"/>
        <w:spacing w:after="0" w:line="372" w:lineRule="auto"/>
        <w:rPr>
          <w:sz w:val="20"/>
          <w:szCs w:val="20"/>
          <w:color w:val="auto"/>
        </w:rPr>
      </w:pPr>
      <w:r>
        <w:rPr>
          <w:rFonts w:ascii="Courier New" w:cs="Courier New" w:eastAsia="Courier New" w:hAnsi="Courier New"/>
          <w:sz w:val="15"/>
          <w:szCs w:val="15"/>
          <w:color w:val="auto"/>
        </w:rPr>
        <w:t>OUR DEVELOPMENT FACILITIES IN ISRAEL AND CYPRUS MAY BE ADVERSELY AFFECTED BY POLITICAL AND ECONOMIC CONDITIONS IN THOSE COUNTRIES</w:t>
      </w:r>
    </w:p>
    <w:p>
      <w:pPr>
        <w:spacing w:after="0" w:line="2" w:lineRule="exact"/>
        <w:rPr>
          <w:sz w:val="20"/>
          <w:szCs w:val="20"/>
          <w:color w:val="auto"/>
        </w:rPr>
      </w:pPr>
    </w:p>
    <w:p>
      <w:pPr>
        <w:ind w:right="2899" w:firstLine="458"/>
        <w:spacing w:after="0" w:line="266" w:lineRule="auto"/>
        <w:rPr>
          <w:sz w:val="20"/>
          <w:szCs w:val="20"/>
          <w:color w:val="auto"/>
        </w:rPr>
      </w:pPr>
      <w:r>
        <w:rPr>
          <w:rFonts w:ascii="Courier New" w:cs="Courier New" w:eastAsia="Courier New" w:hAnsi="Courier New"/>
          <w:sz w:val="15"/>
          <w:szCs w:val="15"/>
          <w:color w:val="auto"/>
        </w:rPr>
        <w:t>Out of the five development centers we maintain worldwide, our largest development center is located in Israel, which is also where we employ over half of our employees. As a result, we are directly influenced by the political, economic and military conditions affecting Israel and any major hostilities involving Israel could have a material adverse effect on our business. We have developed contingency plans to move some development operations within Israel to various sites both within and outside of Israel in the event political or military conditions disrupt our normal operations.</w:t>
      </w:r>
    </w:p>
    <w:p>
      <w:pPr>
        <w:spacing w:after="0" w:line="79" w:lineRule="exact"/>
        <w:rPr>
          <w:sz w:val="20"/>
          <w:szCs w:val="20"/>
          <w:color w:val="auto"/>
        </w:rPr>
      </w:pPr>
    </w:p>
    <w:p>
      <w:pPr>
        <w:ind w:right="2899" w:firstLine="458"/>
        <w:spacing w:after="0" w:line="260" w:lineRule="auto"/>
        <w:rPr>
          <w:sz w:val="20"/>
          <w:szCs w:val="20"/>
          <w:color w:val="auto"/>
        </w:rPr>
      </w:pPr>
      <w:r>
        <w:rPr>
          <w:rFonts w:ascii="Courier New" w:cs="Courier New" w:eastAsia="Courier New" w:hAnsi="Courier New"/>
          <w:sz w:val="15"/>
          <w:szCs w:val="15"/>
          <w:color w:val="auto"/>
        </w:rPr>
        <w:t>While Israel has entered into peace agreements with both Egypt and Jordan and several other countries have announced their intentions to establish trade and other relations with Israel, Israel has not entered into any peace arrangement with Syria or Lebanon. Moreover, while Israel is in the process of conducting peace negotiations with the Palestinian community, recently there has been a significant deterioration in Israel's relationship with the Palestinian community. Efforts to resolve the problem have failed to result in an agreeable solution. Continued hostilities between the Palestinian community and Israel and any failure to settle the conflict may have a material adverse effect on us and our business. Further deterioration of hostilities into a full scale conflict might require more widespread military reserve service by some of our employees which may have a material adverse effect on our business.</w:t>
      </w:r>
    </w:p>
    <w:p>
      <w:pPr>
        <w:spacing w:after="0" w:line="81" w:lineRule="exact"/>
        <w:rPr>
          <w:sz w:val="20"/>
          <w:szCs w:val="20"/>
          <w:color w:val="auto"/>
        </w:rPr>
      </w:pPr>
    </w:p>
    <w:p>
      <w:pPr>
        <w:ind w:right="2899" w:firstLine="458"/>
        <w:spacing w:after="0" w:line="264" w:lineRule="auto"/>
        <w:rPr>
          <w:sz w:val="20"/>
          <w:szCs w:val="20"/>
          <w:color w:val="auto"/>
        </w:rPr>
      </w:pPr>
      <w:r>
        <w:rPr>
          <w:rFonts w:ascii="Courier New" w:cs="Courier New" w:eastAsia="Courier New" w:hAnsi="Courier New"/>
          <w:sz w:val="15"/>
          <w:szCs w:val="15"/>
          <w:color w:val="auto"/>
        </w:rPr>
        <w:t>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finally resolve the problem have not yet resulted in an agreeable solution, although the parties did recently agree to enter into negotiations to be facilitated by the United Nations and the United States. Any major hostilities between Cyprus and Turkey or any failure of the parties to reach a peaceful resolution may have a material adverse effect on our development facility in Cyprus.</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CAPITAL STRUCTURE</w:t>
      </w:r>
    </w:p>
    <w:p>
      <w:pPr>
        <w:spacing w:after="0" w:line="182" w:lineRule="exact"/>
        <w:rPr>
          <w:sz w:val="20"/>
          <w:szCs w:val="20"/>
          <w:color w:val="auto"/>
        </w:rPr>
      </w:pPr>
    </w:p>
    <w:p>
      <w:pPr>
        <w:ind w:left="180" w:right="3359"/>
        <w:spacing w:after="0" w:line="372" w:lineRule="auto"/>
        <w:rPr>
          <w:sz w:val="20"/>
          <w:szCs w:val="20"/>
          <w:color w:val="auto"/>
        </w:rPr>
      </w:pPr>
      <w:r>
        <w:rPr>
          <w:rFonts w:ascii="Courier New" w:cs="Courier New" w:eastAsia="Courier New" w:hAnsi="Courier New"/>
          <w:sz w:val="15"/>
          <w:szCs w:val="15"/>
          <w:color w:val="auto"/>
        </w:rPr>
        <w:t>THE MARKET PRICE OF OUR ORDINARY SHARES HAS AND MAY CONTINUE TO FLUCTUATE WIDELY</w:t>
      </w:r>
    </w:p>
    <w:p>
      <w:pPr>
        <w:spacing w:after="0" w:line="178" w:lineRule="exact"/>
        <w:rPr>
          <w:sz w:val="20"/>
          <w:szCs w:val="20"/>
          <w:color w:val="auto"/>
        </w:rPr>
      </w:pPr>
    </w:p>
    <w:p>
      <w:pPr>
        <w:ind w:right="2979" w:firstLine="458"/>
        <w:spacing w:after="0" w:line="273" w:lineRule="auto"/>
        <w:rPr>
          <w:sz w:val="20"/>
          <w:szCs w:val="20"/>
          <w:color w:val="auto"/>
        </w:rPr>
      </w:pPr>
      <w:r>
        <w:rPr>
          <w:rFonts w:ascii="Courier New" w:cs="Courier New" w:eastAsia="Courier New" w:hAnsi="Courier New"/>
          <w:sz w:val="15"/>
          <w:szCs w:val="15"/>
          <w:color w:val="auto"/>
        </w:rPr>
        <w:t>The market price of our ordinary shares has fluctuated widely and may continue to do so. For example, since our initial public offering in June 1998 through March 30, 2001 the closing price of our ordinary shares ranged from a high of $96.00 per share to a low of $8.38 per share. Many factors could cause the market price of our ordinary shares to rise and fall. Some of these factors are:</w:t>
      </w:r>
    </w:p>
    <w:p>
      <w:pPr>
        <w:spacing w:after="0" w:line="250" w:lineRule="exact"/>
        <w:rPr>
          <w:sz w:val="20"/>
          <w:szCs w:val="20"/>
          <w:color w:val="auto"/>
        </w:rPr>
      </w:pPr>
    </w:p>
    <w:p>
      <w:pPr>
        <w:ind w:left="640" w:hanging="188"/>
        <w:spacing w:after="0"/>
        <w:tabs>
          <w:tab w:leader="none" w:pos="6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by us or our competitors;</w:t>
      </w:r>
    </w:p>
    <w:p>
      <w:pPr>
        <w:spacing w:after="0" w:line="182" w:lineRule="exact"/>
        <w:rPr>
          <w:rFonts w:ascii="Courier New" w:cs="Courier New" w:eastAsia="Courier New" w:hAnsi="Courier New"/>
          <w:sz w:val="15"/>
          <w:szCs w:val="15"/>
          <w:color w:val="auto"/>
        </w:rPr>
      </w:pPr>
    </w:p>
    <w:p>
      <w:pPr>
        <w:ind w:left="640" w:right="3619" w:hanging="188"/>
        <w:spacing w:after="0" w:line="372" w:lineRule="auto"/>
        <w:tabs>
          <w:tab w:leader="none" w:pos="6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new products or new pricing policies by us or our competitors;</w:t>
      </w:r>
    </w:p>
    <w:p>
      <w:pPr>
        <w:spacing w:after="0" w:line="1"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communications industry;</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strategic alliances by us or others in our industry;</w:t>
      </w:r>
    </w:p>
    <w:p>
      <w:pPr>
        <w:spacing w:after="0" w:line="182" w:lineRule="exact"/>
        <w:rPr>
          <w:rFonts w:ascii="Courier New" w:cs="Courier New" w:eastAsia="Courier New" w:hAnsi="Courier New"/>
          <w:sz w:val="15"/>
          <w:szCs w:val="15"/>
          <w:color w:val="auto"/>
        </w:rPr>
      </w:pPr>
    </w:p>
    <w:p>
      <w:pPr>
        <w:ind w:left="640" w:right="3079" w:hanging="188"/>
        <w:spacing w:after="0" w:line="372" w:lineRule="auto"/>
        <w:tabs>
          <w:tab w:leader="none" w:pos="6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estimates of our performance or recommendations by financial analysts; and</w:t>
      </w:r>
    </w:p>
    <w:p>
      <w:pPr>
        <w:spacing w:after="0" w:line="1"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industry and the economy as a whole.</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66" w:right="1440" w:bottom="1440" w:gutter="0" w:footer="0" w:header="0"/>
        </w:sectPr>
      </w:pPr>
    </w:p>
    <w:bookmarkStart w:id="15" w:name="page16"/>
    <w:bookmarkEnd w:id="15"/>
    <w:p>
      <w:pPr>
        <w:ind w:left="266"/>
        <w:spacing w:after="0"/>
        <w:rPr>
          <w:sz w:val="20"/>
          <w:szCs w:val="20"/>
          <w:color w:val="auto"/>
        </w:rPr>
      </w:pPr>
      <w:r>
        <w:rPr>
          <w:rFonts w:ascii="Courier New" w:cs="Courier New" w:eastAsia="Courier New" w:hAnsi="Courier New"/>
          <w:sz w:val="15"/>
          <w:szCs w:val="15"/>
          <w:color w:val="auto"/>
        </w:rPr>
        <w:t>15</w:t>
      </w:r>
    </w:p>
    <w:p>
      <w:pPr>
        <w:spacing w:after="0" w:line="182" w:lineRule="exact"/>
        <w:rPr>
          <w:sz w:val="20"/>
          <w:szCs w:val="20"/>
          <w:color w:val="auto"/>
        </w:rPr>
      </w:pPr>
    </w:p>
    <w:p>
      <w:pPr>
        <w:ind w:left="6" w:right="2899" w:firstLine="458"/>
        <w:spacing w:after="0" w:line="262" w:lineRule="auto"/>
        <w:rPr>
          <w:sz w:val="20"/>
          <w:szCs w:val="20"/>
          <w:color w:val="auto"/>
        </w:rPr>
      </w:pPr>
      <w:r>
        <w:rPr>
          <w:rFonts w:ascii="Courier New" w:cs="Courier New" w:eastAsia="Courier New" w:hAnsi="Courier New"/>
          <w:sz w:val="15"/>
          <w:szCs w:val="15"/>
          <w:color w:val="auto"/>
        </w:rPr>
        <w:t>In addition, the stock market experiences significant price and volume fluctuations. These fluctuations particularly affect the market prices of the securities of many high technology companies. These broad market fluctuations could adversely affect the market price of our ordinary shares. When the market price of a stock has been volatile, holders of that stock have often instituted securities class action litigation against the company that issued the stock. If any of our shareholders brought a securities class action lawsuit against us, we could incur substantial costs defending the lawsuit. The lawsuit could also divert the time and attention of our management. Any of these events could seriously harm our business.</w:t>
      </w:r>
    </w:p>
    <w:p>
      <w:pPr>
        <w:spacing w:after="0" w:line="83" w:lineRule="exact"/>
        <w:rPr>
          <w:sz w:val="20"/>
          <w:szCs w:val="20"/>
          <w:color w:val="auto"/>
        </w:rPr>
      </w:pPr>
    </w:p>
    <w:p>
      <w:pPr>
        <w:ind w:left="186" w:right="3179"/>
        <w:spacing w:after="0" w:line="372" w:lineRule="auto"/>
        <w:rPr>
          <w:sz w:val="20"/>
          <w:szCs w:val="20"/>
          <w:color w:val="auto"/>
        </w:rPr>
      </w:pPr>
      <w:r>
        <w:rPr>
          <w:rFonts w:ascii="Courier New" w:cs="Courier New" w:eastAsia="Courier New" w:hAnsi="Courier New"/>
          <w:sz w:val="15"/>
          <w:szCs w:val="15"/>
          <w:color w:val="auto"/>
        </w:rPr>
        <w:t>FUTURE SALES BY EXISTING SHAREHOLDERS COULD DEPRESS THE MARKET PRICE OF OUR ORDINARY SHARES</w:t>
      </w:r>
    </w:p>
    <w:p>
      <w:pPr>
        <w:spacing w:after="0" w:line="2" w:lineRule="exact"/>
        <w:rPr>
          <w:sz w:val="20"/>
          <w:szCs w:val="20"/>
          <w:color w:val="auto"/>
        </w:rPr>
      </w:pPr>
    </w:p>
    <w:p>
      <w:pPr>
        <w:ind w:left="6" w:right="3179" w:firstLine="458"/>
        <w:spacing w:after="0" w:line="254" w:lineRule="auto"/>
        <w:rPr>
          <w:sz w:val="20"/>
          <w:szCs w:val="20"/>
          <w:color w:val="auto"/>
        </w:rPr>
      </w:pPr>
      <w:r>
        <w:rPr>
          <w:rFonts w:ascii="Courier New" w:cs="Courier New" w:eastAsia="Courier New" w:hAnsi="Courier New"/>
          <w:sz w:val="15"/>
          <w:szCs w:val="15"/>
          <w:color w:val="auto"/>
        </w:rPr>
        <w:t>Sales of substantial amounts of ordinary shares in the public market, or the perception that such sales could occur, could adversely affect prevailing market prices for the ordinary shares. As of February 28, 2001, we had 222,068,645 ordinary shares issued and outstanding, a substantial portion of which are either freely tradeable on the NYSE or currently eligible for sale pursuant to Rule 144, under the Securities Act of 1933, or the Securities Act (subject to compliance with the volume and manner of sale limitation of Rule</w:t>
      </w:r>
    </w:p>
    <w:p>
      <w:pPr>
        <w:spacing w:after="0" w:line="2" w:lineRule="exact"/>
        <w:rPr>
          <w:sz w:val="20"/>
          <w:szCs w:val="20"/>
          <w:color w:val="auto"/>
        </w:rPr>
      </w:pPr>
    </w:p>
    <w:p>
      <w:pPr>
        <w:ind w:left="6" w:right="2899"/>
        <w:spacing w:after="0" w:line="332" w:lineRule="auto"/>
        <w:rPr>
          <w:sz w:val="20"/>
          <w:szCs w:val="20"/>
          <w:color w:val="auto"/>
        </w:rPr>
      </w:pPr>
      <w:r>
        <w:rPr>
          <w:rFonts w:ascii="Courier New" w:cs="Courier New" w:eastAsia="Courier New" w:hAnsi="Courier New"/>
          <w:sz w:val="15"/>
          <w:szCs w:val="15"/>
          <w:color w:val="auto"/>
        </w:rPr>
        <w:t>144), or pursuant to another exemption from the registration requirements of the Securities Act.</w:t>
      </w:r>
    </w:p>
    <w:p>
      <w:pPr>
        <w:spacing w:after="0" w:line="30" w:lineRule="exact"/>
        <w:rPr>
          <w:sz w:val="20"/>
          <w:szCs w:val="20"/>
          <w:color w:val="auto"/>
        </w:rPr>
      </w:pPr>
    </w:p>
    <w:p>
      <w:pPr>
        <w:ind w:left="6" w:right="2899" w:firstLine="458"/>
        <w:spacing w:after="0" w:line="264" w:lineRule="auto"/>
        <w:rPr>
          <w:sz w:val="20"/>
          <w:szCs w:val="20"/>
          <w:color w:val="auto"/>
        </w:rPr>
      </w:pPr>
      <w:r>
        <w:rPr>
          <w:rFonts w:ascii="Courier New" w:cs="Courier New" w:eastAsia="Courier New" w:hAnsi="Courier New"/>
          <w:sz w:val="15"/>
          <w:szCs w:val="15"/>
          <w:color w:val="auto"/>
        </w:rPr>
        <w:t>Our principal shareholders and the holders of the Exchangeable Shares have the right, in certain circumstances, to require us to register their shares under the Securities Act for resale to the public. In addition, we have registered under the Securities Act a total of 16,062,121 ordinary shares, and we expect to register an additional 19,000,000 ordinary shares, reserved for issuance upon the exercise of options that have been or may be granted under our stock option plans and stock option plans assumed by us in connection with our acquisition of ITDS and Solect. The right to exercise options outstanding under these plans is subject to certain vesting requirements.</w:t>
      </w:r>
    </w:p>
    <w:p>
      <w:pPr>
        <w:spacing w:after="0" w:line="80" w:lineRule="exact"/>
        <w:rPr>
          <w:sz w:val="20"/>
          <w:szCs w:val="20"/>
          <w:color w:val="auto"/>
        </w:rPr>
      </w:pPr>
    </w:p>
    <w:p>
      <w:pPr>
        <w:ind w:left="186" w:right="3899"/>
        <w:spacing w:after="0" w:line="372" w:lineRule="auto"/>
        <w:rPr>
          <w:sz w:val="20"/>
          <w:szCs w:val="20"/>
          <w:color w:val="auto"/>
        </w:rPr>
      </w:pPr>
      <w:r>
        <w:rPr>
          <w:rFonts w:ascii="Courier New" w:cs="Courier New" w:eastAsia="Courier New" w:hAnsi="Courier New"/>
          <w:sz w:val="15"/>
          <w:szCs w:val="15"/>
          <w:color w:val="auto"/>
        </w:rPr>
        <w:t>WE DO NOT ANTICIPATE PAYING DIVIDENDS ON OUR ORDINARY SHARES IN THE FORESEEABLE FUTURE</w:t>
      </w:r>
    </w:p>
    <w:p>
      <w:pPr>
        <w:spacing w:after="0" w:line="2" w:lineRule="exact"/>
        <w:rPr>
          <w:sz w:val="20"/>
          <w:szCs w:val="20"/>
          <w:color w:val="auto"/>
        </w:rPr>
      </w:pPr>
    </w:p>
    <w:p>
      <w:pPr>
        <w:jc w:val="both"/>
        <w:ind w:left="6" w:right="3619" w:firstLine="458"/>
        <w:spacing w:after="0" w:line="310" w:lineRule="auto"/>
        <w:rPr>
          <w:sz w:val="20"/>
          <w:szCs w:val="20"/>
          <w:color w:val="auto"/>
        </w:rPr>
      </w:pPr>
      <w:r>
        <w:rPr>
          <w:rFonts w:ascii="Courier New" w:cs="Courier New" w:eastAsia="Courier New" w:hAnsi="Courier New"/>
          <w:sz w:val="15"/>
          <w:szCs w:val="15"/>
          <w:color w:val="auto"/>
        </w:rPr>
        <w:t>We do not anticipate paying dividends on our ordinary shares in the foreseeable future. In addition, the terms of bank debt incurred by our subsidiaries effectively prevent us from paying cash dividends.</w:t>
      </w:r>
    </w:p>
    <w:p>
      <w:pPr>
        <w:spacing w:after="0" w:line="46" w:lineRule="exact"/>
        <w:rPr>
          <w:sz w:val="20"/>
          <w:szCs w:val="20"/>
          <w:color w:val="auto"/>
        </w:rPr>
      </w:pPr>
    </w:p>
    <w:p>
      <w:pPr>
        <w:ind w:left="186" w:right="3179"/>
        <w:spacing w:after="0" w:line="372" w:lineRule="auto"/>
        <w:rPr>
          <w:sz w:val="20"/>
          <w:szCs w:val="20"/>
          <w:color w:val="auto"/>
        </w:rPr>
      </w:pPr>
      <w:r>
        <w:rPr>
          <w:rFonts w:ascii="Courier New" w:cs="Courier New" w:eastAsia="Courier New" w:hAnsi="Courier New"/>
          <w:sz w:val="15"/>
          <w:szCs w:val="15"/>
          <w:color w:val="auto"/>
        </w:rPr>
        <w:t>THE RIGHTS OF SHAREHOLDERS OF GUERNSEY CORPORATIONS DIFFER IN SOME RESPECTS FROM THOSE OF SHAREHOLDERS OF UNITED STATES CORPORATIONS</w:t>
      </w:r>
    </w:p>
    <w:p>
      <w:pPr>
        <w:spacing w:after="0" w:line="2" w:lineRule="exact"/>
        <w:rPr>
          <w:sz w:val="20"/>
          <w:szCs w:val="20"/>
          <w:color w:val="auto"/>
        </w:rPr>
      </w:pPr>
    </w:p>
    <w:p>
      <w:pPr>
        <w:ind w:left="6" w:right="3179" w:firstLine="458"/>
        <w:spacing w:after="0" w:line="279" w:lineRule="auto"/>
        <w:rPr>
          <w:sz w:val="20"/>
          <w:szCs w:val="20"/>
          <w:color w:val="auto"/>
        </w:rPr>
      </w:pPr>
      <w:r>
        <w:rPr>
          <w:rFonts w:ascii="Courier New" w:cs="Courier New" w:eastAsia="Courier New" w:hAnsi="Courier New"/>
          <w:sz w:val="15"/>
          <w:szCs w:val="15"/>
          <w:color w:val="auto"/>
        </w:rPr>
        <w:t>We are incorporated under the laws of Guernsey. The rights of holders of ordinary shares are governed by Guernsey law, including the Companies Act of Guernsey, and by our Articles of Association. These rights differ in some respects from the rights of shareholders in corporations incorporated in the United States.</w:t>
      </w:r>
    </w:p>
    <w:p>
      <w:pPr>
        <w:spacing w:after="0" w:line="69"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OFFERING STATISTICS AND TIMETABLE</w:t>
      </w:r>
    </w:p>
    <w:p>
      <w:pPr>
        <w:spacing w:after="0" w:line="359" w:lineRule="exact"/>
        <w:rPr>
          <w:sz w:val="20"/>
          <w:szCs w:val="20"/>
          <w:color w:val="auto"/>
        </w:rPr>
      </w:pPr>
    </w:p>
    <w:p>
      <w:pPr>
        <w:ind w:left="6" w:right="2899" w:firstLine="458"/>
        <w:spacing w:after="0" w:line="262" w:lineRule="auto"/>
        <w:rPr>
          <w:sz w:val="20"/>
          <w:szCs w:val="20"/>
          <w:color w:val="auto"/>
        </w:rPr>
      </w:pPr>
      <w:r>
        <w:rPr>
          <w:rFonts w:ascii="Courier New" w:cs="Courier New" w:eastAsia="Courier New" w:hAnsi="Courier New"/>
          <w:sz w:val="15"/>
          <w:szCs w:val="15"/>
          <w:color w:val="auto"/>
        </w:rPr>
        <w:t>7,257,570 of our ordinary shares are being offered in this offering by some of our shareholders, including 3,125,839 shares that were registered under previous registration statements. The offer will be open until the earlier of</w:t>
      </w:r>
    </w:p>
    <w:p>
      <w:pPr>
        <w:ind w:left="6" w:right="2899" w:hanging="6"/>
        <w:spacing w:after="0" w:line="276" w:lineRule="auto"/>
        <w:tabs>
          <w:tab w:leader="none" w:pos="37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April 5, 2002, (2) the date on which all of the shares being offered have been sold, and (3) the date on which all of the shares being offered can be sold without registration without regard to the volume restrictions of Rule 144 under the Securities Act of 1933.</w:t>
      </w:r>
    </w:p>
    <w:p>
      <w:pPr>
        <w:spacing w:after="0" w:line="247"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USE OF PROCEEDS</w:t>
      </w:r>
    </w:p>
    <w:p>
      <w:pPr>
        <w:spacing w:after="0" w:line="182" w:lineRule="exact"/>
        <w:rPr>
          <w:sz w:val="20"/>
          <w:szCs w:val="20"/>
          <w:color w:val="auto"/>
        </w:rPr>
      </w:pPr>
    </w:p>
    <w:p>
      <w:pPr>
        <w:ind w:left="6" w:right="3439" w:firstLine="458"/>
        <w:spacing w:after="0" w:line="268" w:lineRule="auto"/>
        <w:rPr>
          <w:sz w:val="20"/>
          <w:szCs w:val="20"/>
          <w:color w:val="auto"/>
        </w:rPr>
      </w:pPr>
      <w:r>
        <w:rPr>
          <w:rFonts w:ascii="Courier New" w:cs="Courier New" w:eastAsia="Courier New" w:hAnsi="Courier New"/>
          <w:sz w:val="15"/>
          <w:szCs w:val="15"/>
          <w:color w:val="auto"/>
        </w:rPr>
        <w:t>We will not receive any of the proceeds from the sale of the ordinary shares by the selling shareholders.</w:t>
      </w:r>
    </w:p>
    <w:p>
      <w:pPr>
        <w:spacing w:after="0" w:line="1"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5"/>
          </w:cols>
          <w:pgMar w:left="234" w:top="266" w:right="1440" w:bottom="1440" w:gutter="0" w:footer="0" w:header="0"/>
        </w:sectPr>
      </w:pPr>
    </w:p>
    <w:bookmarkStart w:id="16" w:name="page17"/>
    <w:bookmarkEnd w:id="16"/>
    <w:p>
      <w:pPr>
        <w:ind w:left="266"/>
        <w:spacing w:after="0"/>
        <w:rPr>
          <w:sz w:val="20"/>
          <w:szCs w:val="20"/>
          <w:color w:val="auto"/>
        </w:rPr>
      </w:pPr>
      <w:r>
        <w:rPr>
          <w:rFonts w:ascii="Courier New" w:cs="Courier New" w:eastAsia="Courier New" w:hAnsi="Courier New"/>
          <w:sz w:val="15"/>
          <w:szCs w:val="15"/>
          <w:color w:val="auto"/>
        </w:rPr>
        <w:t>16</w:t>
      </w:r>
    </w:p>
    <w:p>
      <w:pPr>
        <w:spacing w:after="0" w:line="182" w:lineRule="exact"/>
        <w:rPr>
          <w:sz w:val="20"/>
          <w:szCs w:val="20"/>
          <w:color w:val="auto"/>
        </w:rPr>
      </w:pPr>
    </w:p>
    <w:p>
      <w:pPr>
        <w:ind w:left="3026"/>
        <w:spacing w:after="0"/>
        <w:rPr>
          <w:sz w:val="20"/>
          <w:szCs w:val="20"/>
          <w:color w:val="auto"/>
        </w:rPr>
      </w:pPr>
      <w:r>
        <w:rPr>
          <w:rFonts w:ascii="Courier New" w:cs="Courier New" w:eastAsia="Courier New" w:hAnsi="Courier New"/>
          <w:sz w:val="15"/>
          <w:szCs w:val="15"/>
          <w:color w:val="auto"/>
        </w:rPr>
        <w:t>CAPITALIZATION</w:t>
      </w:r>
    </w:p>
    <w:p>
      <w:pPr>
        <w:spacing w:after="0" w:line="182" w:lineRule="exact"/>
        <w:rPr>
          <w:sz w:val="20"/>
          <w:szCs w:val="20"/>
          <w:color w:val="auto"/>
        </w:rPr>
      </w:pPr>
    </w:p>
    <w:p>
      <w:pPr>
        <w:ind w:left="6" w:right="2899" w:firstLine="458"/>
        <w:spacing w:after="0" w:line="372" w:lineRule="auto"/>
        <w:rPr>
          <w:sz w:val="20"/>
          <w:szCs w:val="20"/>
          <w:color w:val="auto"/>
        </w:rPr>
      </w:pPr>
      <w:r>
        <w:rPr>
          <w:rFonts w:ascii="Courier New" w:cs="Courier New" w:eastAsia="Courier New" w:hAnsi="Courier New"/>
          <w:sz w:val="15"/>
          <w:szCs w:val="15"/>
          <w:color w:val="auto"/>
        </w:rPr>
        <w:t>The following table sets forth the unaudited consolidated capitalization of Amdocs as of December 31, 2000.</w:t>
      </w:r>
    </w:p>
    <w:p>
      <w:pPr>
        <w:spacing w:after="0" w:line="354"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5580" w:type="dxa"/>
            <w:vAlign w:val="bottom"/>
          </w:tcPr>
          <w:p>
            <w:pPr>
              <w:spacing w:after="0"/>
              <w:rPr>
                <w:sz w:val="15"/>
                <w:szCs w:val="15"/>
                <w:color w:val="auto"/>
              </w:rPr>
            </w:pPr>
          </w:p>
        </w:tc>
        <w:tc>
          <w:tcPr>
            <w:tcW w:w="1660" w:type="dxa"/>
            <w:vAlign w:val="bottom"/>
            <w:gridSpan w:val="2"/>
          </w:tcPr>
          <w:p>
            <w:pPr>
              <w:jc w:val="center"/>
              <w:ind w:left="24"/>
              <w:spacing w:after="0"/>
              <w:rPr>
                <w:sz w:val="20"/>
                <w:szCs w:val="20"/>
                <w:color w:val="auto"/>
              </w:rPr>
            </w:pPr>
            <w:r>
              <w:rPr>
                <w:rFonts w:ascii="Courier New" w:cs="Courier New" w:eastAsia="Courier New" w:hAnsi="Courier New"/>
                <w:sz w:val="15"/>
                <w:szCs w:val="15"/>
                <w:color w:val="auto"/>
              </w:rPr>
              <w:t>DECEMBER 31, 2000</w:t>
            </w:r>
          </w:p>
        </w:tc>
        <w:tc>
          <w:tcPr>
            <w:tcW w:w="0" w:type="dxa"/>
            <w:vAlign w:val="bottom"/>
          </w:tcPr>
          <w:p>
            <w:pPr>
              <w:spacing w:after="0"/>
              <w:rPr>
                <w:sz w:val="1"/>
                <w:szCs w:val="1"/>
                <w:color w:val="auto"/>
              </w:rPr>
            </w:pPr>
          </w:p>
        </w:tc>
      </w:tr>
      <w:tr>
        <w:trPr>
          <w:trHeight w:val="176"/>
        </w:trPr>
        <w:tc>
          <w:tcPr>
            <w:tcW w:w="5580" w:type="dxa"/>
            <w:vAlign w:val="bottom"/>
          </w:tcPr>
          <w:p>
            <w:pPr>
              <w:spacing w:after="0"/>
              <w:rPr>
                <w:sz w:val="15"/>
                <w:szCs w:val="15"/>
                <w:color w:val="auto"/>
              </w:rPr>
            </w:pPr>
          </w:p>
        </w:tc>
        <w:tc>
          <w:tcPr>
            <w:tcW w:w="1660" w:type="dxa"/>
            <w:vAlign w:val="bottom"/>
            <w:gridSpan w:val="2"/>
          </w:tcPr>
          <w:p>
            <w:pPr>
              <w:jc w:val="center"/>
              <w:ind w:lef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580" w:type="dxa"/>
            <w:vAlign w:val="bottom"/>
          </w:tcPr>
          <w:p>
            <w:pPr>
              <w:spacing w:after="0"/>
              <w:rPr>
                <w:sz w:val="15"/>
                <w:szCs w:val="15"/>
                <w:color w:val="auto"/>
              </w:rPr>
            </w:pPr>
          </w:p>
        </w:tc>
        <w:tc>
          <w:tcPr>
            <w:tcW w:w="16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176"/>
        </w:trPr>
        <w:tc>
          <w:tcPr>
            <w:tcW w:w="5580" w:type="dxa"/>
            <w:vAlign w:val="bottom"/>
          </w:tcPr>
          <w:p>
            <w:pPr>
              <w:spacing w:after="0"/>
              <w:rPr>
                <w:sz w:val="15"/>
                <w:szCs w:val="15"/>
                <w:color w:val="auto"/>
              </w:rPr>
            </w:pPr>
          </w:p>
        </w:tc>
        <w:tc>
          <w:tcPr>
            <w:tcW w:w="16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EXCEPT SHARE</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0" w:type="dxa"/>
            <w:vAlign w:val="bottom"/>
          </w:tcPr>
          <w:p>
            <w:pPr>
              <w:jc w:val="center"/>
              <w:ind w:right="304"/>
              <w:spacing w:after="0"/>
              <w:rPr>
                <w:sz w:val="20"/>
                <w:szCs w:val="20"/>
                <w:color w:val="auto"/>
              </w:rPr>
            </w:pPr>
            <w:r>
              <w:rPr>
                <w:rFonts w:ascii="Courier New" w:cs="Courier New" w:eastAsia="Courier New" w:hAnsi="Courier New"/>
                <w:sz w:val="15"/>
                <w:szCs w:val="15"/>
                <w:color w:val="auto"/>
              </w:rPr>
              <w:t>DATA)</w:t>
            </w:r>
          </w:p>
        </w:tc>
        <w:tc>
          <w:tcPr>
            <w:tcW w:w="0" w:type="dxa"/>
            <w:vAlign w:val="bottom"/>
          </w:tcPr>
          <w:p>
            <w:pPr>
              <w:spacing w:after="0"/>
              <w:rPr>
                <w:sz w:val="1"/>
                <w:szCs w:val="1"/>
                <w:color w:val="auto"/>
              </w:rPr>
            </w:pPr>
          </w:p>
        </w:tc>
      </w:tr>
      <w:tr>
        <w:trPr>
          <w:trHeight w:val="271"/>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Current portion of capital lease obligations................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9,355</w:t>
            </w:r>
          </w:p>
        </w:tc>
        <w:tc>
          <w:tcPr>
            <w:tcW w:w="0" w:type="dxa"/>
            <w:vAlign w:val="bottom"/>
          </w:tcPr>
          <w:p>
            <w:pPr>
              <w:spacing w:after="0"/>
              <w:rPr>
                <w:sz w:val="1"/>
                <w:szCs w:val="1"/>
                <w:color w:val="auto"/>
              </w:rPr>
            </w:pPr>
          </w:p>
        </w:tc>
      </w:tr>
      <w:tr>
        <w:trPr>
          <w:trHeight w:val="176"/>
        </w:trPr>
        <w:tc>
          <w:tcPr>
            <w:tcW w:w="55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Capital lease obligations, less current portion.............</w:t>
            </w:r>
          </w:p>
        </w:tc>
        <w:tc>
          <w:tcPr>
            <w:tcW w:w="16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580" w:type="dxa"/>
            <w:vAlign w:val="bottom"/>
            <w:vMerge w:val="continue"/>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25,941</w:t>
            </w:r>
          </w:p>
        </w:tc>
        <w:tc>
          <w:tcPr>
            <w:tcW w:w="0" w:type="dxa"/>
            <w:vAlign w:val="bottom"/>
          </w:tcPr>
          <w:p>
            <w:pPr>
              <w:spacing w:after="0"/>
              <w:rPr>
                <w:sz w:val="1"/>
                <w:szCs w:val="1"/>
                <w:color w:val="auto"/>
              </w:rPr>
            </w:pPr>
          </w:p>
        </w:tc>
      </w:tr>
      <w:tr>
        <w:trPr>
          <w:trHeight w:val="176"/>
        </w:trPr>
        <w:tc>
          <w:tcPr>
            <w:tcW w:w="55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Total capital lease obligations........................</w:t>
            </w:r>
          </w:p>
        </w:tc>
        <w:tc>
          <w:tcPr>
            <w:tcW w:w="16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5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35,296</w:t>
            </w:r>
          </w:p>
        </w:tc>
        <w:tc>
          <w:tcPr>
            <w:tcW w:w="0" w:type="dxa"/>
            <w:vAlign w:val="bottom"/>
          </w:tcPr>
          <w:p>
            <w:pPr>
              <w:spacing w:after="0"/>
              <w:rPr>
                <w:sz w:val="1"/>
                <w:szCs w:val="1"/>
                <w:color w:val="auto"/>
              </w:rPr>
            </w:pPr>
          </w:p>
        </w:tc>
      </w:tr>
      <w:tr>
        <w:trPr>
          <w:trHeight w:val="176"/>
        </w:trPr>
        <w:tc>
          <w:tcPr>
            <w:tcW w:w="5580" w:type="dxa"/>
            <w:vAlign w:val="bottom"/>
          </w:tcPr>
          <w:p>
            <w:pPr>
              <w:jc w:val="right"/>
              <w:ind w:right="3584"/>
              <w:spacing w:after="0"/>
              <w:rPr>
                <w:sz w:val="20"/>
                <w:szCs w:val="20"/>
                <w:color w:val="auto"/>
              </w:rPr>
            </w:pPr>
            <w:r>
              <w:rPr>
                <w:rFonts w:ascii="Courier New" w:cs="Courier New" w:eastAsia="Courier New" w:hAnsi="Courier New"/>
                <w:sz w:val="15"/>
                <w:szCs w:val="15"/>
                <w:color w:val="auto"/>
              </w:rPr>
              <w:t>Shareholders' equity:</w:t>
            </w: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Preferred Shares, par value L0.01 per share; 25,000,000</w:t>
            </w:r>
          </w:p>
        </w:tc>
        <w:tc>
          <w:tcPr>
            <w:tcW w:w="460" w:type="dxa"/>
            <w:vAlign w:val="bottom"/>
          </w:tcPr>
          <w:p>
            <w:pPr>
              <w:spacing w:after="0"/>
              <w:rPr>
                <w:sz w:val="15"/>
                <w:szCs w:val="15"/>
                <w:color w:val="auto"/>
              </w:rPr>
            </w:pPr>
          </w:p>
        </w:tc>
        <w:tc>
          <w:tcPr>
            <w:tcW w:w="120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shares authorized; no shares issued and outstanding...</w:t>
            </w:r>
          </w:p>
        </w:tc>
        <w:tc>
          <w:tcPr>
            <w:tcW w:w="4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Ordinary Shares, par value L0.01 per share; 550,000,000</w:t>
            </w: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shares authorized; 221,318,000 shares issued and</w:t>
            </w:r>
          </w:p>
        </w:tc>
        <w:tc>
          <w:tcPr>
            <w:tcW w:w="460" w:type="dxa"/>
            <w:vAlign w:val="bottom"/>
          </w:tcPr>
          <w:p>
            <w:pPr>
              <w:spacing w:after="0"/>
              <w:rPr>
                <w:sz w:val="15"/>
                <w:szCs w:val="15"/>
                <w:color w:val="auto"/>
              </w:rPr>
            </w:pPr>
          </w:p>
        </w:tc>
        <w:tc>
          <w:tcPr>
            <w:tcW w:w="120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3,542</w:t>
            </w:r>
          </w:p>
        </w:tc>
        <w:tc>
          <w:tcPr>
            <w:tcW w:w="0" w:type="dxa"/>
            <w:vAlign w:val="bottom"/>
          </w:tcPr>
          <w:p>
            <w:pPr>
              <w:spacing w:after="0"/>
              <w:rPr>
                <w:sz w:val="1"/>
                <w:szCs w:val="1"/>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outstanding on an actual basis(1)(2)..................</w:t>
            </w:r>
          </w:p>
        </w:tc>
        <w:tc>
          <w:tcPr>
            <w:tcW w:w="4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Additional paid-in capital.............................</w:t>
            </w:r>
          </w:p>
        </w:tc>
        <w:tc>
          <w:tcPr>
            <w:tcW w:w="460" w:type="dxa"/>
            <w:vAlign w:val="bottom"/>
          </w:tcPr>
          <w:p>
            <w:pPr>
              <w:spacing w:after="0"/>
              <w:rPr>
                <w:sz w:val="15"/>
                <w:szCs w:val="15"/>
                <w:color w:val="auto"/>
              </w:rPr>
            </w:pP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8"/>
              </w:rPr>
              <w:t>1,786,492</w:t>
            </w:r>
          </w:p>
        </w:tc>
        <w:tc>
          <w:tcPr>
            <w:tcW w:w="0" w:type="dxa"/>
            <w:vAlign w:val="bottom"/>
          </w:tcPr>
          <w:p>
            <w:pPr>
              <w:spacing w:after="0"/>
              <w:rPr>
                <w:sz w:val="1"/>
                <w:szCs w:val="1"/>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Accumulated other comprehensive income.................</w:t>
            </w:r>
          </w:p>
        </w:tc>
        <w:tc>
          <w:tcPr>
            <w:tcW w:w="460" w:type="dxa"/>
            <w:vAlign w:val="bottom"/>
          </w:tcPr>
          <w:p>
            <w:pPr>
              <w:spacing w:after="0"/>
              <w:rPr>
                <w:sz w:val="15"/>
                <w:szCs w:val="15"/>
                <w:color w:val="auto"/>
              </w:rPr>
            </w:pP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1,360</w:t>
            </w:r>
          </w:p>
        </w:tc>
        <w:tc>
          <w:tcPr>
            <w:tcW w:w="0" w:type="dxa"/>
            <w:vAlign w:val="bottom"/>
          </w:tcPr>
          <w:p>
            <w:pPr>
              <w:spacing w:after="0"/>
              <w:rPr>
                <w:sz w:val="1"/>
                <w:szCs w:val="1"/>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Unearned compensation..................................</w:t>
            </w:r>
          </w:p>
        </w:tc>
        <w:tc>
          <w:tcPr>
            <w:tcW w:w="46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(740)</w:t>
            </w:r>
          </w:p>
        </w:tc>
        <w:tc>
          <w:tcPr>
            <w:tcW w:w="0" w:type="dxa"/>
            <w:vAlign w:val="bottom"/>
          </w:tcPr>
          <w:p>
            <w:pPr>
              <w:spacing w:after="0"/>
              <w:rPr>
                <w:sz w:val="1"/>
                <w:szCs w:val="1"/>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Accumulated deficit....................................</w:t>
            </w:r>
          </w:p>
        </w:tc>
        <w:tc>
          <w:tcPr>
            <w:tcW w:w="46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(345,002)</w:t>
            </w:r>
          </w:p>
        </w:tc>
        <w:tc>
          <w:tcPr>
            <w:tcW w:w="0" w:type="dxa"/>
            <w:vAlign w:val="bottom"/>
          </w:tcPr>
          <w:p>
            <w:pPr>
              <w:spacing w:after="0"/>
              <w:rPr>
                <w:sz w:val="1"/>
                <w:szCs w:val="1"/>
                <w:color w:val="auto"/>
              </w:rPr>
            </w:pPr>
          </w:p>
        </w:tc>
      </w:tr>
      <w:tr>
        <w:trPr>
          <w:trHeight w:val="176"/>
        </w:trPr>
        <w:tc>
          <w:tcPr>
            <w:tcW w:w="55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Total shareholders' equity........................</w:t>
            </w:r>
          </w:p>
        </w:tc>
        <w:tc>
          <w:tcPr>
            <w:tcW w:w="16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5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8"/>
              </w:rPr>
              <w:t>1,445,652</w:t>
            </w:r>
          </w:p>
        </w:tc>
        <w:tc>
          <w:tcPr>
            <w:tcW w:w="0" w:type="dxa"/>
            <w:vAlign w:val="bottom"/>
          </w:tcPr>
          <w:p>
            <w:pPr>
              <w:spacing w:after="0"/>
              <w:rPr>
                <w:sz w:val="1"/>
                <w:szCs w:val="1"/>
                <w:color w:val="auto"/>
              </w:rPr>
            </w:pPr>
          </w:p>
        </w:tc>
      </w:tr>
      <w:tr>
        <w:trPr>
          <w:trHeight w:val="176"/>
        </w:trPr>
        <w:tc>
          <w:tcPr>
            <w:tcW w:w="55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Total capitalization..............................</w:t>
            </w:r>
          </w:p>
        </w:tc>
        <w:tc>
          <w:tcPr>
            <w:tcW w:w="16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580" w:type="dxa"/>
            <w:vAlign w:val="bottom"/>
            <w:vMerge w:val="continue"/>
          </w:tcPr>
          <w:p>
            <w:pPr>
              <w:spacing w:after="0"/>
              <w:rPr>
                <w:sz w:val="15"/>
                <w:szCs w:val="15"/>
                <w:color w:val="auto"/>
              </w:rPr>
            </w:pPr>
          </w:p>
        </w:tc>
        <w:tc>
          <w:tcPr>
            <w:tcW w:w="16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$1,480,948</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2"/>
                <w:szCs w:val="22"/>
                <w:color w:val="auto"/>
              </w:rPr>
            </w:pPr>
          </w:p>
        </w:tc>
        <w:tc>
          <w:tcPr>
            <w:tcW w:w="16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66" w:right="3079" w:hanging="366"/>
        <w:spacing w:after="0" w:line="372" w:lineRule="auto"/>
        <w:tabs>
          <w:tab w:leader="none" w:pos="36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11,017,164 Ordinary Shares reserved for issuance upon the exercise of stock options that have been granted to employees.</w:t>
      </w:r>
    </w:p>
    <w:p>
      <w:pPr>
        <w:spacing w:after="0" w:line="1" w:lineRule="exact"/>
        <w:rPr>
          <w:rFonts w:ascii="Courier New" w:cs="Courier New" w:eastAsia="Courier New" w:hAnsi="Courier New"/>
          <w:sz w:val="15"/>
          <w:szCs w:val="15"/>
          <w:color w:val="auto"/>
        </w:rPr>
      </w:pPr>
    </w:p>
    <w:p>
      <w:pPr>
        <w:ind w:left="366" w:right="3179" w:hanging="366"/>
        <w:spacing w:after="0" w:line="372" w:lineRule="auto"/>
        <w:tabs>
          <w:tab w:leader="none" w:pos="36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Non-Voting Ordinary Shares comprise 50,000,000 of the authorized Ordinary Shares and 22,606,189 of the issued and outstanding Ordinary Shares.</w:t>
      </w:r>
    </w:p>
    <w:p>
      <w:pPr>
        <w:spacing w:after="0" w:line="2"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5"/>
          </w:cols>
          <w:pgMar w:left="234" w:top="266"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THE OFFER AND LISTING</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INFORMATION</w:t>
      </w:r>
    </w:p>
    <w:p>
      <w:pPr>
        <w:spacing w:after="0" w:line="359" w:lineRule="exact"/>
        <w:rPr>
          <w:sz w:val="20"/>
          <w:szCs w:val="20"/>
          <w:color w:val="auto"/>
        </w:rPr>
      </w:pPr>
    </w:p>
    <w:p>
      <w:pPr>
        <w:ind w:right="2899" w:firstLine="458"/>
        <w:spacing w:after="0" w:line="279" w:lineRule="auto"/>
        <w:rPr>
          <w:sz w:val="20"/>
          <w:szCs w:val="20"/>
          <w:color w:val="auto"/>
        </w:rPr>
      </w:pPr>
      <w:r>
        <w:rPr>
          <w:rFonts w:ascii="Courier New" w:cs="Courier New" w:eastAsia="Courier New" w:hAnsi="Courier New"/>
          <w:sz w:val="15"/>
          <w:szCs w:val="15"/>
          <w:color w:val="auto"/>
        </w:rPr>
        <w:t>Our ordinary shares have been listed on the NYSE since June 19, 1998, under the symbol "DOX". The annual high and low reported sale prices for the ordinary shares were $96.00 and $19.81, respectively, for fiscal 2000 and were $30.25 and $8.75, respectively, for fiscal 1999. Through March 30, 2001, the high and low reported sale prices for the ordinary shares were as follows: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rPr>
              <w:t>HIGH</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LOW</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580" w:type="dxa"/>
            <w:vAlign w:val="bottom"/>
          </w:tcPr>
          <w:p>
            <w:pPr>
              <w:spacing w:after="0"/>
              <w:rPr>
                <w:sz w:val="20"/>
                <w:szCs w:val="20"/>
                <w:color w:val="auto"/>
              </w:rPr>
            </w:pPr>
            <w:r>
              <w:rPr>
                <w:rFonts w:ascii="Courier New" w:cs="Courier New" w:eastAsia="Courier New" w:hAnsi="Courier New"/>
                <w:sz w:val="15"/>
                <w:szCs w:val="15"/>
                <w:color w:val="auto"/>
              </w:rPr>
              <w:t>Fiscal Year ending September 30, 1999:</w:t>
            </w:r>
          </w:p>
        </w:tc>
        <w:tc>
          <w:tcPr>
            <w:tcW w:w="7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$17.50</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$ 8.75</w:t>
            </w:r>
          </w:p>
        </w:tc>
        <w:tc>
          <w:tcPr>
            <w:tcW w:w="0" w:type="dxa"/>
            <w:vAlign w:val="bottom"/>
          </w:tcPr>
          <w:p>
            <w:pPr>
              <w:spacing w:after="0"/>
              <w:rPr>
                <w:sz w:val="1"/>
                <w:szCs w:val="1"/>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7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$26.38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$13.50</w:t>
            </w:r>
          </w:p>
        </w:tc>
        <w:tc>
          <w:tcPr>
            <w:tcW w:w="0" w:type="dxa"/>
            <w:vAlign w:val="bottom"/>
          </w:tcPr>
          <w:p>
            <w:pPr>
              <w:spacing w:after="0"/>
              <w:rPr>
                <w:sz w:val="1"/>
                <w:szCs w:val="1"/>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$29.69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$18.38</w:t>
            </w:r>
          </w:p>
        </w:tc>
        <w:tc>
          <w:tcPr>
            <w:tcW w:w="0" w:type="dxa"/>
            <w:vAlign w:val="bottom"/>
          </w:tcPr>
          <w:p>
            <w:pPr>
              <w:spacing w:after="0"/>
              <w:rPr>
                <w:sz w:val="1"/>
                <w:szCs w:val="1"/>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$30.25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Fiscal Year ending September 30, 2000:</w:t>
            </w:r>
          </w:p>
        </w:tc>
        <w:tc>
          <w:tcPr>
            <w:tcW w:w="7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$37.94</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$19.81</w:t>
            </w:r>
          </w:p>
        </w:tc>
        <w:tc>
          <w:tcPr>
            <w:tcW w:w="0" w:type="dxa"/>
            <w:vAlign w:val="bottom"/>
          </w:tcPr>
          <w:p>
            <w:pPr>
              <w:spacing w:after="0"/>
              <w:rPr>
                <w:sz w:val="1"/>
                <w:szCs w:val="1"/>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7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$96.00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$32.44</w:t>
            </w:r>
          </w:p>
        </w:tc>
        <w:tc>
          <w:tcPr>
            <w:tcW w:w="0" w:type="dxa"/>
            <w:vAlign w:val="bottom"/>
          </w:tcPr>
          <w:p>
            <w:pPr>
              <w:spacing w:after="0"/>
              <w:rPr>
                <w:sz w:val="1"/>
                <w:szCs w:val="1"/>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$88.75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$49.00</w:t>
            </w:r>
          </w:p>
        </w:tc>
        <w:tc>
          <w:tcPr>
            <w:tcW w:w="0" w:type="dxa"/>
            <w:vAlign w:val="bottom"/>
          </w:tcPr>
          <w:p>
            <w:pPr>
              <w:spacing w:after="0"/>
              <w:rPr>
                <w:sz w:val="1"/>
                <w:szCs w:val="1"/>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$88.75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$59.38</w:t>
            </w:r>
          </w:p>
        </w:tc>
        <w:tc>
          <w:tcPr>
            <w:tcW w:w="0" w:type="dxa"/>
            <w:vAlign w:val="bottom"/>
          </w:tcPr>
          <w:p>
            <w:pPr>
              <w:spacing w:after="0"/>
              <w:rPr>
                <w:sz w:val="1"/>
                <w:szCs w:val="1"/>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Fiscal Year ending September 30, 2001:</w:t>
            </w:r>
          </w:p>
        </w:tc>
        <w:tc>
          <w:tcPr>
            <w:tcW w:w="7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$73.50</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$51.63</w:t>
            </w:r>
          </w:p>
        </w:tc>
        <w:tc>
          <w:tcPr>
            <w:tcW w:w="0" w:type="dxa"/>
            <w:vAlign w:val="bottom"/>
          </w:tcPr>
          <w:p>
            <w:pPr>
              <w:spacing w:after="0"/>
              <w:rPr>
                <w:sz w:val="1"/>
                <w:szCs w:val="1"/>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7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$80.50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$43.50</w:t>
            </w:r>
          </w:p>
        </w:tc>
        <w:tc>
          <w:tcPr>
            <w:tcW w:w="0" w:type="dxa"/>
            <w:vAlign w:val="bottom"/>
          </w:tcPr>
          <w:p>
            <w:pPr>
              <w:spacing w:after="0"/>
              <w:rPr>
                <w:sz w:val="1"/>
                <w:szCs w:val="1"/>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Most recent six months:</w:t>
            </w:r>
          </w:p>
        </w:tc>
        <w:tc>
          <w:tcPr>
            <w:tcW w:w="7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$67.38</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$53.88</w:t>
            </w:r>
          </w:p>
        </w:tc>
        <w:tc>
          <w:tcPr>
            <w:tcW w:w="0" w:type="dxa"/>
            <w:vAlign w:val="bottom"/>
          </w:tcPr>
          <w:p>
            <w:pPr>
              <w:spacing w:after="0"/>
              <w:rPr>
                <w:sz w:val="1"/>
                <w:szCs w:val="1"/>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October, 2000.............................................</w:t>
            </w:r>
          </w:p>
        </w:tc>
        <w:tc>
          <w:tcPr>
            <w:tcW w:w="7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November, 2000............................................</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$73.50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$51.63</w:t>
            </w:r>
          </w:p>
        </w:tc>
        <w:tc>
          <w:tcPr>
            <w:tcW w:w="0" w:type="dxa"/>
            <w:vAlign w:val="bottom"/>
          </w:tcPr>
          <w:p>
            <w:pPr>
              <w:spacing w:after="0"/>
              <w:rPr>
                <w:sz w:val="1"/>
                <w:szCs w:val="1"/>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December, 2000............................................</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$69.75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$52.63</w:t>
            </w:r>
          </w:p>
        </w:tc>
        <w:tc>
          <w:tcPr>
            <w:tcW w:w="0" w:type="dxa"/>
            <w:vAlign w:val="bottom"/>
          </w:tcPr>
          <w:p>
            <w:pPr>
              <w:spacing w:after="0"/>
              <w:rPr>
                <w:sz w:val="1"/>
                <w:szCs w:val="1"/>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January, 2001.............................................</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$80.50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$59.00</w:t>
            </w:r>
          </w:p>
        </w:tc>
        <w:tc>
          <w:tcPr>
            <w:tcW w:w="0" w:type="dxa"/>
            <w:vAlign w:val="bottom"/>
          </w:tcPr>
          <w:p>
            <w:pPr>
              <w:spacing w:after="0"/>
              <w:rPr>
                <w:sz w:val="1"/>
                <w:szCs w:val="1"/>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February, 2001............................................</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$79.32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$61.38</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March, 2001...............................................</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$69.35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$43.50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OF THE ISSUE</w:t>
      </w:r>
    </w:p>
    <w:p>
      <w:pPr>
        <w:spacing w:after="0" w:line="182" w:lineRule="exact"/>
        <w:rPr>
          <w:sz w:val="20"/>
          <w:szCs w:val="20"/>
          <w:color w:val="auto"/>
        </w:rPr>
      </w:pPr>
    </w:p>
    <w:p>
      <w:pPr>
        <w:jc w:val="both"/>
        <w:ind w:right="3079" w:firstLine="458"/>
        <w:spacing w:after="0" w:line="289" w:lineRule="auto"/>
        <w:rPr>
          <w:sz w:val="20"/>
          <w:szCs w:val="20"/>
          <w:color w:val="auto"/>
        </w:rPr>
      </w:pPr>
      <w:r>
        <w:rPr>
          <w:rFonts w:ascii="Courier New" w:cs="Courier New" w:eastAsia="Courier New" w:hAnsi="Courier New"/>
          <w:sz w:val="15"/>
          <w:szCs w:val="15"/>
          <w:color w:val="auto"/>
        </w:rPr>
        <w:t>We will pay all costs and expenses incurred by us in connection with the registration of the sale of shares pursuant to this prospectus. We will not be responsible for any commissions, underwriting discounts or similar charges on sales of the shares.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Securities and Exchange Commission registration fee.........</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$ 63,009</w:t>
            </w:r>
          </w:p>
        </w:tc>
        <w:tc>
          <w:tcPr>
            <w:tcW w:w="0" w:type="dxa"/>
            <w:vAlign w:val="bottom"/>
          </w:tcPr>
          <w:p>
            <w:pPr>
              <w:spacing w:after="0"/>
              <w:rPr>
                <w:sz w:val="1"/>
                <w:szCs w:val="1"/>
                <w:color w:val="auto"/>
              </w:rPr>
            </w:pP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Legal fees and expenses.....................................</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$ 25,000</w:t>
            </w:r>
          </w:p>
        </w:tc>
        <w:tc>
          <w:tcPr>
            <w:tcW w:w="0" w:type="dxa"/>
            <w:vAlign w:val="bottom"/>
          </w:tcPr>
          <w:p>
            <w:pPr>
              <w:spacing w:after="0"/>
              <w:rPr>
                <w:sz w:val="1"/>
                <w:szCs w:val="1"/>
                <w:color w:val="auto"/>
              </w:rPr>
            </w:pP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Registrar and Transfer Agent fees and expenses..............</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c>
          <w:tcPr>
            <w:tcW w:w="0" w:type="dxa"/>
            <w:vAlign w:val="bottom"/>
          </w:tcPr>
          <w:p>
            <w:pPr>
              <w:spacing w:after="0"/>
              <w:rPr>
                <w:sz w:val="1"/>
                <w:szCs w:val="1"/>
                <w:color w:val="auto"/>
              </w:rPr>
            </w:pP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Accounting fees and expenses................................</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$ 20,000</w:t>
            </w:r>
          </w:p>
        </w:tc>
        <w:tc>
          <w:tcPr>
            <w:tcW w:w="0" w:type="dxa"/>
            <w:vAlign w:val="bottom"/>
          </w:tcPr>
          <w:p>
            <w:pPr>
              <w:spacing w:after="0"/>
              <w:rPr>
                <w:sz w:val="1"/>
                <w:szCs w:val="1"/>
                <w:color w:val="auto"/>
              </w:rPr>
            </w:pP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Printing, EDGAR formatting and mailing expenses.............</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8,100</w:t>
            </w:r>
          </w:p>
        </w:tc>
        <w:tc>
          <w:tcPr>
            <w:tcW w:w="0" w:type="dxa"/>
            <w:vAlign w:val="bottom"/>
          </w:tcPr>
          <w:p>
            <w:pPr>
              <w:spacing w:after="0"/>
              <w:rPr>
                <w:sz w:val="1"/>
                <w:szCs w:val="1"/>
                <w:color w:val="auto"/>
              </w:rPr>
            </w:pP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Miscellaneous...............................................</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5,391</w:t>
            </w:r>
          </w:p>
        </w:tc>
        <w:tc>
          <w:tcPr>
            <w:tcW w:w="0" w:type="dxa"/>
            <w:vAlign w:val="bottom"/>
          </w:tcPr>
          <w:p>
            <w:pPr>
              <w:spacing w:after="0"/>
              <w:rPr>
                <w:sz w:val="1"/>
                <w:szCs w:val="1"/>
                <w:color w:val="auto"/>
              </w:rPr>
            </w:pPr>
          </w:p>
        </w:tc>
      </w:tr>
      <w:tr>
        <w:trPr>
          <w:trHeight w:val="176"/>
        </w:trPr>
        <w:tc>
          <w:tcPr>
            <w:tcW w:w="56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Total.............................................</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680" w:type="dxa"/>
            <w:vAlign w:val="bottom"/>
            <w:vMerge w:val="continue"/>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$125,000</w:t>
            </w:r>
          </w:p>
        </w:tc>
        <w:tc>
          <w:tcPr>
            <w:tcW w:w="0" w:type="dxa"/>
            <w:vAlign w:val="bottom"/>
          </w:tcPr>
          <w:p>
            <w:pPr>
              <w:spacing w:after="0"/>
              <w:rPr>
                <w:sz w:val="1"/>
                <w:szCs w:val="1"/>
                <w:color w:val="auto"/>
              </w:rPr>
            </w:pPr>
          </w:p>
        </w:tc>
      </w:tr>
      <w:tr>
        <w:trPr>
          <w:trHeight w:val="257"/>
        </w:trPr>
        <w:tc>
          <w:tcPr>
            <w:tcW w:w="56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9"/>
        </w:trPr>
        <w:tc>
          <w:tcPr>
            <w:tcW w:w="5680" w:type="dxa"/>
            <w:vAlign w:val="bottom"/>
          </w:tcPr>
          <w:p>
            <w:pPr>
              <w:jc w:val="right"/>
              <w:ind w:right="1764"/>
              <w:spacing w:after="0"/>
              <w:rPr>
                <w:sz w:val="20"/>
                <w:szCs w:val="20"/>
                <w:color w:val="auto"/>
              </w:rPr>
            </w:pPr>
            <w:r>
              <w:rPr>
                <w:rFonts w:ascii="Courier New" w:cs="Courier New" w:eastAsia="Courier New" w:hAnsi="Courier New"/>
                <w:sz w:val="15"/>
                <w:szCs w:val="15"/>
                <w:color w:val="auto"/>
              </w:rPr>
              <w:t>17</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6"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18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spacing w:after="0" w:line="182" w:lineRule="exact"/>
        <w:rPr>
          <w:sz w:val="20"/>
          <w:szCs w:val="20"/>
          <w:color w:val="auto"/>
        </w:rPr>
      </w:pPr>
    </w:p>
    <w:p>
      <w:pPr>
        <w:ind w:right="2899" w:firstLine="458"/>
        <w:spacing w:after="0" w:line="269" w:lineRule="auto"/>
        <w:rPr>
          <w:sz w:val="20"/>
          <w:szCs w:val="20"/>
          <w:color w:val="auto"/>
        </w:rPr>
      </w:pPr>
      <w:r>
        <w:rPr>
          <w:rFonts w:ascii="Courier New" w:cs="Courier New" w:eastAsia="Courier New" w:hAnsi="Courier New"/>
          <w:sz w:val="15"/>
          <w:szCs w:val="15"/>
          <w:color w:val="auto"/>
        </w:rPr>
        <w:t>The unaudited pro forma condensed combined statements of operations of Amdocs, ITDS and Solect presented below are derived from the historical consolidated financial statements of each of Amdocs, ITDS and Solect. On November 30, 1999 Amdocs acquired ITDS and on April 5, 2000 Amdocs acquired Solect. The unaudited pro forma condensed combined statements of operations were prepared using the purchase method of accounting, as if the transactions had been completed as of October 1, 1999.</w:t>
      </w:r>
    </w:p>
    <w:p>
      <w:pPr>
        <w:spacing w:after="0" w:line="76" w:lineRule="exact"/>
        <w:rPr>
          <w:sz w:val="20"/>
          <w:szCs w:val="20"/>
          <w:color w:val="auto"/>
        </w:rPr>
      </w:pPr>
    </w:p>
    <w:p>
      <w:pPr>
        <w:ind w:right="3079" w:firstLine="458"/>
        <w:spacing w:after="0" w:line="273" w:lineRule="auto"/>
        <w:rPr>
          <w:sz w:val="20"/>
          <w:szCs w:val="20"/>
          <w:color w:val="auto"/>
        </w:rPr>
      </w:pPr>
      <w:r>
        <w:rPr>
          <w:rFonts w:ascii="Courier New" w:cs="Courier New" w:eastAsia="Courier New" w:hAnsi="Courier New"/>
          <w:sz w:val="15"/>
          <w:szCs w:val="15"/>
          <w:color w:val="auto"/>
        </w:rPr>
        <w:t>The unaudited pro forma condensed combined statements of operations are based upon the historical financial statements of Amdocs, ITDS and Solect adjusted to give effect to the business combination. The pro forma assumptions and adjustments for each transaction are described in the accompanying notes presented on the following pages. The assumptions and related pro forma adjustments have been developed from:</w:t>
      </w:r>
    </w:p>
    <w:p>
      <w:pPr>
        <w:spacing w:after="0" w:line="74" w:lineRule="exact"/>
        <w:rPr>
          <w:sz w:val="20"/>
          <w:szCs w:val="20"/>
          <w:color w:val="auto"/>
        </w:rPr>
      </w:pPr>
    </w:p>
    <w:p>
      <w:pPr>
        <w:ind w:left="640" w:right="2899" w:hanging="188"/>
        <w:spacing w:after="0" w:line="372" w:lineRule="auto"/>
        <w:tabs>
          <w:tab w:leader="none" w:pos="6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consolidated financial statements of Amdocs as of and for the fiscal year ended September 30, 2000;</w:t>
      </w:r>
    </w:p>
    <w:p>
      <w:pPr>
        <w:spacing w:after="0" w:line="1" w:lineRule="exact"/>
        <w:rPr>
          <w:rFonts w:ascii="Courier New" w:cs="Courier New" w:eastAsia="Courier New" w:hAnsi="Courier New"/>
          <w:sz w:val="15"/>
          <w:szCs w:val="15"/>
          <w:color w:val="auto"/>
        </w:rPr>
      </w:pPr>
    </w:p>
    <w:p>
      <w:pPr>
        <w:ind w:left="640" w:right="3179" w:hanging="188"/>
        <w:spacing w:after="0" w:line="372" w:lineRule="auto"/>
        <w:tabs>
          <w:tab w:leader="none" w:pos="6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financial statements of ITDS as of and for the two month period ended November 30, 1999; and</w:t>
      </w:r>
    </w:p>
    <w:p>
      <w:pPr>
        <w:spacing w:after="0" w:line="1" w:lineRule="exact"/>
        <w:rPr>
          <w:rFonts w:ascii="Courier New" w:cs="Courier New" w:eastAsia="Courier New" w:hAnsi="Courier New"/>
          <w:sz w:val="15"/>
          <w:szCs w:val="15"/>
          <w:color w:val="auto"/>
        </w:rPr>
      </w:pPr>
    </w:p>
    <w:p>
      <w:pPr>
        <w:ind w:left="640" w:right="2979" w:hanging="188"/>
        <w:spacing w:after="0" w:line="372" w:lineRule="auto"/>
        <w:tabs>
          <w:tab w:leader="none" w:pos="6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financial statements of Solect as of and for the six month period ended January 31, 2000.</w:t>
      </w:r>
    </w:p>
    <w:p>
      <w:pPr>
        <w:spacing w:after="0" w:line="2" w:lineRule="exact"/>
        <w:rPr>
          <w:sz w:val="20"/>
          <w:szCs w:val="20"/>
          <w:color w:val="auto"/>
        </w:rPr>
      </w:pPr>
    </w:p>
    <w:p>
      <w:pPr>
        <w:ind w:right="2899" w:firstLine="458"/>
        <w:spacing w:after="0" w:line="257" w:lineRule="auto"/>
        <w:rPr>
          <w:sz w:val="20"/>
          <w:szCs w:val="20"/>
          <w:color w:val="auto"/>
        </w:rPr>
      </w:pPr>
      <w:r>
        <w:rPr>
          <w:rFonts w:ascii="Courier New" w:cs="Courier New" w:eastAsia="Courier New" w:hAnsi="Courier New"/>
          <w:sz w:val="15"/>
          <w:szCs w:val="15"/>
          <w:color w:val="auto"/>
        </w:rPr>
        <w:t>In connection with the acquisition of ITDS, we have converted approximately 17.3 million common shares of ITDS and approximately 3.0 million options to purchase common shares of ITDS into the right to receive approximately 6.5 million ordinary shares and approximately 1.1 million options to purchase ordinary shares of Amdocs. The estimated total purchase price for ITDS, based on an Amdocs share price of $28.25, including estimated transaction costs, equals approximately $189 million. We accounted for the acquisition of ITDS under the purchase method of accounting. The estimated total purchase price was allocated to ITDS' tangible assets and liabilities based on their respective estimated fair values on the date the transaction was consummated, November 30, 1999. We allocated the excess of the purchase price over the fair value of the net tangible assets acquired to identifiable intangible assets, including core technology, workforce-in-place, customer base, and in process research and development costs, and the remainder to goodwill. In addition, deferred taxes were recognized for the differences between the book and tax basis of certain intangible assets.</w:t>
      </w:r>
    </w:p>
    <w:p>
      <w:pPr>
        <w:spacing w:after="0" w:line="84" w:lineRule="exact"/>
        <w:rPr>
          <w:sz w:val="20"/>
          <w:szCs w:val="20"/>
          <w:color w:val="auto"/>
        </w:rPr>
      </w:pPr>
    </w:p>
    <w:p>
      <w:pPr>
        <w:ind w:right="2899" w:firstLine="458"/>
        <w:spacing w:after="0" w:line="257" w:lineRule="auto"/>
        <w:rPr>
          <w:sz w:val="20"/>
          <w:szCs w:val="20"/>
          <w:color w:val="auto"/>
        </w:rPr>
      </w:pPr>
      <w:r>
        <w:rPr>
          <w:rFonts w:ascii="Courier New" w:cs="Courier New" w:eastAsia="Courier New" w:hAnsi="Courier New"/>
          <w:sz w:val="15"/>
          <w:szCs w:val="15"/>
          <w:color w:val="auto"/>
        </w:rPr>
        <w:t>In connection with the acquisition of Solect, we have converted approximately 24.2 million common shares of Solect and approximately 2.9 million options to purchase common shares of Solect into the right to receive approximately 13.8 million ordinary shares and approximately 1.7 million options to purchase ordinary shares of Amdocs. The estimated total purchase price for Solect, based on an Amdocs share price of $69.875 including estimated transaction costs, equals approximately $1.1 billion. We accounted for the acquisition under the purchase method of accounting. The estimated total purchase price was allocated to Solect's tangible assets and liabilities based on their respective estimated fair values on the date the transaction was consummated, April 5, 2000. We allocated the excess of the purchase price over the fair value of the net tangible assets acquired to identifiable intangible assets, including core technology, workforce-in-place, customer base, and in process research and development costs, and the remainder to goodwill. In addition, deferred taxes were recognized for the differences between the book and tax basis of certain intangible assets.</w:t>
      </w:r>
    </w:p>
    <w:p>
      <w:pPr>
        <w:spacing w:after="0" w:line="84" w:lineRule="exact"/>
        <w:rPr>
          <w:sz w:val="20"/>
          <w:szCs w:val="20"/>
          <w:color w:val="auto"/>
        </w:rPr>
      </w:pPr>
    </w:p>
    <w:p>
      <w:pPr>
        <w:ind w:right="2899" w:firstLine="458"/>
        <w:spacing w:after="0" w:line="255" w:lineRule="auto"/>
        <w:rPr>
          <w:sz w:val="20"/>
          <w:szCs w:val="20"/>
          <w:color w:val="auto"/>
        </w:rPr>
      </w:pPr>
      <w:r>
        <w:rPr>
          <w:rFonts w:ascii="Courier New" w:cs="Courier New" w:eastAsia="Courier New" w:hAnsi="Courier New"/>
          <w:sz w:val="15"/>
          <w:szCs w:val="15"/>
          <w:color w:val="auto"/>
        </w:rPr>
        <w:t>The unaudited pro forma condensed combined statements of operations are provided for illustrative purposes only and do not purport to represent what the actual consolidated results of operations or the consolidated financial position Amdocs would have been had the acquisitions occurred on the dates assumed, nor is it necessarily indicative of future consolidated results of operations or financial position.</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66"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82" w:lineRule="exact"/>
        <w:rPr>
          <w:sz w:val="20"/>
          <w:szCs w:val="20"/>
          <w:color w:val="auto"/>
        </w:rPr>
      </w:pPr>
    </w:p>
    <w:p>
      <w:pPr>
        <w:ind w:right="2979" w:firstLine="458"/>
        <w:spacing w:after="0" w:line="310" w:lineRule="auto"/>
        <w:rPr>
          <w:sz w:val="20"/>
          <w:szCs w:val="20"/>
          <w:color w:val="auto"/>
        </w:rPr>
      </w:pPr>
      <w:r>
        <w:rPr>
          <w:rFonts w:ascii="Courier New" w:cs="Courier New" w:eastAsia="Courier New" w:hAnsi="Courier New"/>
          <w:sz w:val="15"/>
          <w:szCs w:val="15"/>
          <w:color w:val="auto"/>
        </w:rPr>
        <w:t>The unaudited pro forma condensed combined statements of operations do not include the realization of cost savings from operating efficiencies, synergies or other restructurings resulting from the acquisitions.</w:t>
      </w:r>
    </w:p>
    <w:p>
      <w:pPr>
        <w:spacing w:after="0" w:line="46" w:lineRule="exact"/>
        <w:rPr>
          <w:sz w:val="20"/>
          <w:szCs w:val="20"/>
          <w:color w:val="auto"/>
        </w:rPr>
      </w:pPr>
    </w:p>
    <w:p>
      <w:pPr>
        <w:ind w:right="3259" w:firstLine="458"/>
        <w:spacing w:after="0" w:line="310" w:lineRule="auto"/>
        <w:rPr>
          <w:sz w:val="20"/>
          <w:szCs w:val="20"/>
          <w:color w:val="auto"/>
        </w:rPr>
      </w:pPr>
      <w:r>
        <w:rPr>
          <w:rFonts w:ascii="Courier New" w:cs="Courier New" w:eastAsia="Courier New" w:hAnsi="Courier New"/>
          <w:sz w:val="15"/>
          <w:szCs w:val="15"/>
          <w:color w:val="auto"/>
        </w:rPr>
        <w:t>The following unaudited pro forma condensed combined statements of operations and notes thereto contain forward-looking statements that involve risks and uncertainties.</w:t>
      </w:r>
    </w:p>
    <w:p>
      <w:pPr>
        <w:spacing w:after="0" w:line="4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66"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18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080" w:type="dxa"/>
            <w:vAlign w:val="bottom"/>
            <w:gridSpan w:val="5"/>
          </w:tcPr>
          <w:p>
            <w:pPr>
              <w:ind w:left="1560"/>
              <w:spacing w:after="0"/>
              <w:rPr>
                <w:sz w:val="20"/>
                <w:szCs w:val="20"/>
                <w:color w:val="auto"/>
              </w:rPr>
            </w:pPr>
            <w:r>
              <w:rPr>
                <w:rFonts w:ascii="Courier New" w:cs="Courier New" w:eastAsia="Courier New" w:hAnsi="Courier New"/>
                <w:sz w:val="15"/>
                <w:szCs w:val="15"/>
                <w:color w:val="auto"/>
              </w:rPr>
              <w:t>FOR THE TWELVE MONTHS ENDED SEPTEMBER 30, 2000</w:t>
            </w:r>
          </w:p>
        </w:tc>
        <w:tc>
          <w:tcPr>
            <w:tcW w:w="1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6"/>
        </w:trPr>
        <w:tc>
          <w:tcPr>
            <w:tcW w:w="3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AMDOCS</w:t>
            </w:r>
          </w:p>
        </w:tc>
        <w:tc>
          <w:tcPr>
            <w:tcW w:w="11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ITDS</w:t>
            </w:r>
          </w:p>
        </w:tc>
        <w:tc>
          <w:tcPr>
            <w:tcW w:w="500" w:type="dxa"/>
            <w:vAlign w:val="bottom"/>
          </w:tcPr>
          <w:p>
            <w:pPr>
              <w:spacing w:after="0"/>
              <w:rPr>
                <w:sz w:val="24"/>
                <w:szCs w:val="24"/>
                <w:color w:val="auto"/>
              </w:rPr>
            </w:pPr>
          </w:p>
        </w:tc>
        <w:tc>
          <w:tcPr>
            <w:tcW w:w="12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ITDS</w:t>
            </w:r>
          </w:p>
        </w:tc>
        <w:tc>
          <w:tcPr>
            <w:tcW w:w="12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SOLECT</w:t>
            </w:r>
          </w:p>
        </w:tc>
        <w:tc>
          <w:tcPr>
            <w:tcW w:w="320" w:type="dxa"/>
            <w:vAlign w:val="bottom"/>
          </w:tcPr>
          <w:p>
            <w:pPr>
              <w:spacing w:after="0"/>
              <w:rPr>
                <w:sz w:val="24"/>
                <w:szCs w:val="24"/>
                <w:color w:val="auto"/>
              </w:rPr>
            </w:pPr>
          </w:p>
        </w:tc>
        <w:tc>
          <w:tcPr>
            <w:tcW w:w="1320" w:type="dxa"/>
            <w:vAlign w:val="bottom"/>
          </w:tcPr>
          <w:p>
            <w:pPr>
              <w:jc w:val="right"/>
              <w:ind w:right="684"/>
              <w:spacing w:after="0"/>
              <w:rPr>
                <w:sz w:val="20"/>
                <w:szCs w:val="20"/>
                <w:color w:val="auto"/>
              </w:rPr>
            </w:pPr>
            <w:r>
              <w:rPr>
                <w:rFonts w:ascii="Courier New" w:cs="Courier New" w:eastAsia="Courier New" w:hAnsi="Courier New"/>
                <w:sz w:val="15"/>
                <w:szCs w:val="15"/>
                <w:color w:val="auto"/>
                <w:w w:val="99"/>
              </w:rPr>
              <w:t>SOLECT</w:t>
            </w:r>
          </w:p>
        </w:tc>
        <w:tc>
          <w:tcPr>
            <w:tcW w:w="1320" w:type="dxa"/>
            <w:vAlign w:val="bottom"/>
            <w:gridSpan w:val="2"/>
            <w:vMerge w:val="restart"/>
          </w:tcPr>
          <w:p>
            <w:pPr>
              <w:jc w:val="right"/>
              <w:ind w:right="264"/>
              <w:spacing w:after="0"/>
              <w:rPr>
                <w:sz w:val="20"/>
                <w:szCs w:val="20"/>
                <w:color w:val="auto"/>
              </w:rPr>
            </w:pPr>
            <w:r>
              <w:rPr>
                <w:rFonts w:ascii="Courier New" w:cs="Courier New" w:eastAsia="Courier New" w:hAnsi="Courier New"/>
                <w:sz w:val="15"/>
                <w:szCs w:val="15"/>
                <w:color w:val="auto"/>
              </w:rPr>
              <w:t>PRO FORMA</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7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 FORMA</w:t>
            </w:r>
          </w:p>
        </w:tc>
        <w:tc>
          <w:tcPr>
            <w:tcW w:w="1200" w:type="dxa"/>
            <w:vAlign w:val="bottom"/>
            <w:vMerge w:val="continue"/>
          </w:tcPr>
          <w:p>
            <w:pPr>
              <w:spacing w:after="0"/>
              <w:rPr>
                <w:sz w:val="15"/>
                <w:szCs w:val="15"/>
                <w:color w:val="auto"/>
              </w:rPr>
            </w:pPr>
          </w:p>
        </w:tc>
        <w:tc>
          <w:tcPr>
            <w:tcW w:w="16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HISTORICAL</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HISTORICAL</w:t>
            </w: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ADJUSTMENTS</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HISTORICAL</w:t>
            </w:r>
          </w:p>
        </w:tc>
        <w:tc>
          <w:tcPr>
            <w:tcW w:w="16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ADJUSTMENTS</w:t>
            </w:r>
          </w:p>
        </w:tc>
        <w:tc>
          <w:tcPr>
            <w:tcW w:w="240" w:type="dxa"/>
            <w:vAlign w:val="bottom"/>
          </w:tcPr>
          <w:p>
            <w:pPr>
              <w:spacing w:after="0"/>
              <w:rPr>
                <w:sz w:val="15"/>
                <w:szCs w:val="15"/>
                <w:color w:val="auto"/>
              </w:rPr>
            </w:pPr>
          </w:p>
        </w:tc>
        <w:tc>
          <w:tcPr>
            <w:tcW w:w="1080" w:type="dxa"/>
            <w:vAlign w:val="bottom"/>
          </w:tcPr>
          <w:p>
            <w:pPr>
              <w:jc w:val="right"/>
              <w:ind w:right="264"/>
              <w:spacing w:after="0"/>
              <w:rPr>
                <w:sz w:val="20"/>
                <w:szCs w:val="20"/>
                <w:color w:val="auto"/>
              </w:rPr>
            </w:pPr>
            <w:r>
              <w:rPr>
                <w:rFonts w:ascii="Courier New" w:cs="Courier New" w:eastAsia="Courier New" w:hAnsi="Courier New"/>
                <w:sz w:val="15"/>
                <w:szCs w:val="15"/>
                <w:color w:val="auto"/>
                <w:w w:val="99"/>
              </w:rPr>
              <w:t>COMBINED</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20" w:type="dxa"/>
            <w:vAlign w:val="bottom"/>
            <w:gridSpan w:val="5"/>
          </w:tcPr>
          <w:p>
            <w:pPr>
              <w:jc w:val="right"/>
              <w:ind w:right="1144"/>
              <w:spacing w:after="0"/>
              <w:rPr>
                <w:sz w:val="20"/>
                <w:szCs w:val="20"/>
                <w:color w:val="auto"/>
              </w:rPr>
            </w:pPr>
            <w:r>
              <w:rPr>
                <w:rFonts w:ascii="Courier New" w:cs="Courier New" w:eastAsia="Courier New" w:hAnsi="Courier New"/>
                <w:sz w:val="15"/>
                <w:szCs w:val="15"/>
                <w:color w:val="auto"/>
              </w:rPr>
              <w:t>(IN THOUSANDS, EXCEPT PER SHARE DATA)</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720" w:type="dxa"/>
            <w:vAlign w:val="bottom"/>
            <w:gridSpan w:val="6"/>
          </w:tcPr>
          <w:p>
            <w:pPr>
              <w:jc w:val="right"/>
              <w:ind w:right="884"/>
              <w:spacing w:after="0"/>
              <w:rPr>
                <w:sz w:val="20"/>
                <w:szCs w:val="20"/>
                <w:color w:val="auto"/>
              </w:rPr>
            </w:pPr>
            <w:r>
              <w:rPr>
                <w:rFonts w:ascii="Courier New" w:cs="Courier New" w:eastAsia="Courier New" w:hAnsi="Courier New"/>
                <w:sz w:val="15"/>
                <w:szCs w:val="15"/>
                <w:color w:val="auto"/>
              </w:rPr>
              <w:t>(IN U.S. DOLLARS, UNLESS OTHERWISE STATED)</w:t>
            </w: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9"/>
        </w:trPr>
        <w:tc>
          <w:tcPr>
            <w:tcW w:w="33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$1,118,320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$23,289</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$11,174</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$1,152,783</w:t>
            </w:r>
          </w:p>
        </w:tc>
        <w:tc>
          <w:tcPr>
            <w:tcW w:w="0" w:type="dxa"/>
            <w:vAlign w:val="bottom"/>
          </w:tcPr>
          <w:p>
            <w:pPr>
              <w:spacing w:after="0"/>
              <w:rPr>
                <w:sz w:val="1"/>
                <w:szCs w:val="1"/>
                <w:color w:val="auto"/>
              </w:rPr>
            </w:pPr>
          </w:p>
        </w:tc>
      </w:tr>
      <w:tr>
        <w:trPr>
          <w:trHeight w:val="271"/>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Cost of revenue....................</w:t>
            </w:r>
          </w:p>
        </w:tc>
        <w:tc>
          <w:tcPr>
            <w:tcW w:w="180" w:type="dxa"/>
            <w:vAlign w:val="bottom"/>
          </w:tcPr>
          <w:p>
            <w:pPr>
              <w:spacing w:after="0"/>
              <w:rPr>
                <w:sz w:val="23"/>
                <w:szCs w:val="23"/>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645,524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11,841</w:t>
            </w:r>
          </w:p>
        </w:tc>
        <w:tc>
          <w:tcPr>
            <w:tcW w:w="500" w:type="dxa"/>
            <w:vAlign w:val="bottom"/>
          </w:tcPr>
          <w:p>
            <w:pPr>
              <w:spacing w:after="0"/>
              <w:rPr>
                <w:sz w:val="23"/>
                <w:szCs w:val="23"/>
                <w:color w:val="auto"/>
              </w:rPr>
            </w:pPr>
          </w:p>
        </w:tc>
        <w:tc>
          <w:tcPr>
            <w:tcW w:w="12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(1,120)(A2)</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6,607</w:t>
            </w:r>
          </w:p>
        </w:tc>
        <w:tc>
          <w:tcPr>
            <w:tcW w:w="320" w:type="dxa"/>
            <w:vAlign w:val="bottom"/>
          </w:tcPr>
          <w:p>
            <w:pPr>
              <w:spacing w:after="0"/>
              <w:rPr>
                <w:sz w:val="23"/>
                <w:szCs w:val="23"/>
                <w:color w:val="auto"/>
              </w:rPr>
            </w:pP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23"/>
                <w:szCs w:val="23"/>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662,852</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74,852</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5,384</w:t>
            </w:r>
          </w:p>
        </w:tc>
        <w:tc>
          <w:tcPr>
            <w:tcW w:w="500" w:type="dxa"/>
            <w:vAlign w:val="bottom"/>
          </w:tcPr>
          <w:p>
            <w:pPr>
              <w:spacing w:after="0"/>
              <w:rPr>
                <w:sz w:val="15"/>
                <w:szCs w:val="15"/>
                <w:color w:val="auto"/>
              </w:rPr>
            </w:pPr>
          </w:p>
        </w:tc>
        <w:tc>
          <w:tcPr>
            <w:tcW w:w="12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3,416</w:t>
            </w:r>
          </w:p>
        </w:tc>
        <w:tc>
          <w:tcPr>
            <w:tcW w:w="320" w:type="dxa"/>
            <w:vAlign w:val="bottom"/>
          </w:tcPr>
          <w:p>
            <w:pPr>
              <w:spacing w:after="0"/>
              <w:rPr>
                <w:sz w:val="15"/>
                <w:szCs w:val="15"/>
                <w:color w:val="auto"/>
              </w:rPr>
            </w:pP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83,652</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180" w:type="dxa"/>
            <w:vAlign w:val="bottom"/>
          </w:tcPr>
          <w:p>
            <w:pPr>
              <w:spacing w:after="0"/>
              <w:rPr>
                <w:sz w:val="15"/>
                <w:szCs w:val="15"/>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137,004</w:t>
            </w: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11,311</w:t>
            </w:r>
          </w:p>
        </w:tc>
        <w:tc>
          <w:tcPr>
            <w:tcW w:w="500" w:type="dxa"/>
            <w:vAlign w:val="bottom"/>
          </w:tcPr>
          <w:p>
            <w:pPr>
              <w:spacing w:after="0"/>
              <w:rPr>
                <w:sz w:val="15"/>
                <w:szCs w:val="15"/>
                <w:color w:val="auto"/>
              </w:rPr>
            </w:pPr>
          </w:p>
        </w:tc>
        <w:tc>
          <w:tcPr>
            <w:tcW w:w="128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(575)(A1)</w:t>
            </w:r>
          </w:p>
        </w:tc>
        <w:tc>
          <w:tcPr>
            <w:tcW w:w="12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6,308</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148,223</w:t>
            </w:r>
          </w:p>
        </w:tc>
        <w:tc>
          <w:tcPr>
            <w:tcW w:w="0" w:type="dxa"/>
            <w:vAlign w:val="bottom"/>
          </w:tcPr>
          <w:p>
            <w:pPr>
              <w:spacing w:after="0"/>
              <w:rPr>
                <w:sz w:val="1"/>
                <w:szCs w:val="1"/>
                <w:color w:val="auto"/>
              </w:rPr>
            </w:pPr>
          </w:p>
        </w:tc>
      </w:tr>
      <w:tr>
        <w:trPr>
          <w:trHeight w:val="257"/>
        </w:trPr>
        <w:tc>
          <w:tcPr>
            <w:tcW w:w="3300" w:type="dxa"/>
            <w:vAlign w:val="bottom"/>
            <w:vMerge w:val="restart"/>
          </w:tcPr>
          <w:p>
            <w:pPr>
              <w:spacing w:after="0"/>
              <w:rPr>
                <w:sz w:val="20"/>
                <w:szCs w:val="20"/>
                <w:color w:val="auto"/>
              </w:rPr>
            </w:pPr>
            <w:r>
              <w:rPr>
                <w:rFonts w:ascii="Courier New" w:cs="Courier New" w:eastAsia="Courier New" w:hAnsi="Courier New"/>
                <w:sz w:val="15"/>
                <w:szCs w:val="15"/>
                <w:color w:val="auto"/>
              </w:rPr>
              <w:t>Amortization of goodwill and</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(5,825)(A5)</w:t>
            </w: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3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111,199</w:t>
            </w: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8"/>
                <w:szCs w:val="8"/>
                <w:color w:val="auto"/>
              </w:rPr>
            </w:pPr>
          </w:p>
        </w:tc>
        <w:tc>
          <w:tcPr>
            <w:tcW w:w="12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787(A1)</w:t>
            </w:r>
          </w:p>
        </w:tc>
        <w:tc>
          <w:tcPr>
            <w:tcW w:w="12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8"/>
                <w:szCs w:val="8"/>
                <w:color w:val="auto"/>
              </w:rPr>
            </w:pPr>
          </w:p>
        </w:tc>
        <w:tc>
          <w:tcPr>
            <w:tcW w:w="13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4,565(B2)</w:t>
            </w: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purchased intangible assets......</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411(A2)</w:t>
            </w: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543(B3)</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180(A3)</w:t>
            </w: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98,631(B1)</w:t>
            </w:r>
          </w:p>
        </w:tc>
        <w:tc>
          <w:tcPr>
            <w:tcW w:w="240" w:type="dxa"/>
            <w:vAlign w:val="bottom"/>
          </w:tcPr>
          <w:p>
            <w:pPr>
              <w:spacing w:after="0"/>
              <w:rPr>
                <w:sz w:val="15"/>
                <w:szCs w:val="15"/>
                <w:color w:val="auto"/>
              </w:rPr>
            </w:pPr>
          </w:p>
        </w:tc>
        <w:tc>
          <w:tcPr>
            <w:tcW w:w="10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216,540</w:t>
            </w:r>
          </w:p>
        </w:tc>
        <w:tc>
          <w:tcPr>
            <w:tcW w:w="0" w:type="dxa"/>
            <w:vAlign w:val="bottom"/>
          </w:tcPr>
          <w:p>
            <w:pPr>
              <w:spacing w:after="0"/>
              <w:rPr>
                <w:sz w:val="1"/>
                <w:szCs w:val="1"/>
                <w:color w:val="auto"/>
              </w:rPr>
            </w:pPr>
          </w:p>
        </w:tc>
      </w:tr>
      <w:tr>
        <w:trPr>
          <w:trHeight w:val="257"/>
        </w:trPr>
        <w:tc>
          <w:tcPr>
            <w:tcW w:w="3300" w:type="dxa"/>
            <w:vAlign w:val="bottom"/>
            <w:vMerge w:val="restart"/>
          </w:tcPr>
          <w:p>
            <w:pPr>
              <w:spacing w:after="0"/>
              <w:rPr>
                <w:sz w:val="20"/>
                <w:szCs w:val="20"/>
                <w:color w:val="auto"/>
              </w:rPr>
            </w:pPr>
            <w:r>
              <w:rPr>
                <w:rFonts w:ascii="Courier New" w:cs="Courier New" w:eastAsia="Courier New" w:hAnsi="Courier New"/>
                <w:sz w:val="15"/>
                <w:szCs w:val="15"/>
                <w:color w:val="auto"/>
              </w:rPr>
              <w:t>In process research and development</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22(A3)</w:t>
            </w: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202(B3)</w:t>
            </w:r>
          </w:p>
        </w:tc>
        <w:tc>
          <w:tcPr>
            <w:tcW w:w="24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3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and other indirect acquisition</w:t>
            </w:r>
          </w:p>
        </w:tc>
        <w:tc>
          <w:tcPr>
            <w:tcW w:w="180" w:type="dxa"/>
            <w:vAlign w:val="bottom"/>
          </w:tcPr>
          <w:p>
            <w:pPr>
              <w:spacing w:after="0"/>
              <w:rPr>
                <w:sz w:val="15"/>
                <w:szCs w:val="15"/>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75,617</w:t>
            </w: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28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(19,876)(A6)</w:t>
            </w:r>
          </w:p>
        </w:tc>
        <w:tc>
          <w:tcPr>
            <w:tcW w:w="12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32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(55,741)(B5)</w:t>
            </w:r>
          </w:p>
        </w:tc>
        <w:tc>
          <w:tcPr>
            <w:tcW w:w="240" w:type="dxa"/>
            <w:vAlign w:val="bottom"/>
          </w:tcPr>
          <w:p>
            <w:pPr>
              <w:spacing w:after="0"/>
              <w:rPr>
                <w:sz w:val="15"/>
                <w:szCs w:val="15"/>
                <w:color w:val="auto"/>
              </w:rPr>
            </w:pPr>
          </w:p>
        </w:tc>
        <w:tc>
          <w:tcPr>
            <w:tcW w:w="10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related costs....................</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180" w:type="dxa"/>
            <w:vAlign w:val="bottom"/>
          </w:tcPr>
          <w:p>
            <w:pPr>
              <w:ind w:left="80"/>
              <w:spacing w:after="0"/>
              <w:rPr>
                <w:sz w:val="20"/>
                <w:szCs w:val="20"/>
                <w:color w:val="auto"/>
              </w:rPr>
            </w:pPr>
            <w:r>
              <w:rPr>
                <w:rFonts w:ascii="Courier New" w:cs="Courier New" w:eastAsia="Courier New" w:hAnsi="Courier New"/>
                <w:sz w:val="1"/>
                <w:szCs w:val="1"/>
                <w:color w:val="auto"/>
              </w:rPr>
              <w:t>----------</w:t>
            </w: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8"/>
              </w:rPr>
              <w:t>1,044,196</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28,536</w:t>
            </w:r>
          </w:p>
        </w:tc>
        <w:tc>
          <w:tcPr>
            <w:tcW w:w="50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(25,996)</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16,331</w:t>
            </w:r>
          </w:p>
        </w:tc>
        <w:tc>
          <w:tcPr>
            <w:tcW w:w="320" w:type="dxa"/>
            <w:vAlign w:val="bottom"/>
          </w:tcPr>
          <w:p>
            <w:pPr>
              <w:spacing w:after="0"/>
              <w:rPr>
                <w:sz w:val="15"/>
                <w:szCs w:val="15"/>
                <w:color w:val="auto"/>
              </w:rPr>
            </w:pP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48,200</w:t>
            </w:r>
          </w:p>
        </w:tc>
        <w:tc>
          <w:tcPr>
            <w:tcW w:w="24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1,111,267</w:t>
            </w:r>
          </w:p>
        </w:tc>
        <w:tc>
          <w:tcPr>
            <w:tcW w:w="0" w:type="dxa"/>
            <w:vAlign w:val="bottom"/>
          </w:tcPr>
          <w:p>
            <w:pPr>
              <w:spacing w:after="0"/>
              <w:rPr>
                <w:sz w:val="1"/>
                <w:szCs w:val="1"/>
                <w:color w:val="auto"/>
              </w:rPr>
            </w:pPr>
          </w:p>
        </w:tc>
      </w:tr>
      <w:tr>
        <w:trPr>
          <w:trHeight w:val="176"/>
        </w:trPr>
        <w:tc>
          <w:tcPr>
            <w:tcW w:w="330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 (loss)............</w:t>
            </w:r>
          </w:p>
        </w:tc>
        <w:tc>
          <w:tcPr>
            <w:tcW w:w="180" w:type="dxa"/>
            <w:vAlign w:val="bottom"/>
          </w:tcPr>
          <w:p>
            <w:pPr>
              <w:ind w:left="80"/>
              <w:spacing w:after="0"/>
              <w:rPr>
                <w:sz w:val="20"/>
                <w:szCs w:val="20"/>
                <w:color w:val="auto"/>
              </w:rPr>
            </w:pPr>
            <w:r>
              <w:rPr>
                <w:rFonts w:ascii="Courier New" w:cs="Courier New" w:eastAsia="Courier New" w:hAnsi="Courier New"/>
                <w:sz w:val="1"/>
                <w:szCs w:val="1"/>
                <w:color w:val="auto"/>
              </w:rPr>
              <w:t>----------</w:t>
            </w: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74,124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(5,247)</w:t>
            </w:r>
          </w:p>
        </w:tc>
        <w:tc>
          <w:tcPr>
            <w:tcW w:w="500" w:type="dxa"/>
            <w:vAlign w:val="bottom"/>
          </w:tcPr>
          <w:p>
            <w:pPr>
              <w:spacing w:after="0"/>
              <w:rPr>
                <w:sz w:val="15"/>
                <w:szCs w:val="15"/>
                <w:color w:val="auto"/>
              </w:rPr>
            </w:pPr>
          </w:p>
        </w:tc>
        <w:tc>
          <w:tcPr>
            <w:tcW w:w="12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25,996</w:t>
            </w:r>
          </w:p>
        </w:tc>
        <w:tc>
          <w:tcPr>
            <w:tcW w:w="12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(5,157)</w:t>
            </w:r>
          </w:p>
        </w:tc>
        <w:tc>
          <w:tcPr>
            <w:tcW w:w="320" w:type="dxa"/>
            <w:vAlign w:val="bottom"/>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(48,200)</w:t>
            </w:r>
          </w:p>
        </w:tc>
        <w:tc>
          <w:tcPr>
            <w:tcW w:w="24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41,516</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Other income (expenses), net.......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10,734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386</w:t>
            </w:r>
          </w:p>
        </w:tc>
        <w:tc>
          <w:tcPr>
            <w:tcW w:w="500" w:type="dxa"/>
            <w:vAlign w:val="bottom"/>
          </w:tcPr>
          <w:p>
            <w:pPr>
              <w:spacing w:after="0"/>
              <w:rPr>
                <w:sz w:val="15"/>
                <w:szCs w:val="15"/>
                <w:color w:val="auto"/>
              </w:rPr>
            </w:pPr>
          </w:p>
        </w:tc>
        <w:tc>
          <w:tcPr>
            <w:tcW w:w="12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(797)</w:t>
            </w:r>
          </w:p>
        </w:tc>
        <w:tc>
          <w:tcPr>
            <w:tcW w:w="32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704(B6)</w:t>
            </w:r>
          </w:p>
        </w:tc>
        <w:tc>
          <w:tcPr>
            <w:tcW w:w="24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11,027</w:t>
            </w:r>
          </w:p>
        </w:tc>
        <w:tc>
          <w:tcPr>
            <w:tcW w:w="0" w:type="dxa"/>
            <w:vAlign w:val="bottom"/>
          </w:tcPr>
          <w:p>
            <w:pPr>
              <w:spacing w:after="0"/>
              <w:rPr>
                <w:sz w:val="1"/>
                <w:szCs w:val="1"/>
                <w:color w:val="auto"/>
              </w:rPr>
            </w:pPr>
          </w:p>
        </w:tc>
      </w:tr>
      <w:tr>
        <w:trPr>
          <w:trHeight w:val="176"/>
        </w:trPr>
        <w:tc>
          <w:tcPr>
            <w:tcW w:w="330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80" w:type="dxa"/>
            <w:vAlign w:val="bottom"/>
          </w:tcPr>
          <w:p>
            <w:pPr>
              <w:ind w:left="80"/>
              <w:spacing w:after="0"/>
              <w:rPr>
                <w:sz w:val="20"/>
                <w:szCs w:val="20"/>
                <w:color w:val="auto"/>
              </w:rPr>
            </w:pPr>
            <w:r>
              <w:rPr>
                <w:rFonts w:ascii="Courier New" w:cs="Courier New" w:eastAsia="Courier New" w:hAnsi="Courier New"/>
                <w:sz w:val="1"/>
                <w:szCs w:val="1"/>
                <w:color w:val="auto"/>
              </w:rPr>
              <w:t>----------</w:t>
            </w: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84,858</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(4,861)</w:t>
            </w:r>
          </w:p>
        </w:tc>
        <w:tc>
          <w:tcPr>
            <w:tcW w:w="500" w:type="dxa"/>
            <w:vAlign w:val="bottom"/>
          </w:tcPr>
          <w:p>
            <w:pPr>
              <w:spacing w:after="0"/>
              <w:rPr>
                <w:sz w:val="15"/>
                <w:szCs w:val="15"/>
                <w:color w:val="auto"/>
              </w:rPr>
            </w:pPr>
          </w:p>
        </w:tc>
        <w:tc>
          <w:tcPr>
            <w:tcW w:w="12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25,996</w:t>
            </w:r>
          </w:p>
        </w:tc>
        <w:tc>
          <w:tcPr>
            <w:tcW w:w="12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(5,954)</w:t>
            </w:r>
          </w:p>
        </w:tc>
        <w:tc>
          <w:tcPr>
            <w:tcW w:w="320" w:type="dxa"/>
            <w:vAlign w:val="bottom"/>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(47,496)</w:t>
            </w:r>
          </w:p>
        </w:tc>
        <w:tc>
          <w:tcPr>
            <w:tcW w:w="24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52,543</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78,880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1,156</w:t>
            </w:r>
          </w:p>
        </w:tc>
        <w:tc>
          <w:tcPr>
            <w:tcW w:w="50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110(A4)</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w:t>
            </w:r>
          </w:p>
        </w:tc>
        <w:tc>
          <w:tcPr>
            <w:tcW w:w="320" w:type="dxa"/>
            <w:vAlign w:val="bottom"/>
          </w:tcPr>
          <w:p>
            <w:pPr>
              <w:spacing w:after="0"/>
              <w:rPr>
                <w:sz w:val="15"/>
                <w:szCs w:val="15"/>
                <w:color w:val="auto"/>
              </w:rPr>
            </w:pPr>
          </w:p>
        </w:tc>
        <w:tc>
          <w:tcPr>
            <w:tcW w:w="13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(2,124)(B4)</w:t>
            </w:r>
          </w:p>
        </w:tc>
        <w:tc>
          <w:tcPr>
            <w:tcW w:w="24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78,059</w:t>
            </w:r>
          </w:p>
        </w:tc>
        <w:tc>
          <w:tcPr>
            <w:tcW w:w="0" w:type="dxa"/>
            <w:vAlign w:val="bottom"/>
          </w:tcPr>
          <w:p>
            <w:pPr>
              <w:spacing w:after="0"/>
              <w:rPr>
                <w:sz w:val="1"/>
                <w:szCs w:val="1"/>
                <w:color w:val="auto"/>
              </w:rPr>
            </w:pPr>
          </w:p>
        </w:tc>
      </w:tr>
      <w:tr>
        <w:trPr>
          <w:trHeight w:val="176"/>
        </w:trPr>
        <w:tc>
          <w:tcPr>
            <w:tcW w:w="33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vMerge w:val="restart"/>
          </w:tcPr>
          <w:p>
            <w:pPr>
              <w:ind w:left="8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5,978</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$(6,017)</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25,886</w:t>
            </w:r>
          </w:p>
        </w:tc>
        <w:tc>
          <w:tcPr>
            <w:tcW w:w="12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$(5,991)</w:t>
            </w:r>
          </w:p>
        </w:tc>
        <w:tc>
          <w:tcPr>
            <w:tcW w:w="16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 (45,372)</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(25,516)</w:t>
            </w:r>
          </w:p>
        </w:tc>
        <w:tc>
          <w:tcPr>
            <w:tcW w:w="0" w:type="dxa"/>
            <w:vAlign w:val="bottom"/>
          </w:tcPr>
          <w:p>
            <w:pPr>
              <w:spacing w:after="0"/>
              <w:rPr>
                <w:sz w:val="1"/>
                <w:szCs w:val="1"/>
                <w:color w:val="auto"/>
              </w:rPr>
            </w:pPr>
          </w:p>
        </w:tc>
      </w:tr>
      <w:tr>
        <w:trPr>
          <w:trHeight w:val="176"/>
        </w:trPr>
        <w:tc>
          <w:tcPr>
            <w:tcW w:w="3300" w:type="dxa"/>
            <w:vAlign w:val="bottom"/>
            <w:vMerge w:val="restart"/>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vMerge w:val="continue"/>
          </w:tcPr>
          <w:p>
            <w:pPr>
              <w:spacing w:after="0"/>
              <w:rPr>
                <w:sz w:val="15"/>
                <w:szCs w:val="15"/>
                <w:color w:val="auto"/>
              </w:rPr>
            </w:pP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0.03</w:t>
            </w: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(0.12)</w:t>
            </w:r>
          </w:p>
        </w:tc>
        <w:tc>
          <w:tcPr>
            <w:tcW w:w="0" w:type="dxa"/>
            <w:vAlign w:val="bottom"/>
          </w:tcPr>
          <w:p>
            <w:pPr>
              <w:spacing w:after="0"/>
              <w:rPr>
                <w:sz w:val="1"/>
                <w:szCs w:val="1"/>
                <w:color w:val="auto"/>
              </w:rPr>
            </w:pPr>
          </w:p>
        </w:tc>
      </w:tr>
      <w:tr>
        <w:trPr>
          <w:trHeight w:val="257"/>
        </w:trPr>
        <w:tc>
          <w:tcPr>
            <w:tcW w:w="330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(loss) per</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3300" w:type="dxa"/>
            <w:vAlign w:val="bottom"/>
            <w:vMerge w:val="continue"/>
          </w:tcPr>
          <w:p>
            <w:pPr>
              <w:spacing w:after="0"/>
              <w:rPr>
                <w:sz w:val="8"/>
                <w:szCs w:val="8"/>
                <w:color w:val="auto"/>
              </w:rPr>
            </w:pP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0.03</w:t>
            </w: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vMerge w:val="restart"/>
          </w:tcPr>
          <w:p>
            <w:pPr>
              <w:jc w:val="right"/>
              <w:ind w:right="84"/>
              <w:spacing w:after="0"/>
              <w:rPr>
                <w:sz w:val="20"/>
                <w:szCs w:val="20"/>
                <w:color w:val="auto"/>
              </w:rPr>
            </w:pPr>
            <w:r>
              <w:rPr>
                <w:rFonts w:ascii="Courier New" w:cs="Courier New" w:eastAsia="Courier New" w:hAnsi="Courier New"/>
                <w:sz w:val="15"/>
                <w:szCs w:val="15"/>
                <w:color w:val="auto"/>
              </w:rPr>
              <w:t>(0.12)</w:t>
            </w:r>
          </w:p>
        </w:tc>
        <w:tc>
          <w:tcPr>
            <w:tcW w:w="0" w:type="dxa"/>
            <w:vAlign w:val="bottom"/>
          </w:tcPr>
          <w:p>
            <w:pPr>
              <w:spacing w:after="0"/>
              <w:rPr>
                <w:sz w:val="1"/>
                <w:szCs w:val="1"/>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300" w:type="dxa"/>
            <w:vAlign w:val="bottom"/>
            <w:vMerge w:val="restart"/>
          </w:tcPr>
          <w:p>
            <w:pPr>
              <w:spacing w:after="0"/>
              <w:rPr>
                <w:sz w:val="20"/>
                <w:szCs w:val="20"/>
                <w:color w:val="auto"/>
              </w:rPr>
            </w:pPr>
            <w:r>
              <w:rPr>
                <w:rFonts w:ascii="Courier New" w:cs="Courier New" w:eastAsia="Courier New" w:hAnsi="Courier New"/>
                <w:sz w:val="15"/>
                <w:szCs w:val="15"/>
                <w:color w:val="auto"/>
              </w:rPr>
              <w:t>Basic weighted average number of</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33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212,005</w:t>
            </w: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220,003</w:t>
            </w:r>
          </w:p>
        </w:tc>
        <w:tc>
          <w:tcPr>
            <w:tcW w:w="0" w:type="dxa"/>
            <w:vAlign w:val="bottom"/>
          </w:tcPr>
          <w:p>
            <w:pPr>
              <w:spacing w:after="0"/>
              <w:rPr>
                <w:sz w:val="1"/>
                <w:szCs w:val="1"/>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shares outstanding...............</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300" w:type="dxa"/>
            <w:vAlign w:val="bottom"/>
            <w:vMerge w:val="restart"/>
          </w:tcPr>
          <w:p>
            <w:pPr>
              <w:spacing w:after="0"/>
              <w:rPr>
                <w:sz w:val="20"/>
                <w:szCs w:val="20"/>
                <w:color w:val="auto"/>
              </w:rPr>
            </w:pPr>
            <w:r>
              <w:rPr>
                <w:rFonts w:ascii="Courier New" w:cs="Courier New" w:eastAsia="Courier New" w:hAnsi="Courier New"/>
                <w:sz w:val="15"/>
                <w:szCs w:val="15"/>
                <w:color w:val="auto"/>
              </w:rPr>
              <w:t>Diluted weighted average number of</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33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216,935</w:t>
            </w: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220,003(C)</w:t>
            </w:r>
          </w:p>
        </w:tc>
        <w:tc>
          <w:tcPr>
            <w:tcW w:w="0" w:type="dxa"/>
            <w:vAlign w:val="bottom"/>
          </w:tcPr>
          <w:p>
            <w:pPr>
              <w:spacing w:after="0"/>
              <w:rPr>
                <w:sz w:val="1"/>
                <w:szCs w:val="1"/>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shares outstanding...............</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2"/>
                <w:szCs w:val="22"/>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See notes to Unaudited Pro Forma Condensed Combined Statements of Operations</w:t>
      </w:r>
    </w:p>
    <w:p>
      <w:pPr>
        <w:spacing w:after="0" w:line="3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for discussion of adjustments.</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1520"/>
          </w:cols>
          <w:pgMar w:left="240" w:top="266" w:right="139"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NOTES TO UNAUDITED PRO FORMA CONDENSED</w:t>
      </w:r>
    </w:p>
    <w:p>
      <w:pPr>
        <w:spacing w:after="0" w:line="34"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COMBINED STATEMENTS OF OPERATIONS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 THOUSANDS)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 U.S. DOLLARS, UNLESS OTHERWISE STATED)</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ITDS TRANSACTION:</w:t>
      </w:r>
    </w:p>
    <w:p>
      <w:pPr>
        <w:spacing w:after="0" w:line="182" w:lineRule="exact"/>
        <w:rPr>
          <w:sz w:val="20"/>
          <w:szCs w:val="20"/>
          <w:color w:val="auto"/>
        </w:rPr>
      </w:pPr>
    </w:p>
    <w:p>
      <w:pPr>
        <w:ind w:right="3179" w:firstLine="458"/>
        <w:spacing w:after="0" w:line="289" w:lineRule="auto"/>
        <w:rPr>
          <w:sz w:val="20"/>
          <w:szCs w:val="20"/>
          <w:color w:val="auto"/>
        </w:rPr>
      </w:pPr>
      <w:r>
        <w:rPr>
          <w:rFonts w:ascii="Courier New" w:cs="Courier New" w:eastAsia="Courier New" w:hAnsi="Courier New"/>
          <w:sz w:val="15"/>
          <w:szCs w:val="15"/>
          <w:color w:val="auto"/>
        </w:rPr>
        <w:t>Amdocs acquired ITDS on November 30, 1999. Accordingly, ITDS' operations are included in the historical results of Amdocs from that date. The amounts presented under the column headed ITDS Historical represent the historical results of ITDS for the two months ended November 30, 1999.</w:t>
      </w:r>
    </w:p>
    <w:p>
      <w:pPr>
        <w:spacing w:after="0" w:line="62" w:lineRule="exact"/>
        <w:rPr>
          <w:sz w:val="20"/>
          <w:szCs w:val="20"/>
          <w:color w:val="auto"/>
        </w:rPr>
      </w:pPr>
    </w:p>
    <w:p>
      <w:pPr>
        <w:jc w:val="both"/>
        <w:ind w:right="2979" w:firstLine="452"/>
        <w:spacing w:after="0" w:line="310" w:lineRule="auto"/>
        <w:tabs>
          <w:tab w:leader="none" w:pos="82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ITDS' historical goodwill amortization and the amortization of goodwill resulting from the acquisition of ITDS for the two months ended November 30, 1999:</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Amortization expense relating to goodwill of $70,797 over 15</w:t>
            </w:r>
          </w:p>
        </w:tc>
        <w:tc>
          <w:tcPr>
            <w:tcW w:w="6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$ 787</w:t>
            </w:r>
          </w:p>
        </w:tc>
        <w:tc>
          <w:tcPr>
            <w:tcW w:w="0" w:type="dxa"/>
            <w:vAlign w:val="bottom"/>
          </w:tcPr>
          <w:p>
            <w:pPr>
              <w:spacing w:after="0"/>
              <w:rPr>
                <w:sz w:val="1"/>
                <w:szCs w:val="1"/>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years.....................................................</w:t>
            </w: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Less historical amortization expense........................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(575)</w:t>
            </w:r>
          </w:p>
        </w:tc>
        <w:tc>
          <w:tcPr>
            <w:tcW w:w="0" w:type="dxa"/>
            <w:vAlign w:val="bottom"/>
          </w:tcPr>
          <w:p>
            <w:pPr>
              <w:spacing w:after="0"/>
              <w:rPr>
                <w:sz w:val="1"/>
                <w:szCs w:val="1"/>
                <w:color w:val="auto"/>
              </w:rPr>
            </w:pPr>
          </w:p>
        </w:tc>
      </w:tr>
      <w:tr>
        <w:trPr>
          <w:trHeight w:val="176"/>
        </w:trPr>
        <w:tc>
          <w:tcPr>
            <w:tcW w:w="55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Additional goodwill amortization, net.......................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580" w:type="dxa"/>
            <w:vAlign w:val="bottom"/>
            <w:vMerge w:val="continue"/>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$ 212</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2"/>
                <w:szCs w:val="22"/>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right="3079" w:firstLine="452"/>
        <w:spacing w:after="0" w:line="289" w:lineRule="auto"/>
        <w:tabs>
          <w:tab w:leader="none" w:pos="82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ITDS' historical amortization of intellectual property and core technology and the amortization of the core technology resulting from the valuation at the time of the acquisition for the two months ended November 30, 1999:</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Amortization expense relating to core technology of $12,342</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411</w:t>
            </w:r>
          </w:p>
        </w:tc>
        <w:tc>
          <w:tcPr>
            <w:tcW w:w="0" w:type="dxa"/>
            <w:vAlign w:val="bottom"/>
          </w:tcPr>
          <w:p>
            <w:pPr>
              <w:spacing w:after="0"/>
              <w:rPr>
                <w:sz w:val="1"/>
                <w:szCs w:val="1"/>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over 5 years..............................................</w:t>
            </w:r>
          </w:p>
        </w:tc>
        <w:tc>
          <w:tcPr>
            <w:tcW w:w="1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Less historical amortization expense........................</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(1,120)</w:t>
            </w:r>
          </w:p>
        </w:tc>
        <w:tc>
          <w:tcPr>
            <w:tcW w:w="0" w:type="dxa"/>
            <w:vAlign w:val="bottom"/>
          </w:tcPr>
          <w:p>
            <w:pPr>
              <w:spacing w:after="0"/>
              <w:rPr>
                <w:sz w:val="1"/>
                <w:szCs w:val="1"/>
                <w:color w:val="auto"/>
              </w:rPr>
            </w:pPr>
          </w:p>
        </w:tc>
      </w:tr>
      <w:tr>
        <w:trPr>
          <w:trHeight w:val="257"/>
        </w:trPr>
        <w:tc>
          <w:tcPr>
            <w:tcW w:w="5580" w:type="dxa"/>
            <w:vAlign w:val="bottom"/>
            <w:vMerge w:val="restart"/>
          </w:tcPr>
          <w:p>
            <w:pPr>
              <w:spacing w:after="0"/>
              <w:rPr>
                <w:sz w:val="20"/>
                <w:szCs w:val="20"/>
                <w:color w:val="auto"/>
              </w:rPr>
            </w:pPr>
            <w:r>
              <w:rPr>
                <w:rFonts w:ascii="Courier New" w:cs="Courier New" w:eastAsia="Courier New" w:hAnsi="Courier New"/>
                <w:sz w:val="15"/>
                <w:szCs w:val="15"/>
                <w:color w:val="auto"/>
              </w:rPr>
              <w:t>Reduction of amortization expense related to core</w:t>
            </w:r>
          </w:p>
        </w:tc>
        <w:tc>
          <w:tcPr>
            <w:tcW w:w="8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5580" w:type="dxa"/>
            <w:vAlign w:val="bottom"/>
            <w:vMerge w:val="continue"/>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(709)</w:t>
            </w:r>
          </w:p>
        </w:tc>
        <w:tc>
          <w:tcPr>
            <w:tcW w:w="0" w:type="dxa"/>
            <w:vAlign w:val="bottom"/>
          </w:tcPr>
          <w:p>
            <w:pPr>
              <w:spacing w:after="0"/>
              <w:rPr>
                <w:sz w:val="1"/>
                <w:szCs w:val="1"/>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technology, net...........................................</w:t>
            </w:r>
          </w:p>
        </w:tc>
        <w:tc>
          <w:tcPr>
            <w:tcW w:w="1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2"/>
                <w:szCs w:val="22"/>
                <w:color w:val="auto"/>
              </w:rPr>
            </w:pPr>
          </w:p>
        </w:tc>
        <w:tc>
          <w:tcPr>
            <w:tcW w:w="8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right="3079" w:firstLine="452"/>
        <w:spacing w:after="0" w:line="372" w:lineRule="auto"/>
        <w:tabs>
          <w:tab w:leader="none" w:pos="824"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the workforce-in-place and customer list for the two months ended November 30, 1999, as follows: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 expense relating to workforce-in-place of</w:t>
      </w:r>
    </w:p>
    <w:p>
      <w:pPr>
        <w:spacing w:after="0" w:line="34" w:lineRule="exact"/>
        <w:rPr>
          <w:sz w:val="20"/>
          <w:szCs w:val="20"/>
          <w:color w:val="auto"/>
        </w:rPr>
      </w:pPr>
    </w:p>
    <w:p>
      <w:pPr>
        <w:ind w:left="180"/>
        <w:spacing w:after="0"/>
        <w:tabs>
          <w:tab w:leader="dot" w:pos="5660" w:val="left"/>
        </w:tabs>
        <w:rPr>
          <w:sz w:val="20"/>
          <w:szCs w:val="20"/>
          <w:color w:val="auto"/>
        </w:rPr>
      </w:pPr>
      <w:r>
        <w:rPr>
          <w:rFonts w:ascii="Courier New" w:cs="Courier New" w:eastAsia="Courier New" w:hAnsi="Courier New"/>
          <w:sz w:val="15"/>
          <w:szCs w:val="15"/>
          <w:color w:val="auto"/>
        </w:rPr>
        <w:t>$5,407 over 5 years</w:t>
      </w:r>
      <w:r>
        <w:rPr>
          <w:sz w:val="20"/>
          <w:szCs w:val="20"/>
          <w:color w:val="auto"/>
        </w:rPr>
        <w:tab/>
      </w:r>
      <w:r>
        <w:rPr>
          <w:rFonts w:ascii="Courier New" w:cs="Courier New" w:eastAsia="Courier New" w:hAnsi="Courier New"/>
          <w:sz w:val="15"/>
          <w:szCs w:val="15"/>
          <w:color w:val="auto"/>
        </w:rPr>
        <w:t>$180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 expense relating to customer base of $647 over</w:t>
      </w:r>
    </w:p>
    <w:p>
      <w:pPr>
        <w:spacing w:after="0" w:line="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5 years</w:t>
      </w:r>
      <w:r>
        <w:rPr>
          <w:sz w:val="20"/>
          <w:szCs w:val="20"/>
          <w:color w:val="auto"/>
        </w:rPr>
        <w:tab/>
      </w:r>
      <w:r>
        <w:rPr>
          <w:rFonts w:ascii="Courier New" w:cs="Courier New" w:eastAsia="Courier New" w:hAnsi="Courier New"/>
          <w:sz w:val="15"/>
          <w:szCs w:val="15"/>
          <w:color w:val="auto"/>
        </w:rPr>
        <w:t>22</w:t>
      </w:r>
    </w:p>
    <w:p>
      <w:pPr>
        <w:spacing w:after="0" w:line="331" w:lineRule="exact"/>
        <w:rPr>
          <w:sz w:val="20"/>
          <w:szCs w:val="20"/>
          <w:color w:val="auto"/>
        </w:rPr>
      </w:pPr>
    </w:p>
    <w:p>
      <w:pPr>
        <w:ind w:right="2979" w:firstLine="452"/>
        <w:spacing w:after="0" w:line="310" w:lineRule="auto"/>
        <w:tabs>
          <w:tab w:leader="none" w:pos="82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effect resulting from the differences between the values assigned to core technology, workforce-in-place and customer list and the respective tax basis of such assets.</w:t>
      </w:r>
    </w:p>
    <w:p>
      <w:pPr>
        <w:spacing w:after="0" w:line="46" w:lineRule="exact"/>
        <w:rPr>
          <w:rFonts w:ascii="Courier New" w:cs="Courier New" w:eastAsia="Courier New" w:hAnsi="Courier New"/>
          <w:sz w:val="15"/>
          <w:szCs w:val="15"/>
          <w:color w:val="auto"/>
        </w:rPr>
      </w:pPr>
    </w:p>
    <w:p>
      <w:pPr>
        <w:ind w:left="820" w:hanging="368"/>
        <w:spacing w:after="0"/>
        <w:tabs>
          <w:tab w:leader="none" w:pos="8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elimination of ITDS transaction costs.</w:t>
      </w:r>
    </w:p>
    <w:p>
      <w:pPr>
        <w:spacing w:after="0" w:line="182" w:lineRule="exact"/>
        <w:rPr>
          <w:rFonts w:ascii="Courier New" w:cs="Courier New" w:eastAsia="Courier New" w:hAnsi="Courier New"/>
          <w:sz w:val="15"/>
          <w:szCs w:val="15"/>
          <w:color w:val="auto"/>
        </w:rPr>
      </w:pPr>
    </w:p>
    <w:p>
      <w:pPr>
        <w:ind w:right="3179" w:firstLine="452"/>
        <w:spacing w:after="0" w:line="310" w:lineRule="auto"/>
        <w:tabs>
          <w:tab w:leader="none" w:pos="82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elimination of in process research and development expenses included in Amdocs' historical financial statements as a result of the ITDS acquisition.</w:t>
      </w:r>
    </w:p>
    <w:p>
      <w:pPr>
        <w:spacing w:after="0" w:line="4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66" w:right="1440" w:bottom="1440" w:gutter="0" w:footer="0" w:header="0"/>
        </w:sectPr>
      </w:pPr>
    </w:p>
    <w:bookmarkStart w:id="22" w:name="page23"/>
    <w:bookmarkEnd w:id="22"/>
    <w:p>
      <w:pPr>
        <w:ind w:left="266"/>
        <w:spacing w:after="0"/>
        <w:rPr>
          <w:sz w:val="20"/>
          <w:szCs w:val="20"/>
          <w:color w:val="auto"/>
        </w:rPr>
      </w:pPr>
      <w:r>
        <w:rPr>
          <w:rFonts w:ascii="Courier New" w:cs="Courier New" w:eastAsia="Courier New" w:hAnsi="Courier New"/>
          <w:sz w:val="15"/>
          <w:szCs w:val="15"/>
          <w:color w:val="auto"/>
        </w:rPr>
        <w:t>22</w:t>
      </w:r>
    </w:p>
    <w:p>
      <w:pPr>
        <w:spacing w:after="0" w:line="34"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UNAUDITED PRO FORMA CONDENSED</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COMBINED STATEMENTS OF OPERATIONS -- (CONTINUED)</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(IN THOUSANDS)</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(IN U.S. DOLLARS, UNLESS OTHERWISE STATED)</w:t>
      </w:r>
    </w:p>
    <w:p>
      <w:pPr>
        <w:spacing w:after="0" w:line="154"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 SOLECT TRANSACTION:</w:t>
      </w:r>
    </w:p>
    <w:p>
      <w:pPr>
        <w:spacing w:after="0" w:line="182" w:lineRule="exact"/>
        <w:rPr>
          <w:sz w:val="20"/>
          <w:szCs w:val="20"/>
          <w:color w:val="auto"/>
        </w:rPr>
      </w:pPr>
    </w:p>
    <w:p>
      <w:pPr>
        <w:ind w:left="6" w:right="3079" w:firstLine="458"/>
        <w:spacing w:after="0" w:line="273" w:lineRule="auto"/>
        <w:rPr>
          <w:sz w:val="20"/>
          <w:szCs w:val="20"/>
          <w:color w:val="auto"/>
        </w:rPr>
      </w:pPr>
      <w:r>
        <w:rPr>
          <w:rFonts w:ascii="Courier New" w:cs="Courier New" w:eastAsia="Courier New" w:hAnsi="Courier New"/>
          <w:sz w:val="15"/>
          <w:szCs w:val="15"/>
          <w:color w:val="auto"/>
        </w:rPr>
        <w:t>Amdocs acquired Solect on April 5, 2000. Accordingly, Solect's operations are included in the historical results of Amdocs from that date. The amounts presented under the column headed Solect Historical represent the historical results of Solect for the six months ended January 31, 2000. There were no substantial changes in Solect's financial position or results of operations during the two month period ended March 31, 2000.</w:t>
      </w:r>
    </w:p>
    <w:p>
      <w:pPr>
        <w:spacing w:after="0" w:line="74" w:lineRule="exact"/>
        <w:rPr>
          <w:sz w:val="20"/>
          <w:szCs w:val="20"/>
          <w:color w:val="auto"/>
        </w:rPr>
      </w:pPr>
    </w:p>
    <w:p>
      <w:pPr>
        <w:ind w:left="6" w:right="3179" w:firstLine="452"/>
        <w:spacing w:after="0" w:line="372" w:lineRule="auto"/>
        <w:tabs>
          <w:tab w:leader="none" w:pos="83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goodwill resulting from the acquisition for the six months ended January 31, 2000:</w:t>
      </w:r>
    </w:p>
    <w:p>
      <w:pPr>
        <w:spacing w:after="0" w:line="354"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Amortization expense relating to goodwill of $986,312 over 5</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$98,631</w:t>
            </w:r>
          </w:p>
        </w:tc>
        <w:tc>
          <w:tcPr>
            <w:tcW w:w="0" w:type="dxa"/>
            <w:vAlign w:val="bottom"/>
          </w:tcPr>
          <w:p>
            <w:pPr>
              <w:spacing w:after="0"/>
              <w:rPr>
                <w:sz w:val="1"/>
                <w:szCs w:val="1"/>
                <w:color w:val="auto"/>
              </w:rPr>
            </w:pPr>
          </w:p>
        </w:tc>
      </w:tr>
      <w:tr>
        <w:trPr>
          <w:trHeight w:val="257"/>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years.....................................................</w:t>
            </w: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6" w:right="3179" w:firstLine="452"/>
        <w:spacing w:after="0" w:line="310" w:lineRule="auto"/>
        <w:tabs>
          <w:tab w:leader="none" w:pos="83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amortization of the core technology resulting from the valuation at the time of the acquisition for the six months ended January 31, 2000:</w:t>
      </w:r>
    </w:p>
    <w:p>
      <w:pPr>
        <w:spacing w:after="0" w:line="399"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Amortization expense relating to core technology of $18,259</w:t>
            </w: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$4,565</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over 2 years..............................................</w:t>
            </w:r>
          </w:p>
        </w:tc>
        <w:tc>
          <w:tcPr>
            <w:tcW w:w="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6" w:right="2979" w:firstLine="452"/>
        <w:spacing w:after="0" w:line="372" w:lineRule="auto"/>
        <w:tabs>
          <w:tab w:leader="none" w:pos="83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the workforce-in-place and customers base for the six months ended January 31, 2000, as follows:</w:t>
      </w:r>
    </w:p>
    <w:p>
      <w:pPr>
        <w:spacing w:after="0" w:line="354"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expense relating to workforce-in-place of</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$543</w:t>
            </w:r>
          </w:p>
        </w:tc>
        <w:tc>
          <w:tcPr>
            <w:tcW w:w="0" w:type="dxa"/>
            <w:vAlign w:val="bottom"/>
          </w:tcPr>
          <w:p>
            <w:pPr>
              <w:spacing w:after="0"/>
              <w:rPr>
                <w:sz w:val="1"/>
                <w:szCs w:val="1"/>
                <w:color w:val="auto"/>
              </w:rPr>
            </w:pPr>
          </w:p>
        </w:tc>
      </w:tr>
      <w:tr>
        <w:trPr>
          <w:trHeight w:val="176"/>
        </w:trPr>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$3,259</w:t>
            </w:r>
          </w:p>
        </w:tc>
        <w:tc>
          <w:tcPr>
            <w:tcW w:w="4800" w:type="dxa"/>
            <w:vAlign w:val="bottom"/>
          </w:tcPr>
          <w:p>
            <w:pPr>
              <w:ind w:left="40"/>
              <w:spacing w:after="0"/>
              <w:rPr>
                <w:sz w:val="20"/>
                <w:szCs w:val="20"/>
                <w:color w:val="auto"/>
              </w:rPr>
            </w:pPr>
            <w:r>
              <w:rPr>
                <w:rFonts w:ascii="Courier New" w:cs="Courier New" w:eastAsia="Courier New" w:hAnsi="Courier New"/>
                <w:sz w:val="15"/>
                <w:szCs w:val="15"/>
                <w:color w:val="auto"/>
              </w:rPr>
              <w:t>over 3 years.......................................</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expense relating to customer base of $1,211</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202</w:t>
            </w:r>
          </w:p>
        </w:tc>
        <w:tc>
          <w:tcPr>
            <w:tcW w:w="0" w:type="dxa"/>
            <w:vAlign w:val="bottom"/>
          </w:tcPr>
          <w:p>
            <w:pPr>
              <w:spacing w:after="0"/>
              <w:rPr>
                <w:sz w:val="1"/>
                <w:szCs w:val="1"/>
                <w:color w:val="auto"/>
              </w:rPr>
            </w:pPr>
          </w:p>
        </w:tc>
      </w:tr>
      <w:tr>
        <w:trPr>
          <w:trHeight w:val="257"/>
        </w:trPr>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over 3</w:t>
            </w:r>
          </w:p>
        </w:tc>
        <w:tc>
          <w:tcPr>
            <w:tcW w:w="48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6" w:right="3079" w:firstLine="452"/>
        <w:spacing w:after="0" w:line="310" w:lineRule="auto"/>
        <w:tabs>
          <w:tab w:leader="none" w:pos="83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effect resulting from the differences between the values assigned to core technology, workforce-in-place and customer base and their respective tax basis.</w:t>
      </w:r>
    </w:p>
    <w:p>
      <w:pPr>
        <w:spacing w:after="0" w:line="46" w:lineRule="exact"/>
        <w:rPr>
          <w:rFonts w:ascii="Courier New" w:cs="Courier New" w:eastAsia="Courier New" w:hAnsi="Courier New"/>
          <w:sz w:val="15"/>
          <w:szCs w:val="15"/>
          <w:color w:val="auto"/>
        </w:rPr>
      </w:pPr>
    </w:p>
    <w:p>
      <w:pPr>
        <w:ind w:left="6" w:right="3079" w:firstLine="452"/>
        <w:spacing w:after="0" w:line="310" w:lineRule="auto"/>
        <w:tabs>
          <w:tab w:leader="none" w:pos="83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elimination of in process research and development and other indirect acquisition related costs included in Amdocs' historical financial statements as a result of the Solect acquisition.</w:t>
      </w:r>
    </w:p>
    <w:p>
      <w:pPr>
        <w:spacing w:after="0" w:line="46" w:lineRule="exact"/>
        <w:rPr>
          <w:rFonts w:ascii="Courier New" w:cs="Courier New" w:eastAsia="Courier New" w:hAnsi="Courier New"/>
          <w:sz w:val="15"/>
          <w:szCs w:val="15"/>
          <w:color w:val="auto"/>
        </w:rPr>
      </w:pPr>
    </w:p>
    <w:p>
      <w:pPr>
        <w:ind w:left="6" w:right="3079" w:firstLine="452"/>
        <w:spacing w:after="0" w:line="372" w:lineRule="auto"/>
        <w:tabs>
          <w:tab w:leader="none" w:pos="83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decrease in interest expenses related to Solect's debentures that converted to common stock prior to the closing.</w:t>
      </w:r>
    </w:p>
    <w:p>
      <w:pPr>
        <w:spacing w:after="0" w:line="1" w:lineRule="exact"/>
        <w:rPr>
          <w:rFonts w:ascii="Courier New" w:cs="Courier New" w:eastAsia="Courier New" w:hAnsi="Courier New"/>
          <w:sz w:val="15"/>
          <w:szCs w:val="15"/>
          <w:color w:val="auto"/>
        </w:rPr>
      </w:pPr>
    </w:p>
    <w:p>
      <w:pPr>
        <w:ind w:left="366" w:right="2899" w:hanging="366"/>
        <w:spacing w:after="0" w:line="372" w:lineRule="auto"/>
        <w:tabs>
          <w:tab w:leader="none" w:pos="36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shares used in the diluted loss per share calculation does not include any stock options due to their anti-dilutive effect.</w:t>
      </w:r>
    </w:p>
    <w:p>
      <w:pPr>
        <w:spacing w:after="0" w:line="2"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5"/>
          </w:cols>
          <w:pgMar w:left="234" w:top="266" w:right="1440" w:bottom="1440" w:gutter="0" w:footer="0" w:header="0"/>
        </w:sectPr>
      </w:pPr>
    </w:p>
    <w:bookmarkStart w:id="23" w:name="page24"/>
    <w:bookmarkEnd w:id="23"/>
    <w:p>
      <w:pPr>
        <w:ind w:left="266"/>
        <w:spacing w:after="0"/>
        <w:rPr>
          <w:sz w:val="20"/>
          <w:szCs w:val="20"/>
          <w:color w:val="auto"/>
        </w:rPr>
      </w:pPr>
      <w:r>
        <w:rPr>
          <w:rFonts w:ascii="Courier New" w:cs="Courier New" w:eastAsia="Courier New" w:hAnsi="Courier New"/>
          <w:sz w:val="15"/>
          <w:szCs w:val="15"/>
          <w:color w:val="auto"/>
        </w:rPr>
        <w:t>23</w:t>
      </w:r>
    </w:p>
    <w:p>
      <w:pPr>
        <w:spacing w:after="0" w:line="182" w:lineRule="exact"/>
        <w:rPr>
          <w:sz w:val="20"/>
          <w:szCs w:val="20"/>
          <w:color w:val="auto"/>
        </w:rPr>
      </w:pPr>
    </w:p>
    <w:p>
      <w:pPr>
        <w:ind w:left="2746"/>
        <w:spacing w:after="0"/>
        <w:rPr>
          <w:sz w:val="20"/>
          <w:szCs w:val="20"/>
          <w:color w:val="auto"/>
        </w:rPr>
      </w:pPr>
      <w:r>
        <w:rPr>
          <w:rFonts w:ascii="Courier New" w:cs="Courier New" w:eastAsia="Courier New" w:hAnsi="Courier New"/>
          <w:sz w:val="15"/>
          <w:szCs w:val="15"/>
          <w:color w:val="auto"/>
        </w:rPr>
        <w:t>SELLING SHAREHOLDERS</w:t>
      </w:r>
    </w:p>
    <w:p>
      <w:pPr>
        <w:spacing w:after="0" w:line="182" w:lineRule="exact"/>
        <w:rPr>
          <w:sz w:val="20"/>
          <w:szCs w:val="20"/>
          <w:color w:val="auto"/>
        </w:rPr>
      </w:pPr>
    </w:p>
    <w:p>
      <w:pPr>
        <w:ind w:left="6" w:right="2899" w:firstLine="458"/>
        <w:spacing w:after="0" w:line="254" w:lineRule="auto"/>
        <w:rPr>
          <w:sz w:val="20"/>
          <w:szCs w:val="20"/>
          <w:color w:val="auto"/>
        </w:rPr>
      </w:pPr>
      <w:r>
        <w:rPr>
          <w:rFonts w:ascii="Courier New" w:cs="Courier New" w:eastAsia="Courier New" w:hAnsi="Courier New"/>
          <w:sz w:val="15"/>
          <w:szCs w:val="15"/>
          <w:color w:val="auto"/>
        </w:rPr>
        <w:t>On April 5, 2000, we acquired Solect in a stock-for-stock transaction. In connection with the business combination between us and Solect under a Combination Agreement dated February 28, 2000, the former common shareholders of Solect received 13,846,295 exchangeable shares of Solect, which are exchangeable or have been exchanged for 13,846,295 of our ordinary shares (these shares being referred to in this prospectus as the "Exchangeable Shares"). Before any sale of shares by this prospectus, those former common shareholders of Solect who are selling shareholders will exchange Exchangeable Shares into the ordinary shares that will be sold pursuant to this prospectus. Under the terms of a registration rights agreement dated April 5, 2000 entered into in connection with the business combination between us, Solect and some of Solect's former common shareholders, we agreed to file three registration statements under the Securities Act of 1933, each to register the sale of a third of the original registrable securities held by or issuable to the former Solect common shareholders who are parties to the registration rights agreement or subsequently agreed to be bound by it. The first and second of such registration statements were declared effective on July 5, 2000 and October 5, 2000, respectively, and this prospectus is part of the third of such registration statements. The registration rights agreement requires us to use our commercially reasonable efforts to keep such registration statements effective until the earlier of (1) April 5, 2002, (2) the date on which all of the shares covered by such registration statements have been sold, and (3) the date on which all of the shares covered by such registration statements can be sold without registration without regard to Rule 144's volume restrictions.</w:t>
      </w:r>
    </w:p>
    <w:p>
      <w:pPr>
        <w:spacing w:after="0" w:line="268" w:lineRule="exact"/>
        <w:rPr>
          <w:sz w:val="20"/>
          <w:szCs w:val="20"/>
          <w:color w:val="auto"/>
        </w:rPr>
      </w:pPr>
    </w:p>
    <w:p>
      <w:pPr>
        <w:ind w:left="6" w:right="2979" w:firstLine="458"/>
        <w:spacing w:after="0" w:line="279" w:lineRule="auto"/>
        <w:rPr>
          <w:sz w:val="20"/>
          <w:szCs w:val="20"/>
          <w:color w:val="auto"/>
        </w:rPr>
      </w:pPr>
      <w:r>
        <w:rPr>
          <w:rFonts w:ascii="Courier New" w:cs="Courier New" w:eastAsia="Courier New" w:hAnsi="Courier New"/>
          <w:sz w:val="15"/>
          <w:szCs w:val="15"/>
          <w:color w:val="auto"/>
        </w:rPr>
        <w:t>Some of the selling shareholders may distribute their shares, from time to time, to their limited and/or general partners who may sell their shares pursuant to this prospectus. The selling shareholders may also transfer shares that they own by gift, and upon such transfer, the donee would have the same right of sale as the selling shareholder.</w:t>
      </w:r>
    </w:p>
    <w:p>
      <w:pPr>
        <w:spacing w:after="0" w:line="69" w:lineRule="exact"/>
        <w:rPr>
          <w:sz w:val="20"/>
          <w:szCs w:val="20"/>
          <w:color w:val="auto"/>
        </w:rPr>
      </w:pPr>
    </w:p>
    <w:p>
      <w:pPr>
        <w:ind w:left="6" w:right="3079" w:firstLine="458"/>
        <w:spacing w:after="0" w:line="372" w:lineRule="auto"/>
        <w:rPr>
          <w:sz w:val="20"/>
          <w:szCs w:val="20"/>
          <w:color w:val="auto"/>
        </w:rPr>
      </w:pPr>
      <w:r>
        <w:rPr>
          <w:rFonts w:ascii="Courier New" w:cs="Courier New" w:eastAsia="Courier New" w:hAnsi="Courier New"/>
          <w:sz w:val="15"/>
          <w:szCs w:val="15"/>
          <w:color w:val="auto"/>
        </w:rPr>
        <w:t>The following table sets forth certain information concerning the selling shareholders:</w:t>
      </w:r>
    </w:p>
    <w:p>
      <w:pPr>
        <w:spacing w:after="0" w:line="200" w:lineRule="exact"/>
        <w:rPr>
          <w:sz w:val="20"/>
          <w:szCs w:val="20"/>
          <w:color w:val="auto"/>
        </w:rPr>
      </w:pPr>
    </w:p>
    <w:p>
      <w:pPr>
        <w:spacing w:after="0" w:line="330"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22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SHARES BENEFICIALLY</w:t>
            </w:r>
          </w:p>
        </w:tc>
        <w:tc>
          <w:tcPr>
            <w:tcW w:w="12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MAXIMUM</w:t>
            </w:r>
          </w:p>
        </w:tc>
        <w:tc>
          <w:tcPr>
            <w:tcW w:w="19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SHARES BENEFICIALLY</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OWNED</w:t>
            </w:r>
          </w:p>
        </w:tc>
        <w:tc>
          <w:tcPr>
            <w:tcW w:w="820" w:type="dxa"/>
            <w:vAlign w:val="bottom"/>
          </w:tcPr>
          <w:p>
            <w:pPr>
              <w:spacing w:after="0"/>
              <w:rPr>
                <w:sz w:val="15"/>
                <w:szCs w:val="15"/>
                <w:color w:val="auto"/>
              </w:rPr>
            </w:pPr>
          </w:p>
        </w:tc>
        <w:tc>
          <w:tcPr>
            <w:tcW w:w="12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NUMBER OF</w:t>
            </w:r>
          </w:p>
        </w:tc>
        <w:tc>
          <w:tcPr>
            <w:tcW w:w="1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OWNED AFTER THE</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2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PRIOR TO THE OFFERING</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SHARES</w:t>
            </w:r>
          </w:p>
        </w:tc>
        <w:tc>
          <w:tcPr>
            <w:tcW w:w="192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OFFERING(1)</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bscript"/>
              </w:rPr>
              <w:t>NUMBER</w:t>
            </w: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8"/>
              </w:rPr>
              <w:t>PERCENT</w:t>
            </w:r>
          </w:p>
        </w:tc>
        <w:tc>
          <w:tcPr>
            <w:tcW w:w="12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BEING</w:t>
            </w:r>
          </w:p>
        </w:tc>
        <w:tc>
          <w:tcPr>
            <w:tcW w:w="1200" w:type="dxa"/>
            <w:vAlign w:val="bottom"/>
            <w:vMerge w:val="restart"/>
          </w:tcPr>
          <w:p>
            <w:pPr>
              <w:ind w:left="180"/>
              <w:spacing w:after="0"/>
              <w:rPr>
                <w:sz w:val="20"/>
                <w:szCs w:val="20"/>
                <w:color w:val="auto"/>
              </w:rPr>
            </w:pPr>
            <w:r>
              <w:rPr>
                <w:rFonts w:ascii="Courier New" w:cs="Courier New" w:eastAsia="Courier New" w:hAnsi="Courier New"/>
                <w:sz w:val="13"/>
                <w:szCs w:val="13"/>
                <w:color w:val="auto"/>
                <w:w w:val="74"/>
                <w:vertAlign w:val="subscript"/>
              </w:rPr>
              <w:t>NUMBER</w:t>
            </w:r>
            <w:r>
              <w:rPr>
                <w:rFonts w:ascii="Courier New" w:cs="Courier New" w:eastAsia="Courier New" w:hAnsi="Courier New"/>
                <w:sz w:val="9"/>
                <w:szCs w:val="9"/>
                <w:color w:val="auto"/>
                <w:w w:val="74"/>
              </w:rPr>
              <w:t>-------------------</w:t>
            </w:r>
          </w:p>
        </w:tc>
        <w:tc>
          <w:tcPr>
            <w:tcW w:w="720" w:type="dxa"/>
            <w:vAlign w:val="bottom"/>
            <w:vMerge w:val="restart"/>
          </w:tcPr>
          <w:p>
            <w:pPr>
              <w:spacing w:after="0"/>
              <w:rPr>
                <w:sz w:val="20"/>
                <w:szCs w:val="20"/>
                <w:color w:val="auto"/>
              </w:rPr>
            </w:pPr>
            <w:r>
              <w:rPr>
                <w:rFonts w:ascii="Courier New" w:cs="Courier New" w:eastAsia="Courier New" w:hAnsi="Courier New"/>
                <w:sz w:val="15"/>
                <w:szCs w:val="15"/>
                <w:color w:val="auto"/>
              </w:rPr>
              <w:t>PERCENT</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2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OFFERED</w:t>
            </w:r>
          </w:p>
        </w:tc>
        <w:tc>
          <w:tcPr>
            <w:tcW w:w="12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200" w:type="dxa"/>
            <w:vAlign w:val="bottom"/>
          </w:tcPr>
          <w:p>
            <w:pPr>
              <w:spacing w:after="0"/>
              <w:rPr>
                <w:sz w:val="22"/>
                <w:szCs w:val="22"/>
                <w:color w:val="auto"/>
              </w:rPr>
            </w:pPr>
          </w:p>
        </w:tc>
        <w:tc>
          <w:tcPr>
            <w:tcW w:w="138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71"/>
        </w:trPr>
        <w:tc>
          <w:tcPr>
            <w:tcW w:w="3200" w:type="dxa"/>
            <w:vAlign w:val="bottom"/>
          </w:tcPr>
          <w:p>
            <w:pPr>
              <w:spacing w:after="0"/>
              <w:rPr>
                <w:sz w:val="20"/>
                <w:szCs w:val="20"/>
                <w:color w:val="auto"/>
              </w:rPr>
            </w:pPr>
            <w:r>
              <w:rPr>
                <w:rFonts w:ascii="Courier New" w:cs="Courier New" w:eastAsia="Courier New" w:hAnsi="Courier New"/>
                <w:sz w:val="15"/>
                <w:szCs w:val="15"/>
                <w:color w:val="auto"/>
              </w:rPr>
              <w:t>Telcordia Venture Capital</w:t>
            </w:r>
          </w:p>
        </w:tc>
        <w:tc>
          <w:tcPr>
            <w:tcW w:w="1380" w:type="dxa"/>
            <w:vAlign w:val="bottom"/>
            <w:vMerge w:val="restart"/>
          </w:tcPr>
          <w:p>
            <w:pPr>
              <w:jc w:val="right"/>
              <w:ind w:right="306"/>
              <w:spacing w:after="0"/>
              <w:rPr>
                <w:sz w:val="20"/>
                <w:szCs w:val="20"/>
                <w:color w:val="auto"/>
              </w:rPr>
            </w:pPr>
            <w:r>
              <w:rPr>
                <w:rFonts w:ascii="Courier New" w:cs="Courier New" w:eastAsia="Courier New" w:hAnsi="Courier New"/>
                <w:sz w:val="15"/>
                <w:szCs w:val="15"/>
                <w:color w:val="auto"/>
              </w:rPr>
              <w:t>4,611,164</w:t>
            </w:r>
          </w:p>
        </w:tc>
        <w:tc>
          <w:tcPr>
            <w:tcW w:w="8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w w:val="97"/>
              </w:rPr>
              <w:t>2.09%</w:t>
            </w:r>
          </w:p>
        </w:tc>
        <w:tc>
          <w:tcPr>
            <w:tcW w:w="12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4,611,164</w:t>
            </w:r>
          </w:p>
        </w:tc>
        <w:tc>
          <w:tcPr>
            <w:tcW w:w="120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Corporation.....................</w:t>
            </w:r>
          </w:p>
        </w:tc>
        <w:tc>
          <w:tcPr>
            <w:tcW w:w="13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Southwest Sun.....................</w:t>
            </w:r>
          </w:p>
        </w:tc>
        <w:tc>
          <w:tcPr>
            <w:tcW w:w="138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1,428,446</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1,428,446</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TCV Solect (A) SRL................</w:t>
            </w:r>
          </w:p>
        </w:tc>
        <w:tc>
          <w:tcPr>
            <w:tcW w:w="138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169,265</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169,265</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TCV Solect (B) SRL................</w:t>
            </w:r>
          </w:p>
        </w:tc>
        <w:tc>
          <w:tcPr>
            <w:tcW w:w="138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173,586</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173,586</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TCV Solect (C) SRL................</w:t>
            </w:r>
          </w:p>
        </w:tc>
        <w:tc>
          <w:tcPr>
            <w:tcW w:w="138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213,112</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213,112</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BCS Investment SRL................</w:t>
            </w:r>
          </w:p>
        </w:tc>
        <w:tc>
          <w:tcPr>
            <w:tcW w:w="138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207,539</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207,539</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WPG Networking-Software SRL.......</w:t>
            </w:r>
          </w:p>
        </w:tc>
        <w:tc>
          <w:tcPr>
            <w:tcW w:w="138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206,959</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206,959</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Cactusback &amp; Co...................</w:t>
            </w:r>
          </w:p>
        </w:tc>
        <w:tc>
          <w:tcPr>
            <w:tcW w:w="138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223,548</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223,548</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Morgan Stanley Dean Witter Equity</w:t>
            </w:r>
          </w:p>
        </w:tc>
        <w:tc>
          <w:tcPr>
            <w:tcW w:w="1380" w:type="dxa"/>
            <w:vAlign w:val="bottom"/>
            <w:vMerge w:val="restart"/>
          </w:tcPr>
          <w:p>
            <w:pPr>
              <w:jc w:val="right"/>
              <w:ind w:right="306"/>
              <w:spacing w:after="0"/>
              <w:rPr>
                <w:sz w:val="20"/>
                <w:szCs w:val="20"/>
                <w:color w:val="auto"/>
              </w:rPr>
            </w:pPr>
            <w:r>
              <w:rPr>
                <w:rFonts w:ascii="Courier New" w:cs="Courier New" w:eastAsia="Courier New" w:hAnsi="Courier New"/>
                <w:sz w:val="15"/>
                <w:szCs w:val="15"/>
                <w:color w:val="auto"/>
              </w:rPr>
              <w:t>16,603</w:t>
            </w:r>
          </w:p>
        </w:tc>
        <w:tc>
          <w:tcPr>
            <w:tcW w:w="8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16,603</w:t>
            </w:r>
          </w:p>
        </w:tc>
        <w:tc>
          <w:tcPr>
            <w:tcW w:w="120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Funding, Inc....................</w:t>
            </w:r>
          </w:p>
        </w:tc>
        <w:tc>
          <w:tcPr>
            <w:tcW w:w="13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G&amp;H Partners......................</w:t>
            </w:r>
          </w:p>
        </w:tc>
        <w:tc>
          <w:tcPr>
            <w:tcW w:w="138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1,661</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1,661</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Thomas Campbell...................</w:t>
            </w:r>
          </w:p>
        </w:tc>
        <w:tc>
          <w:tcPr>
            <w:tcW w:w="138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1,653</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1,653</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Stephen Carson....................</w:t>
            </w:r>
          </w:p>
        </w:tc>
        <w:tc>
          <w:tcPr>
            <w:tcW w:w="138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2,291</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2,291</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Raj Mehra.........................</w:t>
            </w:r>
          </w:p>
        </w:tc>
        <w:tc>
          <w:tcPr>
            <w:tcW w:w="138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1,743</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1,743</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2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Total.............................</w:t>
            </w:r>
          </w:p>
        </w:tc>
        <w:tc>
          <w:tcPr>
            <w:tcW w:w="1380" w:type="dxa"/>
            <w:vAlign w:val="bottom"/>
            <w:vMerge w:val="restart"/>
          </w:tcPr>
          <w:p>
            <w:pPr>
              <w:jc w:val="right"/>
              <w:ind w:right="306"/>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7,257,570</w:t>
            </w:r>
          </w:p>
        </w:tc>
        <w:tc>
          <w:tcPr>
            <w:tcW w:w="82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3200" w:type="dxa"/>
            <w:vAlign w:val="bottom"/>
            <w:vMerge w:val="continue"/>
          </w:tcPr>
          <w:p>
            <w:pPr>
              <w:spacing w:after="0"/>
              <w:rPr>
                <w:sz w:val="23"/>
                <w:szCs w:val="23"/>
                <w:color w:val="auto"/>
              </w:rPr>
            </w:pPr>
          </w:p>
        </w:tc>
        <w:tc>
          <w:tcPr>
            <w:tcW w:w="1380" w:type="dxa"/>
            <w:vAlign w:val="bottom"/>
            <w:vMerge w:val="continue"/>
          </w:tcPr>
          <w:p>
            <w:pPr>
              <w:spacing w:after="0"/>
              <w:rPr>
                <w:sz w:val="23"/>
                <w:szCs w:val="23"/>
                <w:color w:val="auto"/>
              </w:rPr>
            </w:pPr>
          </w:p>
        </w:tc>
        <w:tc>
          <w:tcPr>
            <w:tcW w:w="820" w:type="dxa"/>
            <w:vAlign w:val="bottom"/>
          </w:tcPr>
          <w:p>
            <w:pPr>
              <w:spacing w:after="0"/>
              <w:rPr>
                <w:sz w:val="23"/>
                <w:szCs w:val="23"/>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7,257,570</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186" w:hanging="186"/>
        <w:spacing w:after="0"/>
        <w:tabs>
          <w:tab w:leader="none" w:pos="18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 w:lineRule="exact"/>
        <w:rPr>
          <w:rFonts w:ascii="Courier New" w:cs="Courier New" w:eastAsia="Courier New" w:hAnsi="Courier New"/>
          <w:sz w:val="15"/>
          <w:szCs w:val="15"/>
          <w:color w:val="auto"/>
        </w:rPr>
      </w:pPr>
    </w:p>
    <w:p>
      <w:pPr>
        <w:ind w:left="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54" w:lineRule="exact"/>
        <w:rPr>
          <w:sz w:val="20"/>
          <w:szCs w:val="20"/>
          <w:color w:val="auto"/>
        </w:rPr>
      </w:pPr>
    </w:p>
    <w:p>
      <w:pPr>
        <w:ind w:left="366" w:right="2979" w:hanging="366"/>
        <w:spacing w:after="0" w:line="310" w:lineRule="auto"/>
        <w:tabs>
          <w:tab w:leader="none" w:pos="36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shareholders may sell from time to time all or a portion of the shares being offered. The amounts shown assume the sale of all the shares being offered by each selling shareholder.</w:t>
      </w:r>
    </w:p>
    <w:p>
      <w:pPr>
        <w:sectPr>
          <w:pgSz w:w="11900" w:h="16838" w:orient="portrait"/>
          <w:cols w:equalWidth="0" w:num="1">
            <w:col w:w="10225"/>
          </w:cols>
          <w:pgMar w:left="234" w:top="266" w:right="1440" w:bottom="1440" w:gutter="0" w:footer="0" w:header="0"/>
        </w:sectPr>
      </w:pPr>
    </w:p>
    <w:p>
      <w:pPr>
        <w:spacing w:after="0" w:line="46"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5"/>
          </w:cols>
          <w:pgMar w:left="234" w:top="266"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8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PLAN OF DISTRIBUTION</w:t>
      </w:r>
    </w:p>
    <w:p>
      <w:pPr>
        <w:spacing w:after="0" w:line="182" w:lineRule="exact"/>
        <w:rPr>
          <w:sz w:val="20"/>
          <w:szCs w:val="20"/>
          <w:color w:val="auto"/>
        </w:rPr>
      </w:pPr>
    </w:p>
    <w:p>
      <w:pPr>
        <w:ind w:right="2899" w:firstLine="458"/>
        <w:spacing w:after="0" w:line="289" w:lineRule="auto"/>
        <w:rPr>
          <w:sz w:val="20"/>
          <w:szCs w:val="20"/>
          <w:color w:val="auto"/>
        </w:rPr>
      </w:pPr>
      <w:r>
        <w:rPr>
          <w:rFonts w:ascii="Courier New" w:cs="Courier New" w:eastAsia="Courier New" w:hAnsi="Courier New"/>
          <w:sz w:val="15"/>
          <w:szCs w:val="15"/>
          <w:color w:val="auto"/>
        </w:rPr>
        <w:t>Our ordinary shares being offered by this prospectus are being registered to allow public secondary trading by the holders of such ordinary shares from time to time after the date of this prospectus. We will not receive any of the proceeds from the offering of these ordinary shares by the selling shareholders.</w:t>
      </w:r>
    </w:p>
    <w:p>
      <w:pPr>
        <w:spacing w:after="0" w:line="62" w:lineRule="exact"/>
        <w:rPr>
          <w:sz w:val="20"/>
          <w:szCs w:val="20"/>
          <w:color w:val="auto"/>
        </w:rPr>
      </w:pPr>
    </w:p>
    <w:p>
      <w:pPr>
        <w:ind w:right="2899" w:firstLine="458"/>
        <w:spacing w:after="0" w:line="264" w:lineRule="auto"/>
        <w:rPr>
          <w:sz w:val="20"/>
          <w:szCs w:val="20"/>
          <w:color w:val="auto"/>
        </w:rPr>
      </w:pPr>
      <w:r>
        <w:rPr>
          <w:rFonts w:ascii="Courier New" w:cs="Courier New" w:eastAsia="Courier New" w:hAnsi="Courier New"/>
          <w:sz w:val="15"/>
          <w:szCs w:val="15"/>
          <w:color w:val="auto"/>
        </w:rPr>
        <w:t>We have been advised by the selling shareholders that the shares offered by this prospectus may be sold from time to time by or for the account of the selling shareholders pursuant to this prospectus or pursuant to Rule 144 under the Securities Act of 1933. Sales of shares pursuant to this prospectus may be made in the over-the-counter market, on the New York Stock Exchange or otherwise at prices and on terms then prevailing or at prices related to the then current market price (in each case as determined by the selling shareholders). Sales may be made directly or through agents designated from time to time, or through dealers or underwriters to be designated or in negotiated transactions.</w:t>
      </w:r>
    </w:p>
    <w:p>
      <w:pPr>
        <w:spacing w:after="0" w:line="8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shares may be sold in one or more of the following ways:</w:t>
      </w:r>
    </w:p>
    <w:p>
      <w:pPr>
        <w:spacing w:after="0" w:line="182" w:lineRule="exact"/>
        <w:rPr>
          <w:sz w:val="20"/>
          <w:szCs w:val="20"/>
          <w:color w:val="auto"/>
        </w:rPr>
      </w:pPr>
    </w:p>
    <w:p>
      <w:pPr>
        <w:jc w:val="both"/>
        <w:ind w:left="640" w:right="2899" w:hanging="188"/>
        <w:spacing w:after="0" w:line="310" w:lineRule="auto"/>
        <w:tabs>
          <w:tab w:leader="none" w:pos="6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block trade in which the seller's broker or dealer will attempt to sell the shares as agent but may position and resell a portion of the block as principal to facilitate the transaction;</w:t>
      </w:r>
    </w:p>
    <w:p>
      <w:pPr>
        <w:spacing w:after="0" w:line="46" w:lineRule="exact"/>
        <w:rPr>
          <w:rFonts w:ascii="Courier New" w:cs="Courier New" w:eastAsia="Courier New" w:hAnsi="Courier New"/>
          <w:sz w:val="15"/>
          <w:szCs w:val="15"/>
          <w:color w:val="auto"/>
        </w:rPr>
      </w:pPr>
    </w:p>
    <w:p>
      <w:pPr>
        <w:ind w:left="640" w:right="2979" w:hanging="188"/>
        <w:spacing w:after="0" w:line="372" w:lineRule="auto"/>
        <w:tabs>
          <w:tab w:leader="none" w:pos="6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by a broker or dealer as principal and resale by the broker or dealer for their account pursuant to this prospectus;</w:t>
      </w:r>
    </w:p>
    <w:p>
      <w:pPr>
        <w:spacing w:after="0" w:line="1" w:lineRule="exact"/>
        <w:rPr>
          <w:rFonts w:ascii="Courier New" w:cs="Courier New" w:eastAsia="Courier New" w:hAnsi="Courier New"/>
          <w:sz w:val="15"/>
          <w:szCs w:val="15"/>
          <w:color w:val="auto"/>
        </w:rPr>
      </w:pPr>
    </w:p>
    <w:p>
      <w:pPr>
        <w:ind w:left="640" w:right="3259" w:hanging="188"/>
        <w:spacing w:after="0" w:line="372" w:lineRule="auto"/>
        <w:tabs>
          <w:tab w:leader="none" w:pos="6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exchange distribution in accordance with the rules of the New York Stock Exchange;</w:t>
      </w:r>
    </w:p>
    <w:p>
      <w:pPr>
        <w:spacing w:after="0" w:line="1" w:lineRule="exact"/>
        <w:rPr>
          <w:rFonts w:ascii="Courier New" w:cs="Courier New" w:eastAsia="Courier New" w:hAnsi="Courier New"/>
          <w:sz w:val="15"/>
          <w:szCs w:val="15"/>
          <w:color w:val="auto"/>
        </w:rPr>
      </w:pPr>
    </w:p>
    <w:p>
      <w:pPr>
        <w:ind w:left="640" w:right="3359" w:hanging="188"/>
        <w:spacing w:after="0" w:line="372" w:lineRule="auto"/>
        <w:tabs>
          <w:tab w:leader="none" w:pos="6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brokerage transactions and transactions in which the broker solicits purchasers;</w:t>
      </w:r>
    </w:p>
    <w:p>
      <w:pPr>
        <w:spacing w:after="0" w:line="1"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privately negotiated transactions;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put or call option transactions;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short sales; or</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underwritten public offering.</w:t>
      </w:r>
    </w:p>
    <w:p>
      <w:pPr>
        <w:spacing w:after="0" w:line="182" w:lineRule="exact"/>
        <w:rPr>
          <w:sz w:val="20"/>
          <w:szCs w:val="20"/>
          <w:color w:val="auto"/>
        </w:rPr>
      </w:pPr>
    </w:p>
    <w:p>
      <w:pPr>
        <w:ind w:right="2979" w:firstLine="458"/>
        <w:spacing w:after="0" w:line="273" w:lineRule="auto"/>
        <w:rPr>
          <w:sz w:val="20"/>
          <w:szCs w:val="20"/>
          <w:color w:val="auto"/>
        </w:rPr>
      </w:pPr>
      <w:r>
        <w:rPr>
          <w:rFonts w:ascii="Courier New" w:cs="Courier New" w:eastAsia="Courier New" w:hAnsi="Courier New"/>
          <w:sz w:val="15"/>
          <w:szCs w:val="15"/>
          <w:color w:val="auto"/>
        </w:rPr>
        <w:t>The selling shareholders may sell shares directly to other purchasers, through agents or through broker-dealers. Any selling agents or broker-dealers may receive compensation in the form of underwriting discounts, concessions or commissions from the selling shareholders, from purchasers of shares for whom they act as agents, or from both sources. That compensation may be in excess of customary commissions.</w:t>
      </w:r>
    </w:p>
    <w:p>
      <w:pPr>
        <w:spacing w:after="0" w:line="74" w:lineRule="exact"/>
        <w:rPr>
          <w:sz w:val="20"/>
          <w:szCs w:val="20"/>
          <w:color w:val="auto"/>
        </w:rPr>
      </w:pPr>
    </w:p>
    <w:p>
      <w:pPr>
        <w:ind w:right="2899" w:firstLine="458"/>
        <w:spacing w:after="0" w:line="266" w:lineRule="auto"/>
        <w:rPr>
          <w:sz w:val="20"/>
          <w:szCs w:val="20"/>
          <w:color w:val="auto"/>
        </w:rPr>
      </w:pPr>
      <w:r>
        <w:rPr>
          <w:rFonts w:ascii="Courier New" w:cs="Courier New" w:eastAsia="Courier New" w:hAnsi="Courier New"/>
          <w:sz w:val="15"/>
          <w:szCs w:val="15"/>
          <w:color w:val="auto"/>
        </w:rPr>
        <w:t>The selling shareholders and any broker-dealers that participate in the distribution of the shares may be deemed to be "underwriters" within the meaning of the Securities Act of 1933 in connection with the sales. Any commissions, and any profit on the resale of shares, received by the selling shareholders and any such broker-dealers may be deemed to be underwriting discounts and commissions. We have been advised by each of the selling shareholders that they have not, as of the date of this prospectus, entered into any arrangement with any agent, broker or dealer for the sale of the shares.</w:t>
      </w:r>
    </w:p>
    <w:p>
      <w:pPr>
        <w:spacing w:after="0" w:line="79" w:lineRule="exact"/>
        <w:rPr>
          <w:sz w:val="20"/>
          <w:szCs w:val="20"/>
          <w:color w:val="auto"/>
        </w:rPr>
      </w:pPr>
    </w:p>
    <w:p>
      <w:pPr>
        <w:ind w:right="2899" w:firstLine="458"/>
        <w:spacing w:after="0" w:line="310" w:lineRule="auto"/>
        <w:rPr>
          <w:sz w:val="20"/>
          <w:szCs w:val="20"/>
          <w:color w:val="auto"/>
        </w:rPr>
      </w:pPr>
      <w:r>
        <w:rPr>
          <w:rFonts w:ascii="Courier New" w:cs="Courier New" w:eastAsia="Courier New" w:hAnsi="Courier New"/>
          <w:sz w:val="15"/>
          <w:szCs w:val="15"/>
          <w:color w:val="auto"/>
        </w:rPr>
        <w:t>We may suspend the use of this prospectus and any supplements hereto in certain circumstances due to pending corporate developments, public filings with the SEC or similar events.</w:t>
      </w:r>
    </w:p>
    <w:p>
      <w:pPr>
        <w:spacing w:after="0" w:line="4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66"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25</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LEGAL MATTERS</w:t>
      </w:r>
    </w:p>
    <w:p>
      <w:pPr>
        <w:spacing w:after="0" w:line="182" w:lineRule="exact"/>
        <w:rPr>
          <w:sz w:val="20"/>
          <w:szCs w:val="20"/>
          <w:color w:val="auto"/>
        </w:rPr>
      </w:pPr>
    </w:p>
    <w:p>
      <w:pPr>
        <w:ind w:right="2979" w:firstLine="458"/>
        <w:spacing w:after="0" w:line="289" w:lineRule="auto"/>
        <w:rPr>
          <w:sz w:val="20"/>
          <w:szCs w:val="20"/>
          <w:color w:val="auto"/>
        </w:rPr>
      </w:pPr>
      <w:r>
        <w:rPr>
          <w:rFonts w:ascii="Courier New" w:cs="Courier New" w:eastAsia="Courier New" w:hAnsi="Courier New"/>
          <w:sz w:val="15"/>
          <w:szCs w:val="15"/>
          <w:color w:val="auto"/>
        </w:rPr>
        <w:t>The validity of the ordinary shares offered hereby will be passed upon for us by Carey Langlois, Guernsey. Certain legal matters in connection with the offering will be passed upon for us by Reboul, MacMurray, Hewitt, Maynard &amp; Kristol, New York, New York.</w:t>
      </w:r>
    </w:p>
    <w:p>
      <w:pPr>
        <w:spacing w:after="0" w:line="6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EXPERTS</w:t>
      </w:r>
    </w:p>
    <w:p>
      <w:pPr>
        <w:spacing w:after="0" w:line="359" w:lineRule="exact"/>
        <w:rPr>
          <w:sz w:val="20"/>
          <w:szCs w:val="20"/>
          <w:color w:val="auto"/>
        </w:rPr>
      </w:pPr>
    </w:p>
    <w:p>
      <w:pPr>
        <w:ind w:right="3079" w:firstLine="458"/>
        <w:spacing w:after="0" w:line="269" w:lineRule="auto"/>
        <w:rPr>
          <w:sz w:val="20"/>
          <w:szCs w:val="20"/>
          <w:color w:val="auto"/>
        </w:rPr>
      </w:pPr>
      <w:r>
        <w:rPr>
          <w:rFonts w:ascii="Courier New" w:cs="Courier New" w:eastAsia="Courier New" w:hAnsi="Courier New"/>
          <w:sz w:val="15"/>
          <w:szCs w:val="15"/>
          <w:color w:val="auto"/>
        </w:rPr>
        <w:t>Ernst &amp; Young LLP, independent auditors, have audited the Consolidated Financial Statements and Schedule of Amdocs as set forth in their report included in our Annual Report on Form 20-F/A for the year ended September 30, 2000, which is incorporated by reference in this prospectus. The Consolidated Financial Statements and Schedule of Amdocs are incorporated by reference in reliance on Ernst &amp; Young LLP's report, given on their authority as experts in accounting and auditing.</w:t>
      </w:r>
    </w:p>
    <w:p>
      <w:pPr>
        <w:spacing w:after="0" w:line="252" w:lineRule="exact"/>
        <w:rPr>
          <w:sz w:val="20"/>
          <w:szCs w:val="20"/>
          <w:color w:val="auto"/>
        </w:rPr>
      </w:pPr>
    </w:p>
    <w:p>
      <w:pPr>
        <w:ind w:right="2899" w:firstLine="458"/>
        <w:spacing w:after="0" w:line="269" w:lineRule="auto"/>
        <w:rPr>
          <w:sz w:val="20"/>
          <w:szCs w:val="20"/>
          <w:color w:val="auto"/>
        </w:rPr>
      </w:pPr>
      <w:r>
        <w:rPr>
          <w:rFonts w:ascii="Courier New" w:cs="Courier New" w:eastAsia="Courier New" w:hAnsi="Courier New"/>
          <w:sz w:val="15"/>
          <w:szCs w:val="15"/>
          <w:color w:val="auto"/>
        </w:rPr>
        <w:t>Ernst &amp; Young LLP, independent auditors, have audited the Financial Statements and Schedules of ITDS as set forth in their report included in our Registration Statement on Form F-3/A (No. 333-86609) dated October 4, 1999 and incorporated herein by reference in this prospectus from our Report of Foreign Private Issuer on Form 6-K dated December 13, 1999. The Financial Statements and Schedule of ITDS are incorporated by reference in reliance on Ernst &amp; Young LLP's report, given on their authority as experts in accounting and auditing.</w:t>
      </w:r>
    </w:p>
    <w:p>
      <w:pPr>
        <w:spacing w:after="0" w:line="76" w:lineRule="exact"/>
        <w:rPr>
          <w:sz w:val="20"/>
          <w:szCs w:val="20"/>
          <w:color w:val="auto"/>
        </w:rPr>
      </w:pPr>
    </w:p>
    <w:p>
      <w:pPr>
        <w:ind w:right="2979" w:firstLine="458"/>
        <w:spacing w:after="0" w:line="273" w:lineRule="auto"/>
        <w:rPr>
          <w:sz w:val="20"/>
          <w:szCs w:val="20"/>
          <w:color w:val="auto"/>
        </w:rPr>
      </w:pPr>
      <w:r>
        <w:rPr>
          <w:rFonts w:ascii="Courier New" w:cs="Courier New" w:eastAsia="Courier New" w:hAnsi="Courier New"/>
          <w:sz w:val="15"/>
          <w:szCs w:val="15"/>
          <w:color w:val="auto"/>
        </w:rPr>
        <w:t>Ernst &amp; Young LLP, independent auditors, have audited the Consolidated Financial Statements of Solect as set forth in their report included in our Report of Foreign Private Issuer on Form 6-K/A dated June 8, 2000, which is incorporated by reference in this prospectus. The Consolidated Financial Statements of Solect are incorporated by reference in reliance on Ernst &amp; Young LLP's report, given on their authority as experts in accounting and auditing.</w:t>
      </w:r>
    </w:p>
    <w:p>
      <w:pPr>
        <w:spacing w:after="0" w:line="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66"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PART II</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OTHER EXPENSES OF ISSUANCE AND DISTRIBUTION</w:t>
      </w:r>
    </w:p>
    <w:p>
      <w:pPr>
        <w:spacing w:after="0" w:line="182" w:lineRule="exact"/>
        <w:rPr>
          <w:sz w:val="20"/>
          <w:szCs w:val="20"/>
          <w:color w:val="auto"/>
        </w:rPr>
      </w:pPr>
    </w:p>
    <w:p>
      <w:pPr>
        <w:ind w:right="2899" w:firstLine="458"/>
        <w:spacing w:after="0" w:line="296" w:lineRule="auto"/>
        <w:rPr>
          <w:sz w:val="20"/>
          <w:szCs w:val="20"/>
          <w:color w:val="auto"/>
        </w:rPr>
      </w:pPr>
      <w:r>
        <w:rPr>
          <w:rFonts w:ascii="Courier New" w:cs="Courier New" w:eastAsia="Courier New" w:hAnsi="Courier New"/>
          <w:sz w:val="15"/>
          <w:szCs w:val="15"/>
          <w:color w:val="auto"/>
        </w:rPr>
        <w:t>The following table sets forth the various expenses to be paid by Amdocs in connection with the issuance and distribution of the securities being registered. All amounts shown are estimates except for amounts of filing and listing fees.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Securities and Exchange Commission registration fee.........</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$ 63,009</w:t>
            </w:r>
          </w:p>
        </w:tc>
        <w:tc>
          <w:tcPr>
            <w:tcW w:w="0" w:type="dxa"/>
            <w:vAlign w:val="bottom"/>
          </w:tcPr>
          <w:p>
            <w:pPr>
              <w:spacing w:after="0"/>
              <w:rPr>
                <w:sz w:val="1"/>
                <w:szCs w:val="1"/>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Legal fees and expenses.....................................</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$ 25,000</w:t>
            </w:r>
          </w:p>
        </w:tc>
        <w:tc>
          <w:tcPr>
            <w:tcW w:w="0" w:type="dxa"/>
            <w:vAlign w:val="bottom"/>
          </w:tcPr>
          <w:p>
            <w:pPr>
              <w:spacing w:after="0"/>
              <w:rPr>
                <w:sz w:val="1"/>
                <w:szCs w:val="1"/>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Registrar and Transfer Agent fees and expenses..............</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c>
          <w:tcPr>
            <w:tcW w:w="0" w:type="dxa"/>
            <w:vAlign w:val="bottom"/>
          </w:tcPr>
          <w:p>
            <w:pPr>
              <w:spacing w:after="0"/>
              <w:rPr>
                <w:sz w:val="1"/>
                <w:szCs w:val="1"/>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Accounting fees and expenses................................</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$ 20,000</w:t>
            </w:r>
          </w:p>
        </w:tc>
        <w:tc>
          <w:tcPr>
            <w:tcW w:w="0" w:type="dxa"/>
            <w:vAlign w:val="bottom"/>
          </w:tcPr>
          <w:p>
            <w:pPr>
              <w:spacing w:after="0"/>
              <w:rPr>
                <w:sz w:val="1"/>
                <w:szCs w:val="1"/>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Printing, EDGAR formatting and mailing expenses.............</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8,100</w:t>
            </w:r>
          </w:p>
        </w:tc>
        <w:tc>
          <w:tcPr>
            <w:tcW w:w="0" w:type="dxa"/>
            <w:vAlign w:val="bottom"/>
          </w:tcPr>
          <w:p>
            <w:pPr>
              <w:spacing w:after="0"/>
              <w:rPr>
                <w:sz w:val="1"/>
                <w:szCs w:val="1"/>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Miscellaneous...............................................</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5,391</w:t>
            </w:r>
          </w:p>
        </w:tc>
        <w:tc>
          <w:tcPr>
            <w:tcW w:w="0" w:type="dxa"/>
            <w:vAlign w:val="bottom"/>
          </w:tcPr>
          <w:p>
            <w:pPr>
              <w:spacing w:after="0"/>
              <w:rPr>
                <w:sz w:val="1"/>
                <w:szCs w:val="1"/>
                <w:color w:val="auto"/>
              </w:rPr>
            </w:pPr>
          </w:p>
        </w:tc>
      </w:tr>
      <w:tr>
        <w:trPr>
          <w:trHeight w:val="176"/>
        </w:trPr>
        <w:tc>
          <w:tcPr>
            <w:tcW w:w="55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Total.............................................</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580" w:type="dxa"/>
            <w:vAlign w:val="bottom"/>
            <w:vMerge w:val="continue"/>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$125,000</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INDEMNIFICATION OF DIRECTORS AND OFFICERS</w:t>
      </w:r>
    </w:p>
    <w:p>
      <w:pPr>
        <w:spacing w:after="0" w:line="182" w:lineRule="exact"/>
        <w:rPr>
          <w:sz w:val="20"/>
          <w:szCs w:val="20"/>
          <w:color w:val="auto"/>
        </w:rPr>
      </w:pPr>
    </w:p>
    <w:p>
      <w:pPr>
        <w:ind w:right="2899" w:firstLine="458"/>
        <w:spacing w:after="0" w:line="269" w:lineRule="auto"/>
        <w:rPr>
          <w:sz w:val="20"/>
          <w:szCs w:val="20"/>
          <w:color w:val="auto"/>
        </w:rPr>
      </w:pPr>
      <w:r>
        <w:rPr>
          <w:rFonts w:ascii="Courier New" w:cs="Courier New" w:eastAsia="Courier New" w:hAnsi="Courier New"/>
          <w:sz w:val="15"/>
          <w:szCs w:val="15"/>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76" w:lineRule="exact"/>
        <w:rPr>
          <w:sz w:val="20"/>
          <w:szCs w:val="20"/>
          <w:color w:val="auto"/>
        </w:rPr>
      </w:pPr>
    </w:p>
    <w:p>
      <w:pPr>
        <w:ind w:right="2899" w:firstLine="458"/>
        <w:spacing w:after="0" w:line="279" w:lineRule="auto"/>
        <w:rPr>
          <w:sz w:val="20"/>
          <w:szCs w:val="20"/>
          <w:color w:val="auto"/>
        </w:rPr>
      </w:pPr>
      <w:r>
        <w:rPr>
          <w:rFonts w:ascii="Courier New" w:cs="Courier New" w:eastAsia="Courier New" w:hAnsi="Courier New"/>
          <w:sz w:val="15"/>
          <w:szCs w:val="15"/>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69" w:lineRule="exact"/>
        <w:rPr>
          <w:sz w:val="20"/>
          <w:szCs w:val="20"/>
          <w:color w:val="auto"/>
        </w:rPr>
      </w:pPr>
    </w:p>
    <w:p>
      <w:pPr>
        <w:ind w:right="2899" w:firstLine="458"/>
        <w:spacing w:after="0" w:line="289" w:lineRule="auto"/>
        <w:rPr>
          <w:sz w:val="20"/>
          <w:szCs w:val="20"/>
          <w:color w:val="auto"/>
        </w:rPr>
      </w:pPr>
      <w:r>
        <w:rPr>
          <w:rFonts w:ascii="Courier New" w:cs="Courier New" w:eastAsia="Courier New" w:hAnsi="Courier New"/>
          <w:sz w:val="15"/>
          <w:szCs w:val="15"/>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82" w:lineRule="exact"/>
        <w:rPr>
          <w:sz w:val="20"/>
          <w:szCs w:val="20"/>
          <w:color w:val="auto"/>
        </w:rPr>
      </w:pPr>
    </w:p>
    <w:tbl>
      <w:tblPr>
        <w:tblLayout w:type="fixed"/>
        <w:tblInd w:w="180" w:type="dxa"/>
        <w:tblCellMar>
          <w:top w:w="0" w:type="dxa"/>
          <w:left w:w="0" w:type="dxa"/>
          <w:bottom w:w="0" w:type="dxa"/>
          <w:right w:w="0" w:type="dxa"/>
        </w:tblCellMar>
      </w:tblPr>
      <w:tr>
        <w:trPr>
          <w:trHeight w:val="257"/>
        </w:trPr>
        <w:tc>
          <w:tcPr>
            <w:tcW w:w="780" w:type="dxa"/>
            <w:vAlign w:val="bottom"/>
          </w:tcPr>
          <w:p>
            <w:pPr>
              <w:spacing w:after="0"/>
              <w:rPr>
                <w:sz w:val="22"/>
                <w:szCs w:val="22"/>
                <w:color w:val="auto"/>
              </w:rPr>
            </w:pPr>
          </w:p>
        </w:tc>
        <w:tc>
          <w:tcPr>
            <w:tcW w:w="5540" w:type="dxa"/>
            <w:vAlign w:val="bottom"/>
          </w:tcPr>
          <w:p>
            <w:pPr>
              <w:ind w:left="2060"/>
              <w:spacing w:after="0"/>
              <w:rPr>
                <w:sz w:val="20"/>
                <w:szCs w:val="20"/>
                <w:color w:val="auto"/>
              </w:rPr>
            </w:pPr>
            <w:r>
              <w:rPr>
                <w:rFonts w:ascii="Courier New" w:cs="Courier New" w:eastAsia="Courier New" w:hAnsi="Courier New"/>
                <w:sz w:val="15"/>
                <w:szCs w:val="15"/>
                <w:color w:val="auto"/>
              </w:rPr>
              <w:t>EXHIBIT INDEX</w:t>
            </w:r>
          </w:p>
        </w:tc>
        <w:tc>
          <w:tcPr>
            <w:tcW w:w="0" w:type="dxa"/>
            <w:vAlign w:val="bottom"/>
          </w:tcPr>
          <w:p>
            <w:pPr>
              <w:spacing w:after="0"/>
              <w:rPr>
                <w:sz w:val="1"/>
                <w:szCs w:val="1"/>
                <w:color w:val="auto"/>
              </w:rPr>
            </w:pPr>
          </w:p>
        </w:tc>
      </w:tr>
      <w:tr>
        <w:trPr>
          <w:trHeight w:val="624"/>
        </w:trPr>
        <w:tc>
          <w:tcPr>
            <w:tcW w:w="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EXHIBIT</w:t>
            </w:r>
          </w:p>
        </w:tc>
        <w:tc>
          <w:tcPr>
            <w:tcW w:w="5540" w:type="dxa"/>
            <w:vAlign w:val="bottom"/>
            <w:vMerge w:val="restart"/>
          </w:tcPr>
          <w:p>
            <w:pPr>
              <w:ind w:left="234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6"/>
        </w:trPr>
        <w:tc>
          <w:tcPr>
            <w:tcW w:w="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NO.</w:t>
            </w:r>
          </w:p>
        </w:tc>
        <w:tc>
          <w:tcPr>
            <w:tcW w:w="5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5540" w:type="dxa"/>
            <w:vAlign w:val="bottom"/>
          </w:tcPr>
          <w:p>
            <w:pPr>
              <w:ind w:left="23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w:t>
            </w:r>
          </w:p>
        </w:tc>
        <w:tc>
          <w:tcPr>
            <w:tcW w:w="5540" w:type="dxa"/>
            <w:vAlign w:val="bottom"/>
          </w:tcPr>
          <w:p>
            <w:pPr>
              <w:ind w:left="140"/>
              <w:spacing w:after="0"/>
              <w:rPr>
                <w:sz w:val="20"/>
                <w:szCs w:val="20"/>
                <w:color w:val="auto"/>
              </w:rPr>
            </w:pPr>
            <w:r>
              <w:rPr>
                <w:rFonts w:ascii="Courier New" w:cs="Courier New" w:eastAsia="Courier New" w:hAnsi="Courier New"/>
                <w:sz w:val="15"/>
                <w:szCs w:val="15"/>
                <w:color w:val="auto"/>
              </w:rPr>
              <w:t>Agreement and Plan of Merger dated as of September 3, 1999</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540" w:type="dxa"/>
            <w:vAlign w:val="bottom"/>
          </w:tcPr>
          <w:p>
            <w:pPr>
              <w:ind w:left="140"/>
              <w:spacing w:after="0"/>
              <w:rPr>
                <w:sz w:val="20"/>
                <w:szCs w:val="20"/>
                <w:color w:val="auto"/>
              </w:rPr>
            </w:pPr>
            <w:r>
              <w:rPr>
                <w:rFonts w:ascii="Courier New" w:cs="Courier New" w:eastAsia="Courier New" w:hAnsi="Courier New"/>
                <w:sz w:val="15"/>
                <w:szCs w:val="15"/>
                <w:color w:val="auto"/>
              </w:rPr>
              <w:t>among Amdocs Limited, Ivan Acquisition Corp. and</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540" w:type="dxa"/>
            <w:vAlign w:val="bottom"/>
          </w:tcPr>
          <w:p>
            <w:pPr>
              <w:ind w:left="140"/>
              <w:spacing w:after="0"/>
              <w:rPr>
                <w:sz w:val="20"/>
                <w:szCs w:val="20"/>
                <w:color w:val="auto"/>
              </w:rPr>
            </w:pPr>
            <w:r>
              <w:rPr>
                <w:rFonts w:ascii="Courier New" w:cs="Courier New" w:eastAsia="Courier New" w:hAnsi="Courier New"/>
                <w:sz w:val="15"/>
                <w:szCs w:val="15"/>
                <w:color w:val="auto"/>
              </w:rPr>
              <w:t>International Telecommunication Data Systems, Inc. (Exhibit</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540" w:type="dxa"/>
            <w:vAlign w:val="bottom"/>
          </w:tcPr>
          <w:p>
            <w:pPr>
              <w:ind w:left="140"/>
              <w:spacing w:after="0"/>
              <w:rPr>
                <w:sz w:val="20"/>
                <w:szCs w:val="20"/>
                <w:color w:val="auto"/>
              </w:rPr>
            </w:pPr>
            <w:r>
              <w:rPr>
                <w:rFonts w:ascii="Courier New" w:cs="Courier New" w:eastAsia="Courier New" w:hAnsi="Courier New"/>
                <w:sz w:val="15"/>
                <w:szCs w:val="15"/>
                <w:color w:val="auto"/>
              </w:rPr>
              <w:t>2.1 to Amdocs' Current Report on Form 6-K dated September</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2.2</w:t>
            </w:r>
          </w:p>
        </w:tc>
        <w:tc>
          <w:tcPr>
            <w:tcW w:w="5540" w:type="dxa"/>
            <w:vAlign w:val="bottom"/>
          </w:tcPr>
          <w:p>
            <w:pPr>
              <w:ind w:left="140"/>
              <w:spacing w:after="0"/>
              <w:rPr>
                <w:sz w:val="20"/>
                <w:szCs w:val="20"/>
                <w:color w:val="auto"/>
              </w:rPr>
            </w:pPr>
            <w:r>
              <w:rPr>
                <w:rFonts w:ascii="Courier New" w:cs="Courier New" w:eastAsia="Courier New" w:hAnsi="Courier New"/>
                <w:sz w:val="15"/>
                <w:szCs w:val="15"/>
                <w:color w:val="auto"/>
              </w:rPr>
              <w:t>10, 1999)</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540" w:type="dxa"/>
            <w:vAlign w:val="bottom"/>
          </w:tcPr>
          <w:p>
            <w:pPr>
              <w:ind w:left="140"/>
              <w:spacing w:after="0"/>
              <w:rPr>
                <w:sz w:val="20"/>
                <w:szCs w:val="20"/>
                <w:color w:val="auto"/>
              </w:rPr>
            </w:pPr>
            <w:r>
              <w:rPr>
                <w:rFonts w:ascii="Courier New" w:cs="Courier New" w:eastAsia="Courier New" w:hAnsi="Courier New"/>
                <w:sz w:val="15"/>
                <w:szCs w:val="15"/>
                <w:color w:val="auto"/>
              </w:rPr>
              <w:t>Combination Agreement dated as of February 28, 2000 among</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540" w:type="dxa"/>
            <w:vAlign w:val="bottom"/>
          </w:tcPr>
          <w:p>
            <w:pPr>
              <w:ind w:left="140"/>
              <w:spacing w:after="0"/>
              <w:rPr>
                <w:sz w:val="20"/>
                <w:szCs w:val="20"/>
                <w:color w:val="auto"/>
              </w:rPr>
            </w:pPr>
            <w:r>
              <w:rPr>
                <w:rFonts w:ascii="Courier New" w:cs="Courier New" w:eastAsia="Courier New" w:hAnsi="Courier New"/>
                <w:sz w:val="15"/>
                <w:szCs w:val="15"/>
                <w:color w:val="auto"/>
              </w:rPr>
              <w:t>Amdocs Limited, Solect Technology Group Inc., Amdocs</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540" w:type="dxa"/>
            <w:vAlign w:val="bottom"/>
          </w:tcPr>
          <w:p>
            <w:pPr>
              <w:ind w:left="140"/>
              <w:spacing w:after="0"/>
              <w:rPr>
                <w:sz w:val="20"/>
                <w:szCs w:val="20"/>
                <w:color w:val="auto"/>
              </w:rPr>
            </w:pPr>
            <w:r>
              <w:rPr>
                <w:rFonts w:ascii="Courier New" w:cs="Courier New" w:eastAsia="Courier New" w:hAnsi="Courier New"/>
                <w:sz w:val="15"/>
                <w:szCs w:val="15"/>
                <w:color w:val="auto"/>
              </w:rPr>
              <w:t>(Denmark) ApS. and Amdocs Holdings ULC (Exhibit 2.1 to</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2.3</w:t>
            </w:r>
          </w:p>
        </w:tc>
        <w:tc>
          <w:tcPr>
            <w:tcW w:w="5540" w:type="dxa"/>
            <w:vAlign w:val="bottom"/>
          </w:tcPr>
          <w:p>
            <w:pPr>
              <w:ind w:left="140"/>
              <w:spacing w:after="0"/>
              <w:rPr>
                <w:sz w:val="20"/>
                <w:szCs w:val="20"/>
                <w:color w:val="auto"/>
              </w:rPr>
            </w:pPr>
            <w:r>
              <w:rPr>
                <w:rFonts w:ascii="Courier New" w:cs="Courier New" w:eastAsia="Courier New" w:hAnsi="Courier New"/>
                <w:sz w:val="15"/>
                <w:szCs w:val="15"/>
                <w:color w:val="auto"/>
              </w:rPr>
              <w:t>Amdocs' Current Report on Form 6-K dated March 3, 2000)</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540" w:type="dxa"/>
            <w:vAlign w:val="bottom"/>
          </w:tcPr>
          <w:p>
            <w:pPr>
              <w:ind w:left="140"/>
              <w:spacing w:after="0"/>
              <w:rPr>
                <w:sz w:val="20"/>
                <w:szCs w:val="20"/>
                <w:color w:val="auto"/>
              </w:rPr>
            </w:pPr>
            <w:r>
              <w:rPr>
                <w:rFonts w:ascii="Courier New" w:cs="Courier New" w:eastAsia="Courier New" w:hAnsi="Courier New"/>
                <w:sz w:val="15"/>
                <w:szCs w:val="15"/>
                <w:color w:val="auto"/>
              </w:rPr>
              <w:t>Principal Securityholders Voting Agreement dated as of</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540" w:type="dxa"/>
            <w:vAlign w:val="bottom"/>
          </w:tcPr>
          <w:p>
            <w:pPr>
              <w:ind w:left="140"/>
              <w:spacing w:after="0"/>
              <w:rPr>
                <w:sz w:val="20"/>
                <w:szCs w:val="20"/>
                <w:color w:val="auto"/>
              </w:rPr>
            </w:pPr>
            <w:r>
              <w:rPr>
                <w:rFonts w:ascii="Courier New" w:cs="Courier New" w:eastAsia="Courier New" w:hAnsi="Courier New"/>
                <w:sz w:val="15"/>
                <w:szCs w:val="15"/>
                <w:color w:val="auto"/>
              </w:rPr>
              <w:t>February 28, 2000 among Amdocs Limited, Solect Technology</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540" w:type="dxa"/>
            <w:vAlign w:val="bottom"/>
          </w:tcPr>
          <w:p>
            <w:pPr>
              <w:ind w:left="140"/>
              <w:spacing w:after="0"/>
              <w:rPr>
                <w:sz w:val="20"/>
                <w:szCs w:val="20"/>
                <w:color w:val="auto"/>
              </w:rPr>
            </w:pPr>
            <w:r>
              <w:rPr>
                <w:rFonts w:ascii="Courier New" w:cs="Courier New" w:eastAsia="Courier New" w:hAnsi="Courier New"/>
                <w:sz w:val="15"/>
                <w:szCs w:val="15"/>
                <w:color w:val="auto"/>
              </w:rPr>
              <w:t>Group Inc., Amdocs (Denmark) ApS. and Amdocs Holdings ULC</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540" w:type="dxa"/>
            <w:vAlign w:val="bottom"/>
          </w:tcPr>
          <w:p>
            <w:pPr>
              <w:ind w:left="140"/>
              <w:spacing w:after="0"/>
              <w:rPr>
                <w:sz w:val="20"/>
                <w:szCs w:val="20"/>
                <w:color w:val="auto"/>
              </w:rPr>
            </w:pPr>
            <w:r>
              <w:rPr>
                <w:rFonts w:ascii="Courier New" w:cs="Courier New" w:eastAsia="Courier New" w:hAnsi="Courier New"/>
                <w:sz w:val="15"/>
                <w:szCs w:val="15"/>
                <w:color w:val="auto"/>
              </w:rPr>
              <w:t>(Exhibit 2.2 to Amdocs' Current Report on Form 6-K dated</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5540" w:type="dxa"/>
            <w:vAlign w:val="bottom"/>
          </w:tcPr>
          <w:p>
            <w:pPr>
              <w:ind w:left="140"/>
              <w:spacing w:after="0"/>
              <w:rPr>
                <w:sz w:val="20"/>
                <w:szCs w:val="20"/>
                <w:color w:val="auto"/>
              </w:rPr>
            </w:pPr>
            <w:r>
              <w:rPr>
                <w:rFonts w:ascii="Courier New" w:cs="Courier New" w:eastAsia="Courier New" w:hAnsi="Courier New"/>
                <w:sz w:val="15"/>
                <w:szCs w:val="15"/>
                <w:color w:val="auto"/>
              </w:rPr>
              <w:t>March 3, 2000)</w:t>
            </w:r>
          </w:p>
        </w:tc>
        <w:tc>
          <w:tcPr>
            <w:tcW w:w="0" w:type="dxa"/>
            <w:vAlign w:val="bottom"/>
          </w:tcPr>
          <w:p>
            <w:pPr>
              <w:spacing w:after="0"/>
              <w:rPr>
                <w:sz w:val="1"/>
                <w:szCs w:val="1"/>
                <w:color w:val="auto"/>
              </w:rPr>
            </w:pPr>
          </w:p>
        </w:tc>
      </w:tr>
      <w:tr>
        <w:trPr>
          <w:trHeight w:val="529"/>
        </w:trPr>
        <w:tc>
          <w:tcPr>
            <w:tcW w:w="780" w:type="dxa"/>
            <w:vAlign w:val="bottom"/>
          </w:tcPr>
          <w:p>
            <w:pPr>
              <w:spacing w:after="0"/>
              <w:rPr>
                <w:sz w:val="24"/>
                <w:szCs w:val="24"/>
                <w:color w:val="auto"/>
              </w:rPr>
            </w:pPr>
          </w:p>
        </w:tc>
        <w:tc>
          <w:tcPr>
            <w:tcW w:w="5540" w:type="dxa"/>
            <w:vAlign w:val="bottom"/>
          </w:tcPr>
          <w:p>
            <w:pPr>
              <w:ind w:left="2600"/>
              <w:spacing w:after="0"/>
              <w:rPr>
                <w:sz w:val="20"/>
                <w:szCs w:val="20"/>
                <w:color w:val="auto"/>
              </w:rPr>
            </w:pPr>
            <w:r>
              <w:rPr>
                <w:rFonts w:ascii="Courier New" w:cs="Courier New" w:eastAsia="Courier New" w:hAnsi="Courier New"/>
                <w:sz w:val="15"/>
                <w:szCs w:val="15"/>
                <w:color w:val="auto"/>
              </w:rPr>
              <w:t>II-1</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6" w:right="1440"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27</w:t>
            </w:r>
          </w:p>
        </w:tc>
        <w:tc>
          <w:tcPr>
            <w:tcW w:w="5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4"/>
        </w:trPr>
        <w:tc>
          <w:tcPr>
            <w:tcW w:w="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EXHIBIT</w:t>
            </w:r>
          </w:p>
        </w:tc>
        <w:tc>
          <w:tcPr>
            <w:tcW w:w="5640" w:type="dxa"/>
            <w:vAlign w:val="bottom"/>
            <w:vMerge w:val="restart"/>
          </w:tcPr>
          <w:p>
            <w:pPr>
              <w:ind w:left="234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6"/>
        </w:trPr>
        <w:tc>
          <w:tcPr>
            <w:tcW w:w="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NO.</w:t>
            </w:r>
          </w:p>
        </w:tc>
        <w:tc>
          <w:tcPr>
            <w:tcW w:w="5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23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4.1</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Specimen certificate for the ordinary shares of the</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Registrant (Exhibit 4.1 to Amdocs' Registration Statement on</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4.2</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Form F-1 dated June 19, 1998; Registration Number 333-8826)</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Stock Option and Incentive Plan, as amended, of Amdocs</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(Exhibit 4.2 to Amdocs' Registration Statement on Form F-1</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4.3</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dated June 19, 1998; Registration No. 333-8826)</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Note Purchase Agreement, dated as of September 22, 1997,</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among European Software Marketing Ltd., WCAS Capital</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Partners III, L.P., as Agent, and the several Purchasers</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named in Schedule 1 thereto (Exhibit 4.3 to Amdocs'</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Registration Statement on Form F-1 dated June 19, 1998;</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4.4</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Registration No. 333-8826)</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Amended and Restated Credit Agreement, dated as of June 29,</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1998, among European Software Marketing Limited, the other</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subsidiaries of Amdocs named therein, the Initial Lenders,</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Initial Issuing Bank and Swing Line Bank named therein, and</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NationsBank, N.A., as Administrative Agent and the Bank of</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Nova Scotia, as Syndication Agent (Exhibit 4.4 to Amdocs'</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Registration Statement on Form F-1 dated June 7, 1999;</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4.5</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Registration No. 333-75151)</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Amendment No. 1, dated December 16, 1999, to the Amended and</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Restated Credit Agreement among European Software Marketing</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Ltd., the other subsidiaries of Amdocs named therein, the</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Lenders, Initial Issuing Bank and Swing Line Bank named</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therein, and Bank of America, N.A., as Administrative Agent</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and the Bank of Nova Scotia, as Syndication Agent. (Exhibit</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4.5 to Amdocs' Registration Statement on Form F-3, dated</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4.6</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June 14, 2000, Registration No. 333-39278)</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Letter Amendment and Waiver No. 2, dated February 29, 2000,</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to the Amended and Restated Credit Agreement among European</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Software Marketing Ltd., the other subsidiaries of Amdocs</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named therein, the Lenders, Initial Issuing Bank and Swing</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Line Bank named therein, and Bank of America, N.A., as</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Administrative Agent and the Bank of Nova Scotia, as</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Syndication Agent. (Exhibit 4.6 to Amdocs' Registration</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Statement on Form F-3, dated June 14, 2000, Registration No.</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4.7</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333-39278)</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Share Subscription Agreement, dated as of September 22,</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(Exhibit 4.5 to Amdocs' Registration Statement on Form F-1</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4.8</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dated June 19, 1998; Registration No. 333-8826)</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Conditional Investment Agreement, dated as of September 22,</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(Exhibit 4.6 to Amdocs' Registration Statement on Form F-1</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4.9</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dated June 19, 1998; Registration No. 333-8826)</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Letter Agreement, dated September 22, 1997, as amended as of</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May 20, 1998, between Amdocs and Welsh, Carson, Anderson and</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Stowe, on behalf of the Investors named therein (Exhibit 4.7</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to Amdocs' Registration Statement on Form F-1 dated June 19,</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4.10</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1998; Registration No. 333-8826)</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Letter of Understanding, dated September 22, 1997, between</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Amdocs and Welsh, Carson, Anderson and Stowe, on behalf of</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the Investors named therein (Exhibit 4.8 to Amdocs'</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Registration Statement on Form F-1 dated June 19, 1998;</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4.11</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Registration No. 333-8826)</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Shareholders Agreement, Summary of Terms, dated September</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22, 1997 (Exhibit 4.9 to Amdocs' Registration Statement on</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4.12</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Form F-1 dated June 19, 1998; Registration No. 333-8826)</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Certain proxies executed by investment partnerships</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affiliated with Welsh, Carson, Anderson and Stowe and</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certain other entities in favor of Conbond Holding Company</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Ltd. (Exhibit 4.10 to Amdocs' Registration Statement on Form</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F-1 dated June 19, 1998; Registration No. 333-8826)</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039"/>
          </w:cols>
          <w:pgMar w:left="420" w:top="266" w:right="1440" w:bottom="1440" w:gutter="0" w:footer="0" w:header="0"/>
        </w:sectPr>
      </w:pPr>
    </w:p>
    <w:bookmarkStart w:id="28" w:name="page29"/>
    <w:bookmarkEnd w:id="28"/>
    <w:tbl>
      <w:tblPr>
        <w:tblLayout w:type="fixed"/>
        <w:tblInd w:w="186" w:type="dxa"/>
        <w:tblCellMar>
          <w:top w:w="0" w:type="dxa"/>
          <w:left w:w="0" w:type="dxa"/>
          <w:bottom w:w="0" w:type="dxa"/>
          <w:right w:w="0" w:type="dxa"/>
        </w:tblCellMar>
      </w:tblPr>
      <w:tr>
        <w:trPr>
          <w:trHeight w:val="257"/>
        </w:trPr>
        <w:tc>
          <w:tcPr>
            <w:tcW w:w="7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28</w:t>
            </w:r>
          </w:p>
        </w:tc>
        <w:tc>
          <w:tcPr>
            <w:tcW w:w="4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00"/>
        </w:trPr>
        <w:tc>
          <w:tcPr>
            <w:tcW w:w="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EXHIBIT</w:t>
            </w:r>
          </w:p>
        </w:tc>
        <w:tc>
          <w:tcPr>
            <w:tcW w:w="4900" w:type="dxa"/>
            <w:vAlign w:val="bottom"/>
            <w:vMerge w:val="restart"/>
          </w:tcPr>
          <w:p>
            <w:pPr>
              <w:ind w:left="234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6"/>
        </w:trPr>
        <w:tc>
          <w:tcPr>
            <w:tcW w:w="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NO.</w:t>
            </w:r>
          </w:p>
        </w:tc>
        <w:tc>
          <w:tcPr>
            <w:tcW w:w="4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4900" w:type="dxa"/>
            <w:vAlign w:val="bottom"/>
          </w:tcPr>
          <w:p>
            <w:pPr>
              <w:ind w:left="23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*5.1</w:t>
            </w:r>
          </w:p>
        </w:tc>
        <w:tc>
          <w:tcPr>
            <w:tcW w:w="4900" w:type="dxa"/>
            <w:vAlign w:val="bottom"/>
          </w:tcPr>
          <w:p>
            <w:pPr>
              <w:ind w:left="140"/>
              <w:spacing w:after="0"/>
              <w:rPr>
                <w:sz w:val="20"/>
                <w:szCs w:val="20"/>
                <w:color w:val="auto"/>
              </w:rPr>
            </w:pPr>
            <w:r>
              <w:rPr>
                <w:rFonts w:ascii="Courier New" w:cs="Courier New" w:eastAsia="Courier New" w:hAnsi="Courier New"/>
                <w:sz w:val="15"/>
                <w:szCs w:val="15"/>
                <w:color w:val="auto"/>
              </w:rPr>
              <w:t>Opinion of Carey Langlois</w:t>
            </w:r>
          </w:p>
        </w:tc>
        <w:tc>
          <w:tcPr>
            <w:tcW w:w="0" w:type="dxa"/>
            <w:vAlign w:val="bottom"/>
          </w:tcPr>
          <w:p>
            <w:pPr>
              <w:spacing w:after="0"/>
              <w:rPr>
                <w:sz w:val="1"/>
                <w:szCs w:val="1"/>
                <w:color w:val="auto"/>
              </w:rPr>
            </w:pPr>
          </w:p>
        </w:tc>
      </w:tr>
      <w:tr>
        <w:trPr>
          <w:trHeight w:val="176"/>
        </w:trPr>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**23.1</w:t>
            </w:r>
          </w:p>
        </w:tc>
        <w:tc>
          <w:tcPr>
            <w:tcW w:w="4900" w:type="dxa"/>
            <w:vAlign w:val="bottom"/>
          </w:tcPr>
          <w:p>
            <w:pPr>
              <w:ind w:left="140"/>
              <w:spacing w:after="0"/>
              <w:rPr>
                <w:sz w:val="20"/>
                <w:szCs w:val="20"/>
                <w:color w:val="auto"/>
              </w:rPr>
            </w:pPr>
            <w:r>
              <w:rPr>
                <w:rFonts w:ascii="Courier New" w:cs="Courier New" w:eastAsia="Courier New" w:hAnsi="Courier New"/>
                <w:sz w:val="15"/>
                <w:szCs w:val="15"/>
                <w:color w:val="auto"/>
              </w:rPr>
              <w:t>Consent of Ernst &amp; Young LLP, independent auditors.</w:t>
            </w:r>
          </w:p>
        </w:tc>
        <w:tc>
          <w:tcPr>
            <w:tcW w:w="0" w:type="dxa"/>
            <w:vAlign w:val="bottom"/>
          </w:tcPr>
          <w:p>
            <w:pPr>
              <w:spacing w:after="0"/>
              <w:rPr>
                <w:sz w:val="1"/>
                <w:szCs w:val="1"/>
                <w:color w:val="auto"/>
              </w:rPr>
            </w:pPr>
          </w:p>
        </w:tc>
      </w:tr>
      <w:tr>
        <w:trPr>
          <w:trHeight w:val="176"/>
        </w:trPr>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*23.2</w:t>
            </w:r>
          </w:p>
        </w:tc>
        <w:tc>
          <w:tcPr>
            <w:tcW w:w="4900" w:type="dxa"/>
            <w:vAlign w:val="bottom"/>
          </w:tcPr>
          <w:p>
            <w:pPr>
              <w:ind w:left="140"/>
              <w:spacing w:after="0"/>
              <w:rPr>
                <w:sz w:val="20"/>
                <w:szCs w:val="20"/>
                <w:color w:val="auto"/>
              </w:rPr>
            </w:pPr>
            <w:r>
              <w:rPr>
                <w:rFonts w:ascii="Courier New" w:cs="Courier New" w:eastAsia="Courier New" w:hAnsi="Courier New"/>
                <w:sz w:val="15"/>
                <w:szCs w:val="15"/>
                <w:color w:val="auto"/>
              </w:rPr>
              <w:t>Consent of Ernst &amp; Young LLP, independent auditors.</w:t>
            </w:r>
          </w:p>
        </w:tc>
        <w:tc>
          <w:tcPr>
            <w:tcW w:w="0" w:type="dxa"/>
            <w:vAlign w:val="bottom"/>
          </w:tcPr>
          <w:p>
            <w:pPr>
              <w:spacing w:after="0"/>
              <w:rPr>
                <w:sz w:val="1"/>
                <w:szCs w:val="1"/>
                <w:color w:val="auto"/>
              </w:rPr>
            </w:pPr>
          </w:p>
        </w:tc>
      </w:tr>
      <w:tr>
        <w:trPr>
          <w:trHeight w:val="176"/>
        </w:trPr>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*23.3</w:t>
            </w:r>
          </w:p>
        </w:tc>
        <w:tc>
          <w:tcPr>
            <w:tcW w:w="4900" w:type="dxa"/>
            <w:vAlign w:val="bottom"/>
          </w:tcPr>
          <w:p>
            <w:pPr>
              <w:ind w:left="140"/>
              <w:spacing w:after="0"/>
              <w:rPr>
                <w:sz w:val="20"/>
                <w:szCs w:val="20"/>
                <w:color w:val="auto"/>
              </w:rPr>
            </w:pPr>
            <w:r>
              <w:rPr>
                <w:rFonts w:ascii="Courier New" w:cs="Courier New" w:eastAsia="Courier New" w:hAnsi="Courier New"/>
                <w:sz w:val="15"/>
                <w:szCs w:val="15"/>
                <w:color w:val="auto"/>
              </w:rPr>
              <w:t>Consent of Ernst &amp; Young LLP, independent auditors.</w:t>
            </w:r>
          </w:p>
        </w:tc>
        <w:tc>
          <w:tcPr>
            <w:tcW w:w="0" w:type="dxa"/>
            <w:vAlign w:val="bottom"/>
          </w:tcPr>
          <w:p>
            <w:pPr>
              <w:spacing w:after="0"/>
              <w:rPr>
                <w:sz w:val="1"/>
                <w:szCs w:val="1"/>
                <w:color w:val="auto"/>
              </w:rPr>
            </w:pPr>
          </w:p>
        </w:tc>
      </w:tr>
      <w:tr>
        <w:trPr>
          <w:trHeight w:val="176"/>
        </w:trPr>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*23.4</w:t>
            </w:r>
          </w:p>
        </w:tc>
        <w:tc>
          <w:tcPr>
            <w:tcW w:w="4900" w:type="dxa"/>
            <w:vAlign w:val="bottom"/>
          </w:tcPr>
          <w:p>
            <w:pPr>
              <w:ind w:left="140"/>
              <w:spacing w:after="0"/>
              <w:rPr>
                <w:sz w:val="20"/>
                <w:szCs w:val="20"/>
                <w:color w:val="auto"/>
              </w:rPr>
            </w:pPr>
            <w:r>
              <w:rPr>
                <w:rFonts w:ascii="Courier New" w:cs="Courier New" w:eastAsia="Courier New" w:hAnsi="Courier New"/>
                <w:sz w:val="15"/>
                <w:szCs w:val="15"/>
                <w:color w:val="auto"/>
              </w:rPr>
              <w:t>Consent of Carey Langlois (included in Exhibit 5.1).</w:t>
            </w:r>
          </w:p>
        </w:tc>
        <w:tc>
          <w:tcPr>
            <w:tcW w:w="0" w:type="dxa"/>
            <w:vAlign w:val="bottom"/>
          </w:tcPr>
          <w:p>
            <w:pPr>
              <w:spacing w:after="0"/>
              <w:rPr>
                <w:sz w:val="1"/>
                <w:szCs w:val="1"/>
                <w:color w:val="auto"/>
              </w:rPr>
            </w:pPr>
          </w:p>
        </w:tc>
      </w:tr>
      <w:tr>
        <w:trPr>
          <w:trHeight w:val="176"/>
        </w:trPr>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*24.1</w:t>
            </w:r>
          </w:p>
        </w:tc>
        <w:tc>
          <w:tcPr>
            <w:tcW w:w="4900" w:type="dxa"/>
            <w:vAlign w:val="bottom"/>
          </w:tcPr>
          <w:p>
            <w:pPr>
              <w:ind w:left="140"/>
              <w:spacing w:after="0"/>
              <w:rPr>
                <w:sz w:val="20"/>
                <w:szCs w:val="20"/>
                <w:color w:val="auto"/>
              </w:rPr>
            </w:pPr>
            <w:r>
              <w:rPr>
                <w:rFonts w:ascii="Courier New" w:cs="Courier New" w:eastAsia="Courier New" w:hAnsi="Courier New"/>
                <w:sz w:val="15"/>
                <w:szCs w:val="15"/>
                <w:color w:val="auto"/>
              </w:rPr>
              <w:t>Powers of Attorney (contained on the signature pages</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4900" w:type="dxa"/>
            <w:vAlign w:val="bottom"/>
          </w:tcPr>
          <w:p>
            <w:pPr>
              <w:ind w:left="140"/>
              <w:spacing w:after="0"/>
              <w:rPr>
                <w:sz w:val="20"/>
                <w:szCs w:val="20"/>
                <w:color w:val="auto"/>
              </w:rPr>
            </w:pPr>
            <w:r>
              <w:rPr>
                <w:rFonts w:ascii="Courier New" w:cs="Courier New" w:eastAsia="Courier New" w:hAnsi="Courier New"/>
                <w:sz w:val="15"/>
                <w:szCs w:val="15"/>
                <w:color w:val="auto"/>
              </w:rPr>
              <w:t>hereof).</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left="186" w:hanging="186"/>
        <w:spacing w:after="0"/>
        <w:tabs>
          <w:tab w:leader="none" w:pos="18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8"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previously.</w:t>
      </w:r>
    </w:p>
    <w:p>
      <w:pPr>
        <w:spacing w:after="0" w:line="200" w:lineRule="exact"/>
        <w:rPr>
          <w:sz w:val="20"/>
          <w:szCs w:val="20"/>
          <w:color w:val="auto"/>
        </w:rPr>
      </w:pPr>
    </w:p>
    <w:p>
      <w:pPr>
        <w:spacing w:after="0" w:line="33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Filed herewith.</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ITEM 17. UNDERTAKINGS</w:t>
      </w:r>
    </w:p>
    <w:p>
      <w:pPr>
        <w:spacing w:after="0" w:line="182" w:lineRule="exact"/>
        <w:rPr>
          <w:sz w:val="20"/>
          <w:szCs w:val="20"/>
          <w:color w:val="auto"/>
        </w:rPr>
      </w:pPr>
    </w:p>
    <w:p>
      <w:pPr>
        <w:ind w:left="6" w:right="2899" w:firstLine="458"/>
        <w:spacing w:after="0" w:line="257"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provisions described in Item 15,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90"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82" w:lineRule="exact"/>
        <w:rPr>
          <w:sz w:val="20"/>
          <w:szCs w:val="20"/>
          <w:color w:val="auto"/>
        </w:rPr>
      </w:pPr>
    </w:p>
    <w:p>
      <w:pPr>
        <w:ind w:left="6" w:right="3079" w:firstLine="452"/>
        <w:spacing w:after="0" w:line="372" w:lineRule="auto"/>
        <w:tabs>
          <w:tab w:leader="none" w:pos="83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 w:lineRule="exact"/>
        <w:rPr>
          <w:rFonts w:ascii="Courier New" w:cs="Courier New" w:eastAsia="Courier New" w:hAnsi="Courier New"/>
          <w:sz w:val="15"/>
          <w:szCs w:val="15"/>
          <w:color w:val="auto"/>
        </w:rPr>
      </w:pPr>
    </w:p>
    <w:p>
      <w:pPr>
        <w:ind w:left="466" w:right="3359" w:firstLine="450"/>
        <w:spacing w:after="0" w:line="372" w:lineRule="auto"/>
        <w:tabs>
          <w:tab w:leader="none" w:pos="1291"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 w:lineRule="exact"/>
        <w:rPr>
          <w:rFonts w:ascii="Courier New" w:cs="Courier New" w:eastAsia="Courier New" w:hAnsi="Courier New"/>
          <w:sz w:val="15"/>
          <w:szCs w:val="15"/>
          <w:color w:val="auto"/>
        </w:rPr>
      </w:pPr>
    </w:p>
    <w:p>
      <w:pPr>
        <w:ind w:left="466" w:right="2979" w:firstLine="450"/>
        <w:spacing w:after="0" w:line="259" w:lineRule="auto"/>
        <w:tabs>
          <w:tab w:leader="none" w:pos="1382"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2" w:lineRule="exact"/>
        <w:rPr>
          <w:rFonts w:ascii="Courier New" w:cs="Courier New" w:eastAsia="Courier New" w:hAnsi="Courier New"/>
          <w:sz w:val="15"/>
          <w:szCs w:val="15"/>
          <w:color w:val="auto"/>
        </w:rPr>
      </w:pPr>
    </w:p>
    <w:p>
      <w:pPr>
        <w:jc w:val="both"/>
        <w:ind w:left="466" w:right="2979" w:firstLine="450"/>
        <w:spacing w:after="0" w:line="310" w:lineRule="auto"/>
        <w:tabs>
          <w:tab w:leader="none" w:pos="1474"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46" w:lineRule="exact"/>
        <w:rPr>
          <w:sz w:val="20"/>
          <w:szCs w:val="20"/>
          <w:color w:val="auto"/>
        </w:rPr>
      </w:pPr>
    </w:p>
    <w:p>
      <w:pPr>
        <w:ind w:left="6" w:right="2979"/>
        <w:spacing w:after="0" w:line="273" w:lineRule="auto"/>
        <w:rPr>
          <w:sz w:val="20"/>
          <w:szCs w:val="20"/>
          <w:color w:val="auto"/>
        </w:rPr>
      </w:pPr>
      <w:r>
        <w:rPr>
          <w:rFonts w:ascii="Courier New" w:cs="Courier New" w:eastAsia="Courier New" w:hAnsi="Courier New"/>
          <w:sz w:val="15"/>
          <w:szCs w:val="15"/>
          <w:color w:val="auto"/>
        </w:rPr>
        <w:t>provided, however, that paragraphs (1)(i) and (1)(ii) above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74"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25"/>
          </w:cols>
          <w:pgMar w:left="234" w:top="266"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29</w:t>
      </w:r>
    </w:p>
    <w:p>
      <w:pPr>
        <w:spacing w:after="0" w:line="182" w:lineRule="exact"/>
        <w:rPr>
          <w:sz w:val="20"/>
          <w:szCs w:val="20"/>
          <w:color w:val="auto"/>
        </w:rPr>
      </w:pPr>
    </w:p>
    <w:p>
      <w:pPr>
        <w:ind w:left="-260" w:right="2899" w:firstLine="452"/>
        <w:spacing w:after="0" w:line="279" w:lineRule="auto"/>
        <w:tabs>
          <w:tab w:leader="none" w:pos="564"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69" w:lineRule="exact"/>
        <w:rPr>
          <w:rFonts w:ascii="Courier New" w:cs="Courier New" w:eastAsia="Courier New" w:hAnsi="Courier New"/>
          <w:sz w:val="15"/>
          <w:szCs w:val="15"/>
          <w:color w:val="auto"/>
        </w:rPr>
      </w:pPr>
    </w:p>
    <w:p>
      <w:pPr>
        <w:ind w:left="-260" w:right="2979" w:firstLine="452"/>
        <w:spacing w:after="0" w:line="310" w:lineRule="auto"/>
        <w:tabs>
          <w:tab w:leader="none" w:pos="564"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the securities being registered which remain unsold at the termination of the offering.</w:t>
      </w:r>
    </w:p>
    <w:p>
      <w:pPr>
        <w:spacing w:after="0" w:line="46" w:lineRule="exact"/>
        <w:rPr>
          <w:rFonts w:ascii="Courier New" w:cs="Courier New" w:eastAsia="Courier New" w:hAnsi="Courier New"/>
          <w:sz w:val="15"/>
          <w:szCs w:val="15"/>
          <w:color w:val="auto"/>
        </w:rPr>
      </w:pPr>
    </w:p>
    <w:p>
      <w:pPr>
        <w:ind w:left="-260" w:right="2899" w:firstLine="452"/>
        <w:spacing w:after="0" w:line="289" w:lineRule="auto"/>
        <w:tabs>
          <w:tab w:leader="none" w:pos="564"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 post-effective amendment to the registration statement to include any financial statements required by Rule 3-19 of Regulation S-K, or to incorporate such financial statements in the registration statement by reference to a report filed or made pursuant to the Securities Exchange Act of 1934.</w:t>
      </w:r>
    </w:p>
    <w:p>
      <w:pPr>
        <w:spacing w:after="0" w:line="62" w:lineRule="exact"/>
        <w:rPr>
          <w:rFonts w:ascii="Courier New" w:cs="Courier New" w:eastAsia="Courier New" w:hAnsi="Courier New"/>
          <w:sz w:val="15"/>
          <w:szCs w:val="15"/>
          <w:color w:val="auto"/>
        </w:rPr>
      </w:pPr>
    </w:p>
    <w:p>
      <w:pPr>
        <w:ind w:left="-260" w:right="2979" w:firstLine="452"/>
        <w:spacing w:after="0" w:line="266" w:lineRule="auto"/>
        <w:tabs>
          <w:tab w:leader="none" w:pos="564"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9959"/>
          </w:cols>
          <w:pgMar w:left="500" w:top="266"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30</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SIGNATURES</w:t>
      </w:r>
    </w:p>
    <w:p>
      <w:pPr>
        <w:spacing w:after="0" w:line="359" w:lineRule="exact"/>
        <w:rPr>
          <w:sz w:val="20"/>
          <w:szCs w:val="20"/>
          <w:color w:val="auto"/>
        </w:rPr>
      </w:pPr>
    </w:p>
    <w:p>
      <w:pPr>
        <w:ind w:right="2899" w:firstLine="458"/>
        <w:spacing w:after="0" w:line="289"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amendment to the registration statement to be signed on its behalf by the undersigned, thereunto duly authorized, in the city of New York, State of New York, on this 3rd day of April, 2001.</w:t>
      </w:r>
    </w:p>
    <w:p>
      <w:pPr>
        <w:spacing w:after="0" w:line="239"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AMDOCS LIMITED</w:t>
      </w:r>
    </w:p>
    <w:p>
      <w:pPr>
        <w:spacing w:after="0" w:line="359" w:lineRule="exact"/>
        <w:rPr>
          <w:sz w:val="20"/>
          <w:szCs w:val="20"/>
          <w:color w:val="auto"/>
        </w:rPr>
      </w:pPr>
    </w:p>
    <w:p>
      <w:pPr>
        <w:jc w:val="center"/>
        <w:ind w:right="159"/>
        <w:spacing w:after="0"/>
        <w:tabs>
          <w:tab w:leader="none" w:pos="160" w:val="left"/>
        </w:tabs>
        <w:rPr>
          <w:sz w:val="20"/>
          <w:szCs w:val="20"/>
          <w:color w:val="auto"/>
        </w:rPr>
      </w:pPr>
      <w:r>
        <w:rPr>
          <w:rFonts w:ascii="Courier New" w:cs="Courier New" w:eastAsia="Courier New" w:hAnsi="Courier New"/>
          <w:sz w:val="15"/>
          <w:szCs w:val="15"/>
          <w:color w:val="auto"/>
        </w:rPr>
        <w:t>By: /s/</w:t>
        <w:tab/>
        <w:t>BRUCE K. ANDERSON</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5"/>
          <w:szCs w:val="15"/>
          <w:color w:val="auto"/>
        </w:rPr>
        <w:t>Bruce K. Anderson</w:t>
      </w:r>
    </w:p>
    <w:p>
      <w:pPr>
        <w:spacing w:after="0" w:line="182"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5"/>
          <w:szCs w:val="15"/>
          <w:color w:val="auto"/>
        </w:rPr>
        <w:t>Chief Executive Officer</w:t>
      </w:r>
    </w:p>
    <w:p>
      <w:pPr>
        <w:spacing w:after="0" w:line="34"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5"/>
          <w:szCs w:val="15"/>
          <w:color w:val="auto"/>
        </w:rPr>
        <w:t>and Chairman of the Board</w:t>
      </w:r>
    </w:p>
    <w:p>
      <w:pPr>
        <w:spacing w:after="0" w:line="331" w:lineRule="exact"/>
        <w:rPr>
          <w:sz w:val="20"/>
          <w:szCs w:val="20"/>
          <w:color w:val="auto"/>
        </w:rPr>
      </w:pPr>
    </w:p>
    <w:p>
      <w:pPr>
        <w:jc w:val="both"/>
        <w:ind w:right="3819" w:firstLine="458"/>
        <w:spacing w:after="0" w:line="310"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40" w:type="dxa"/>
            <w:vAlign w:val="bottom"/>
          </w:tcPr>
          <w:p>
            <w:pPr>
              <w:ind w:left="1920"/>
              <w:spacing w:after="0"/>
              <w:rPr>
                <w:sz w:val="20"/>
                <w:szCs w:val="20"/>
                <w:color w:val="auto"/>
              </w:rPr>
            </w:pPr>
            <w:r>
              <w:rPr>
                <w:rFonts w:ascii="Courier New" w:cs="Courier New" w:eastAsia="Courier New" w:hAnsi="Courier New"/>
                <w:sz w:val="15"/>
                <w:szCs w:val="15"/>
                <w:color w:val="auto"/>
              </w:rPr>
              <w:t>SIGNATURE</w:t>
            </w:r>
          </w:p>
        </w:tc>
        <w:tc>
          <w:tcPr>
            <w:tcW w:w="3080" w:type="dxa"/>
            <w:vAlign w:val="bottom"/>
          </w:tcPr>
          <w:p>
            <w:pPr>
              <w:ind w:left="1200"/>
              <w:spacing w:after="0"/>
              <w:rPr>
                <w:sz w:val="20"/>
                <w:szCs w:val="20"/>
                <w:color w:val="auto"/>
              </w:rPr>
            </w:pPr>
            <w:r>
              <w:rPr>
                <w:rFonts w:ascii="Courier New" w:cs="Courier New" w:eastAsia="Courier New" w:hAnsi="Courier New"/>
                <w:sz w:val="15"/>
                <w:szCs w:val="15"/>
                <w:color w:val="auto"/>
              </w:rPr>
              <w:t>TITLE</w:t>
            </w:r>
          </w:p>
        </w:tc>
        <w:tc>
          <w:tcPr>
            <w:tcW w:w="1320" w:type="dxa"/>
            <w:vAlign w:val="bottom"/>
          </w:tcPr>
          <w:p>
            <w:pPr>
              <w:ind w:left="500"/>
              <w:spacing w:after="0"/>
              <w:rPr>
                <w:sz w:val="20"/>
                <w:szCs w:val="20"/>
                <w:color w:val="auto"/>
              </w:rPr>
            </w:pPr>
            <w:r>
              <w:rPr>
                <w:rFonts w:ascii="Courier New" w:cs="Courier New" w:eastAsia="Courier New" w:hAnsi="Courier New"/>
                <w:sz w:val="15"/>
                <w:szCs w:val="15"/>
                <w:color w:val="auto"/>
              </w:rPr>
              <w:t>DATE</w:t>
            </w:r>
          </w:p>
        </w:tc>
        <w:tc>
          <w:tcPr>
            <w:tcW w:w="0" w:type="dxa"/>
            <w:vAlign w:val="bottom"/>
          </w:tcPr>
          <w:p>
            <w:pPr>
              <w:spacing w:after="0"/>
              <w:rPr>
                <w:sz w:val="1"/>
                <w:szCs w:val="1"/>
                <w:color w:val="auto"/>
              </w:rPr>
            </w:pPr>
          </w:p>
        </w:tc>
      </w:tr>
      <w:tr>
        <w:trPr>
          <w:trHeight w:val="257"/>
        </w:trPr>
        <w:tc>
          <w:tcPr>
            <w:tcW w:w="484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w:t>
            </w:r>
          </w:p>
        </w:tc>
        <w:tc>
          <w:tcPr>
            <w:tcW w:w="3080" w:type="dxa"/>
            <w:vAlign w:val="bottom"/>
          </w:tcPr>
          <w:p>
            <w:pPr>
              <w:ind w:left="120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4840" w:type="dxa"/>
            <w:vAlign w:val="bottom"/>
          </w:tcPr>
          <w:p>
            <w:pPr>
              <w:ind w:left="1360"/>
              <w:spacing w:after="0"/>
              <w:rPr>
                <w:sz w:val="20"/>
                <w:szCs w:val="20"/>
                <w:color w:val="auto"/>
              </w:rPr>
            </w:pPr>
            <w:r>
              <w:rPr>
                <w:rFonts w:ascii="Courier New" w:cs="Courier New" w:eastAsia="Courier New" w:hAnsi="Courier New"/>
                <w:sz w:val="15"/>
                <w:szCs w:val="15"/>
                <w:color w:val="auto"/>
              </w:rPr>
              <w:t>/s/ BRUCE K. ANDERSON</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Chairman of the Board and Chief</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w w:val="99"/>
              </w:rPr>
              <w:t>April 3, 2001</w:t>
            </w:r>
          </w:p>
        </w:tc>
        <w:tc>
          <w:tcPr>
            <w:tcW w:w="0" w:type="dxa"/>
            <w:vAlign w:val="bottom"/>
          </w:tcPr>
          <w:p>
            <w:pPr>
              <w:spacing w:after="0"/>
              <w:rPr>
                <w:sz w:val="1"/>
                <w:szCs w:val="1"/>
                <w:color w:val="auto"/>
              </w:rPr>
            </w:pPr>
          </w:p>
        </w:tc>
      </w:tr>
      <w:tr>
        <w:trPr>
          <w:trHeight w:val="176"/>
        </w:trPr>
        <w:tc>
          <w:tcPr>
            <w:tcW w:w="4840" w:type="dxa"/>
            <w:vAlign w:val="bottom"/>
            <w:vMerge w:val="restart"/>
          </w:tcPr>
          <w:p>
            <w:pPr>
              <w:spacing w:after="0"/>
              <w:rPr>
                <w:sz w:val="20"/>
                <w:szCs w:val="20"/>
                <w:color w:val="auto"/>
              </w:rPr>
            </w:pPr>
            <w:r>
              <w:rPr>
                <w:rFonts w:ascii="Courier New" w:cs="Courier New" w:eastAsia="Courier New" w:hAnsi="Courier New"/>
                <w:sz w:val="15"/>
                <w:szCs w:val="15"/>
                <w:color w:val="auto"/>
                <w:w w:val="73"/>
              </w:rPr>
              <w:t>- ---------------------------------------------------</w:t>
            </w:r>
            <w:r>
              <w:rPr>
                <w:rFonts w:ascii="Courier New" w:cs="Courier New" w:eastAsia="Courier New" w:hAnsi="Courier New"/>
                <w:sz w:val="30"/>
                <w:szCs w:val="30"/>
                <w:color w:val="auto"/>
                <w:w w:val="73"/>
                <w:vertAlign w:val="subscript"/>
              </w:rPr>
              <w:t>BruceK.Anderson</w:t>
            </w:r>
          </w:p>
        </w:tc>
        <w:tc>
          <w:tcPr>
            <w:tcW w:w="3080" w:type="dxa"/>
            <w:vAlign w:val="bottom"/>
          </w:tcPr>
          <w:p>
            <w:pPr>
              <w:ind w:left="380"/>
              <w:spacing w:after="0"/>
              <w:rPr>
                <w:sz w:val="20"/>
                <w:szCs w:val="20"/>
                <w:color w:val="auto"/>
              </w:rPr>
            </w:pPr>
            <w:r>
              <w:rPr>
                <w:rFonts w:ascii="Courier New" w:cs="Courier New" w:eastAsia="Courier New" w:hAnsi="Courier New"/>
                <w:sz w:val="15"/>
                <w:szCs w:val="15"/>
                <w:color w:val="auto"/>
              </w:rPr>
              <w:t>Executive Officer (Principal</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4840" w:type="dxa"/>
            <w:vAlign w:val="bottom"/>
            <w:vMerge w:val="continue"/>
          </w:tcPr>
          <w:p>
            <w:pPr>
              <w:spacing w:after="0"/>
              <w:rPr>
                <w:sz w:val="23"/>
                <w:szCs w:val="23"/>
                <w:color w:val="auto"/>
              </w:rPr>
            </w:pPr>
          </w:p>
        </w:tc>
        <w:tc>
          <w:tcPr>
            <w:tcW w:w="3080" w:type="dxa"/>
            <w:vAlign w:val="bottom"/>
          </w:tcPr>
          <w:p>
            <w:pPr>
              <w:ind w:left="200"/>
              <w:spacing w:after="0"/>
              <w:rPr>
                <w:sz w:val="20"/>
                <w:szCs w:val="20"/>
                <w:color w:val="auto"/>
              </w:rPr>
            </w:pPr>
            <w:r>
              <w:rPr>
                <w:rFonts w:ascii="Courier New" w:cs="Courier New" w:eastAsia="Courier New" w:hAnsi="Courier New"/>
                <w:sz w:val="15"/>
                <w:szCs w:val="15"/>
                <w:color w:val="auto"/>
              </w:rPr>
              <w:t>Executive Officer)</w:t>
            </w: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84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Director and Chief Financial</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w w:val="99"/>
              </w:rPr>
              <w:t>April 3, 2001</w:t>
            </w:r>
          </w:p>
        </w:tc>
        <w:tc>
          <w:tcPr>
            <w:tcW w:w="0" w:type="dxa"/>
            <w:vAlign w:val="bottom"/>
          </w:tcPr>
          <w:p>
            <w:pPr>
              <w:spacing w:after="0"/>
              <w:rPr>
                <w:sz w:val="1"/>
                <w:szCs w:val="1"/>
                <w:color w:val="auto"/>
              </w:rPr>
            </w:pPr>
          </w:p>
        </w:tc>
      </w:tr>
      <w:tr>
        <w:trPr>
          <w:trHeight w:val="176"/>
        </w:trPr>
        <w:tc>
          <w:tcPr>
            <w:tcW w:w="4840" w:type="dxa"/>
            <w:vAlign w:val="bottom"/>
            <w:vMerge w:val="restart"/>
          </w:tcPr>
          <w:p>
            <w:pPr>
              <w:spacing w:after="0"/>
              <w:rPr>
                <w:sz w:val="20"/>
                <w:szCs w:val="20"/>
                <w:color w:val="auto"/>
              </w:rPr>
            </w:pPr>
            <w:r>
              <w:rPr>
                <w:rFonts w:ascii="Courier New" w:cs="Courier New" w:eastAsia="Courier New" w:hAnsi="Courier New"/>
                <w:sz w:val="15"/>
                <w:szCs w:val="15"/>
                <w:color w:val="auto"/>
                <w:w w:val="70"/>
              </w:rPr>
              <w:t>- ---------------------------------------------------</w:t>
            </w:r>
            <w:r>
              <w:rPr>
                <w:rFonts w:ascii="Courier New" w:cs="Courier New" w:eastAsia="Courier New" w:hAnsi="Courier New"/>
                <w:sz w:val="30"/>
                <w:szCs w:val="30"/>
                <w:color w:val="auto"/>
                <w:w w:val="70"/>
                <w:vertAlign w:val="subscript"/>
              </w:rPr>
              <w:t>RobertA.Minicucci</w:t>
            </w:r>
          </w:p>
        </w:tc>
        <w:tc>
          <w:tcPr>
            <w:tcW w:w="3080" w:type="dxa"/>
            <w:vAlign w:val="bottom"/>
          </w:tcPr>
          <w:p>
            <w:pPr>
              <w:ind w:left="380"/>
              <w:spacing w:after="0"/>
              <w:rPr>
                <w:sz w:val="20"/>
                <w:szCs w:val="20"/>
                <w:color w:val="auto"/>
              </w:rPr>
            </w:pPr>
            <w:r>
              <w:rPr>
                <w:rFonts w:ascii="Courier New" w:cs="Courier New" w:eastAsia="Courier New" w:hAnsi="Courier New"/>
                <w:sz w:val="15"/>
                <w:szCs w:val="15"/>
                <w:color w:val="auto"/>
              </w:rPr>
              <w:t>Officer (Principal Financial</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4840" w:type="dxa"/>
            <w:vAlign w:val="bottom"/>
            <w:vMerge w:val="continue"/>
          </w:tcPr>
          <w:p>
            <w:pPr>
              <w:spacing w:after="0"/>
              <w:rPr>
                <w:sz w:val="23"/>
                <w:szCs w:val="23"/>
                <w:color w:val="auto"/>
              </w:rPr>
            </w:pPr>
          </w:p>
        </w:tc>
        <w:tc>
          <w:tcPr>
            <w:tcW w:w="3080" w:type="dxa"/>
            <w:vAlign w:val="bottom"/>
          </w:tcPr>
          <w:p>
            <w:pPr>
              <w:ind w:left="200"/>
              <w:spacing w:after="0"/>
              <w:rPr>
                <w:sz w:val="20"/>
                <w:szCs w:val="20"/>
                <w:color w:val="auto"/>
              </w:rPr>
            </w:pPr>
            <w:r>
              <w:rPr>
                <w:rFonts w:ascii="Courier New" w:cs="Courier New" w:eastAsia="Courier New" w:hAnsi="Courier New"/>
                <w:sz w:val="15"/>
                <w:szCs w:val="15"/>
                <w:color w:val="auto"/>
              </w:rPr>
              <w:t>and Accounting Officer)</w:t>
            </w: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84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 AVINOAM NAOR</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Director of Amdocs Limited and</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w w:val="99"/>
              </w:rPr>
              <w:t>April 3, 2001</w:t>
            </w:r>
          </w:p>
        </w:tc>
        <w:tc>
          <w:tcPr>
            <w:tcW w:w="0" w:type="dxa"/>
            <w:vAlign w:val="bottom"/>
          </w:tcPr>
          <w:p>
            <w:pPr>
              <w:spacing w:after="0"/>
              <w:rPr>
                <w:sz w:val="1"/>
                <w:szCs w:val="1"/>
                <w:color w:val="auto"/>
              </w:rPr>
            </w:pPr>
          </w:p>
        </w:tc>
      </w:tr>
      <w:tr>
        <w:trPr>
          <w:trHeight w:val="176"/>
        </w:trPr>
        <w:tc>
          <w:tcPr>
            <w:tcW w:w="4840" w:type="dxa"/>
            <w:vAlign w:val="bottom"/>
            <w:vMerge w:val="restart"/>
          </w:tcPr>
          <w:p>
            <w:pPr>
              <w:spacing w:after="0"/>
              <w:rPr>
                <w:sz w:val="20"/>
                <w:szCs w:val="20"/>
                <w:color w:val="auto"/>
              </w:rPr>
            </w:pPr>
            <w:r>
              <w:rPr>
                <w:rFonts w:ascii="Courier New" w:cs="Courier New" w:eastAsia="Courier New" w:hAnsi="Courier New"/>
                <w:sz w:val="15"/>
                <w:szCs w:val="15"/>
                <w:color w:val="auto"/>
                <w:w w:val="79"/>
              </w:rPr>
              <w:t>- ---------------------------------------------------</w:t>
            </w:r>
            <w:r>
              <w:rPr>
                <w:rFonts w:ascii="Courier New" w:cs="Courier New" w:eastAsia="Courier New" w:hAnsi="Courier New"/>
                <w:sz w:val="30"/>
                <w:szCs w:val="30"/>
                <w:color w:val="auto"/>
                <w:w w:val="79"/>
                <w:vertAlign w:val="subscript"/>
              </w:rPr>
              <w:t>AvinoamNaor</w:t>
            </w:r>
          </w:p>
        </w:tc>
        <w:tc>
          <w:tcPr>
            <w:tcW w:w="3080" w:type="dxa"/>
            <w:vAlign w:val="bottom"/>
          </w:tcPr>
          <w:p>
            <w:pPr>
              <w:ind w:left="380"/>
              <w:spacing w:after="0"/>
              <w:rPr>
                <w:sz w:val="20"/>
                <w:szCs w:val="20"/>
                <w:color w:val="auto"/>
              </w:rPr>
            </w:pPr>
            <w:r>
              <w:rPr>
                <w:rFonts w:ascii="Courier New" w:cs="Courier New" w:eastAsia="Courier New" w:hAnsi="Courier New"/>
                <w:sz w:val="15"/>
                <w:szCs w:val="15"/>
                <w:color w:val="auto"/>
              </w:rPr>
              <w:t>Chief Executive Officer of</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4840" w:type="dxa"/>
            <w:vAlign w:val="bottom"/>
            <w:vMerge w:val="continue"/>
          </w:tcPr>
          <w:p>
            <w:pPr>
              <w:spacing w:after="0"/>
              <w:rPr>
                <w:sz w:val="23"/>
                <w:szCs w:val="23"/>
                <w:color w:val="auto"/>
              </w:rPr>
            </w:pPr>
          </w:p>
        </w:tc>
        <w:tc>
          <w:tcPr>
            <w:tcW w:w="3080" w:type="dxa"/>
            <w:vAlign w:val="bottom"/>
          </w:tcPr>
          <w:p>
            <w:pPr>
              <w:ind w:left="200"/>
              <w:spacing w:after="0"/>
              <w:rPr>
                <w:sz w:val="20"/>
                <w:szCs w:val="20"/>
                <w:color w:val="auto"/>
              </w:rPr>
            </w:pPr>
            <w:r>
              <w:rPr>
                <w:rFonts w:ascii="Courier New" w:cs="Courier New" w:eastAsia="Courier New" w:hAnsi="Courier New"/>
                <w:sz w:val="15"/>
                <w:szCs w:val="15"/>
                <w:color w:val="auto"/>
              </w:rPr>
              <w:t>Amdocs Management Limited</w:t>
            </w: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84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w w:val="99"/>
              </w:rPr>
              <w:t>April 3, 2001</w:t>
            </w:r>
          </w:p>
        </w:tc>
        <w:tc>
          <w:tcPr>
            <w:tcW w:w="0" w:type="dxa"/>
            <w:vAlign w:val="bottom"/>
          </w:tcPr>
          <w:p>
            <w:pPr>
              <w:spacing w:after="0"/>
              <w:rPr>
                <w:sz w:val="1"/>
                <w:szCs w:val="1"/>
                <w:color w:val="auto"/>
              </w:rPr>
            </w:pP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84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Adrian Gardner</w:t>
            </w:r>
          </w:p>
        </w:tc>
        <w:tc>
          <w:tcPr>
            <w:tcW w:w="30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84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w w:val="99"/>
              </w:rPr>
              <w:t>April 3, 2001</w:t>
            </w:r>
          </w:p>
        </w:tc>
        <w:tc>
          <w:tcPr>
            <w:tcW w:w="0" w:type="dxa"/>
            <w:vAlign w:val="bottom"/>
          </w:tcPr>
          <w:p>
            <w:pPr>
              <w:spacing w:after="0"/>
              <w:rPr>
                <w:sz w:val="1"/>
                <w:szCs w:val="1"/>
                <w:color w:val="auto"/>
              </w:rPr>
            </w:pP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84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James S. Kahan</w:t>
            </w:r>
          </w:p>
        </w:tc>
        <w:tc>
          <w:tcPr>
            <w:tcW w:w="30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84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w w:val="99"/>
              </w:rPr>
              <w:t>April 3, 2001</w:t>
            </w:r>
          </w:p>
        </w:tc>
        <w:tc>
          <w:tcPr>
            <w:tcW w:w="0" w:type="dxa"/>
            <w:vAlign w:val="bottom"/>
          </w:tcPr>
          <w:p>
            <w:pPr>
              <w:spacing w:after="0"/>
              <w:rPr>
                <w:sz w:val="1"/>
                <w:szCs w:val="1"/>
                <w:color w:val="auto"/>
              </w:rPr>
            </w:pP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84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John T. McLennan</w:t>
            </w:r>
          </w:p>
        </w:tc>
        <w:tc>
          <w:tcPr>
            <w:tcW w:w="30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84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w w:val="99"/>
              </w:rPr>
              <w:t>April 3, 2001</w:t>
            </w:r>
          </w:p>
        </w:tc>
        <w:tc>
          <w:tcPr>
            <w:tcW w:w="0" w:type="dxa"/>
            <w:vAlign w:val="bottom"/>
          </w:tcPr>
          <w:p>
            <w:pPr>
              <w:spacing w:after="0"/>
              <w:rPr>
                <w:sz w:val="1"/>
                <w:szCs w:val="1"/>
                <w:color w:val="auto"/>
              </w:rPr>
            </w:pP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84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Lawrence Perlman</w:t>
            </w:r>
          </w:p>
        </w:tc>
        <w:tc>
          <w:tcPr>
            <w:tcW w:w="30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84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w w:val="99"/>
              </w:rPr>
              <w:t>April 3, 2001</w:t>
            </w:r>
          </w:p>
        </w:tc>
        <w:tc>
          <w:tcPr>
            <w:tcW w:w="0" w:type="dxa"/>
            <w:vAlign w:val="bottom"/>
          </w:tcPr>
          <w:p>
            <w:pPr>
              <w:spacing w:after="0"/>
              <w:rPr>
                <w:sz w:val="1"/>
                <w:szCs w:val="1"/>
                <w:color w:val="auto"/>
              </w:rPr>
            </w:pP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84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Michael J. Price</w:t>
            </w:r>
          </w:p>
        </w:tc>
        <w:tc>
          <w:tcPr>
            <w:tcW w:w="30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84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w w:val="99"/>
              </w:rPr>
              <w:t>April 3, 2001</w:t>
            </w:r>
          </w:p>
        </w:tc>
        <w:tc>
          <w:tcPr>
            <w:tcW w:w="0" w:type="dxa"/>
            <w:vAlign w:val="bottom"/>
          </w:tcPr>
          <w:p>
            <w:pPr>
              <w:spacing w:after="0"/>
              <w:rPr>
                <w:sz w:val="1"/>
                <w:szCs w:val="1"/>
                <w:color w:val="auto"/>
              </w:rPr>
            </w:pP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84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Modi Rosen</w:t>
            </w:r>
          </w:p>
        </w:tc>
        <w:tc>
          <w:tcPr>
            <w:tcW w:w="30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5"/>
        </w:trPr>
        <w:tc>
          <w:tcPr>
            <w:tcW w:w="4840" w:type="dxa"/>
            <w:vAlign w:val="bottom"/>
          </w:tcPr>
          <w:p>
            <w:pPr>
              <w:ind w:left="3560"/>
              <w:spacing w:after="0"/>
              <w:rPr>
                <w:sz w:val="20"/>
                <w:szCs w:val="20"/>
                <w:color w:val="auto"/>
              </w:rPr>
            </w:pPr>
            <w:r>
              <w:rPr>
                <w:rFonts w:ascii="Courier New" w:cs="Courier New" w:eastAsia="Courier New" w:hAnsi="Courier New"/>
                <w:sz w:val="15"/>
                <w:szCs w:val="15"/>
                <w:color w:val="auto"/>
              </w:rPr>
              <w:t>II-5</w:t>
            </w:r>
          </w:p>
        </w:tc>
        <w:tc>
          <w:tcPr>
            <w:tcW w:w="3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6" w:right="1440" w:bottom="1440" w:gutter="0" w:footer="0" w:header="0"/>
        </w:sectPr>
      </w:pPr>
    </w:p>
    <w:bookmarkStart w:id="31" w:name="page32"/>
    <w:bookmarkEnd w:id="31"/>
    <w:p>
      <w:pPr>
        <w:ind w:left="266"/>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5"/>
          </w:cols>
          <w:pgMar w:left="234" w:top="2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926"/>
        <w:spacing w:after="0"/>
        <w:rPr>
          <w:sz w:val="20"/>
          <w:szCs w:val="20"/>
          <w:color w:val="auto"/>
        </w:rPr>
      </w:pPr>
      <w:r>
        <w:rPr>
          <w:rFonts w:ascii="Courier New" w:cs="Courier New" w:eastAsia="Courier New" w:hAnsi="Courier New"/>
          <w:sz w:val="15"/>
          <w:szCs w:val="15"/>
          <w:color w:val="auto"/>
        </w:rPr>
        <w:t>SIGNATURE</w:t>
      </w:r>
    </w:p>
    <w:p>
      <w:pPr>
        <w:spacing w:after="0" w:line="34" w:lineRule="exact"/>
        <w:rPr>
          <w:sz w:val="20"/>
          <w:szCs w:val="20"/>
          <w:color w:val="auto"/>
        </w:rPr>
      </w:pPr>
    </w:p>
    <w:p>
      <w:pPr>
        <w:ind w:left="1926"/>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1" w:lineRule="exact"/>
        <w:rPr>
          <w:sz w:val="20"/>
          <w:szCs w:val="20"/>
          <w:color w:val="auto"/>
        </w:rPr>
      </w:pPr>
    </w:p>
    <w:p>
      <w:pPr>
        <w:sectPr>
          <w:pgSz w:w="11900" w:h="16838" w:orient="portrait"/>
          <w:cols w:equalWidth="0" w:num="3">
            <w:col w:w="5326" w:space="720"/>
            <w:col w:w="1660" w:space="720"/>
            <w:col w:w="1799"/>
          </w:cols>
          <w:pgMar w:left="234" w:top="266" w:right="1440" w:bottom="1440" w:gutter="0" w:footer="0" w:header="0"/>
          <w:type w:val="continuous"/>
        </w:sectPr>
      </w:pPr>
    </w:p>
    <w:p>
      <w:pPr>
        <w:spacing w:after="0" w:line="131"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3, 2001</w:t>
      </w:r>
    </w:p>
    <w:p>
      <w:pPr>
        <w:spacing w:after="0" w:line="41" w:lineRule="exact"/>
        <w:rPr>
          <w:sz w:val="20"/>
          <w:szCs w:val="20"/>
          <w:color w:val="auto"/>
        </w:rPr>
      </w:pPr>
    </w:p>
    <w:p>
      <w:pPr>
        <w:sectPr>
          <w:pgSz w:w="11900" w:h="16838" w:orient="portrait"/>
          <w:cols w:equalWidth="0" w:num="3">
            <w:col w:w="4126" w:space="720"/>
            <w:col w:w="2500" w:space="720"/>
            <w:col w:w="2159"/>
          </w:cols>
          <w:pgMar w:left="234" w:top="266" w:right="1440" w:bottom="1440" w:gutter="0" w:footer="0" w:header="0"/>
          <w:type w:val="continuous"/>
        </w:sectPr>
      </w:pPr>
    </w:p>
    <w:p>
      <w:pPr>
        <w:ind w:left="186" w:hanging="186"/>
        <w:spacing w:after="0"/>
        <w:tabs>
          <w:tab w:leader="none" w:pos="18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Ron Zuckerman</w:t>
      </w:r>
    </w:p>
    <w:p>
      <w:pPr>
        <w:spacing w:after="0" w:line="154"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4840" w:type="dxa"/>
            <w:vAlign w:val="bottom"/>
          </w:tcPr>
          <w:p>
            <w:pPr>
              <w:jc w:val="right"/>
              <w:ind w:right="2384"/>
              <w:spacing w:after="0"/>
              <w:rPr>
                <w:sz w:val="20"/>
                <w:szCs w:val="20"/>
                <w:color w:val="auto"/>
              </w:rPr>
            </w:pPr>
            <w:r>
              <w:rPr>
                <w:rFonts w:ascii="Courier New" w:cs="Courier New" w:eastAsia="Courier New" w:hAnsi="Courier New"/>
                <w:sz w:val="15"/>
                <w:szCs w:val="15"/>
                <w:color w:val="auto"/>
              </w:rPr>
              <w:t>*</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Amdocs Limited's Authorized</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w w:val="99"/>
              </w:rPr>
              <w:t>April 3, 2001</w:t>
            </w:r>
          </w:p>
        </w:tc>
        <w:tc>
          <w:tcPr>
            <w:tcW w:w="0" w:type="dxa"/>
            <w:vAlign w:val="bottom"/>
          </w:tcPr>
          <w:p>
            <w:pPr>
              <w:spacing w:after="0"/>
              <w:rPr>
                <w:sz w:val="1"/>
                <w:szCs w:val="1"/>
                <w:color w:val="auto"/>
              </w:rPr>
            </w:pPr>
          </w:p>
        </w:tc>
      </w:tr>
      <w:tr>
        <w:trPr>
          <w:trHeight w:val="176"/>
        </w:trPr>
        <w:tc>
          <w:tcPr>
            <w:tcW w:w="4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73"/>
              </w:rPr>
              <w:t>- ---------------------------------------------------</w:t>
            </w:r>
            <w:r>
              <w:rPr>
                <w:rFonts w:ascii="Courier New" w:cs="Courier New" w:eastAsia="Courier New" w:hAnsi="Courier New"/>
                <w:sz w:val="30"/>
                <w:szCs w:val="30"/>
                <w:color w:val="auto"/>
                <w:w w:val="73"/>
                <w:vertAlign w:val="subscript"/>
              </w:rPr>
              <w:t>ThomasG.O'Brien</w:t>
            </w:r>
          </w:p>
        </w:tc>
        <w:tc>
          <w:tcPr>
            <w:tcW w:w="3080" w:type="dxa"/>
            <w:vAlign w:val="bottom"/>
          </w:tcPr>
          <w:p>
            <w:pPr>
              <w:ind w:left="380"/>
              <w:spacing w:after="0"/>
              <w:rPr>
                <w:sz w:val="20"/>
                <w:szCs w:val="20"/>
                <w:color w:val="auto"/>
              </w:rPr>
            </w:pPr>
            <w:r>
              <w:rPr>
                <w:rFonts w:ascii="Courier New" w:cs="Courier New" w:eastAsia="Courier New" w:hAnsi="Courier New"/>
                <w:sz w:val="15"/>
                <w:szCs w:val="15"/>
                <w:color w:val="auto"/>
              </w:rPr>
              <w:t>Representative in the United</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4840" w:type="dxa"/>
            <w:vAlign w:val="bottom"/>
            <w:vMerge w:val="continue"/>
          </w:tcPr>
          <w:p>
            <w:pPr>
              <w:spacing w:after="0"/>
              <w:rPr>
                <w:sz w:val="23"/>
                <w:szCs w:val="23"/>
                <w:color w:val="auto"/>
              </w:rPr>
            </w:pPr>
          </w:p>
        </w:tc>
        <w:tc>
          <w:tcPr>
            <w:tcW w:w="3080" w:type="dxa"/>
            <w:vAlign w:val="bottom"/>
          </w:tcPr>
          <w:p>
            <w:pPr>
              <w:ind w:left="200"/>
              <w:spacing w:after="0"/>
              <w:rPr>
                <w:sz w:val="20"/>
                <w:szCs w:val="20"/>
                <w:color w:val="auto"/>
              </w:rPr>
            </w:pPr>
            <w:r>
              <w:rPr>
                <w:rFonts w:ascii="Courier New" w:cs="Courier New" w:eastAsia="Courier New" w:hAnsi="Courier New"/>
                <w:sz w:val="15"/>
                <w:szCs w:val="15"/>
                <w:color w:val="auto"/>
              </w:rPr>
              <w:t>States</w:t>
            </w: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*By: /s/ BRUCE K. ANDERSON</w:t>
      </w:r>
    </w:p>
    <w:p>
      <w:pPr>
        <w:spacing w:after="0" w:line="182"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Bruce K. Anderson</w:t>
      </w:r>
    </w:p>
    <w:p>
      <w:pPr>
        <w:spacing w:after="0" w:line="359"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Attorney-in-fact</w:t>
      </w:r>
    </w:p>
    <w:p>
      <w:pPr>
        <w:spacing w:after="0" w:line="359"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25"/>
          </w:cols>
          <w:pgMar w:left="234" w:top="266" w:right="1440" w:bottom="1440" w:gutter="0" w:footer="0" w:header="0"/>
          <w:type w:val="continuous"/>
        </w:sectPr>
      </w:pPr>
    </w:p>
    <w:bookmarkStart w:id="32" w:name="page33"/>
    <w:bookmarkEnd w:id="32"/>
    <w:p>
      <w:pPr>
        <w:ind w:left="80"/>
        <w:spacing w:after="0"/>
        <w:rPr>
          <w:sz w:val="20"/>
          <w:szCs w:val="20"/>
          <w:color w:val="auto"/>
        </w:rPr>
      </w:pPr>
      <w:r>
        <w:rPr>
          <w:rFonts w:ascii="Courier New" w:cs="Courier New" w:eastAsia="Courier New" w:hAnsi="Courier New"/>
          <w:sz w:val="15"/>
          <w:szCs w:val="15"/>
          <w:color w:val="auto"/>
        </w:rPr>
        <w:t>32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80" w:type="dxa"/>
            <w:vAlign w:val="bottom"/>
          </w:tcPr>
          <w:p>
            <w:pPr>
              <w:spacing w:after="0"/>
              <w:rPr>
                <w:sz w:val="22"/>
                <w:szCs w:val="22"/>
                <w:color w:val="auto"/>
              </w:rPr>
            </w:pPr>
          </w:p>
        </w:tc>
        <w:tc>
          <w:tcPr>
            <w:tcW w:w="5640" w:type="dxa"/>
            <w:vAlign w:val="bottom"/>
          </w:tcPr>
          <w:p>
            <w:pPr>
              <w:ind w:left="2060"/>
              <w:spacing w:after="0"/>
              <w:rPr>
                <w:sz w:val="20"/>
                <w:szCs w:val="20"/>
                <w:color w:val="auto"/>
              </w:rPr>
            </w:pPr>
            <w:r>
              <w:rPr>
                <w:rFonts w:ascii="Courier New" w:cs="Courier New" w:eastAsia="Courier New" w:hAnsi="Courier New"/>
                <w:sz w:val="15"/>
                <w:szCs w:val="15"/>
                <w:color w:val="auto"/>
              </w:rPr>
              <w:t>EXHIBIT INDEX</w:t>
            </w:r>
          </w:p>
        </w:tc>
        <w:tc>
          <w:tcPr>
            <w:tcW w:w="0" w:type="dxa"/>
            <w:vAlign w:val="bottom"/>
          </w:tcPr>
          <w:p>
            <w:pPr>
              <w:spacing w:after="0"/>
              <w:rPr>
                <w:sz w:val="1"/>
                <w:szCs w:val="1"/>
                <w:color w:val="auto"/>
              </w:rPr>
            </w:pPr>
          </w:p>
        </w:tc>
      </w:tr>
      <w:tr>
        <w:trPr>
          <w:trHeight w:val="624"/>
        </w:trPr>
        <w:tc>
          <w:tcPr>
            <w:tcW w:w="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EXHIBIT</w:t>
            </w:r>
          </w:p>
        </w:tc>
        <w:tc>
          <w:tcPr>
            <w:tcW w:w="5640" w:type="dxa"/>
            <w:vAlign w:val="bottom"/>
            <w:vMerge w:val="restart"/>
          </w:tcPr>
          <w:p>
            <w:pPr>
              <w:ind w:left="234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6"/>
        </w:trPr>
        <w:tc>
          <w:tcPr>
            <w:tcW w:w="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NO.</w:t>
            </w:r>
          </w:p>
        </w:tc>
        <w:tc>
          <w:tcPr>
            <w:tcW w:w="5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23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Agreement and Plan of Merger dated as of September 3, 1999</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among Amdocs Limited, Ivan Acquisition Corp. and</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International Telecommunication Data Systems, Inc. (Exhibit</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2.1 to Amdocs' Current Report on Form 6-K dated September</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2.2</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10, 1999)</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Combination Agreement dated as of February 28, 2000 among</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Amdocs Limited, Solect Technology Group Inc., Amdocs</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(Denmark) ApS. and Amdocs Holdings ULC (Exhibit 2.1 to</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2.3</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Amdocs' Current Report on Form 6-K dated March 3, 2000)</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Principal Securityholders Voting Agreement dated as of</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February 28, 2000 among Amdocs Limited, Solect Technology</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Group Inc., Amdocs (Denmark) ApS. and Amdocs Holdings ULC</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(Exhibit 2.2 to Amdocs' Current Report on Form 6-K dated</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4.1</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March 3, 2000)</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Specimen certificate for the ordinary shares of the</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Registrant (Exhibit 4.1 to Amdocs' Registration Statement on</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4.2</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Form F-1 dated June 19, 1998; Registration Number 333-8826)</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Stock Option and Incentive Plan, as amended, of Amdocs</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(Exhibit 4.2 to Amdocs' Registration Statement on Form F-1</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4.3</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dated June 19, 1998; Registration No. 333-8826)</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Note Purchase Agreement, dated as of September 22, 1997,</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among European Software Marketing Ltd., WCAS Capital</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Partners III, L.P., as Agent, and the several Purchasers</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named in Schedule 1 thereto (Exhibit 4.3 to Amdocs'</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Registration Statement on Form F-1 dated June 19, 1998;</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4.4</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Registration No. 333-8826)</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Amended and Restated Credit Agreement, dated as of June 29,</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1998, among European Software Marketing Limited, the other</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subsidiaries of Amdocs named therein, the Initial Lenders,</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Initial Issuing Bank and Swing Line Bank named therein, and</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NationsBank, N.A., as Administrative Agent and the Bank of</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Nova Scotia, as Syndication Agent (Exhibit 4.4 to Amdocs'</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Registration Statement on Form F-1 dated June 7, 1999;</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4.5</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Registration No. 333-75151)</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Amendment No. 1, dated December 16, 1999, to the Credit</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Agreement among European Software Marketing Ltd., the other</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subsidiaries of Amdocs named therein, the Lenders, Initial</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Issuing Bank and Swing Line Bank named therein, and Bank of</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America, N.A., as Administrative Agent and the Bank of Nova</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Scotia, as Syndication Agent. (Exhibit 4.5 to Amdocs'</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Registration Statement on Form F-3, dated June 14, 2000;</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4.6</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Registration No. 333-39278)</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Letter Amendment and Waiver No. 2, dated February 29, 2000,</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to the Credit Agreement among European Software Marketing</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Ltd., the other subsidiaries of Amdocs named therein, the</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Lenders, Initial Issuing Bank and Swing Line Bank named</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therein, and Bank of America, N.A., as Administrative Agent</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and the Bank of Nova Scotia, as Syndication Agent. (Exhibit</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4.6 to Amdocs' Registration Statement on Form F-3, dated</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4.7</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June 14, 2000; Registration No. 333-39278)</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Share Subscription Agreement, dated as of September 22,</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(Exhibit 4.5 to Amdocs' Registration Statement on Form F-1</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4.8</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dated June 19, 1998; Registration No. 333-8826)</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Conditional Investment Agreement, dated as of September 22,</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(Exhibit 4.6 to Amdocs' Registration Statement on Form F-1</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4.9</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dated June 19, 1998; Registration No. 333-8826)</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Letter Agreement, dated September 22, 1997, as amended as of</w:t>
            </w:r>
          </w:p>
        </w:tc>
        <w:tc>
          <w:tcPr>
            <w:tcW w:w="0" w:type="dxa"/>
            <w:vAlign w:val="bottom"/>
          </w:tcPr>
          <w:p>
            <w:pPr>
              <w:spacing w:after="0"/>
              <w:rPr>
                <w:sz w:val="1"/>
                <w:szCs w:val="1"/>
                <w:color w:val="auto"/>
              </w:rPr>
            </w:pPr>
          </w:p>
        </w:tc>
      </w:tr>
      <w:tr>
        <w:trPr>
          <w:trHeight w:val="204"/>
        </w:trPr>
        <w:tc>
          <w:tcPr>
            <w:tcW w:w="780" w:type="dxa"/>
            <w:vAlign w:val="bottom"/>
          </w:tcPr>
          <w:p>
            <w:pPr>
              <w:spacing w:after="0"/>
              <w:rPr>
                <w:sz w:val="17"/>
                <w:szCs w:val="17"/>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May 20, 1998, between Amdocs and Welsh, Carson, Anderson and</w:t>
            </w:r>
          </w:p>
        </w:tc>
        <w:tc>
          <w:tcPr>
            <w:tcW w:w="0" w:type="dxa"/>
            <w:vAlign w:val="bottom"/>
          </w:tcPr>
          <w:p>
            <w:pPr>
              <w:spacing w:after="0"/>
              <w:rPr>
                <w:sz w:val="1"/>
                <w:szCs w:val="1"/>
                <w:color w:val="auto"/>
              </w:rPr>
            </w:pPr>
          </w:p>
        </w:tc>
      </w:tr>
    </w:tbl>
    <w:p>
      <w:pPr>
        <w:jc w:val="both"/>
        <w:ind w:left="920" w:right="3619"/>
        <w:spacing w:after="0" w:line="290" w:lineRule="auto"/>
        <w:rPr>
          <w:sz w:val="20"/>
          <w:szCs w:val="20"/>
          <w:color w:val="auto"/>
        </w:rPr>
      </w:pPr>
      <w:r>
        <w:rPr>
          <w:rFonts w:ascii="Courier New" w:cs="Courier New" w:eastAsia="Courier New" w:hAnsi="Courier New"/>
          <w:sz w:val="15"/>
          <w:szCs w:val="15"/>
          <w:color w:val="auto"/>
        </w:rPr>
        <w:t>Stowe, on behalf of the Investors named therein (Exhibit 4.7 to Amdocs' Registration Statement on Form F-1 dated June 19, 1998; Registration No. 333-8826)</w:t>
      </w:r>
    </w:p>
    <w:p>
      <w:pPr>
        <w:sectPr>
          <w:pgSz w:w="11900" w:h="16838" w:orient="portrait"/>
          <w:cols w:equalWidth="0" w:num="1">
            <w:col w:w="10039"/>
          </w:cols>
          <w:pgMar w:left="420" w:top="266" w:right="1440" w:bottom="1440" w:gutter="0" w:footer="0" w:header="0"/>
        </w:sectPr>
      </w:pPr>
    </w:p>
    <w:bookmarkStart w:id="33" w:name="page34"/>
    <w:bookmarkEnd w:id="33"/>
    <w:tbl>
      <w:tblPr>
        <w:tblLayout w:type="fixed"/>
        <w:tblInd w:w="186" w:type="dxa"/>
        <w:tblCellMar>
          <w:top w:w="0" w:type="dxa"/>
          <w:left w:w="0" w:type="dxa"/>
          <w:bottom w:w="0" w:type="dxa"/>
          <w:right w:w="0" w:type="dxa"/>
        </w:tblCellMar>
      </w:tblPr>
      <w:tr>
        <w:trPr>
          <w:trHeight w:val="257"/>
        </w:trPr>
        <w:tc>
          <w:tcPr>
            <w:tcW w:w="7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33</w:t>
            </w:r>
          </w:p>
        </w:tc>
        <w:tc>
          <w:tcPr>
            <w:tcW w:w="5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00"/>
        </w:trPr>
        <w:tc>
          <w:tcPr>
            <w:tcW w:w="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EXHIBIT</w:t>
            </w:r>
          </w:p>
        </w:tc>
        <w:tc>
          <w:tcPr>
            <w:tcW w:w="5640" w:type="dxa"/>
            <w:vAlign w:val="bottom"/>
            <w:vMerge w:val="restart"/>
          </w:tcPr>
          <w:p>
            <w:pPr>
              <w:ind w:left="234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6"/>
        </w:trPr>
        <w:tc>
          <w:tcPr>
            <w:tcW w:w="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NO.</w:t>
            </w:r>
          </w:p>
        </w:tc>
        <w:tc>
          <w:tcPr>
            <w:tcW w:w="5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23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4.10</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Letter of Understanding, dated September 22, 1997, between</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Amdocs and Welsh, Carson, Anderson and Stowe, on behalf of</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the Investors named therein (Exhibit 4.8 to Amdocs'</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Registration Statement on Form F-1 dated June 19, 1998;</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4.11</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Registration No. 333-8826)</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Shareholders Agreement, Summary of Terms, dated September</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22, 1997 (Exhibit 4.9 to Amdocs' Registration Statement on</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4.12</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Form F-1 dated June 19, 1998; Registration No. 333-8826)</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Certain proxies executed by investment partnerships</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affiliated with Welsh, Carson, Anderson and Stowe and</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certain other entities in favor of Conbond Holding Company</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Ltd. (Exhibit 4.10 to Amdocs' Registration Statement on Form</w:t>
            </w:r>
          </w:p>
        </w:tc>
        <w:tc>
          <w:tcPr>
            <w:tcW w:w="0" w:type="dxa"/>
            <w:vAlign w:val="bottom"/>
          </w:tcPr>
          <w:p>
            <w:pPr>
              <w:spacing w:after="0"/>
              <w:rPr>
                <w:sz w:val="1"/>
                <w:szCs w:val="1"/>
                <w:color w:val="auto"/>
              </w:rPr>
            </w:pPr>
          </w:p>
        </w:tc>
      </w:tr>
      <w:tr>
        <w:trPr>
          <w:trHeight w:val="176"/>
        </w:trPr>
        <w:tc>
          <w:tcPr>
            <w:tcW w:w="7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*5.1</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F-1 dated June 19, 1998; Registration No. 333-8826)</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Opinion of Carey Langlois</w:t>
            </w:r>
          </w:p>
        </w:tc>
        <w:tc>
          <w:tcPr>
            <w:tcW w:w="0" w:type="dxa"/>
            <w:vAlign w:val="bottom"/>
          </w:tcPr>
          <w:p>
            <w:pPr>
              <w:spacing w:after="0"/>
              <w:rPr>
                <w:sz w:val="1"/>
                <w:szCs w:val="1"/>
                <w:color w:val="auto"/>
              </w:rPr>
            </w:pPr>
          </w:p>
        </w:tc>
      </w:tr>
      <w:tr>
        <w:trPr>
          <w:trHeight w:val="176"/>
        </w:trPr>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**23.1</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Consent of Ernst &amp; Young LLP, independent auditors.</w:t>
            </w:r>
          </w:p>
        </w:tc>
        <w:tc>
          <w:tcPr>
            <w:tcW w:w="0" w:type="dxa"/>
            <w:vAlign w:val="bottom"/>
          </w:tcPr>
          <w:p>
            <w:pPr>
              <w:spacing w:after="0"/>
              <w:rPr>
                <w:sz w:val="1"/>
                <w:szCs w:val="1"/>
                <w:color w:val="auto"/>
              </w:rPr>
            </w:pPr>
          </w:p>
        </w:tc>
      </w:tr>
      <w:tr>
        <w:trPr>
          <w:trHeight w:val="176"/>
        </w:trPr>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*23.2</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Consent of Ernst &amp; Young LLP, independent auditors.</w:t>
            </w:r>
          </w:p>
        </w:tc>
        <w:tc>
          <w:tcPr>
            <w:tcW w:w="0" w:type="dxa"/>
            <w:vAlign w:val="bottom"/>
          </w:tcPr>
          <w:p>
            <w:pPr>
              <w:spacing w:after="0"/>
              <w:rPr>
                <w:sz w:val="1"/>
                <w:szCs w:val="1"/>
                <w:color w:val="auto"/>
              </w:rPr>
            </w:pPr>
          </w:p>
        </w:tc>
      </w:tr>
      <w:tr>
        <w:trPr>
          <w:trHeight w:val="176"/>
        </w:trPr>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*23.3</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Consent of Ernst &amp; Young LLP, independent auditors.</w:t>
            </w:r>
          </w:p>
        </w:tc>
        <w:tc>
          <w:tcPr>
            <w:tcW w:w="0" w:type="dxa"/>
            <w:vAlign w:val="bottom"/>
          </w:tcPr>
          <w:p>
            <w:pPr>
              <w:spacing w:after="0"/>
              <w:rPr>
                <w:sz w:val="1"/>
                <w:szCs w:val="1"/>
                <w:color w:val="auto"/>
              </w:rPr>
            </w:pPr>
          </w:p>
        </w:tc>
      </w:tr>
      <w:tr>
        <w:trPr>
          <w:trHeight w:val="176"/>
        </w:trPr>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*23.4</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Consent of Carey Langlois (included in Exhibit 5.1).</w:t>
            </w:r>
          </w:p>
        </w:tc>
        <w:tc>
          <w:tcPr>
            <w:tcW w:w="0" w:type="dxa"/>
            <w:vAlign w:val="bottom"/>
          </w:tcPr>
          <w:p>
            <w:pPr>
              <w:spacing w:after="0"/>
              <w:rPr>
                <w:sz w:val="1"/>
                <w:szCs w:val="1"/>
                <w:color w:val="auto"/>
              </w:rPr>
            </w:pPr>
          </w:p>
        </w:tc>
      </w:tr>
      <w:tr>
        <w:trPr>
          <w:trHeight w:val="176"/>
        </w:trPr>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*24.1</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Powers of Attorney (contained on the signature pages</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hereof).</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left="186" w:hanging="186"/>
        <w:spacing w:after="0"/>
        <w:tabs>
          <w:tab w:leader="none" w:pos="186"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8" w:lineRule="exact"/>
        <w:rPr>
          <w:rFonts w:ascii="Courier New" w:cs="Courier New" w:eastAsia="Courier New" w:hAnsi="Courier New"/>
          <w:sz w:val="15"/>
          <w:szCs w:val="15"/>
          <w:color w:val="auto"/>
        </w:rPr>
      </w:pPr>
    </w:p>
    <w:p>
      <w:pPr>
        <w:ind w:left="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pacing w:after="0" w:line="200" w:lineRule="exact"/>
        <w:rPr>
          <w:sz w:val="20"/>
          <w:szCs w:val="20"/>
          <w:color w:val="auto"/>
        </w:rPr>
      </w:pPr>
    </w:p>
    <w:p>
      <w:pPr>
        <w:spacing w:after="0" w:line="33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Filed herewith.</w:t>
      </w:r>
    </w:p>
    <w:p>
      <w:pPr>
        <w:sectPr>
          <w:pgSz w:w="11900" w:h="16838" w:orient="portrait"/>
          <w:cols w:equalWidth="0" w:num="1">
            <w:col w:w="10225"/>
          </w:cols>
          <w:pgMar w:left="234" w:top="266"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1</w:t>
      </w:r>
    </w:p>
    <w:p>
      <w:pPr>
        <w:spacing w:after="0" w:line="34"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23.1</w:t>
      </w:r>
    </w:p>
    <w:p>
      <w:pPr>
        <w:spacing w:after="0" w:line="33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359" w:lineRule="exact"/>
        <w:rPr>
          <w:sz w:val="20"/>
          <w:szCs w:val="20"/>
          <w:color w:val="auto"/>
        </w:rPr>
      </w:pPr>
    </w:p>
    <w:p>
      <w:pPr>
        <w:ind w:right="2899"/>
        <w:spacing w:after="0" w:line="267" w:lineRule="auto"/>
        <w:rPr>
          <w:sz w:val="20"/>
          <w:szCs w:val="20"/>
          <w:color w:val="auto"/>
        </w:rPr>
      </w:pPr>
      <w:r>
        <w:rPr>
          <w:rFonts w:ascii="Courier New" w:cs="Courier New" w:eastAsia="Courier New" w:hAnsi="Courier New"/>
          <w:sz w:val="15"/>
          <w:szCs w:val="15"/>
          <w:color w:val="auto"/>
        </w:rPr>
        <w:t>We consent to the reference to our firm under the caption "Experts" in Amendment No. 1 to the Registration Statement (Form F-3 No. 333-57036) and related Prospectus of Amdocs Limited for the registration of 7,259,224 shares of its ordinary shares and to the incorporation by reference therein of our report dated November 2, 2000 with respect to the consolidated financial statements of Amdocs Limited included in its Annual Report (Form 20-F/A) for the year ended September 30, 2000, filed with the Securities Exchange Commission on April 3, 2001.</w:t>
      </w:r>
    </w:p>
    <w:p>
      <w:pPr>
        <w:spacing w:after="0" w:line="200" w:lineRule="exact"/>
        <w:rPr>
          <w:sz w:val="20"/>
          <w:szCs w:val="20"/>
          <w:color w:val="auto"/>
        </w:rPr>
      </w:pPr>
    </w:p>
    <w:p>
      <w:pPr>
        <w:spacing w:after="0" w:line="239"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/s/ Ernst &amp; Young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Louis, Missouri</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3, 2001</w:t>
      </w:r>
    </w:p>
    <w:sectPr>
      <w:pgSz w:w="11900" w:h="16838" w:orient="portrait"/>
      <w:cols w:equalWidth="0" w:num="1">
        <w:col w:w="10219"/>
      </w:cols>
      <w:pgMar w:left="240" w:top="1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2"/>
    </w:lvl>
  </w:abstractNum>
  <w:abstractNum w:abstractNumId="16">
    <w:nsid w:val="75A2A8D4"/>
    <w:multiLevelType w:val="hybridMultilevel"/>
    <w:lvl w:ilvl="0">
      <w:lvlJc w:val="left"/>
      <w:lvlText w:val="(%1)"/>
      <w:numFmt w:val="decimal"/>
      <w:start w:val="3"/>
    </w:lvl>
  </w:abstractNum>
  <w:abstractNum w:abstractNumId="17">
    <w:nsid w:val="8EDBDAB"/>
    <w:multiLevelType w:val="hybridMultilevel"/>
    <w:lvl w:ilvl="0">
      <w:lvlJc w:val="left"/>
      <w:lvlText w:val="(%1)"/>
      <w:numFmt w:val="decimal"/>
      <w:start w:val="4"/>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2"/>
    </w:lvl>
  </w:abstractNum>
  <w:abstractNum w:abstractNumId="20">
    <w:nsid w:val="B03E0C6"/>
    <w:multiLevelType w:val="hybridMultilevel"/>
    <w:lvl w:ilvl="0">
      <w:lvlJc w:val="left"/>
      <w:lvlText w:val="(%1)"/>
      <w:numFmt w:val="decimal"/>
      <w:start w:val="3"/>
    </w:lvl>
  </w:abstractNum>
  <w:abstractNum w:abstractNumId="21">
    <w:nsid w:val="189A769B"/>
    <w:multiLevelType w:val="hybridMultilevel"/>
    <w:lvl w:ilvl="0">
      <w:lvlJc w:val="left"/>
      <w:lvlText w:val="%1"/>
      <w:numFmt w:val="upperLetter"/>
      <w:start w:val="1"/>
    </w:lvl>
    <w:lvl w:ilvl="1">
      <w:lvlJc w:val="left"/>
      <w:lvlText w:val="(%2)"/>
      <w:numFmt w:val="decimal"/>
      <w:start w:val="4"/>
    </w:lvl>
  </w:abstractNum>
  <w:abstractNum w:abstractNumId="22">
    <w:nsid w:val="54E49EB4"/>
    <w:multiLevelType w:val="hybridMultilevel"/>
    <w:lvl w:ilvl="0">
      <w:lvlJc w:val="left"/>
      <w:lvlText w:val="(%1)"/>
      <w:numFmt w:val="upperLetter"/>
      <w:start w:val="3"/>
    </w:lvl>
    <w:lvl w:ilvl="1">
      <w:lvlJc w:val="left"/>
      <w:lvlText w:val="%2"/>
      <w:numFmt w:val="decimal"/>
      <w:start w:val="1"/>
    </w:lvl>
  </w:abstractNum>
  <w:abstractNum w:abstractNumId="23">
    <w:nsid w:val="71F32454"/>
    <w:multiLevelType w:val="hybridMultilevel"/>
    <w:lvl w:ilvl="0">
      <w:lvlJc w:val="left"/>
      <w:lvlText w:val="-"/>
      <w:numFmt w:val="bullet"/>
      <w:start w:val="1"/>
    </w:lvl>
    <w:lvl w:ilvl="1">
      <w:lvlJc w:val="left"/>
      <w:lvlText w:val="*"/>
      <w:numFmt w:val="bullet"/>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Roman"/>
      <w:start w:val="1"/>
    </w:lvl>
  </w:abstractNum>
  <w:abstractNum w:abstractNumId="28">
    <w:nsid w:val="8138641"/>
    <w:multiLevelType w:val="hybridMultilevel"/>
    <w:lvl w:ilvl="0">
      <w:lvlJc w:val="left"/>
      <w:lvlText w:val="(%1)"/>
      <w:numFmt w:val="decimal"/>
      <w:start w:val="2"/>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2019-12-14T20:10:57Z</dcterms:created>
  <dcterms:modified xsi:type="dcterms:W3CDTF">2019-12-14T20:10:57Z</dcterms:modified>
</cp:coreProperties>
</file>