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January, 2013</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84" w:lineRule="exact"/>
        <w:tabs>
          <w:tab w:leader="none" w:pos="884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r>
        <w:rPr>
          <w:sz w:val="20"/>
          <w:szCs w:val="20"/>
          <w:color w:val="auto"/>
        </w:rPr>
        <w:tab/>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tabs>
          <w:tab w:leader="none" w:pos="8840" w:val="left"/>
        </w:tabs>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r>
        <w:rPr>
          <w:sz w:val="20"/>
          <w:szCs w:val="20"/>
          <w:color w:val="auto"/>
        </w:rPr>
        <w:tab/>
      </w:r>
      <w:r>
        <w:rPr>
          <w:rFonts w:ascii="MS PGothic" w:cs="MS PGothic" w:eastAsia="MS PGothic" w:hAnsi="MS PGothic"/>
          <w:sz w:val="16"/>
          <w:szCs w:val="16"/>
          <w:color w:val="auto"/>
        </w:rPr>
        <w:t>☐</w:t>
      </w:r>
    </w:p>
    <w:p>
      <w:pPr>
        <w:spacing w:after="0" w:line="22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jc w:val="center"/>
        <w:ind w:right="-119"/>
        <w:spacing w:after="0" w:line="207" w:lineRule="exact"/>
        <w:tabs>
          <w:tab w:leader="none" w:pos="520" w:val="left"/>
          <w:tab w:leader="none" w:pos="1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January 30, 2013, Amdocs Limited (“Amdocs”) issued a press release announcing financial results for the quarter ended December 31, 2012. A copy of the press release is furnished as Exhibit 99.1 to this Report of Foreign Private Issuer on Form 6-K.</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400"/>
          </w:cols>
          <w:pgMar w:left="240" w:top="280"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2013</w:t>
      </w:r>
    </w:p>
    <w:p>
      <w:pPr>
        <w:sectPr>
          <w:pgSz w:w="11900" w:h="16838" w:orient="portrait"/>
          <w:cols w:equalWidth="0" w:num="1">
            <w:col w:w="10980"/>
          </w:cols>
          <w:pgMar w:left="240" w:top="274" w:right="67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-8255</wp:posOffset>
            </wp:positionV>
            <wp:extent cx="591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Amdocs Limited Press Release dated January 30, 2013.</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143510</wp:posOffset>
            </wp:positionV>
            <wp:extent cx="133794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945" cy="28321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Record Quarterly Revenue of $826M, Up 2.4%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Delivers Record Quarterly Diluted Non-GAAP EPS of $0.73, Up 14% YoY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Quarterly Diluted GAAP EPS of $0.61, Up 15% YoY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90" w:lineRule="exact"/>
        <w:rPr>
          <w:sz w:val="20"/>
          <w:szCs w:val="20"/>
          <w:color w:val="auto"/>
        </w:rPr>
      </w:pPr>
    </w:p>
    <w:p>
      <w:pPr>
        <w:ind w:left="900" w:right="14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revenue of $826 million, within the $810-$840 million guidance range. Foreign currency movements positively affected revenue by approximately $1.5 million relative to the fourth quarter of fiscal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First fiscal quarter non-GAAP operating income of $137 million; non-GAAP operating margin of 16.6%; GAAP operating income of $113 million</w:t>
      </w:r>
    </w:p>
    <w:p>
      <w:pPr>
        <w:spacing w:after="0" w:line="113"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First fiscal quarter diluted non-GAAP EPS of $0.73, compared to the $0.68-$0.74 guidance range, excluding amortization of purchased intangible assets and other acquisition related costs and equity-based compensation expense, net of related tax effects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$0.61 for the first fiscal quarter, compared to the $0.56-$0.64 guidance range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$115 million for the first fiscal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Twelve-month backlog of $2.8 billion at the end of the first fiscal quarter, up $10 million from the end of the fourth quarter of fiscal 2012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$104 million of ordinary shares during the first fiscal quarter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approved $0.13 per share quarterly cash dividend to be paid on April 19, 2013.</w:t>
      </w:r>
    </w:p>
    <w:p>
      <w:pPr>
        <w:spacing w:after="0" w:line="90" w:lineRule="exact"/>
        <w:rPr>
          <w:rFonts w:ascii="Arial" w:cs="Arial" w:eastAsia="Arial" w:hAnsi="Arial"/>
          <w:sz w:val="18"/>
          <w:szCs w:val="18"/>
          <w:color w:val="auto"/>
        </w:rPr>
      </w:pPr>
    </w:p>
    <w:p>
      <w:pPr>
        <w:ind w:left="900" w:right="140" w:hanging="325"/>
        <w:spacing w:after="0" w:line="306"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Second quarter fiscal 2013 guidance: Expected revenue of approximately $820-$850 million and diluted non-GAAP EPS of $0.69-$0.75, excluding amortization of purchased intangible assets and other acquisition-related costs and approximately $0.05-$0.06 per share of equity-based compensation expense, net of related tax effects. Diluted GAAP EPS is expected to be approximately $0.58-$0.66</w:t>
      </w:r>
    </w:p>
    <w:p>
      <w:pPr>
        <w:sectPr>
          <w:pgSz w:w="11900" w:h="16838" w:orient="portrait"/>
          <w:cols w:equalWidth="0" w:num="1">
            <w:col w:w="11420"/>
          </w:cols>
          <w:pgMar w:left="240" w:top="125" w:right="23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January 30, 2013 </w:t>
      </w:r>
      <w:r>
        <w:rPr>
          <w:rFonts w:ascii="Arial" w:cs="Arial" w:eastAsia="Arial" w:hAnsi="Arial"/>
          <w:sz w:val="18"/>
          <w:szCs w:val="18"/>
          <w:color w:val="auto"/>
        </w:rPr>
        <w:t>– Amdocs Limited (NYSE: DOX) today reported that for its fiscal quarter ended December 31, 2012, revenue was $826.4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up 0.5% sequentially from the fourth fiscal quarter of 2012 and up 2.4% as compared to last year’s first fiscal quarter. Net income on a non-GAAP basis was $119.4 million, or $0.73 per diluted share, compared to non-GAAP net income of $111.3 million, or $0.64 per diluted share, in the first quarter of fiscal 2012. Non-GAAP net income excludes amortization of purchased intangible assets and other acquisition related costs and equity-based compensation expenses of $20.4 million, net of related tax effects, in the first quarter of fiscal 2013 and excludes such amortization and other acquisition related costs and equity-based compensation expenses of $18.5 million, net of related tax effects, in the first quarter of fiscal 2012. The Company’s GAAP net income for the first quarter of fiscal 2013 was $99.0 million, or $0.61 per diluted share, compared to GAAP net income of $92.7 million, or $0.53 per diluted share, in the prior fiscal year’s first quarter.</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began fiscal 2013 with a record quarter for revenue that was partly driven by a return to year-on-year growth in our North American market. Specifically, we see renewed momentum at AT&amp;T, which is focused on the implementation of its new strategy, including data monetization. In our emerging markets, we delivered 19% year-on-year growth in the first quarter and we are on-track to achieve our goal of double-digit growth in this region in fiscal 2013. In Europe, we experienced year-on-year declines owing to difficult macroeconomic conditions and the anticipated ramp down of some transformation projects with certain customers. However, we believe our competitive position in Europe remains strong, and we continue to see opportunities for new business across our portfolio of products and services” said Eli Gelman, chief executive officer of Amdocs Management Limited.</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Gelman continued, “Within emerging markets, Latin America remains a critical growth region for Amdocs. Our strategy to focus on securing the large carriers of the region, including América Móvil, Telefónica and TIM, is resulting in new customer wins and increased market penetration. We are delighted to announce that Claro Chile, a wholly owned entity of América Móvil, has selected Amdocs to consolidate its business and operational support systems (BSS/OSS). Similarly, we recently announced that Amdocs was selected by Telefónica Argentina to implement a transformation program, marking our first project with the Telefónica group in Latin America.”</w:t>
      </w:r>
    </w:p>
    <w:p>
      <w:pPr>
        <w:sectPr>
          <w:pgSz w:w="11900" w:h="16838" w:orient="portrait"/>
          <w:cols w:equalWidth="0" w:num="1">
            <w:col w:w="11400"/>
          </w:cols>
          <w:pgMar w:left="240" w:top="274" w:right="259" w:bottom="1440" w:gutter="0" w:footer="0" w:header="0"/>
        </w:sectPr>
      </w:pPr>
    </w:p>
    <w:bookmarkStart w:id="6" w:name="page7"/>
    <w:bookmarkEnd w:id="6"/>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Gelman concluded, “This was another quarter of solid execution that comes on the heels of our strong competitive position and focus. Combined with the strict control of our operating margins, we are comfortable that we can meet our fiscal 2013 guidance and provide an attractive total return to our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First Fiscal 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was $115 million for the quarter, comprised of cash flow from operations of $145 million less $30 million in net capital expenditures and other.</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$2.8 billion at the end of the first quarter of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Amdocs expects that revenue for the second quarter of fiscal 2013 will be approximately $820-$850 million. Diluted earnings per share on a non-GAAP basis for the second fiscal quarter are expected to be $0.69-$0.75, excluding amortization of purchased intangible assets and other acquisition-related costs and approximately $0.05-$0.06 per share of equity-based compensation expense, net of related tax effects. Amdocs estimates GAAP diluted earnings per share for the second fiscal quarter will be $0.58-$0.66.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Cash Dividend Program</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January 30, 2013, the Board approved the next quarterly cash dividend payment and set March 28, 2013 as the record date for determining the shareholders entitled to receive the dividend, which is payable on April 19,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Amdocs will host a conference call on January 30, 2013 at 5:00 p.m. Eastern Time to discuss the Company's first fiscal quarter results. The call will be carried live on the Internet via the Amdocs website, www.amdocs.com.</w:t>
      </w:r>
    </w:p>
    <w:p>
      <w:pPr>
        <w:sectPr>
          <w:pgSz w:w="11900" w:h="16838" w:orient="portrait"/>
          <w:cols w:equalWidth="0" w:num="1">
            <w:col w:w="11400"/>
          </w:cols>
          <w:pgMar w:left="240" w:top="33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non-GAAP net income, and non-GAAP diluted earnings per share. These non-GAAP measures exclude the following items:</w:t>
      </w:r>
    </w:p>
    <w:p>
      <w:pPr>
        <w:spacing w:after="0" w:line="2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non-GAAP net income, and non-GAAP diluted earnings per share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equity-based compensation expense and related tax effects. Amdocs’ management also uses the foregoing non-GAAP financial</w:t>
      </w:r>
    </w:p>
    <w:p>
      <w:pPr>
        <w:sectPr>
          <w:pgSz w:w="11900" w:h="16838" w:orient="portrait"/>
          <w:cols w:equalWidth="0" w:num="1">
            <w:col w:w="11400"/>
          </w:cols>
          <w:pgMar w:left="240" w:top="274" w:right="2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$3.2 billion in fiscal 2012, Amdocs and its 20,000 employees serve customers in more than 60 countries.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17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w:t>
      </w:r>
    </w:p>
    <w:p>
      <w:pPr>
        <w:sectPr>
          <w:pgSz w:w="11900" w:h="16838" w:orient="portrait"/>
          <w:cols w:equalWidth="0" w:num="1">
            <w:col w:w="11380"/>
          </w:cols>
          <w:pgMar w:left="240" w:top="280" w:right="279" w:bottom="1440" w:gutter="0" w:footer="0" w:header="0"/>
        </w:sectPr>
      </w:pPr>
    </w:p>
    <w:bookmarkStart w:id="9" w:name="page10"/>
    <w:bookmarkEnd w:id="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2012 filed on December 11,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380"/>
          </w:cols>
          <w:pgMar w:left="240" w:top="280"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18,916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807,443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771,214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826,359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807,010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535,013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516,181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59,360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107,460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713,702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697,962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112,657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112,549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99,015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162,176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163,587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6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826,359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807,010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0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137,215</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132,807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119,424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00" w:type="dxa"/>
            <w:vAlign w:val="bottom"/>
            <w:gridSpan w:val="2"/>
          </w:tcPr>
          <w:p>
            <w:pPr>
              <w:spacing w:after="0"/>
              <w:rPr>
                <w:sz w:val="20"/>
                <w:szCs w:val="20"/>
                <w:color w:val="auto"/>
              </w:rPr>
            </w:pPr>
            <w:r>
              <w:rPr>
                <w:rFonts w:ascii="Arial" w:cs="Arial" w:eastAsia="Arial" w:hAnsi="Arial"/>
                <w:sz w:val="18"/>
                <w:szCs w:val="18"/>
                <w:color w:val="auto"/>
              </w:rPr>
              <w:t>Non-GAAP diluted earnings per share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163,587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Equity based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8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Tax</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GAAP</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4"/>
                <w:szCs w:val="14"/>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535,013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529,980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59,360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107,460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(11,233)</w:t>
            </w: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713,702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(11,233)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689,144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112,657</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32"/>
              <w:spacing w:after="0"/>
              <w:rPr>
                <w:sz w:val="20"/>
                <w:szCs w:val="20"/>
                <w:color w:val="auto"/>
              </w:rPr>
            </w:pPr>
            <w:r>
              <w:rPr>
                <w:rFonts w:ascii="Arial" w:cs="Arial" w:eastAsia="Arial" w:hAnsi="Arial"/>
                <w:sz w:val="18"/>
                <w:szCs w:val="18"/>
                <w:color w:val="auto"/>
              </w:rPr>
              <w:t>11,233</w:t>
            </w:r>
          </w:p>
        </w:tc>
        <w:tc>
          <w:tcPr>
            <w:tcW w:w="12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13,325</w:t>
            </w:r>
          </w:p>
        </w:tc>
        <w:tc>
          <w:tcPr>
            <w:tcW w:w="10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4,149</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99,015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32"/>
              <w:spacing w:after="0"/>
              <w:rPr>
                <w:sz w:val="20"/>
                <w:szCs w:val="20"/>
                <w:color w:val="auto"/>
              </w:rPr>
            </w:pPr>
            <w:r>
              <w:rPr>
                <w:rFonts w:ascii="Arial" w:cs="Arial" w:eastAsia="Arial" w:hAnsi="Arial"/>
                <w:sz w:val="18"/>
                <w:szCs w:val="18"/>
                <w:color w:val="auto"/>
              </w:rPr>
              <w:t>11,233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13,325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(4,149)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$ 119,424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85"/>
              </w:rPr>
              <w:t>December 31, 2011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Equity based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8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Tax</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GAAP</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expense</w:t>
            </w:r>
          </w:p>
        </w:tc>
        <w:tc>
          <w:tcPr>
            <w:tcW w:w="100" w:type="dxa"/>
            <w:vAlign w:val="bottom"/>
          </w:tcPr>
          <w:p>
            <w:pPr>
              <w:spacing w:after="0"/>
              <w:rPr>
                <w:sz w:val="14"/>
                <w:szCs w:val="14"/>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516,181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510,578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106,337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13,206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(13,206)</w:t>
            </w:r>
          </w:p>
        </w:tc>
        <w:tc>
          <w:tcPr>
            <w:tcW w:w="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697,962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(13,206)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674,203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109,048</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132,807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5,236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92,731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13,206</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10,553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(5,236)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$ 111,254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9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760" w:type="dxa"/>
            <w:vAlign w:val="bottom"/>
            <w:gridSpan w:val="2"/>
            <w:shd w:val="clear" w:color="auto" w:fill="CCEEFF"/>
          </w:tcPr>
          <w:p>
            <w:pPr>
              <w:ind w:left="16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961,324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Accounts receivable, net, including unbilled of $128,405 and $130,697, respectively</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682,268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1,920,073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2,041,070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272,923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277,907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1,871,666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1,883,064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432,937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gridSpan w:val="2"/>
            <w:shd w:val="clear" w:color="auto" w:fill="CCEEFF"/>
          </w:tcPr>
          <w:p>
            <w:pPr>
              <w:ind w:left="168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4,497,599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60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760" w:type="dxa"/>
            <w:vAlign w:val="bottom"/>
            <w:gridSpan w:val="2"/>
          </w:tcPr>
          <w:p>
            <w:pPr>
              <w:ind w:left="16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680,909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690,823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Deferred revenue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140,082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843,821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Shareholders’ equity</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3,094,454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760" w:type="dxa"/>
            <w:vAlign w:val="bottom"/>
            <w:gridSpan w:val="2"/>
            <w:shd w:val="clear" w:color="auto" w:fill="CCEEFF"/>
          </w:tcPr>
          <w:p>
            <w:pPr>
              <w:ind w:left="168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4,497,599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99,015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39,288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9,306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Other noncurrent liabilities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145,463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76,296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(158,059)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(113,196)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(18,848)</w:t>
            </w: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Repurchase of shares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(103,707)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Payment of dividend</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and 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(270,650)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(366,053)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(238,383)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(234,955)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879,158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831,371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640,775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596,416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9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$558.7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Europe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826.4</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822.1</w:t>
            </w:r>
          </w:p>
        </w:tc>
        <w:tc>
          <w:tcPr>
            <w:tcW w:w="1300" w:type="dxa"/>
            <w:vAlign w:val="bottom"/>
            <w:gridSpan w:val="3"/>
          </w:tcPr>
          <w:p>
            <w:pPr>
              <w:jc w:val="center"/>
              <w:ind w:left="48"/>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808.9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9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Emerging Markets Revenue</w:t>
            </w: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9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Managed Services Revenue</w:t>
            </w: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426.8</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9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Systems</w:t>
            </w: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$766.2</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Directory</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w:t>
            </w:r>
          </w:p>
        </w:tc>
        <w:tc>
          <w:tcPr>
            <w:tcW w:w="4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1300" w:type="dxa"/>
            <w:vAlign w:val="bottom"/>
            <w:gridSpan w:val="3"/>
            <w:shd w:val="clear" w:color="auto" w:fill="CCEEFF"/>
          </w:tcPr>
          <w:p>
            <w:pPr>
              <w:jc w:val="center"/>
              <w:ind w:left="48"/>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808.9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9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12-Month Backlog</w:t>
            </w:r>
          </w:p>
        </w:tc>
        <w:tc>
          <w:tcPr>
            <w:tcW w:w="1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2,760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2019-12-06T20:41:06Z</dcterms:created>
  <dcterms:modified xsi:type="dcterms:W3CDTF">2019-12-06T20:41:06Z</dcterms:modified>
</cp:coreProperties>
</file>