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59"/>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FORM 6-K</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PURSUANT TO RULE 13A-16 OR 15D-16 OF</w:t>
      </w:r>
    </w:p>
    <w:p>
      <w:pPr>
        <w:spacing w:after="0" w:line="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Quarter Ended March 31, 2006</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Commission File Number 1-14840</w:t>
      </w:r>
    </w:p>
    <w:p>
      <w:pPr>
        <w:spacing w:after="0" w:line="183"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AMDOCS LIMITED</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Suite 5, Tower Hill House Le Bordage</w:t>
      </w:r>
    </w:p>
    <w:p>
      <w:pPr>
        <w:spacing w:after="0" w:line="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spacing w:after="0" w:line="183"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Amdocs, Inc.</w:t>
      </w:r>
    </w:p>
    <w:p>
      <w:pPr>
        <w:spacing w:after="0" w:line="1"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1390 Timberlake Manor Parkway, Chesterfield, Missouri 63017</w:t>
      </w:r>
    </w:p>
    <w:p>
      <w:pPr>
        <w:spacing w:after="0" w:line="1"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86" w:lineRule="exact"/>
        <w:rPr>
          <w:sz w:val="24"/>
          <w:szCs w:val="24"/>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of Form 20-F or Form 40-F:</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3640" w:type="dxa"/>
            <w:vAlign w:val="bottom"/>
          </w:tcPr>
          <w:p>
            <w:pPr>
              <w:ind w:left="2260"/>
              <w:spacing w:after="0"/>
              <w:rPr>
                <w:sz w:val="20"/>
                <w:szCs w:val="20"/>
                <w:color w:val="auto"/>
              </w:rPr>
            </w:pPr>
            <w:r>
              <w:rPr>
                <w:rFonts w:ascii="Courier New" w:cs="Courier New" w:eastAsia="Courier New" w:hAnsi="Courier New"/>
                <w:sz w:val="16"/>
                <w:szCs w:val="16"/>
                <w:color w:val="auto"/>
              </w:rPr>
              <w:t>FORM 20-F  X</w:t>
            </w:r>
          </w:p>
        </w:tc>
        <w:tc>
          <w:tcPr>
            <w:tcW w:w="38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FORM 40-F</w:t>
            </w:r>
          </w:p>
        </w:tc>
      </w:tr>
      <w:tr>
        <w:trPr>
          <w:trHeight w:val="182"/>
        </w:trPr>
        <w:tc>
          <w:tcPr>
            <w:tcW w:w="3640" w:type="dxa"/>
            <w:vAlign w:val="bottom"/>
          </w:tcPr>
          <w:p>
            <w:pPr>
              <w:ind w:left="32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3340" w:type="dxa"/>
            <w:vAlign w:val="bottom"/>
          </w:tcPr>
          <w:p>
            <w:pPr>
              <w:ind w:left="600"/>
              <w:spacing w:after="0"/>
              <w:rPr>
                <w:sz w:val="20"/>
                <w:szCs w:val="20"/>
                <w:color w:val="auto"/>
              </w:rPr>
            </w:pPr>
            <w:r>
              <w:rPr>
                <w:rFonts w:ascii="Courier New" w:cs="Courier New" w:eastAsia="Courier New" w:hAnsi="Courier New"/>
                <w:sz w:val="16"/>
                <w:szCs w:val="16"/>
                <w:color w:val="auto"/>
              </w:rPr>
              <w:t>---</w:t>
            </w:r>
          </w:p>
        </w:tc>
      </w:tr>
      <w:tr>
        <w:trPr>
          <w:trHeight w:val="364"/>
        </w:trPr>
        <w:tc>
          <w:tcPr>
            <w:tcW w:w="4120" w:type="dxa"/>
            <w:vAlign w:val="bottom"/>
            <w:gridSpan w:val="2"/>
          </w:tcPr>
          <w:p>
            <w:pPr>
              <w:spacing w:after="0"/>
              <w:rPr>
                <w:sz w:val="20"/>
                <w:szCs w:val="20"/>
                <w:color w:val="auto"/>
              </w:rPr>
            </w:pPr>
            <w:r>
              <w:rPr>
                <w:rFonts w:ascii="Courier New" w:cs="Courier New" w:eastAsia="Courier New" w:hAnsi="Courier New"/>
                <w:sz w:val="16"/>
                <w:szCs w:val="16"/>
                <w:color w:val="auto"/>
                <w:w w:val="99"/>
              </w:rPr>
              <w:t>Indicate by check mark if the registrant is</w:t>
            </w:r>
          </w:p>
        </w:tc>
        <w:tc>
          <w:tcPr>
            <w:tcW w:w="3340" w:type="dxa"/>
            <w:vAlign w:val="bottom"/>
          </w:tcPr>
          <w:p>
            <w:pPr>
              <w:ind w:left="40"/>
              <w:spacing w:after="0"/>
              <w:rPr>
                <w:sz w:val="20"/>
                <w:szCs w:val="20"/>
                <w:color w:val="auto"/>
              </w:rPr>
            </w:pPr>
            <w:r>
              <w:rPr>
                <w:rFonts w:ascii="Courier New" w:cs="Courier New" w:eastAsia="Courier New" w:hAnsi="Courier New"/>
                <w:sz w:val="16"/>
                <w:szCs w:val="16"/>
                <w:color w:val="auto"/>
                <w:w w:val="97"/>
              </w:rPr>
              <w:t>submitting the Form 6-K in paper as</w:t>
            </w:r>
          </w:p>
        </w:tc>
      </w:tr>
      <w:tr>
        <w:trPr>
          <w:trHeight w:val="182"/>
        </w:trPr>
        <w:tc>
          <w:tcPr>
            <w:tcW w:w="4120" w:type="dxa"/>
            <w:vAlign w:val="bottom"/>
            <w:gridSpan w:val="2"/>
          </w:tcPr>
          <w:p>
            <w:pPr>
              <w:spacing w:after="0"/>
              <w:rPr>
                <w:sz w:val="20"/>
                <w:szCs w:val="20"/>
                <w:color w:val="auto"/>
              </w:rPr>
            </w:pPr>
            <w:r>
              <w:rPr>
                <w:rFonts w:ascii="Courier New" w:cs="Courier New" w:eastAsia="Courier New" w:hAnsi="Courier New"/>
                <w:sz w:val="16"/>
                <w:szCs w:val="16"/>
                <w:color w:val="auto"/>
                <w:w w:val="99"/>
              </w:rPr>
              <w:t>permitted by Regulation S-T Rule 101(b)(1):</w:t>
            </w:r>
          </w:p>
        </w:tc>
        <w:tc>
          <w:tcPr>
            <w:tcW w:w="3340" w:type="dxa"/>
            <w:vAlign w:val="bottom"/>
          </w:tcPr>
          <w:p>
            <w:pPr>
              <w:ind w:left="40"/>
              <w:spacing w:after="0"/>
              <w:rPr>
                <w:sz w:val="20"/>
                <w:szCs w:val="20"/>
                <w:color w:val="auto"/>
              </w:rPr>
            </w:pPr>
            <w:r>
              <w:rPr>
                <w:rFonts w:ascii="Courier New" w:cs="Courier New" w:eastAsia="Courier New" w:hAnsi="Courier New"/>
                <w:sz w:val="16"/>
                <w:szCs w:val="16"/>
                <w:color w:val="auto"/>
              </w:rPr>
              <w:t>____</w:t>
            </w:r>
          </w:p>
        </w:tc>
      </w:tr>
      <w:tr>
        <w:trPr>
          <w:trHeight w:val="364"/>
        </w:trPr>
        <w:tc>
          <w:tcPr>
            <w:tcW w:w="4120" w:type="dxa"/>
            <w:vAlign w:val="bottom"/>
            <w:gridSpan w:val="2"/>
          </w:tcPr>
          <w:p>
            <w:pPr>
              <w:spacing w:after="0"/>
              <w:rPr>
                <w:sz w:val="20"/>
                <w:szCs w:val="20"/>
                <w:color w:val="auto"/>
              </w:rPr>
            </w:pPr>
            <w:r>
              <w:rPr>
                <w:rFonts w:ascii="Courier New" w:cs="Courier New" w:eastAsia="Courier New" w:hAnsi="Courier New"/>
                <w:sz w:val="16"/>
                <w:szCs w:val="16"/>
                <w:color w:val="auto"/>
                <w:w w:val="99"/>
              </w:rPr>
              <w:t>Indicate by check mark if the registrant is</w:t>
            </w:r>
          </w:p>
        </w:tc>
        <w:tc>
          <w:tcPr>
            <w:tcW w:w="3340" w:type="dxa"/>
            <w:vAlign w:val="bottom"/>
          </w:tcPr>
          <w:p>
            <w:pPr>
              <w:ind w:left="40"/>
              <w:spacing w:after="0"/>
              <w:rPr>
                <w:sz w:val="20"/>
                <w:szCs w:val="20"/>
                <w:color w:val="auto"/>
              </w:rPr>
            </w:pPr>
            <w:r>
              <w:rPr>
                <w:rFonts w:ascii="Courier New" w:cs="Courier New" w:eastAsia="Courier New" w:hAnsi="Courier New"/>
                <w:sz w:val="16"/>
                <w:szCs w:val="16"/>
                <w:color w:val="auto"/>
                <w:w w:val="97"/>
              </w:rPr>
              <w:t>submitting the Form 6-K in paper as</w:t>
            </w:r>
          </w:p>
        </w:tc>
      </w:tr>
      <w:tr>
        <w:trPr>
          <w:trHeight w:val="182"/>
        </w:trPr>
        <w:tc>
          <w:tcPr>
            <w:tcW w:w="4120" w:type="dxa"/>
            <w:vAlign w:val="bottom"/>
            <w:gridSpan w:val="2"/>
          </w:tcPr>
          <w:p>
            <w:pPr>
              <w:spacing w:after="0"/>
              <w:rPr>
                <w:sz w:val="20"/>
                <w:szCs w:val="20"/>
                <w:color w:val="auto"/>
              </w:rPr>
            </w:pPr>
            <w:r>
              <w:rPr>
                <w:rFonts w:ascii="Courier New" w:cs="Courier New" w:eastAsia="Courier New" w:hAnsi="Courier New"/>
                <w:sz w:val="16"/>
                <w:szCs w:val="16"/>
                <w:color w:val="auto"/>
                <w:w w:val="99"/>
              </w:rPr>
              <w:t>permitted by Regulation S-T Rule 101(b)(7):</w:t>
            </w:r>
          </w:p>
        </w:tc>
        <w:tc>
          <w:tcPr>
            <w:tcW w:w="3340" w:type="dxa"/>
            <w:vAlign w:val="bottom"/>
          </w:tcPr>
          <w:p>
            <w:pPr>
              <w:ind w:left="40"/>
              <w:spacing w:after="0"/>
              <w:rPr>
                <w:sz w:val="20"/>
                <w:szCs w:val="20"/>
                <w:color w:val="auto"/>
              </w:rPr>
            </w:pPr>
            <w:r>
              <w:rPr>
                <w:rFonts w:ascii="Courier New" w:cs="Courier New" w:eastAsia="Courier New" w:hAnsi="Courier New"/>
                <w:sz w:val="16"/>
                <w:szCs w:val="16"/>
                <w:color w:val="auto"/>
              </w:rPr>
              <w:t>____</w:t>
            </w:r>
          </w:p>
        </w:tc>
      </w:tr>
    </w:tbl>
    <w:p>
      <w:pPr>
        <w:spacing w:after="0" w:line="186" w:lineRule="exact"/>
        <w:rPr>
          <w:sz w:val="24"/>
          <w:szCs w:val="24"/>
          <w:color w:val="auto"/>
        </w:rPr>
      </w:pPr>
    </w:p>
    <w:p>
      <w:pPr>
        <w:ind w:right="2659"/>
        <w:spacing w:after="0" w:line="262"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598" w:right="1440" w:bottom="1440" w:gutter="0" w:footer="0" w:header="0"/>
        </w:sectPr>
      </w:pPr>
    </w:p>
    <w:p>
      <w:pPr>
        <w:spacing w:after="0" w:line="17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5879"/>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ind w:right="5879"/>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sectPr>
          <w:pgSz w:w="11900" w:h="16838" w:orient="portrait"/>
          <w:cols w:equalWidth="0" w:num="4">
            <w:col w:w="3120" w:space="100"/>
            <w:col w:w="280" w:space="280"/>
            <w:col w:w="180" w:space="100"/>
            <w:col w:w="6159"/>
          </w:cols>
          <w:pgMar w:left="240" w:top="598" w:right="1440" w:bottom="1440" w:gutter="0" w:footer="0" w:header="0"/>
          <w:type w:val="continuous"/>
        </w:sectPr>
      </w:pPr>
    </w:p>
    <w:p>
      <w:pPr>
        <w:ind w:right="2659"/>
        <w:spacing w:after="0" w:line="237" w:lineRule="auto"/>
        <w:rPr>
          <w:sz w:val="20"/>
          <w:szCs w:val="20"/>
          <w:color w:val="auto"/>
        </w:rPr>
      </w:pPr>
      <w:r>
        <w:rPr>
          <w:rFonts w:ascii="Courier New" w:cs="Courier New" w:eastAsia="Courier New" w:hAnsi="Courier New"/>
          <w:sz w:val="16"/>
          <w:szCs w:val="16"/>
          <w:color w:val="auto"/>
        </w:rPr>
        <w:t>If "Yes" is marked, indicate below the file number assigned to the registrant in connection with Rule 12g3-2(b): 82-___</w:t>
      </w:r>
    </w:p>
    <w:p>
      <w:pPr>
        <w:sectPr>
          <w:pgSz w:w="11900" w:h="16838" w:orient="portrait"/>
          <w:cols w:equalWidth="0" w:num="1">
            <w:col w:w="10219"/>
          </w:cols>
          <w:pgMar w:left="240" w:top="598" w:right="1440" w:bottom="1440" w:gutter="0" w:footer="0" w:header="0"/>
          <w:type w:val="continuous"/>
        </w:sectPr>
      </w:pPr>
    </w:p>
    <w:bookmarkStart w:id="1" w:name="page2"/>
    <w:bookmarkEnd w:id="1"/>
    <w:p>
      <w:pPr>
        <w:jc w:val="center"/>
        <w:ind w:right="2659"/>
        <w:spacing w:after="0"/>
        <w:rPr>
          <w:sz w:val="20"/>
          <w:szCs w:val="20"/>
          <w:color w:val="auto"/>
        </w:rPr>
      </w:pPr>
      <w:r>
        <w:rPr>
          <w:rFonts w:ascii="Courier New" w:cs="Courier New" w:eastAsia="Courier New" w:hAnsi="Courier New"/>
          <w:sz w:val="16"/>
          <w:szCs w:val="16"/>
          <w:color w:val="auto"/>
        </w:rPr>
        <w:t>AMDOCS LIMITED</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FORM 6-K</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QUARTER ENDED MARCH 31, 2006</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FINANCIAL INFORMATION</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Item 1. Financial Statements</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Unaudited Consolidated Financial Statements</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5" w:lineRule="exact"/>
        <w:rPr>
          <w:sz w:val="20"/>
          <w:szCs w:val="20"/>
          <w:color w:val="auto"/>
        </w:rPr>
      </w:pPr>
    </w:p>
    <w:p>
      <w:pPr>
        <w:ind w:left="840" w:right="3979"/>
        <w:spacing w:after="0" w:line="237" w:lineRule="auto"/>
        <w:rPr>
          <w:sz w:val="20"/>
          <w:szCs w:val="20"/>
          <w:color w:val="auto"/>
        </w:rPr>
      </w:pPr>
      <w:r>
        <w:rPr>
          <w:rFonts w:ascii="Courier New" w:cs="Courier New" w:eastAsia="Courier New" w:hAnsi="Courier New"/>
          <w:sz w:val="16"/>
          <w:szCs w:val="16"/>
          <w:color w:val="auto"/>
        </w:rPr>
        <w:t>Consolidated Statement of Changes in Shareholders' Equity Consolidated Statements of Cash Flows</w:t>
      </w:r>
    </w:p>
    <w:p>
      <w:pPr>
        <w:spacing w:after="0" w:line="6" w:lineRule="exact"/>
        <w:rPr>
          <w:sz w:val="20"/>
          <w:szCs w:val="20"/>
          <w:color w:val="auto"/>
        </w:rPr>
      </w:pPr>
    </w:p>
    <w:p>
      <w:pPr>
        <w:ind w:left="280" w:right="4459" w:firstLine="567"/>
        <w:spacing w:after="0" w:line="267" w:lineRule="auto"/>
        <w:rPr>
          <w:sz w:val="20"/>
          <w:szCs w:val="20"/>
          <w:color w:val="auto"/>
        </w:rPr>
      </w:pPr>
      <w:r>
        <w:rPr>
          <w:rFonts w:ascii="Courier New" w:cs="Courier New" w:eastAsia="Courier New" w:hAnsi="Courier New"/>
          <w:sz w:val="15"/>
          <w:szCs w:val="15"/>
          <w:color w:val="auto"/>
        </w:rPr>
        <w:t>Notes to Unaudited Consolidated Financial Statements Item 2. Operating and Financial Review and Prospects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5" w:lineRule="exact"/>
        <w:rPr>
          <w:sz w:val="20"/>
          <w:szCs w:val="20"/>
          <w:color w:val="auto"/>
        </w:rPr>
      </w:pPr>
    </w:p>
    <w:p>
      <w:pPr>
        <w:ind w:left="1040" w:right="3319" w:hanging="756"/>
        <w:spacing w:after="0" w:line="237" w:lineRule="auto"/>
        <w:rPr>
          <w:sz w:val="20"/>
          <w:szCs w:val="20"/>
          <w:color w:val="auto"/>
        </w:rPr>
      </w:pPr>
      <w:r>
        <w:rPr>
          <w:rFonts w:ascii="Courier New" w:cs="Courier New" w:eastAsia="Courier New" w:hAnsi="Courier New"/>
          <w:sz w:val="16"/>
          <w:szCs w:val="16"/>
          <w:color w:val="auto"/>
        </w:rPr>
        <w:t>Item 1. Changes in Securities, Use of Proceeds and Issuer Purchases of Equity Securities</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Item 2. Reports on Form 6-K</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350"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5"/>
          <w:szCs w:val="15"/>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35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5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 FINANCIAL INFORMATION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AMDOCS LIMITED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(in U.S. dollars, unless otherwise stated)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0" w:type="dxa"/>
            <w:vAlign w:val="bottom"/>
          </w:tcPr>
          <w:p>
            <w:pPr>
              <w:ind w:left="2080"/>
              <w:spacing w:after="0"/>
              <w:rPr>
                <w:sz w:val="20"/>
                <w:szCs w:val="20"/>
                <w:color w:val="auto"/>
              </w:rPr>
            </w:pPr>
            <w:r>
              <w:rPr>
                <w:rFonts w:ascii="Courier New" w:cs="Courier New" w:eastAsia="Courier New" w:hAnsi="Courier New"/>
                <w:sz w:val="16"/>
                <w:szCs w:val="16"/>
                <w:color w:val="auto"/>
              </w:rPr>
              <w:t>(in thousands, except per share data)</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728"/>
        </w:trPr>
        <w:tc>
          <w:tcPr>
            <w:tcW w:w="6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AS OF</w:t>
            </w:r>
          </w:p>
        </w:tc>
        <w:tc>
          <w:tcPr>
            <w:tcW w:w="1040" w:type="dxa"/>
            <w:vAlign w:val="bottom"/>
          </w:tcPr>
          <w:p>
            <w:pPr>
              <w:spacing w:after="0"/>
              <w:rPr>
                <w:sz w:val="24"/>
                <w:szCs w:val="24"/>
                <w:color w:val="auto"/>
              </w:rPr>
            </w:pPr>
          </w:p>
        </w:tc>
      </w:tr>
      <w:tr>
        <w:trPr>
          <w:trHeight w:val="182"/>
        </w:trPr>
        <w:tc>
          <w:tcPr>
            <w:tcW w:w="6200" w:type="dxa"/>
            <w:vAlign w:val="bottom"/>
          </w:tcPr>
          <w:p>
            <w:pPr>
              <w:spacing w:after="0"/>
              <w:rPr>
                <w:sz w:val="15"/>
                <w:szCs w:val="15"/>
                <w:color w:val="auto"/>
              </w:rPr>
            </w:pPr>
          </w:p>
        </w:tc>
        <w:tc>
          <w:tcPr>
            <w:tcW w:w="2680" w:type="dxa"/>
            <w:vAlign w:val="bottom"/>
            <w:gridSpan w:val="4"/>
          </w:tcPr>
          <w:p>
            <w:pPr>
              <w:ind w:left="140"/>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6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MARCH 31,</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6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2006</w:t>
            </w:r>
          </w:p>
        </w:tc>
        <w:tc>
          <w:tcPr>
            <w:tcW w:w="46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620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6"/>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64"/>
        </w:trPr>
        <w:tc>
          <w:tcPr>
            <w:tcW w:w="62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545,021</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707,552</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Short-term interest-bearing investments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808,025</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438,011</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net</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349,744</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304,237</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 and taxes receivable</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80,889</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101,162</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78,538</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76,780</w:t>
            </w:r>
          </w:p>
        </w:tc>
      </w:tr>
      <w:tr>
        <w:trPr>
          <w:trHeight w:val="182"/>
        </w:trPr>
        <w:tc>
          <w:tcPr>
            <w:tcW w:w="6200" w:type="dxa"/>
            <w:vAlign w:val="bottom"/>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200" w:type="dxa"/>
            <w:vAlign w:val="bottom"/>
          </w:tcPr>
          <w:p>
            <w:pPr>
              <w:ind w:left="560"/>
              <w:spacing w:after="0"/>
              <w:rPr>
                <w:sz w:val="20"/>
                <w:szCs w:val="20"/>
                <w:color w:val="auto"/>
              </w:rPr>
            </w:pPr>
            <w:r>
              <w:rPr>
                <w:rFonts w:ascii="Courier New" w:cs="Courier New" w:eastAsia="Courier New" w:hAnsi="Courier New"/>
                <w:sz w:val="16"/>
                <w:szCs w:val="16"/>
                <w:color w:val="auto"/>
              </w:rPr>
              <w:t>Total current assets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1,862,217</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1,627,742</w:t>
            </w: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Equipment, vehicles and leasehold improvements, net</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159,891</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181,812</w:t>
            </w: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142,319</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120,217</w:t>
            </w: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968,185</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969,639</w:t>
            </w: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143,567</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159,619</w:t>
            </w: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Other noncurrent assets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145,912</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143,439</w:t>
            </w:r>
          </w:p>
        </w:tc>
      </w:tr>
      <w:tr>
        <w:trPr>
          <w:trHeight w:val="182"/>
        </w:trPr>
        <w:tc>
          <w:tcPr>
            <w:tcW w:w="6200" w:type="dxa"/>
            <w:vAlign w:val="bottom"/>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200" w:type="dxa"/>
            <w:vAlign w:val="bottom"/>
          </w:tcPr>
          <w:p>
            <w:pPr>
              <w:ind w:left="560"/>
              <w:spacing w:after="0"/>
              <w:rPr>
                <w:sz w:val="20"/>
                <w:szCs w:val="20"/>
                <w:color w:val="auto"/>
              </w:rPr>
            </w:pPr>
            <w:r>
              <w:rPr>
                <w:rFonts w:ascii="Courier New" w:cs="Courier New" w:eastAsia="Courier New" w:hAnsi="Courier New"/>
                <w:sz w:val="16"/>
                <w:szCs w:val="16"/>
                <w:color w:val="auto"/>
              </w:rPr>
              <w:t>Total assets</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$3,422,091</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$3,202,468</w:t>
            </w:r>
          </w:p>
        </w:tc>
      </w:tr>
      <w:tr>
        <w:trPr>
          <w:trHeight w:val="182"/>
        </w:trPr>
        <w:tc>
          <w:tcPr>
            <w:tcW w:w="6200" w:type="dxa"/>
            <w:vAlign w:val="bottom"/>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85,434</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114,392</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Accrued expenses and other current liabilities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206,529</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199,458</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Accrued personnel costs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126,254</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148,426</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Short-term portion of financing arrangements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1,976</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8,480</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245,689</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216,770</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 and taxes payable</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179,093</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171,377</w:t>
            </w:r>
          </w:p>
        </w:tc>
      </w:tr>
      <w:tr>
        <w:trPr>
          <w:trHeight w:val="182"/>
        </w:trPr>
        <w:tc>
          <w:tcPr>
            <w:tcW w:w="6200" w:type="dxa"/>
            <w:vAlign w:val="bottom"/>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200" w:type="dxa"/>
            <w:vAlign w:val="bottom"/>
          </w:tcPr>
          <w:p>
            <w:pPr>
              <w:ind w:left="560"/>
              <w:spacing w:after="0"/>
              <w:rPr>
                <w:sz w:val="20"/>
                <w:szCs w:val="20"/>
                <w:color w:val="auto"/>
              </w:rPr>
            </w:pPr>
            <w:r>
              <w:rPr>
                <w:rFonts w:ascii="Courier New" w:cs="Courier New" w:eastAsia="Courier New" w:hAnsi="Courier New"/>
                <w:sz w:val="16"/>
                <w:szCs w:val="16"/>
                <w:color w:val="auto"/>
              </w:rPr>
              <w:t>Total current liabilities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844,975</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858,903</w:t>
            </w: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0.50% convertible notes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450,000</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450,000</w:t>
            </w: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53,514</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50,571</w:t>
            </w: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Noncurrent liabilities and other</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175,384</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186,542</w:t>
            </w:r>
          </w:p>
        </w:tc>
      </w:tr>
      <w:tr>
        <w:trPr>
          <w:trHeight w:val="182"/>
        </w:trPr>
        <w:tc>
          <w:tcPr>
            <w:tcW w:w="6200" w:type="dxa"/>
            <w:vAlign w:val="bottom"/>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200" w:type="dxa"/>
            <w:vAlign w:val="bottom"/>
          </w:tcPr>
          <w:p>
            <w:pPr>
              <w:ind w:left="560"/>
              <w:spacing w:after="0"/>
              <w:rPr>
                <w:sz w:val="20"/>
                <w:szCs w:val="20"/>
                <w:color w:val="auto"/>
              </w:rPr>
            </w:pPr>
            <w:r>
              <w:rPr>
                <w:rFonts w:ascii="Courier New" w:cs="Courier New" w:eastAsia="Courier New" w:hAnsi="Courier New"/>
                <w:sz w:val="16"/>
                <w:szCs w:val="16"/>
                <w:color w:val="auto"/>
              </w:rPr>
              <w:t>Total liabilities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1,523,873</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1,546,016</w:t>
            </w:r>
          </w:p>
        </w:tc>
      </w:tr>
      <w:tr>
        <w:trPr>
          <w:trHeight w:val="182"/>
        </w:trPr>
        <w:tc>
          <w:tcPr>
            <w:tcW w:w="6200" w:type="dxa"/>
            <w:vAlign w:val="bottom"/>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Preferred Shares - Authorized 25,000 shares; L0.01 par value;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200" w:type="dxa"/>
            <w:vAlign w:val="bottom"/>
          </w:tcPr>
          <w:p>
            <w:pPr>
              <w:ind w:left="560"/>
              <w:spacing w:after="0"/>
              <w:rPr>
                <w:sz w:val="20"/>
                <w:szCs w:val="20"/>
                <w:color w:val="auto"/>
              </w:rPr>
            </w:pPr>
            <w:r>
              <w:rPr>
                <w:rFonts w:ascii="Courier New" w:cs="Courier New" w:eastAsia="Courier New" w:hAnsi="Courier New"/>
                <w:sz w:val="16"/>
                <w:szCs w:val="16"/>
                <w:color w:val="auto"/>
              </w:rPr>
              <w:t>0 shares issued and outstanding</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Ordinary Shares - Authorized 550,000 shares; L0.01 par value;</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200" w:type="dxa"/>
            <w:vAlign w:val="bottom"/>
          </w:tcPr>
          <w:p>
            <w:pPr>
              <w:ind w:left="560"/>
              <w:spacing w:after="0"/>
              <w:rPr>
                <w:sz w:val="20"/>
                <w:szCs w:val="20"/>
                <w:color w:val="auto"/>
              </w:rPr>
            </w:pPr>
            <w:r>
              <w:rPr>
                <w:rFonts w:ascii="Courier New" w:cs="Courier New" w:eastAsia="Courier New" w:hAnsi="Courier New"/>
                <w:sz w:val="16"/>
                <w:szCs w:val="16"/>
                <w:color w:val="auto"/>
              </w:rPr>
              <w:t>231,294 and 227,321 issued and 204,155 and 200,182</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6200" w:type="dxa"/>
            <w:vAlign w:val="bottom"/>
          </w:tcPr>
          <w:p>
            <w:pPr>
              <w:ind w:left="560"/>
              <w:spacing w:after="0"/>
              <w:rPr>
                <w:sz w:val="20"/>
                <w:szCs w:val="20"/>
                <w:color w:val="auto"/>
              </w:rPr>
            </w:pPr>
            <w:r>
              <w:rPr>
                <w:rFonts w:ascii="Courier New" w:cs="Courier New" w:eastAsia="Courier New" w:hAnsi="Courier New"/>
                <w:sz w:val="16"/>
                <w:szCs w:val="16"/>
                <w:color w:val="auto"/>
              </w:rPr>
              <w:t>outstanding, respectively</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3,714</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3,644</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Additional paid-in capital</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1,950,659</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1,870,922</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Treasury stock, at cost - 27,139 shares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(602,392)</w:t>
            </w:r>
          </w:p>
        </w:tc>
        <w:tc>
          <w:tcPr>
            <w:tcW w:w="46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(602,392)</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Accumulated other comprehensive loss</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(6,985)</w:t>
            </w:r>
          </w:p>
        </w:tc>
        <w:tc>
          <w:tcPr>
            <w:tcW w:w="46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(10,886)</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Unearned compensation</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(962)</w:t>
            </w:r>
          </w:p>
        </w:tc>
      </w:tr>
      <w:tr>
        <w:trPr>
          <w:trHeight w:val="182"/>
        </w:trPr>
        <w:tc>
          <w:tcPr>
            <w:tcW w:w="620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553,222</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396,126</w:t>
            </w:r>
          </w:p>
        </w:tc>
      </w:tr>
      <w:tr>
        <w:trPr>
          <w:trHeight w:val="182"/>
        </w:trPr>
        <w:tc>
          <w:tcPr>
            <w:tcW w:w="6200" w:type="dxa"/>
            <w:vAlign w:val="bottom"/>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200" w:type="dxa"/>
            <w:vAlign w:val="bottom"/>
          </w:tcPr>
          <w:p>
            <w:pPr>
              <w:ind w:left="560"/>
              <w:spacing w:after="0"/>
              <w:rPr>
                <w:sz w:val="20"/>
                <w:szCs w:val="20"/>
                <w:color w:val="auto"/>
              </w:rPr>
            </w:pPr>
            <w:r>
              <w:rPr>
                <w:rFonts w:ascii="Courier New" w:cs="Courier New" w:eastAsia="Courier New" w:hAnsi="Courier New"/>
                <w:sz w:val="16"/>
                <w:szCs w:val="16"/>
                <w:color w:val="auto"/>
              </w:rPr>
              <w:t>Total shareholders' equity</w:t>
            </w:r>
          </w:p>
        </w:tc>
        <w:tc>
          <w:tcPr>
            <w:tcW w:w="2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1,898,218</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1,656,452</w:t>
            </w:r>
          </w:p>
        </w:tc>
      </w:tr>
      <w:tr>
        <w:trPr>
          <w:trHeight w:val="182"/>
        </w:trPr>
        <w:tc>
          <w:tcPr>
            <w:tcW w:w="6200" w:type="dxa"/>
            <w:vAlign w:val="bottom"/>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6200" w:type="dxa"/>
            <w:vAlign w:val="bottom"/>
          </w:tcPr>
          <w:p>
            <w:pPr>
              <w:ind w:left="56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$3,422,091</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$3,202,468</w:t>
            </w:r>
          </w:p>
        </w:tc>
      </w:tr>
      <w:tr>
        <w:trPr>
          <w:trHeight w:val="182"/>
        </w:trPr>
        <w:tc>
          <w:tcPr>
            <w:tcW w:w="6200" w:type="dxa"/>
            <w:vAlign w:val="bottom"/>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sectPr>
      </w:pPr>
    </w:p>
    <w:bookmarkStart w:id="3" w:name="page4"/>
    <w:bookmarkEnd w:id="3"/>
    <w:p>
      <w:pPr>
        <w:jc w:val="center"/>
        <w:ind w:right="2656"/>
        <w:spacing w:after="0"/>
        <w:rPr>
          <w:sz w:val="20"/>
          <w:szCs w:val="20"/>
          <w:color w:val="auto"/>
        </w:rPr>
      </w:pPr>
      <w:r>
        <w:rPr>
          <w:rFonts w:ascii="Courier New" w:cs="Courier New" w:eastAsia="Courier New" w:hAnsi="Courier New"/>
          <w:sz w:val="16"/>
          <w:szCs w:val="16"/>
          <w:color w:val="auto"/>
        </w:rPr>
        <w:t>AMDOCS LIMITED</w:t>
      </w:r>
    </w:p>
    <w:p>
      <w:pPr>
        <w:spacing w:after="0" w:line="183"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CONSOLIDATED STATEMENTS OF INCOME (UNAUDITED)</w:t>
      </w:r>
    </w:p>
    <w:p>
      <w:pPr>
        <w:spacing w:after="0" w:line="183" w:lineRule="exact"/>
        <w:rPr>
          <w:sz w:val="20"/>
          <w:szCs w:val="20"/>
          <w:color w:val="auto"/>
        </w:rPr>
      </w:pPr>
    </w:p>
    <w:p>
      <w:pPr>
        <w:ind w:left="2083"/>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w w:val="97"/>
              </w:rPr>
              <w:t>THREE MONTHS ENDED</w:t>
            </w:r>
          </w:p>
        </w:tc>
        <w:tc>
          <w:tcPr>
            <w:tcW w:w="240" w:type="dxa"/>
            <w:vAlign w:val="bottom"/>
          </w:tcPr>
          <w:p>
            <w:pPr>
              <w:spacing w:after="0"/>
              <w:rPr>
                <w:sz w:val="15"/>
                <w:szCs w:val="15"/>
                <w:color w:val="auto"/>
              </w:rPr>
            </w:pPr>
          </w:p>
        </w:tc>
        <w:tc>
          <w:tcPr>
            <w:tcW w:w="18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MARCH 31,</w:t>
            </w:r>
          </w:p>
        </w:tc>
        <w:tc>
          <w:tcPr>
            <w:tcW w:w="240" w:type="dxa"/>
            <w:vAlign w:val="bottom"/>
          </w:tcPr>
          <w:p>
            <w:pPr>
              <w:spacing w:after="0"/>
              <w:rPr>
                <w:sz w:val="15"/>
                <w:szCs w:val="15"/>
                <w:color w:val="auto"/>
              </w:rPr>
            </w:pPr>
          </w:p>
        </w:tc>
        <w:tc>
          <w:tcPr>
            <w:tcW w:w="18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4020" w:type="dxa"/>
            <w:vAlign w:val="bottom"/>
          </w:tcPr>
          <w:p>
            <w:pPr>
              <w:spacing w:after="0"/>
              <w:rPr>
                <w:sz w:val="15"/>
                <w:szCs w:val="15"/>
                <w:color w:val="auto"/>
              </w:rPr>
            </w:pPr>
          </w:p>
        </w:tc>
        <w:tc>
          <w:tcPr>
            <w:tcW w:w="2080" w:type="dxa"/>
            <w:vAlign w:val="bottom"/>
            <w:gridSpan w:val="4"/>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2006(1)</w:t>
            </w:r>
          </w:p>
        </w:tc>
        <w:tc>
          <w:tcPr>
            <w:tcW w:w="240" w:type="dxa"/>
            <w:vAlign w:val="bottom"/>
          </w:tcPr>
          <w:p>
            <w:pPr>
              <w:spacing w:after="0"/>
              <w:rPr>
                <w:sz w:val="15"/>
                <w:szCs w:val="15"/>
                <w:color w:val="auto"/>
              </w:rPr>
            </w:pPr>
          </w:p>
        </w:tc>
        <w:tc>
          <w:tcPr>
            <w:tcW w:w="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2005</w:t>
            </w:r>
          </w:p>
        </w:tc>
        <w:tc>
          <w:tcPr>
            <w:tcW w:w="240" w:type="dxa"/>
            <w:vAlign w:val="bottom"/>
          </w:tcPr>
          <w:p>
            <w:pPr>
              <w:spacing w:after="0"/>
              <w:rPr>
                <w:sz w:val="15"/>
                <w:szCs w:val="15"/>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2006(2)</w:t>
            </w:r>
          </w:p>
        </w:tc>
        <w:tc>
          <w:tcPr>
            <w:tcW w:w="24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4020" w:type="dxa"/>
            <w:vAlign w:val="bottom"/>
          </w:tcPr>
          <w:p>
            <w:pPr>
              <w:spacing w:after="0"/>
              <w:rPr>
                <w:sz w:val="15"/>
                <w:szCs w:val="15"/>
                <w:color w:val="auto"/>
              </w:rPr>
            </w:pP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0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License</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$ 30,291</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$ 27,344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61,952</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$ 47,710</w:t>
            </w: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Service</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570,838</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461,072</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1,126,205</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910,238</w:t>
            </w:r>
          </w:p>
        </w:tc>
      </w:tr>
      <w:tr>
        <w:trPr>
          <w:trHeight w:val="182"/>
        </w:trPr>
        <w:tc>
          <w:tcPr>
            <w:tcW w:w="4020" w:type="dxa"/>
            <w:vAlign w:val="bottom"/>
          </w:tcPr>
          <w:p>
            <w:pPr>
              <w:spacing w:after="0"/>
              <w:rPr>
                <w:sz w:val="15"/>
                <w:szCs w:val="15"/>
                <w:color w:val="auto"/>
              </w:rPr>
            </w:pP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601,129</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488,416</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1,188,157</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957,948</w:t>
            </w:r>
          </w:p>
        </w:tc>
      </w:tr>
      <w:tr>
        <w:trPr>
          <w:trHeight w:val="182"/>
        </w:trPr>
        <w:tc>
          <w:tcPr>
            <w:tcW w:w="4020" w:type="dxa"/>
            <w:vAlign w:val="bottom"/>
          </w:tcPr>
          <w:p>
            <w:pPr>
              <w:spacing w:after="0"/>
              <w:rPr>
                <w:sz w:val="15"/>
                <w:szCs w:val="15"/>
                <w:color w:val="auto"/>
              </w:rPr>
            </w:pP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Cost of license</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916</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998</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1,978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2,153</w:t>
            </w: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Cost of service</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388,333</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310,291</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762,384</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605,238</w:t>
            </w: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Research and development</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41,823</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33,263</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84,937</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66,174</w:t>
            </w: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Selling, general and administrative</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73,799</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54,592</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152,349</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109,552</w:t>
            </w: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purchased intangible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ind w:left="560"/>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7,469</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2,079</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15,041</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5,797</w:t>
            </w:r>
          </w:p>
        </w:tc>
      </w:tr>
      <w:tr>
        <w:trPr>
          <w:trHeight w:val="182"/>
        </w:trPr>
        <w:tc>
          <w:tcPr>
            <w:tcW w:w="4020" w:type="dxa"/>
            <w:vAlign w:val="bottom"/>
          </w:tcPr>
          <w:p>
            <w:pPr>
              <w:spacing w:after="0"/>
              <w:rPr>
                <w:sz w:val="15"/>
                <w:szCs w:val="15"/>
                <w:color w:val="auto"/>
              </w:rPr>
            </w:pP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512,340</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401,223</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1,016,689</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788,914</w:t>
            </w:r>
          </w:p>
        </w:tc>
      </w:tr>
      <w:tr>
        <w:trPr>
          <w:trHeight w:val="182"/>
        </w:trPr>
        <w:tc>
          <w:tcPr>
            <w:tcW w:w="4020" w:type="dxa"/>
            <w:vAlign w:val="bottom"/>
          </w:tcPr>
          <w:p>
            <w:pPr>
              <w:spacing w:after="0"/>
              <w:rPr>
                <w:sz w:val="15"/>
                <w:szCs w:val="15"/>
                <w:color w:val="auto"/>
              </w:rPr>
            </w:pP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88,789</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87,193</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171,468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169,034</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Interest income and other, net</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10,307</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5,680</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18,721</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10,639</w:t>
            </w:r>
          </w:p>
        </w:tc>
      </w:tr>
      <w:tr>
        <w:trPr>
          <w:trHeight w:val="182"/>
        </w:trPr>
        <w:tc>
          <w:tcPr>
            <w:tcW w:w="4020" w:type="dxa"/>
            <w:vAlign w:val="bottom"/>
          </w:tcPr>
          <w:p>
            <w:pPr>
              <w:spacing w:after="0"/>
              <w:rPr>
                <w:sz w:val="15"/>
                <w:szCs w:val="15"/>
                <w:color w:val="auto"/>
              </w:rPr>
            </w:pP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99,096</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92,873</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190,189</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179,673</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17,334</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18,576</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33,093</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35,933</w:t>
            </w:r>
          </w:p>
        </w:tc>
      </w:tr>
      <w:tr>
        <w:trPr>
          <w:trHeight w:val="182"/>
        </w:trPr>
        <w:tc>
          <w:tcPr>
            <w:tcW w:w="4020" w:type="dxa"/>
            <w:vAlign w:val="bottom"/>
          </w:tcPr>
          <w:p>
            <w:pPr>
              <w:spacing w:after="0"/>
              <w:rPr>
                <w:sz w:val="15"/>
                <w:szCs w:val="15"/>
                <w:color w:val="auto"/>
              </w:rPr>
            </w:pP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$ 81,762</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$ 74,297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157,096</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$143,740</w:t>
            </w:r>
          </w:p>
        </w:tc>
      </w:tr>
      <w:tr>
        <w:trPr>
          <w:trHeight w:val="182"/>
        </w:trPr>
        <w:tc>
          <w:tcPr>
            <w:tcW w:w="4020" w:type="dxa"/>
            <w:vAlign w:val="bottom"/>
          </w:tcPr>
          <w:p>
            <w:pPr>
              <w:spacing w:after="0"/>
              <w:rPr>
                <w:sz w:val="15"/>
                <w:szCs w:val="15"/>
                <w:color w:val="auto"/>
              </w:rPr>
            </w:pP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0.78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0.71</w:t>
            </w:r>
          </w:p>
        </w:tc>
      </w:tr>
      <w:tr>
        <w:trPr>
          <w:trHeight w:val="182"/>
        </w:trPr>
        <w:tc>
          <w:tcPr>
            <w:tcW w:w="4020" w:type="dxa"/>
            <w:vAlign w:val="bottom"/>
          </w:tcPr>
          <w:p>
            <w:pPr>
              <w:spacing w:after="0"/>
              <w:rPr>
                <w:sz w:val="15"/>
                <w:szCs w:val="15"/>
                <w:color w:val="auto"/>
              </w:rPr>
            </w:pP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0.74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0.67</w:t>
            </w:r>
          </w:p>
        </w:tc>
      </w:tr>
      <w:tr>
        <w:trPr>
          <w:trHeight w:val="182"/>
        </w:trPr>
        <w:tc>
          <w:tcPr>
            <w:tcW w:w="4020" w:type="dxa"/>
            <w:vAlign w:val="bottom"/>
          </w:tcPr>
          <w:p>
            <w:pPr>
              <w:spacing w:after="0"/>
              <w:rPr>
                <w:sz w:val="15"/>
                <w:szCs w:val="15"/>
                <w:color w:val="auto"/>
              </w:rPr>
            </w:pP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 shares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outstanding</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202,515</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202,168</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201,509</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201,933</w:t>
            </w:r>
          </w:p>
        </w:tc>
      </w:tr>
      <w:tr>
        <w:trPr>
          <w:trHeight w:val="182"/>
        </w:trPr>
        <w:tc>
          <w:tcPr>
            <w:tcW w:w="4020" w:type="dxa"/>
            <w:vAlign w:val="bottom"/>
          </w:tcPr>
          <w:p>
            <w:pPr>
              <w:spacing w:after="0"/>
              <w:rPr>
                <w:sz w:val="15"/>
                <w:szCs w:val="15"/>
                <w:color w:val="auto"/>
              </w:rPr>
            </w:pP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shares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outstanding</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217,919</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218,807</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216,394</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218,127</w:t>
            </w:r>
          </w:p>
        </w:tc>
      </w:tr>
      <w:tr>
        <w:trPr>
          <w:trHeight w:val="182"/>
        </w:trPr>
        <w:tc>
          <w:tcPr>
            <w:tcW w:w="4020" w:type="dxa"/>
            <w:vAlign w:val="bottom"/>
          </w:tcPr>
          <w:p>
            <w:pPr>
              <w:spacing w:after="0"/>
              <w:rPr>
                <w:sz w:val="15"/>
                <w:szCs w:val="15"/>
                <w:color w:val="auto"/>
              </w:rPr>
            </w:pP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463" w:right="2659" w:hanging="463"/>
        <w:spacing w:after="0" w:line="239"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quarter of fiscal 2006 includes equity-based compensation pre-tax expense of $9,940, which was classified as follows: $3,717 to cost of service, $720 to research and development and $5,503 to selling, general and administrative.</w:t>
      </w:r>
    </w:p>
    <w:p>
      <w:pPr>
        <w:spacing w:after="0" w:line="187" w:lineRule="exact"/>
        <w:rPr>
          <w:rFonts w:ascii="Courier New" w:cs="Courier New" w:eastAsia="Courier New" w:hAnsi="Courier New"/>
          <w:sz w:val="16"/>
          <w:szCs w:val="16"/>
          <w:color w:val="auto"/>
        </w:rPr>
      </w:pPr>
    </w:p>
    <w:p>
      <w:pPr>
        <w:ind w:left="463" w:right="2659" w:hanging="463"/>
        <w:spacing w:after="0" w:line="239"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half of fiscal 2006 includes equity-based compensation pre-tax expense of $21,000, which was classified as follows: $8,072 to cost of service, $1,809 to research and development and $11,119 to selling, general and administrative.</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statements.</w:t>
      </w:r>
    </w:p>
    <w:p>
      <w:pPr>
        <w:spacing w:after="0" w:line="36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659" w:right="1440" w:bottom="1440" w:gutter="0" w:footer="0" w:header="0"/>
        </w:sectPr>
      </w:pPr>
    </w:p>
    <w:bookmarkStart w:id="4" w:name="page5"/>
    <w:bookmarkEnd w:id="4"/>
    <w:p>
      <w:pPr>
        <w:jc w:val="center"/>
        <w:ind w:right="3960"/>
        <w:spacing w:after="0"/>
        <w:rPr>
          <w:sz w:val="20"/>
          <w:szCs w:val="20"/>
          <w:color w:val="auto"/>
        </w:rPr>
      </w:pPr>
      <w:r>
        <w:rPr>
          <w:rFonts w:ascii="Courier New" w:cs="Courier New" w:eastAsia="Courier New" w:hAnsi="Courier New"/>
          <w:sz w:val="16"/>
          <w:szCs w:val="16"/>
          <w:color w:val="auto"/>
        </w:rPr>
        <w:t>AMDOCS LIMITED</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CONSOLIDATED STATEMENT OF CHANGES IN SHAREHOLDERS' EQUITY (UNAUDITED)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728"/>
        </w:trPr>
        <w:tc>
          <w:tcPr>
            <w:tcW w:w="2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8"/>
              </w:rPr>
              <w:t>Accumulated</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2740" w:type="dxa"/>
            <w:vAlign w:val="bottom"/>
          </w:tcPr>
          <w:p>
            <w:pPr>
              <w:spacing w:after="0"/>
              <w:rPr>
                <w:sz w:val="15"/>
                <w:szCs w:val="15"/>
                <w:color w:val="auto"/>
              </w:rPr>
            </w:pPr>
          </w:p>
        </w:tc>
        <w:tc>
          <w:tcPr>
            <w:tcW w:w="17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Ordinary Shares</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Additional</w:t>
            </w:r>
          </w:p>
        </w:tc>
        <w:tc>
          <w:tcPr>
            <w:tcW w:w="10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5"/>
              </w:rPr>
              <w:t>Other</w:t>
            </w: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ind w:left="460"/>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2740" w:type="dxa"/>
            <w:vAlign w:val="bottom"/>
          </w:tcPr>
          <w:p>
            <w:pPr>
              <w:spacing w:after="0"/>
              <w:rPr>
                <w:sz w:val="15"/>
                <w:szCs w:val="15"/>
                <w:color w:val="auto"/>
              </w:rPr>
            </w:pPr>
          </w:p>
        </w:tc>
        <w:tc>
          <w:tcPr>
            <w:tcW w:w="17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Paid-in</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Treasury</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7"/>
              </w:rPr>
              <w:t>Comprehensive</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Unearned</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Retained</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Shareholders'</w:t>
            </w:r>
          </w:p>
        </w:tc>
      </w:tr>
      <w:tr>
        <w:trPr>
          <w:trHeight w:val="182"/>
        </w:trPr>
        <w:tc>
          <w:tcPr>
            <w:tcW w:w="27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Shares</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Amount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Capital</w:t>
            </w:r>
          </w:p>
        </w:tc>
        <w:tc>
          <w:tcPr>
            <w:tcW w:w="1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Stock</w:t>
            </w:r>
          </w:p>
        </w:tc>
        <w:tc>
          <w:tcPr>
            <w:tcW w:w="13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Loss</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Compensation</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Earnings</w:t>
            </w:r>
          </w:p>
        </w:tc>
        <w:tc>
          <w:tcPr>
            <w:tcW w:w="1300" w:type="dxa"/>
            <w:vAlign w:val="bottom"/>
          </w:tcPr>
          <w:p>
            <w:pPr>
              <w:ind w:left="460"/>
              <w:spacing w:after="0"/>
              <w:rPr>
                <w:sz w:val="20"/>
                <w:szCs w:val="20"/>
                <w:color w:val="auto"/>
              </w:rPr>
            </w:pPr>
            <w:r>
              <w:rPr>
                <w:rFonts w:ascii="Courier New" w:cs="Courier New" w:eastAsia="Courier New" w:hAnsi="Courier New"/>
                <w:sz w:val="16"/>
                <w:szCs w:val="16"/>
                <w:color w:val="auto"/>
              </w:rPr>
              <w:t>Equity</w:t>
            </w:r>
          </w:p>
        </w:tc>
      </w:tr>
      <w:tr>
        <w:trPr>
          <w:trHeight w:val="182"/>
        </w:trPr>
        <w:tc>
          <w:tcPr>
            <w:tcW w:w="27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w:t>
            </w:r>
          </w:p>
        </w:tc>
        <w:tc>
          <w:tcPr>
            <w:tcW w:w="2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9"/>
              </w:rPr>
              <w:t>---------  -------------</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740" w:type="dxa"/>
            <w:vAlign w:val="bottom"/>
          </w:tcPr>
          <w:p>
            <w:pPr>
              <w:spacing w:after="0"/>
              <w:rPr>
                <w:sz w:val="20"/>
                <w:szCs w:val="20"/>
                <w:color w:val="auto"/>
              </w:rPr>
            </w:pPr>
            <w:r>
              <w:rPr>
                <w:rFonts w:ascii="Courier New" w:cs="Courier New" w:eastAsia="Courier New" w:hAnsi="Courier New"/>
                <w:sz w:val="16"/>
                <w:szCs w:val="16"/>
                <w:color w:val="auto"/>
              </w:rPr>
              <w:t>BALANCE AS OF SEPTEMBER</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30, 2005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200,182</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$3,644</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$1,870,922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$(602,392)</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$(10,886)</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$(962)</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$396,126</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$1,656,452</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157,096</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157,096</w:t>
            </w: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 on</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foreign currency</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hedging contracts,</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net of $(1,190) tax</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benefit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4,158</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4,158</w:t>
            </w: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Unrealized loss on</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short-term</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interest-bearing</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investments, net of</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560"/>
              <w:spacing w:after="0"/>
              <w:rPr>
                <w:sz w:val="20"/>
                <w:szCs w:val="20"/>
                <w:color w:val="auto"/>
              </w:rPr>
            </w:pPr>
            <w:r>
              <w:rPr>
                <w:rFonts w:ascii="Courier New" w:cs="Courier New" w:eastAsia="Courier New" w:hAnsi="Courier New"/>
                <w:sz w:val="16"/>
                <w:szCs w:val="16"/>
                <w:color w:val="auto"/>
              </w:rPr>
              <w:t>$2 tax benefit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(257)</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(257)</w:t>
            </w:r>
          </w:p>
        </w:tc>
      </w:tr>
      <w:tr>
        <w:trPr>
          <w:trHeight w:val="182"/>
        </w:trPr>
        <w:tc>
          <w:tcPr>
            <w:tcW w:w="2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2740" w:type="dxa"/>
            <w:vAlign w:val="bottom"/>
          </w:tcPr>
          <w:p>
            <w:pPr>
              <w:ind w:left="180"/>
              <w:spacing w:after="0"/>
              <w:rPr>
                <w:sz w:val="20"/>
                <w:szCs w:val="20"/>
                <w:color w:val="auto"/>
              </w:rPr>
            </w:pPr>
            <w:r>
              <w:rPr>
                <w:rFonts w:ascii="Courier New" w:cs="Courier New" w:eastAsia="Courier New" w:hAnsi="Courier New"/>
                <w:sz w:val="16"/>
                <w:szCs w:val="16"/>
                <w:color w:val="auto"/>
              </w:rPr>
              <w:t>Comprehensive income</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160,997</w:t>
            </w:r>
          </w:p>
        </w:tc>
      </w:tr>
      <w:tr>
        <w:trPr>
          <w:trHeight w:val="182"/>
        </w:trPr>
        <w:tc>
          <w:tcPr>
            <w:tcW w:w="2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Employee stock options</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exercised</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3,530</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56,260</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56,322</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Issuance of restricted</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stock</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443</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Tax benefit of stock</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options exercised</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3,398</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3,398</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Stock-based compensation</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expense related to</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employees</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21,000</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21,000</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Stock-based compensation</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expense related to non</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employee stock options</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Reclassification of</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unearned compensation</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to additional paid in</w:t>
            </w: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capital</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(962)</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962</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27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BALANCE AS OF MARCH 31, 2006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204,155</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$3,714</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$1,950,659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$(602,392)</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(6,985)</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$553,222</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$1,898,218</w:t>
            </w:r>
          </w:p>
        </w:tc>
      </w:tr>
      <w:tr>
        <w:trPr>
          <w:trHeight w:val="182"/>
        </w:trPr>
        <w:tc>
          <w:tcPr>
            <w:tcW w:w="27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4060"/>
        <w:spacing w:after="0" w:line="239" w:lineRule="auto"/>
        <w:rPr>
          <w:sz w:val="20"/>
          <w:szCs w:val="20"/>
          <w:color w:val="auto"/>
        </w:rPr>
      </w:pPr>
      <w:r>
        <w:rPr>
          <w:rFonts w:ascii="Courier New" w:cs="Courier New" w:eastAsia="Courier New" w:hAnsi="Courier New"/>
          <w:sz w:val="16"/>
          <w:szCs w:val="16"/>
          <w:color w:val="auto"/>
        </w:rPr>
        <w:t>As of March 31, 2006 and September 30, 2005, accumulated other comprehensive loss is comprised of unrealized loss on foreign currency hedging contracts, net of tax, of $(4,939) and $(9,097), respectively, and unrealized loss on short-term interest-bearing investments, net of tax, of $(2,046) and $(1,789), respectively.</w:t>
      </w:r>
    </w:p>
    <w:p>
      <w:pPr>
        <w:spacing w:after="0" w:line="185"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The accompanying notes are an integral part of these</w:t>
      </w:r>
    </w:p>
    <w:p>
      <w:pPr>
        <w:spacing w:after="0" w:line="1"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659" w:right="139" w:bottom="1440" w:gutter="0" w:footer="0" w:header="0"/>
        </w:sectPr>
      </w:pPr>
    </w:p>
    <w:bookmarkStart w:id="5" w:name="page6"/>
    <w:bookmarkEnd w:id="5"/>
    <w:p>
      <w:pPr>
        <w:jc w:val="center"/>
        <w:ind w:right="2659"/>
        <w:spacing w:after="0"/>
        <w:rPr>
          <w:sz w:val="20"/>
          <w:szCs w:val="20"/>
          <w:color w:val="auto"/>
        </w:rPr>
      </w:pPr>
      <w:r>
        <w:rPr>
          <w:rFonts w:ascii="Courier New" w:cs="Courier New" w:eastAsia="Courier New" w:hAnsi="Courier New"/>
          <w:sz w:val="16"/>
          <w:szCs w:val="16"/>
          <w:color w:val="auto"/>
        </w:rPr>
        <w:t>AMDOCS LIMITED</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ind w:left="3120"/>
              <w:spacing w:after="0"/>
              <w:rPr>
                <w:sz w:val="20"/>
                <w:szCs w:val="20"/>
                <w:color w:val="auto"/>
              </w:rPr>
            </w:pPr>
            <w:r>
              <w:rPr>
                <w:rFonts w:ascii="Courier New" w:cs="Courier New" w:eastAsia="Courier New" w:hAnsi="Courier New"/>
                <w:sz w:val="16"/>
                <w:szCs w:val="16"/>
                <w:color w:val="auto"/>
              </w:rPr>
              <w:t>(in thousands)</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728"/>
        </w:trPr>
        <w:tc>
          <w:tcPr>
            <w:tcW w:w="5340" w:type="dxa"/>
            <w:vAlign w:val="bottom"/>
          </w:tcPr>
          <w:p>
            <w:pPr>
              <w:spacing w:after="0"/>
              <w:rPr>
                <w:sz w:val="24"/>
                <w:szCs w:val="24"/>
                <w:color w:val="auto"/>
              </w:rPr>
            </w:pPr>
          </w:p>
        </w:tc>
        <w:tc>
          <w:tcPr>
            <w:tcW w:w="22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SIX MONTHS</w:t>
            </w:r>
          </w:p>
        </w:tc>
      </w:tr>
      <w:tr>
        <w:trPr>
          <w:trHeight w:val="182"/>
        </w:trPr>
        <w:tc>
          <w:tcPr>
            <w:tcW w:w="5340" w:type="dxa"/>
            <w:vAlign w:val="bottom"/>
          </w:tcPr>
          <w:p>
            <w:pPr>
              <w:spacing w:after="0"/>
              <w:rPr>
                <w:sz w:val="15"/>
                <w:szCs w:val="15"/>
                <w:color w:val="auto"/>
              </w:rPr>
            </w:pPr>
          </w:p>
        </w:tc>
        <w:tc>
          <w:tcPr>
            <w:tcW w:w="22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ENDED MARCH 31,</w:t>
            </w:r>
          </w:p>
        </w:tc>
      </w:tr>
      <w:tr>
        <w:trPr>
          <w:trHeight w:val="182"/>
        </w:trPr>
        <w:tc>
          <w:tcPr>
            <w:tcW w:w="5340" w:type="dxa"/>
            <w:vAlign w:val="bottom"/>
          </w:tcPr>
          <w:p>
            <w:pPr>
              <w:spacing w:after="0"/>
              <w:rPr>
                <w:sz w:val="15"/>
                <w:szCs w:val="15"/>
                <w:color w:val="auto"/>
              </w:rPr>
            </w:pPr>
          </w:p>
        </w:tc>
        <w:tc>
          <w:tcPr>
            <w:tcW w:w="2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15"/>
                <w:szCs w:val="15"/>
                <w:color w:val="auto"/>
              </w:rPr>
            </w:pPr>
          </w:p>
        </w:tc>
        <w:tc>
          <w:tcPr>
            <w:tcW w:w="1180" w:type="dxa"/>
            <w:vAlign w:val="bottom"/>
          </w:tcPr>
          <w:p>
            <w:pPr>
              <w:ind w:left="420"/>
              <w:spacing w:after="0"/>
              <w:rPr>
                <w:sz w:val="20"/>
                <w:szCs w:val="20"/>
                <w:color w:val="auto"/>
              </w:rPr>
            </w:pPr>
            <w:r>
              <w:rPr>
                <w:rFonts w:ascii="Courier New" w:cs="Courier New" w:eastAsia="Courier New" w:hAnsi="Courier New"/>
                <w:sz w:val="16"/>
                <w:szCs w:val="16"/>
                <w:color w:val="auto"/>
              </w:rPr>
              <w:t>2006</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53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 FROM OPERATING ACTIVITIES:</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$ 157,096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$ 143,740</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Reconciliation of net income to net cash provided by</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operating activities:</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54,131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43,245</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Loss (gain) on sale of equipment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864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(549)</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Stock-based compensation expense</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21,000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10,425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14,289</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Excess tax benefit from stock based compensation</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(1,595)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Tax benefit from stock options exercised</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1,358</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Realized gain from short-term interest-bearing</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ind w:left="560"/>
              <w:spacing w:after="0"/>
              <w:rPr>
                <w:sz w:val="20"/>
                <w:szCs w:val="20"/>
                <w:color w:val="auto"/>
              </w:rPr>
            </w:pPr>
            <w:r>
              <w:rPr>
                <w:rFonts w:ascii="Courier New" w:cs="Courier New" w:eastAsia="Courier New" w:hAnsi="Courier New"/>
                <w:sz w:val="16"/>
                <w:szCs w:val="16"/>
                <w:color w:val="auto"/>
              </w:rPr>
              <w:t>investments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(3,781)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(794)</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changes in operating assets and liabilities, net of</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amounts acquired:</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(45,364)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(5,617)</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4,408</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Other noncurrent assets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(2,813)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(12,318)</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(29,202)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(45,197)</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16,185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49,686</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payable</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2,042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(16,241)</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Noncurrent liabilities and other</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1,987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501</w:t>
            </w:r>
          </w:p>
        </w:tc>
      </w:tr>
      <w:tr>
        <w:trPr>
          <w:trHeight w:val="182"/>
        </w:trPr>
        <w:tc>
          <w:tcPr>
            <w:tcW w:w="53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181,431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176,511</w:t>
            </w:r>
          </w:p>
        </w:tc>
      </w:tr>
      <w:tr>
        <w:trPr>
          <w:trHeight w:val="182"/>
        </w:trPr>
        <w:tc>
          <w:tcPr>
            <w:tcW w:w="53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 FROM INVESTING ACTIVITIES:</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Proceeds from sale of equipment, vehicles and leasehold</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improvements</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3,525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2,510</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Payments for purchase of equipment, vehicles and</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leasehold improvements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(27,106)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(36,140)</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Proceeds from sale of short-term interest-bearing</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investments</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524,178</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321,098</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Purchase of short-term interest-bearing investments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(890,670)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(467,846)</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cash paid for acquisitions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2"/>
        </w:trPr>
        <w:tc>
          <w:tcPr>
            <w:tcW w:w="53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(391,931)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(180,396)</w:t>
            </w:r>
          </w:p>
        </w:tc>
      </w:tr>
      <w:tr>
        <w:trPr>
          <w:trHeight w:val="182"/>
        </w:trPr>
        <w:tc>
          <w:tcPr>
            <w:tcW w:w="53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FLOW FROM FINANCING ACTIVITIES:</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Proceeds from employee stock options exercised and</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issuance of restricted stock</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54,178</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10,370</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Excess tax benefit from stock based compensation</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1,595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Principal payments under financing arrangements and</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(4,677)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(619)</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Principal payments on capital lease obligations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(3,127)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(9,518)</w:t>
            </w:r>
          </w:p>
        </w:tc>
      </w:tr>
      <w:tr>
        <w:trPr>
          <w:trHeight w:val="182"/>
        </w:trPr>
        <w:tc>
          <w:tcPr>
            <w:tcW w:w="53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47,969</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233</w:t>
            </w:r>
          </w:p>
        </w:tc>
      </w:tr>
      <w:tr>
        <w:trPr>
          <w:trHeight w:val="182"/>
        </w:trPr>
        <w:tc>
          <w:tcPr>
            <w:tcW w:w="53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decrease in cash and cash equivalents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(162,531)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(3,652)</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707,552</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550,352</w:t>
            </w:r>
          </w:p>
        </w:tc>
      </w:tr>
      <w:tr>
        <w:trPr>
          <w:trHeight w:val="182"/>
        </w:trPr>
        <w:tc>
          <w:tcPr>
            <w:tcW w:w="53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$ 545,021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$ 546,700</w:t>
            </w:r>
          </w:p>
        </w:tc>
      </w:tr>
      <w:tr>
        <w:trPr>
          <w:trHeight w:val="182"/>
        </w:trPr>
        <w:tc>
          <w:tcPr>
            <w:tcW w:w="53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SUPPLEMENTARY CASH FLOW INFORMATION</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paid for:</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Income taxes, net of refunds</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18,490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36,558</w:t>
            </w:r>
          </w:p>
        </w:tc>
      </w:tr>
      <w:tr>
        <w:trPr>
          <w:trHeight w:val="182"/>
        </w:trPr>
        <w:tc>
          <w:tcPr>
            <w:tcW w:w="5340" w:type="dxa"/>
            <w:vAlign w:val="bottom"/>
          </w:tcPr>
          <w:p>
            <w:pPr>
              <w:ind w:left="280"/>
              <w:spacing w:after="0"/>
              <w:rPr>
                <w:sz w:val="20"/>
                <w:szCs w:val="20"/>
                <w:color w:val="auto"/>
              </w:rPr>
            </w:pPr>
            <w:r>
              <w:rPr>
                <w:rFonts w:ascii="Courier New" w:cs="Courier New" w:eastAsia="Courier New" w:hAnsi="Courier New"/>
                <w:sz w:val="16"/>
                <w:szCs w:val="16"/>
                <w:color w:val="auto"/>
              </w:rPr>
              <w:t>Interest</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1,882</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3,090</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59" w:right="1440" w:bottom="1440" w:gutter="0" w:footer="0" w:header="0"/>
        </w:sectPr>
      </w:pPr>
    </w:p>
    <w:bookmarkStart w:id="6" w:name="page7"/>
    <w:bookmarkEnd w:id="6"/>
    <w:p>
      <w:pPr>
        <w:jc w:val="center"/>
        <w:ind w:right="2656"/>
        <w:spacing w:after="0"/>
        <w:rPr>
          <w:sz w:val="20"/>
          <w:szCs w:val="20"/>
          <w:color w:val="auto"/>
        </w:rPr>
      </w:pPr>
      <w:r>
        <w:rPr>
          <w:rFonts w:ascii="Courier New" w:cs="Courier New" w:eastAsia="Courier New" w:hAnsi="Courier New"/>
          <w:sz w:val="16"/>
          <w:szCs w:val="16"/>
          <w:color w:val="auto"/>
        </w:rPr>
        <w:t>AMDOCS LIMITED</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83"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 BASIS OF PRESENTATION</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Amdocs Limited (the "Company") is a leading provider of software products and services primarily to the communications industry. The Company and its subsidiaries operate in one segment offering products and services that enable their customers to move toward an integrated approach to customer management. The Company designs, develops, markets, supports, operates, and provides managed services for information system solutions primarily for leading communications companies throughout the world.</w:t>
      </w:r>
    </w:p>
    <w:p>
      <w:pPr>
        <w:spacing w:after="0" w:line="192"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unaudited consolidated financial statements of the Company have been prepared in accordance with U.S. generally accepted accounting principles ( "GAAP"). In the opinion of the Company's management, all adjustments considered necessary for a fair presentation of the unaudited interim consolidated financial statements have been included herein and are of a normal recurring nature.</w:t>
      </w:r>
    </w:p>
    <w:p>
      <w:pPr>
        <w:spacing w:after="0" w:line="190"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90"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2005, set forth in the Company's Annual Report on Form 20-F filed on December 28, 2005 with the U.S. Securities and Exchange Commission (the "SEC").</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Reclassification</w:t>
      </w:r>
    </w:p>
    <w:p>
      <w:pPr>
        <w:spacing w:after="0" w:line="186" w:lineRule="exact"/>
        <w:rPr>
          <w:sz w:val="20"/>
          <w:szCs w:val="20"/>
          <w:color w:val="auto"/>
        </w:rPr>
      </w:pPr>
    </w:p>
    <w:p>
      <w:pPr>
        <w:ind w:left="3" w:right="2659" w:firstLine="473"/>
        <w:spacing w:after="0" w:line="237" w:lineRule="auto"/>
        <w:rPr>
          <w:sz w:val="20"/>
          <w:szCs w:val="20"/>
          <w:color w:val="auto"/>
        </w:rPr>
      </w:pPr>
      <w:r>
        <w:rPr>
          <w:rFonts w:ascii="Courier New" w:cs="Courier New" w:eastAsia="Courier New" w:hAnsi="Courier New"/>
          <w:sz w:val="16"/>
          <w:szCs w:val="16"/>
          <w:color w:val="auto"/>
        </w:rPr>
        <w:t>Certain prior year amounts have been reclassified to conform to the current year presentation.</w:t>
      </w:r>
    </w:p>
    <w:p>
      <w:pPr>
        <w:spacing w:after="0" w:line="188" w:lineRule="exact"/>
        <w:rPr>
          <w:sz w:val="20"/>
          <w:szCs w:val="20"/>
          <w:color w:val="auto"/>
        </w:rPr>
      </w:pPr>
    </w:p>
    <w:p>
      <w:pPr>
        <w:ind w:left="463" w:right="6059" w:hanging="463"/>
        <w:spacing w:after="0" w:line="513" w:lineRule="auto"/>
        <w:tabs>
          <w:tab w:leader="none" w:pos="46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POLICY Accounting for Stock-Based Compensation</w:t>
      </w:r>
    </w:p>
    <w:p>
      <w:pPr>
        <w:spacing w:after="0" w:line="1"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Effective October 1, 2005, the Company adopted FASB Statement No. 123 (revised 2004), "Share-Based Payment," a revision of SFAS No. 123 ("SFAS 123(R)"). SFAS 123(R) supersedes Accounting Principles Board ("APB") Opinion No. 25, "Accounting for Stock Issued to Employees" ("APB No. 25") and related interpretations, and amends FASB Statement No. 95, "Statement of Cash Flows." Generally, the approach in SFAS 123(R) is similar to the approach described in SFAS 123. However, SFAS 123(R) requires all share-based payments to employees, including grants of employee stock options, to be recognized in the income statement based on their fair values. Pro forma disclosure is no longer an alternative. In March 2005, the SEC issued Staff Accounting Bulletin No. 107 ("SAB 107"), which provides supplemental implementation guidance on SFAS 123(R). The Company has applied the provisions of SAB 107 in its adoption of SFAS 123(R).</w:t>
      </w:r>
    </w:p>
    <w:p>
      <w:pPr>
        <w:spacing w:after="0" w:line="190"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Prior to October 1, 2005, the Company accounted for share-based payments to employees under the recognition and measurement provisions of APB No. 25. Pursuant to these accounting standards, the Company recorded deferred compensation for share options granted to employees at the date of grant based on the difference between the exercise price of the options and the market value of the underlying</w:t>
      </w:r>
    </w:p>
    <w:p>
      <w:pPr>
        <w:spacing w:after="0" w:line="368"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2"/>
          </w:cols>
          <w:pgMar w:left="237" w:top="659" w:right="1440" w:bottom="1440" w:gutter="0" w:footer="0" w:header="0"/>
        </w:sectPr>
      </w:pPr>
    </w:p>
    <w:bookmarkStart w:id="7" w:name="page8"/>
    <w:bookmarkEnd w:id="7"/>
    <w:p>
      <w:pPr>
        <w:ind w:right="2659"/>
        <w:spacing w:after="0" w:line="260" w:lineRule="auto"/>
        <w:rPr>
          <w:sz w:val="20"/>
          <w:szCs w:val="20"/>
          <w:color w:val="auto"/>
        </w:rPr>
      </w:pPr>
      <w:r>
        <w:rPr>
          <w:rFonts w:ascii="Courier New" w:cs="Courier New" w:eastAsia="Courier New" w:hAnsi="Courier New"/>
          <w:sz w:val="15"/>
          <w:szCs w:val="15"/>
          <w:color w:val="auto"/>
        </w:rPr>
        <w:t>shares at that date, and for restricted stock based on the market value of the underlying shares at the date of grant. No compensation expense was recorded for stock options that were granted to employees and directors at an exercise price equal to the fair market value of the Ordinary Shares at the time of the grant.</w:t>
      </w:r>
    </w:p>
    <w:p>
      <w:pPr>
        <w:spacing w:after="0" w:line="17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adopted SFAS 123(R) using the modified prospective method. Under this transition method, compensation costs recognized in the three and six months ended March 31, 2006 include (a) compensation costs for all share based payments granted prior to, but that had not yet vested as of, October 1, 2005, based on the grant date fair value estimated in accordance with the pro forma provisions of SFAS 123, and (b) compensation costs for the share based payments granted subsequent to October 1, 2005 based on the grant date fair value estimated in accordance with SFAS 123(R). The Company's consolidated financial statements for prior periods have not been restated to reflect, and do not include, the impact of SFAS 123(R). The Company selected the Black-Scholes option pricing model as the most appropriate fair value method for its stock based awards and recognizes compensation costs using the graded vesting attribution method that results in an accelerated recognition of compensation costs in comparison to the straight line method.</w:t>
      </w:r>
    </w:p>
    <w:p>
      <w:pPr>
        <w:spacing w:after="0" w:line="19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As a result of adopting SFAS 123(R) on October 1, 2005, the Company's income before income taxes for the three and six months ended March 31, 2006 (not including restricted stock expense) was $8,681 and $19,104 lower, respectively, than if it had continued to account for share based compensation under APB No. 25. Net income for the three and six months ended March 31, 2006 (not including restricted stock expense) was $7,720 and $16,821 lower, respectively, than if it had continued to account for share based compensation under APB No. 25. Basic earnings per share for the three and six months ended March 31, 2006 would have been $0.44 and $0.86, respectively, if the Company had not adopted SFAS 123(R), compared to reported basic earnings per share of $0.40 and $0.78, respectively. Diluted earnings per share for the three and six months ended March 31, 2006 would have been $0.41 and $0.81, respectively, if the Company had not adopted SFAS 123(R), compared to reported diluted earnings per share of $0.38 and $0.74, respectively. The total income tax benefit recognized in the income statement for share based compensation (including restricted stock) for the three and six months ended March 31, 2006 was $1,131 and $2,534, respectively and $0 for the three and six months ended March 31, 2005.</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Prior to the adoption of SFAS 123(R), the Company presented all tax benefits of deductions resulting from the exercise of stock options as operating cash flows in the statement of cash flows. SFAS 123(R) requires the cash flows resulting from the tax deductions in excess of the compensation costs recognized for those stock options to be classified as financing cash flows. The $1,595 excess tax benefit classified as financing cash inflows would have been classified as an operating cash inflow if the Company had not adopted SFAS 123(R).</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conjunction with the adoption of SFAS 123(R), the Company began to use the implied volatility of the Company's traded options as the expected volatility assumption required in the Black-Scholes option valuation model. Prior to October 1, 2005, the Company had used its historical stock price volatility in accordance with SFAS 123 for purposes of its pro forma information. The selection of the implied volatility approach was based upon the availability of actively traded options on the Company's shares and the Company's assessment that implied volatility is more representative of future share price trends than historical volatility. As stock-based compensation expense recognized in the Company's consolidated statement of income for the three and six months ended March 31,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fiscal 2006, the Company accounted for forfeitures as they occurred.</w:t>
      </w:r>
    </w:p>
    <w:p>
      <w:pPr>
        <w:spacing w:after="0" w:line="35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3" w:right="1440" w:bottom="1440" w:gutter="0" w:footer="0" w:header="0"/>
        </w:sectPr>
      </w:pPr>
    </w:p>
    <w:bookmarkStart w:id="8" w:name="page9"/>
    <w:bookmarkEnd w:id="8"/>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RECEIVABLE, NET</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receivable, net consists of the following:</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AS OF</w:t>
            </w:r>
          </w:p>
        </w:tc>
      </w:tr>
      <w:tr>
        <w:trPr>
          <w:trHeight w:val="182"/>
        </w:trPr>
        <w:tc>
          <w:tcPr>
            <w:tcW w:w="2980" w:type="dxa"/>
            <w:vAlign w:val="bottom"/>
          </w:tcPr>
          <w:p>
            <w:pPr>
              <w:spacing w:after="0"/>
              <w:rPr>
                <w:sz w:val="15"/>
                <w:szCs w:val="15"/>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2"/>
        </w:trPr>
        <w:tc>
          <w:tcPr>
            <w:tcW w:w="298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2006</w:t>
            </w:r>
          </w:p>
        </w:tc>
        <w:tc>
          <w:tcPr>
            <w:tcW w:w="14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29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980" w:type="dxa"/>
            <w:vAlign w:val="bottom"/>
          </w:tcPr>
          <w:p>
            <w:pPr>
              <w:spacing w:after="0"/>
              <w:rPr>
                <w:sz w:val="20"/>
                <w:szCs w:val="20"/>
                <w:color w:val="auto"/>
              </w:rPr>
            </w:pPr>
            <w:r>
              <w:rPr>
                <w:rFonts w:ascii="Courier New" w:cs="Courier New" w:eastAsia="Courier New" w:hAnsi="Courier New"/>
                <w:sz w:val="16"/>
                <w:szCs w:val="16"/>
                <w:color w:val="auto"/>
              </w:rPr>
              <w:t>Accounts receivable - billed</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$314,323</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$282,151</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Accounts receivable - unbilled</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42,572</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28,994</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Less - allowances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(7,151)</w:t>
            </w:r>
          </w:p>
        </w:tc>
        <w:tc>
          <w:tcPr>
            <w:tcW w:w="14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(6,908)</w:t>
            </w:r>
          </w:p>
        </w:tc>
      </w:tr>
      <w:tr>
        <w:trPr>
          <w:trHeight w:val="182"/>
        </w:trPr>
        <w:tc>
          <w:tcPr>
            <w:tcW w:w="298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$349,744</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$304,237</w:t>
            </w:r>
          </w:p>
        </w:tc>
      </w:tr>
      <w:tr>
        <w:trPr>
          <w:trHeight w:val="182"/>
        </w:trPr>
        <w:tc>
          <w:tcPr>
            <w:tcW w:w="298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463" w:hanging="463"/>
        <w:spacing w:after="0"/>
        <w:tabs>
          <w:tab w:leader="none" w:pos="4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87" w:lineRule="exact"/>
        <w:rPr>
          <w:sz w:val="20"/>
          <w:szCs w:val="20"/>
          <w:color w:val="auto"/>
        </w:rPr>
      </w:pPr>
    </w:p>
    <w:p>
      <w:pPr>
        <w:ind w:left="3" w:right="3319" w:firstLine="473"/>
        <w:spacing w:after="0" w:line="237" w:lineRule="auto"/>
        <w:rPr>
          <w:sz w:val="20"/>
          <w:szCs w:val="20"/>
          <w:color w:val="auto"/>
        </w:rPr>
      </w:pPr>
      <w:r>
        <w:rPr>
          <w:rFonts w:ascii="Courier New" w:cs="Courier New" w:eastAsia="Courier New" w:hAnsi="Courier New"/>
          <w:sz w:val="16"/>
          <w:szCs w:val="16"/>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360" w:type="dxa"/>
            <w:vAlign w:val="bottom"/>
          </w:tcPr>
          <w:p>
            <w:pPr>
              <w:spacing w:after="0"/>
              <w:rPr>
                <w:sz w:val="15"/>
                <w:szCs w:val="15"/>
                <w:color w:val="auto"/>
              </w:rPr>
            </w:pPr>
          </w:p>
        </w:tc>
        <w:tc>
          <w:tcPr>
            <w:tcW w:w="1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THREE MONTHS ENDED</w:t>
            </w:r>
          </w:p>
        </w:tc>
        <w:tc>
          <w:tcPr>
            <w:tcW w:w="20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3360" w:type="dxa"/>
            <w:vAlign w:val="bottom"/>
          </w:tcPr>
          <w:p>
            <w:pPr>
              <w:spacing w:after="0"/>
              <w:rPr>
                <w:sz w:val="15"/>
                <w:szCs w:val="15"/>
                <w:color w:val="auto"/>
              </w:rPr>
            </w:pPr>
          </w:p>
        </w:tc>
        <w:tc>
          <w:tcPr>
            <w:tcW w:w="19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MARCH 31,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9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31,</w:t>
            </w:r>
          </w:p>
        </w:tc>
      </w:tr>
      <w:tr>
        <w:trPr>
          <w:trHeight w:val="182"/>
        </w:trPr>
        <w:tc>
          <w:tcPr>
            <w:tcW w:w="3360" w:type="dxa"/>
            <w:vAlign w:val="bottom"/>
          </w:tcPr>
          <w:p>
            <w:pPr>
              <w:spacing w:after="0"/>
              <w:rPr>
                <w:sz w:val="15"/>
                <w:szCs w:val="15"/>
                <w:color w:val="auto"/>
              </w:rPr>
            </w:pPr>
          </w:p>
        </w:tc>
        <w:tc>
          <w:tcPr>
            <w:tcW w:w="1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36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2006</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2005</w:t>
            </w:r>
          </w:p>
        </w:tc>
        <w:tc>
          <w:tcPr>
            <w:tcW w:w="1140" w:type="dxa"/>
            <w:vAlign w:val="bottom"/>
          </w:tcPr>
          <w:p>
            <w:pPr>
              <w:ind w:left="340"/>
              <w:spacing w:after="0"/>
              <w:rPr>
                <w:sz w:val="20"/>
                <w:szCs w:val="20"/>
                <w:color w:val="auto"/>
              </w:rPr>
            </w:pPr>
            <w:r>
              <w:rPr>
                <w:rFonts w:ascii="Courier New" w:cs="Courier New" w:eastAsia="Courier New" w:hAnsi="Courier New"/>
                <w:sz w:val="16"/>
                <w:szCs w:val="16"/>
                <w:color w:val="auto"/>
              </w:rPr>
              <w:t>2006</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336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3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$81,762</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$74,297</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$157,096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$143,740</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Other comprehensive income (loss):</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Unrealized gain (loss) on</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foreign currency hedging</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contracts, net of tax</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1,505</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(1,352)</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4,158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(851)</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Unrealized loss on short-term</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interest-bearing investments,</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net of tax</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(307)</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(1,137)</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(1,821)</w:t>
            </w:r>
          </w:p>
        </w:tc>
      </w:tr>
      <w:tr>
        <w:trPr>
          <w:trHeight w:val="182"/>
        </w:trPr>
        <w:tc>
          <w:tcPr>
            <w:tcW w:w="336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$82,960</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$71,808</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$160,997</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$141,068</w:t>
            </w:r>
          </w:p>
        </w:tc>
      </w:tr>
      <w:tr>
        <w:trPr>
          <w:trHeight w:val="182"/>
        </w:trPr>
        <w:tc>
          <w:tcPr>
            <w:tcW w:w="336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463" w:hanging="463"/>
        <w:spacing w:after="0"/>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for income taxes for the following periods consisted of:</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1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THREE MONTHS ENDED</w:t>
            </w: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9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8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w:t>
            </w:r>
          </w:p>
        </w:tc>
      </w:tr>
      <w:tr>
        <w:trPr>
          <w:trHeight w:val="182"/>
        </w:trPr>
        <w:tc>
          <w:tcPr>
            <w:tcW w:w="900" w:type="dxa"/>
            <w:vAlign w:val="bottom"/>
          </w:tcPr>
          <w:p>
            <w:pPr>
              <w:spacing w:after="0"/>
              <w:rPr>
                <w:sz w:val="15"/>
                <w:szCs w:val="15"/>
                <w:color w:val="auto"/>
              </w:rPr>
            </w:pPr>
          </w:p>
        </w:tc>
        <w:tc>
          <w:tcPr>
            <w:tcW w:w="1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90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2006</w:t>
            </w:r>
          </w:p>
        </w:tc>
        <w:tc>
          <w:tcPr>
            <w:tcW w:w="8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2005</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2006</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90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9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$12,500</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$ 1,754</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$22,432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$21,644</w:t>
            </w: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4,834</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16,822</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10,661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14,289</w:t>
            </w:r>
          </w:p>
        </w:tc>
      </w:tr>
      <w:tr>
        <w:trPr>
          <w:trHeight w:val="182"/>
        </w:trPr>
        <w:tc>
          <w:tcPr>
            <w:tcW w:w="90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90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$17,334</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$18,576</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$33,093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$35,933</w:t>
            </w:r>
          </w:p>
        </w:tc>
      </w:tr>
      <w:tr>
        <w:trPr>
          <w:trHeight w:val="182"/>
        </w:trPr>
        <w:tc>
          <w:tcPr>
            <w:tcW w:w="90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28"/>
        </w:trPr>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720" w:type="dxa"/>
            <w:vAlign w:val="bottom"/>
          </w:tcPr>
          <w:p>
            <w:pPr>
              <w:spacing w:after="0"/>
              <w:rPr>
                <w:sz w:val="24"/>
                <w:szCs w:val="24"/>
                <w:color w:val="auto"/>
              </w:rPr>
            </w:pPr>
          </w:p>
        </w:tc>
      </w:tr>
    </w:tbl>
    <w:p>
      <w:pPr>
        <w:sectPr>
          <w:pgSz w:w="11900" w:h="16838" w:orient="portrait"/>
          <w:cols w:equalWidth="0" w:num="1">
            <w:col w:w="10222"/>
          </w:cols>
          <w:pgMar w:left="237" w:top="659" w:right="1440" w:bottom="1440" w:gutter="0" w:footer="0" w:header="0"/>
        </w:sectPr>
      </w:pPr>
    </w:p>
    <w:bookmarkStart w:id="9" w:name="page10"/>
    <w:bookmarkEnd w:id="9"/>
    <w:p>
      <w:pPr>
        <w:ind w:right="2839" w:firstLine="473"/>
        <w:spacing w:after="0" w:line="237" w:lineRule="auto"/>
        <w:rPr>
          <w:sz w:val="20"/>
          <w:szCs w:val="20"/>
          <w:color w:val="auto"/>
        </w:rPr>
      </w:pPr>
      <w:r>
        <w:rPr>
          <w:rFonts w:ascii="Courier New" w:cs="Courier New" w:eastAsia="Courier New" w:hAnsi="Courier New"/>
          <w:sz w:val="16"/>
          <w:szCs w:val="16"/>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2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THREE MONTHS ENDED</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34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31,</w:t>
            </w:r>
          </w:p>
        </w:tc>
      </w:tr>
      <w:tr>
        <w:trPr>
          <w:trHeight w:val="182"/>
        </w:trPr>
        <w:tc>
          <w:tcPr>
            <w:tcW w:w="3440" w:type="dxa"/>
            <w:vAlign w:val="bottom"/>
          </w:tcPr>
          <w:p>
            <w:pPr>
              <w:spacing w:after="0"/>
              <w:rPr>
                <w:sz w:val="15"/>
                <w:szCs w:val="15"/>
                <w:color w:val="auto"/>
              </w:rPr>
            </w:pPr>
          </w:p>
        </w:tc>
        <w:tc>
          <w:tcPr>
            <w:tcW w:w="2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44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2006</w:t>
            </w:r>
          </w:p>
        </w:tc>
        <w:tc>
          <w:tcPr>
            <w:tcW w:w="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2005</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2006</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344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3440" w:type="dxa"/>
            <w:vAlign w:val="bottom"/>
          </w:tcPr>
          <w:p>
            <w:pPr>
              <w:spacing w:after="0"/>
              <w:rPr>
                <w:sz w:val="20"/>
                <w:szCs w:val="20"/>
                <w:color w:val="auto"/>
              </w:rPr>
            </w:pPr>
            <w:r>
              <w:rPr>
                <w:rFonts w:ascii="Courier New" w:cs="Courier New" w:eastAsia="Courier New" w:hAnsi="Courier New"/>
                <w:sz w:val="16"/>
                <w:szCs w:val="16"/>
                <w:color w:val="auto"/>
              </w:rPr>
              <w:t>Statutory Guernsey tax rate</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w:t>
            </w:r>
          </w:p>
        </w:tc>
        <w:tc>
          <w:tcPr>
            <w:tcW w:w="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w:t>
            </w: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Guernsey tax-exempt status</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w:t>
            </w:r>
          </w:p>
        </w:tc>
        <w:tc>
          <w:tcPr>
            <w:tcW w:w="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w:t>
            </w: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Foreign taxes</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w:t>
            </w:r>
          </w:p>
        </w:tc>
        <w:tc>
          <w:tcPr>
            <w:tcW w:w="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w:t>
            </w:r>
          </w:p>
        </w:tc>
        <w:tc>
          <w:tcPr>
            <w:tcW w:w="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w:t>
            </w:r>
          </w:p>
        </w:tc>
      </w:tr>
      <w:tr>
        <w:trPr>
          <w:trHeight w:val="182"/>
        </w:trPr>
        <w:tc>
          <w:tcPr>
            <w:tcW w:w="3440" w:type="dxa"/>
            <w:vAlign w:val="bottom"/>
          </w:tcPr>
          <w:p>
            <w:pPr>
              <w:spacing w:after="0"/>
              <w:rPr>
                <w:sz w:val="15"/>
                <w:szCs w:val="15"/>
                <w:color w:val="auto"/>
              </w:rPr>
            </w:pP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Income tax rate before effect of</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w:t>
            </w:r>
          </w:p>
        </w:tc>
        <w:tc>
          <w:tcPr>
            <w:tcW w:w="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w:t>
            </w:r>
          </w:p>
        </w:tc>
        <w:tc>
          <w:tcPr>
            <w:tcW w:w="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20</w:t>
            </w: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acquisition-related costs, and</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stock-based compensation expense</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4"/>
        </w:trPr>
        <w:tc>
          <w:tcPr>
            <w:tcW w:w="3440" w:type="dxa"/>
            <w:vAlign w:val="bottom"/>
          </w:tcPr>
          <w:p>
            <w:pPr>
              <w:spacing w:after="0"/>
              <w:rPr>
                <w:sz w:val="20"/>
                <w:szCs w:val="20"/>
                <w:color w:val="auto"/>
              </w:rPr>
            </w:pPr>
            <w:r>
              <w:rPr>
                <w:rFonts w:ascii="Courier New" w:cs="Courier New" w:eastAsia="Courier New" w:hAnsi="Courier New"/>
                <w:sz w:val="16"/>
                <w:szCs w:val="16"/>
                <w:color w:val="auto"/>
              </w:rPr>
              <w:t>Effect of acquisition-related costs</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w:t>
            </w:r>
          </w:p>
        </w:tc>
        <w:tc>
          <w:tcPr>
            <w:tcW w:w="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and stock base compensation expense</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3440" w:type="dxa"/>
            <w:vAlign w:val="bottom"/>
          </w:tcPr>
          <w:p>
            <w:pPr>
              <w:spacing w:after="0"/>
              <w:rPr>
                <w:sz w:val="15"/>
                <w:szCs w:val="15"/>
                <w:color w:val="auto"/>
              </w:rPr>
            </w:pP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344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w:t>
            </w:r>
          </w:p>
        </w:tc>
        <w:tc>
          <w:tcPr>
            <w:tcW w:w="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w:t>
            </w:r>
          </w:p>
        </w:tc>
      </w:tr>
      <w:tr>
        <w:trPr>
          <w:trHeight w:val="182"/>
        </w:trPr>
        <w:tc>
          <w:tcPr>
            <w:tcW w:w="3440" w:type="dxa"/>
            <w:vAlign w:val="bottom"/>
          </w:tcPr>
          <w:p>
            <w:pPr>
              <w:spacing w:after="0"/>
              <w:rPr>
                <w:sz w:val="15"/>
                <w:szCs w:val="15"/>
                <w:color w:val="auto"/>
              </w:rPr>
            </w:pP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As a Guernsey corporation with tax-exempt status, the Company's overall effective tax rate is attributable primarily to foreign taxes.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of March 31, 2006, deferred tax assets of $15,478, derived from net capital and operating loss carry forwards related to some of the Company's subsidiaries, were offset by valuation allowances related to the uncertainty of realizing tax benefit for such losses. When realization of the tax benefits associated with such net capital and operating losses is deemed more likely than not, the valuation allowance will be released through income taxes.</w:t>
      </w:r>
    </w:p>
    <w:p>
      <w:pPr>
        <w:spacing w:after="0" w:line="36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10" w:name="page11"/>
    <w:bookmarkEnd w:id="10"/>
    <w:p>
      <w:pPr>
        <w:ind w:left="463" w:hanging="463"/>
        <w:spacing w:after="0"/>
        <w:tabs>
          <w:tab w:leader="none" w:pos="4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w:t>
      </w:r>
    </w:p>
    <w:p>
      <w:pPr>
        <w:spacing w:after="0" w:line="186" w:lineRule="exact"/>
        <w:rPr>
          <w:sz w:val="20"/>
          <w:szCs w:val="20"/>
          <w:color w:val="auto"/>
        </w:rPr>
      </w:pPr>
    </w:p>
    <w:p>
      <w:pPr>
        <w:ind w:left="3" w:right="3419" w:firstLine="473"/>
        <w:spacing w:after="0" w:line="237" w:lineRule="auto"/>
        <w:rPr>
          <w:sz w:val="20"/>
          <w:szCs w:val="20"/>
          <w:color w:val="auto"/>
        </w:rPr>
      </w:pPr>
      <w:r>
        <w:rPr>
          <w:rFonts w:ascii="Courier New" w:cs="Courier New" w:eastAsia="Courier New" w:hAnsi="Courier New"/>
          <w:sz w:val="16"/>
          <w:szCs w:val="16"/>
          <w:color w:val="auto"/>
        </w:rPr>
        <w:t>The following table sets forth the computation of basic and diluted earnings per share:</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w w:val="97"/>
              </w:rPr>
              <w:t>THREE MONTHS ENDED</w:t>
            </w:r>
          </w:p>
        </w:tc>
        <w:tc>
          <w:tcPr>
            <w:tcW w:w="240" w:type="dxa"/>
            <w:vAlign w:val="bottom"/>
          </w:tcPr>
          <w:p>
            <w:pPr>
              <w:spacing w:after="0"/>
              <w:rPr>
                <w:sz w:val="15"/>
                <w:szCs w:val="15"/>
                <w:color w:val="auto"/>
              </w:rPr>
            </w:pPr>
          </w:p>
        </w:tc>
        <w:tc>
          <w:tcPr>
            <w:tcW w:w="17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4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9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31,</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31,</w:t>
            </w:r>
          </w:p>
        </w:tc>
      </w:tr>
      <w:tr>
        <w:trPr>
          <w:trHeight w:val="182"/>
        </w:trPr>
        <w:tc>
          <w:tcPr>
            <w:tcW w:w="4200" w:type="dxa"/>
            <w:vAlign w:val="bottom"/>
          </w:tcPr>
          <w:p>
            <w:pPr>
              <w:spacing w:after="0"/>
              <w:rPr>
                <w:sz w:val="15"/>
                <w:szCs w:val="15"/>
                <w:color w:val="auto"/>
              </w:rPr>
            </w:pPr>
          </w:p>
        </w:tc>
        <w:tc>
          <w:tcPr>
            <w:tcW w:w="2080" w:type="dxa"/>
            <w:vAlign w:val="bottom"/>
            <w:gridSpan w:val="4"/>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2006</w:t>
            </w:r>
          </w:p>
        </w:tc>
        <w:tc>
          <w:tcPr>
            <w:tcW w:w="14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2005</w:t>
            </w:r>
          </w:p>
        </w:tc>
        <w:tc>
          <w:tcPr>
            <w:tcW w:w="240" w:type="dxa"/>
            <w:vAlign w:val="bottom"/>
          </w:tcPr>
          <w:p>
            <w:pPr>
              <w:spacing w:after="0"/>
              <w:rPr>
                <w:sz w:val="15"/>
                <w:szCs w:val="15"/>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6"/>
                <w:szCs w:val="16"/>
                <w:color w:val="auto"/>
              </w:rPr>
              <w:t>2006</w:t>
            </w:r>
          </w:p>
        </w:tc>
        <w:tc>
          <w:tcPr>
            <w:tcW w:w="14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420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200" w:type="dxa"/>
            <w:vAlign w:val="bottom"/>
          </w:tcPr>
          <w:p>
            <w:pPr>
              <w:spacing w:after="0"/>
              <w:rPr>
                <w:sz w:val="20"/>
                <w:szCs w:val="20"/>
                <w:color w:val="auto"/>
              </w:rPr>
            </w:pPr>
            <w:r>
              <w:rPr>
                <w:rFonts w:ascii="Courier New" w:cs="Courier New" w:eastAsia="Courier New" w:hAnsi="Courier New"/>
                <w:sz w:val="16"/>
                <w:szCs w:val="16"/>
                <w:color w:val="auto"/>
              </w:rPr>
              <w:t>Numerator:</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Numerator for basic earnings per share</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$ 81,762</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$ 74,297</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$157,096</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$143,740</w:t>
            </w: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Effect of assumed conversion of 0.50%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200" w:type="dxa"/>
            <w:vAlign w:val="bottom"/>
          </w:tcPr>
          <w:p>
            <w:pPr>
              <w:ind w:left="560"/>
              <w:spacing w:after="0"/>
              <w:rPr>
                <w:sz w:val="20"/>
                <w:szCs w:val="20"/>
                <w:color w:val="auto"/>
              </w:rPr>
            </w:pPr>
            <w:r>
              <w:rPr>
                <w:rFonts w:ascii="Courier New" w:cs="Courier New" w:eastAsia="Courier New" w:hAnsi="Courier New"/>
                <w:sz w:val="16"/>
                <w:szCs w:val="16"/>
                <w:color w:val="auto"/>
              </w:rPr>
              <w:t>convertible notes</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979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983</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1,979</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1,967</w:t>
            </w:r>
          </w:p>
        </w:tc>
      </w:tr>
      <w:tr>
        <w:trPr>
          <w:trHeight w:val="182"/>
        </w:trPr>
        <w:tc>
          <w:tcPr>
            <w:tcW w:w="420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Numerator for diluted earnings per share</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$ 82,741</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$ 75,280</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$159,075</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$145,707</w:t>
            </w:r>
          </w:p>
        </w:tc>
      </w:tr>
      <w:tr>
        <w:trPr>
          <w:trHeight w:val="182"/>
        </w:trPr>
        <w:tc>
          <w:tcPr>
            <w:tcW w:w="420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200" w:type="dxa"/>
            <w:vAlign w:val="bottom"/>
          </w:tcPr>
          <w:p>
            <w:pPr>
              <w:spacing w:after="0"/>
              <w:rPr>
                <w:sz w:val="20"/>
                <w:szCs w:val="20"/>
                <w:color w:val="auto"/>
              </w:rPr>
            </w:pPr>
            <w:r>
              <w:rPr>
                <w:rFonts w:ascii="Courier New" w:cs="Courier New" w:eastAsia="Courier New" w:hAnsi="Courier New"/>
                <w:sz w:val="16"/>
                <w:szCs w:val="16"/>
                <w:color w:val="auto"/>
              </w:rPr>
              <w:t>Denominator: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Denominator for basic earnings per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200" w:type="dxa"/>
            <w:vAlign w:val="bottom"/>
          </w:tcPr>
          <w:p>
            <w:pPr>
              <w:ind w:left="560"/>
              <w:spacing w:after="0"/>
              <w:rPr>
                <w:sz w:val="20"/>
                <w:szCs w:val="20"/>
                <w:color w:val="auto"/>
              </w:rPr>
            </w:pPr>
            <w:r>
              <w:rPr>
                <w:rFonts w:ascii="Courier New" w:cs="Courier New" w:eastAsia="Courier New" w:hAnsi="Courier New"/>
                <w:sz w:val="16"/>
                <w:szCs w:val="16"/>
                <w:color w:val="auto"/>
              </w:rPr>
              <w:t>share- weighted average number of</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200" w:type="dxa"/>
            <w:vAlign w:val="bottom"/>
          </w:tcPr>
          <w:p>
            <w:pPr>
              <w:ind w:left="560"/>
              <w:spacing w:after="0"/>
              <w:rPr>
                <w:sz w:val="20"/>
                <w:szCs w:val="20"/>
                <w:color w:val="auto"/>
              </w:rPr>
            </w:pPr>
            <w:r>
              <w:rPr>
                <w:rFonts w:ascii="Courier New" w:cs="Courier New" w:eastAsia="Courier New" w:hAnsi="Courier New"/>
                <w:sz w:val="16"/>
                <w:szCs w:val="16"/>
                <w:color w:val="auto"/>
              </w:rPr>
              <w:t>shares outstanding</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202,515</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202,168</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201,509</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201,933</w:t>
            </w: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Effect of assumed conversion of 0.50%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200" w:type="dxa"/>
            <w:vAlign w:val="bottom"/>
          </w:tcPr>
          <w:p>
            <w:pPr>
              <w:ind w:left="560"/>
              <w:spacing w:after="0"/>
              <w:rPr>
                <w:sz w:val="20"/>
                <w:szCs w:val="20"/>
                <w:color w:val="auto"/>
              </w:rPr>
            </w:pPr>
            <w:r>
              <w:rPr>
                <w:rFonts w:ascii="Courier New" w:cs="Courier New" w:eastAsia="Courier New" w:hAnsi="Courier New"/>
                <w:sz w:val="16"/>
                <w:szCs w:val="16"/>
                <w:color w:val="auto"/>
              </w:rPr>
              <w:t>convertible notes</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10,436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10,436</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10,436</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10,436</w:t>
            </w: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Effect of dilutive stock options granted</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4,856</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6,203</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4,373</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5,758</w:t>
            </w: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Effect of restricted stock issued</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112</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20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Denominator for diluted earnings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200" w:type="dxa"/>
            <w:vAlign w:val="bottom"/>
          </w:tcPr>
          <w:p>
            <w:pPr>
              <w:ind w:left="560"/>
              <w:spacing w:after="0"/>
              <w:rPr>
                <w:sz w:val="20"/>
                <w:szCs w:val="20"/>
                <w:color w:val="auto"/>
              </w:rPr>
            </w:pPr>
            <w:r>
              <w:rPr>
                <w:rFonts w:ascii="Courier New" w:cs="Courier New" w:eastAsia="Courier New" w:hAnsi="Courier New"/>
                <w:sz w:val="16"/>
                <w:szCs w:val="16"/>
                <w:color w:val="auto"/>
              </w:rPr>
              <w:t>per share - adjusted weighted average</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4200" w:type="dxa"/>
            <w:vAlign w:val="bottom"/>
          </w:tcPr>
          <w:p>
            <w:pPr>
              <w:ind w:left="560"/>
              <w:spacing w:after="0"/>
              <w:rPr>
                <w:sz w:val="20"/>
                <w:szCs w:val="20"/>
                <w:color w:val="auto"/>
              </w:rPr>
            </w:pPr>
            <w:r>
              <w:rPr>
                <w:rFonts w:ascii="Courier New" w:cs="Courier New" w:eastAsia="Courier New" w:hAnsi="Courier New"/>
                <w:sz w:val="16"/>
                <w:szCs w:val="16"/>
                <w:color w:val="auto"/>
              </w:rPr>
              <w:t>shares and assumed conversions</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217,919</w:t>
            </w:r>
          </w:p>
        </w:tc>
        <w:tc>
          <w:tcPr>
            <w:tcW w:w="1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218,807</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216,394</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218,127</w:t>
            </w:r>
          </w:p>
        </w:tc>
      </w:tr>
      <w:tr>
        <w:trPr>
          <w:trHeight w:val="182"/>
        </w:trPr>
        <w:tc>
          <w:tcPr>
            <w:tcW w:w="420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Basic earnings per share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0.40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0.78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0.71</w:t>
            </w:r>
          </w:p>
        </w:tc>
      </w:tr>
      <w:tr>
        <w:trPr>
          <w:trHeight w:val="182"/>
        </w:trPr>
        <w:tc>
          <w:tcPr>
            <w:tcW w:w="420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rPr>
              <w:t>Diluted earnings per share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0.38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0.74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0.67</w:t>
            </w:r>
          </w:p>
        </w:tc>
      </w:tr>
      <w:tr>
        <w:trPr>
          <w:trHeight w:val="182"/>
        </w:trPr>
        <w:tc>
          <w:tcPr>
            <w:tcW w:w="4200" w:type="dxa"/>
            <w:vAlign w:val="bottom"/>
          </w:tcPr>
          <w:p>
            <w:pPr>
              <w:spacing w:after="0"/>
              <w:rPr>
                <w:sz w:val="15"/>
                <w:szCs w:val="15"/>
                <w:color w:val="auto"/>
              </w:rPr>
            </w:pP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The effect of the 2% Convertible Notes due June 1, 2008 issued by the Company in May 2001 (the "2% Notes") on diluted earnings per share was anti-dilutive for the three and six months ended March 31, 2006 and 2005, and therefore, was not included in the above calculation. As of March 31, 2006 and 2005, the outstanding principal amount of the 2% Notes was $272.</w:t>
      </w:r>
    </w:p>
    <w:p>
      <w:pPr>
        <w:spacing w:after="0" w:line="36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2"/>
          </w:cols>
          <w:pgMar w:left="237" w:top="659" w:right="1440" w:bottom="1440" w:gutter="0" w:footer="0" w:header="0"/>
        </w:sectPr>
      </w:pPr>
    </w:p>
    <w:bookmarkStart w:id="11" w:name="page12"/>
    <w:bookmarkEnd w:id="11"/>
    <w:p>
      <w:pPr>
        <w:ind w:left="463" w:right="8619" w:hanging="463"/>
        <w:spacing w:after="0" w:line="513" w:lineRule="auto"/>
        <w:tabs>
          <w:tab w:leader="none" w:pos="46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DST INNOVIS</w:t>
      </w:r>
    </w:p>
    <w:p>
      <w:pPr>
        <w:spacing w:after="0" w:line="1"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On July 1, 2005, the Company acquired from DST Systems, Inc., or DST, all of the common stock of DST's wholly owned subsidiaries, DST Innovis, Inc. and DST Interactive, Inc. The Company refers to these acquired subsidiaries together as DST Innovis, a leading provider of customer care and billing solutions to broadband cable and satellite companies, or the Broadband Industry. The purchase price for DST Innovis was approximately $237,461, which included $3,150 of transaction costs.</w:t>
      </w:r>
    </w:p>
    <w:p>
      <w:pPr>
        <w:spacing w:after="0" w:line="192"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In addition, the Company commenced integration activities based on a plan to exit specific research and development activities and to terminate employees associated with these activities. The liability associated with this plan, which was recorded as part of the purchase accounting, is presented in the following table:</w:t>
      </w:r>
    </w:p>
    <w:p>
      <w:pPr>
        <w:spacing w:after="0" w:line="200" w:lineRule="exact"/>
        <w:rPr>
          <w:sz w:val="20"/>
          <w:szCs w:val="20"/>
          <w:color w:val="auto"/>
        </w:rPr>
      </w:pPr>
    </w:p>
    <w:p>
      <w:pPr>
        <w:spacing w:after="0" w:line="349"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1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EMPLOYEE</w:t>
            </w: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2880" w:type="dxa"/>
            <w:vAlign w:val="bottom"/>
          </w:tcPr>
          <w:p>
            <w:pPr>
              <w:spacing w:after="0"/>
              <w:rPr>
                <w:sz w:val="15"/>
                <w:szCs w:val="15"/>
                <w:color w:val="auto"/>
              </w:rPr>
            </w:pPr>
          </w:p>
        </w:tc>
        <w:tc>
          <w:tcPr>
            <w:tcW w:w="12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SEPARATION</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CONTRACTUAL</w:t>
            </w: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2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COSTS</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OBLIGATIONS</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OTHER</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TOTAL</w:t>
            </w:r>
          </w:p>
        </w:tc>
      </w:tr>
      <w:tr>
        <w:trPr>
          <w:trHeight w:val="182"/>
        </w:trPr>
        <w:tc>
          <w:tcPr>
            <w:tcW w:w="2880" w:type="dxa"/>
            <w:vAlign w:val="bottom"/>
          </w:tcPr>
          <w:p>
            <w:pPr>
              <w:spacing w:after="0"/>
              <w:rPr>
                <w:sz w:val="15"/>
                <w:szCs w:val="15"/>
                <w:color w:val="auto"/>
              </w:rPr>
            </w:pPr>
          </w:p>
        </w:tc>
        <w:tc>
          <w:tcPr>
            <w:tcW w:w="12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2880" w:type="dxa"/>
            <w:vAlign w:val="bottom"/>
          </w:tcPr>
          <w:p>
            <w:pPr>
              <w:spacing w:after="0"/>
              <w:rPr>
                <w:sz w:val="20"/>
                <w:szCs w:val="20"/>
                <w:color w:val="auto"/>
              </w:rPr>
            </w:pPr>
            <w:r>
              <w:rPr>
                <w:rFonts w:ascii="Courier New" w:cs="Courier New" w:eastAsia="Courier New" w:hAnsi="Courier New"/>
                <w:sz w:val="16"/>
                <w:szCs w:val="16"/>
                <w:color w:val="auto"/>
              </w:rPr>
              <w:t>Balance as of October 1, 2005</w:t>
            </w:r>
          </w:p>
        </w:tc>
        <w:tc>
          <w:tcPr>
            <w:tcW w:w="12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$ 4,940</w:t>
            </w:r>
          </w:p>
        </w:tc>
        <w:tc>
          <w:tcPr>
            <w:tcW w:w="13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$7,103</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$ 673</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$12,716</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Cash payments</w:t>
            </w:r>
          </w:p>
        </w:tc>
        <w:tc>
          <w:tcPr>
            <w:tcW w:w="3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(4,513)</w:t>
            </w:r>
          </w:p>
        </w:tc>
        <w:tc>
          <w:tcPr>
            <w:tcW w:w="13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(131)</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(5,062)</w:t>
            </w:r>
          </w:p>
        </w:tc>
      </w:tr>
      <w:tr>
        <w:trPr>
          <w:trHeight w:val="182"/>
        </w:trPr>
        <w:tc>
          <w:tcPr>
            <w:tcW w:w="2880" w:type="dxa"/>
            <w:vAlign w:val="bottom"/>
          </w:tcPr>
          <w:p>
            <w:pPr>
              <w:spacing w:after="0"/>
              <w:rPr>
                <w:sz w:val="15"/>
                <w:szCs w:val="15"/>
                <w:color w:val="auto"/>
              </w:rPr>
            </w:pPr>
          </w:p>
        </w:tc>
        <w:tc>
          <w:tcPr>
            <w:tcW w:w="12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Balance as of March 31, 2006</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427</w:t>
            </w:r>
          </w:p>
        </w:tc>
        <w:tc>
          <w:tcPr>
            <w:tcW w:w="13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$6,972</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$ 255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$ 7,654</w:t>
            </w:r>
          </w:p>
        </w:tc>
      </w:tr>
      <w:tr>
        <w:trPr>
          <w:trHeight w:val="182"/>
        </w:trPr>
        <w:tc>
          <w:tcPr>
            <w:tcW w:w="2880" w:type="dxa"/>
            <w:vAlign w:val="bottom"/>
          </w:tcPr>
          <w:p>
            <w:pPr>
              <w:spacing w:after="0"/>
              <w:rPr>
                <w:sz w:val="15"/>
                <w:szCs w:val="15"/>
                <w:color w:val="auto"/>
              </w:rPr>
            </w:pPr>
          </w:p>
        </w:tc>
        <w:tc>
          <w:tcPr>
            <w:tcW w:w="12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839" w:firstLine="473"/>
        <w:spacing w:after="0" w:line="259" w:lineRule="auto"/>
        <w:rPr>
          <w:sz w:val="20"/>
          <w:szCs w:val="20"/>
          <w:color w:val="auto"/>
        </w:rPr>
      </w:pPr>
      <w:r>
        <w:rPr>
          <w:rFonts w:ascii="Courier New" w:cs="Courier New" w:eastAsia="Courier New" w:hAnsi="Courier New"/>
          <w:sz w:val="15"/>
          <w:szCs w:val="15"/>
          <w:color w:val="auto"/>
        </w:rPr>
        <w:t>Set forth below is the unaudited pro forma revenue, operating income, net income and per share figures for the three and six months ended March 31, 2005 as if DST Innovis had been acquired as of October 1, 2004, excluding the capitalization of research and development expense, write-off of purchased in-process research and development and other acquisition related costs:</w:t>
      </w:r>
    </w:p>
    <w:p>
      <w:pPr>
        <w:spacing w:after="0" w:line="200" w:lineRule="exact"/>
        <w:rPr>
          <w:sz w:val="20"/>
          <w:szCs w:val="20"/>
          <w:color w:val="auto"/>
        </w:rPr>
      </w:pPr>
    </w:p>
    <w:p>
      <w:pPr>
        <w:spacing w:after="0" w:line="33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6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w w:val="98"/>
              </w:rPr>
              <w:t>THREE MONTHS ENDED</w:t>
            </w:r>
          </w:p>
        </w:tc>
        <w:tc>
          <w:tcPr>
            <w:tcW w:w="16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SIX MONTHS ENDED</w:t>
            </w:r>
          </w:p>
        </w:tc>
      </w:tr>
      <w:tr>
        <w:trPr>
          <w:trHeight w:val="182"/>
        </w:trPr>
        <w:tc>
          <w:tcPr>
            <w:tcW w:w="26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w w:val="99"/>
              </w:rPr>
              <w:t>MARCH 31, 2005</w:t>
            </w:r>
          </w:p>
        </w:tc>
        <w:tc>
          <w:tcPr>
            <w:tcW w:w="16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MARCH 31, 2005</w:t>
            </w:r>
          </w:p>
        </w:tc>
      </w:tr>
      <w:tr>
        <w:trPr>
          <w:trHeight w:val="182"/>
        </w:trPr>
        <w:tc>
          <w:tcPr>
            <w:tcW w:w="26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6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26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9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$546,360</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$1,069,812</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9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85,132</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157,089</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9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71,411</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131,839</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9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0.35</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0.65</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9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0.33</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0.61</w:t>
            </w:r>
          </w:p>
        </w:tc>
      </w:tr>
      <w:tr>
        <w:trPr>
          <w:trHeight w:val="728"/>
        </w:trPr>
        <w:tc>
          <w:tcPr>
            <w:tcW w:w="2600" w:type="dxa"/>
            <w:vAlign w:val="bottom"/>
          </w:tcPr>
          <w:p>
            <w:pPr>
              <w:spacing w:after="0"/>
              <w:rPr>
                <w:sz w:val="24"/>
                <w:szCs w:val="24"/>
                <w:color w:val="auto"/>
              </w:rPr>
            </w:pPr>
          </w:p>
        </w:tc>
        <w:tc>
          <w:tcPr>
            <w:tcW w:w="19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11</w:t>
            </w:r>
          </w:p>
        </w:tc>
        <w:tc>
          <w:tcPr>
            <w:tcW w:w="1660" w:type="dxa"/>
            <w:vAlign w:val="bottom"/>
          </w:tcPr>
          <w:p>
            <w:pPr>
              <w:spacing w:after="0"/>
              <w:rPr>
                <w:sz w:val="24"/>
                <w:szCs w:val="24"/>
                <w:color w:val="auto"/>
              </w:rPr>
            </w:pPr>
          </w:p>
        </w:tc>
      </w:tr>
    </w:tbl>
    <w:p>
      <w:pPr>
        <w:sectPr>
          <w:pgSz w:w="11900" w:h="16838" w:orient="portrait"/>
          <w:cols w:equalWidth="0" w:num="1">
            <w:col w:w="10222"/>
          </w:cols>
          <w:pgMar w:left="237" w:top="663" w:right="1440" w:bottom="1440" w:gutter="0" w:footer="0" w:header="0"/>
        </w:sectPr>
      </w:pPr>
    </w:p>
    <w:bookmarkStart w:id="12" w:name="page13"/>
    <w:bookmarkEnd w:id="12"/>
    <w:p>
      <w:pPr>
        <w:ind w:left="463"/>
        <w:spacing w:after="0"/>
        <w:rPr>
          <w:sz w:val="20"/>
          <w:szCs w:val="20"/>
          <w:color w:val="auto"/>
        </w:rPr>
      </w:pPr>
      <w:r>
        <w:rPr>
          <w:rFonts w:ascii="Courier New" w:cs="Courier New" w:eastAsia="Courier New" w:hAnsi="Courier New"/>
          <w:sz w:val="16"/>
          <w:szCs w:val="16"/>
          <w:color w:val="auto"/>
        </w:rPr>
        <w:t>LONGSHINE</w:t>
      </w:r>
    </w:p>
    <w:p>
      <w:pPr>
        <w:spacing w:after="0" w:line="186" w:lineRule="exact"/>
        <w:rPr>
          <w:sz w:val="20"/>
          <w:szCs w:val="20"/>
          <w:color w:val="auto"/>
        </w:rPr>
      </w:pPr>
    </w:p>
    <w:p>
      <w:pPr>
        <w:ind w:left="3" w:right="2659" w:firstLine="473"/>
        <w:spacing w:after="0" w:line="258" w:lineRule="auto"/>
        <w:rPr>
          <w:sz w:val="20"/>
          <w:szCs w:val="20"/>
          <w:color w:val="auto"/>
        </w:rPr>
      </w:pPr>
      <w:r>
        <w:rPr>
          <w:rFonts w:ascii="Courier New" w:cs="Courier New" w:eastAsia="Courier New" w:hAnsi="Courier New"/>
          <w:sz w:val="15"/>
          <w:szCs w:val="15"/>
          <w:color w:val="auto"/>
        </w:rPr>
        <w:t>On August 3, 2005, the Company acquired Longshine Information Technology Company Ltd., or Longshine, a privately-held leading vendor of customer care and billing software in China. The purchase price for Longshine was approximately $34,100, which included $1,100 of transaction costs. The Company may also be obligated to pay up to approximately $16,000 in additional purchase price over the next two years based on the achievement of specified performance targets.</w:t>
      </w:r>
    </w:p>
    <w:p>
      <w:pPr>
        <w:spacing w:after="0" w:line="17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QPASS INC.</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On April 17, 2006, the Company signed an agreement to acquire Qpass Inc., ("Qpass"), a leading provider of digital commerce software and solutions. Pursuant to the agreement the Company will acquire all of Qpass' shares of capital stock for approximately $275,000 in cash. The Company expects to complete this acquisition during the third quarter of fiscal 2006, subject to regulatory approvals and other conditions customary to such transactions. The Company expects that this acquisition will allow it to support service providers and media companies seeking to launch and monetize digital content.</w:t>
      </w:r>
    </w:p>
    <w:p>
      <w:pPr>
        <w:spacing w:after="0" w:line="183" w:lineRule="exact"/>
        <w:rPr>
          <w:sz w:val="20"/>
          <w:szCs w:val="20"/>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OPERATIONAL EFFICIENCY AND COST REDUCTION PROGRAMS</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In the fourth quarter of fiscal 2005, the Company commenced a series of measures designed to align its operational structure to its expected future growth, to allow better integration of the acquisitions of DST Innovis and Longshine, and to improve efficiency. As part of this plan, the Company recorded a charge of $8,135 in connection with the termination of employment of software and information technology specialists and administrative professionals. Approximately $5,379 of the total charge had been paid in cash as of March 31, 2006. The remaining separation costs are expected to be paid out during fiscal 2006.</w:t>
      </w:r>
    </w:p>
    <w:p>
      <w:pPr>
        <w:spacing w:after="0" w:line="188" w:lineRule="exact"/>
        <w:rPr>
          <w:sz w:val="20"/>
          <w:szCs w:val="20"/>
          <w:color w:val="auto"/>
        </w:rPr>
      </w:pPr>
    </w:p>
    <w:p>
      <w:pPr>
        <w:ind w:left="3" w:right="2839" w:firstLine="473"/>
        <w:spacing w:after="0" w:line="237" w:lineRule="auto"/>
        <w:rPr>
          <w:sz w:val="20"/>
          <w:szCs w:val="20"/>
          <w:color w:val="auto"/>
        </w:rPr>
      </w:pPr>
      <w:r>
        <w:rPr>
          <w:rFonts w:ascii="Courier New" w:cs="Courier New" w:eastAsia="Courier New" w:hAnsi="Courier New"/>
          <w:sz w:val="16"/>
          <w:szCs w:val="16"/>
          <w:color w:val="auto"/>
        </w:rPr>
        <w:t>The restructuring accrual for this cost reduction program is comprised of the following as of March 31, 2006:</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194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EMPLOYEE SEPARATION</w:t>
            </w:r>
          </w:p>
        </w:tc>
      </w:tr>
      <w:tr>
        <w:trPr>
          <w:trHeight w:val="182"/>
        </w:trPr>
        <w:tc>
          <w:tcPr>
            <w:tcW w:w="2880" w:type="dxa"/>
            <w:vAlign w:val="bottom"/>
          </w:tcPr>
          <w:p>
            <w:pPr>
              <w:spacing w:after="0"/>
              <w:rPr>
                <w:sz w:val="15"/>
                <w:szCs w:val="15"/>
                <w:color w:val="auto"/>
              </w:rPr>
            </w:pPr>
          </w:p>
        </w:tc>
        <w:tc>
          <w:tcPr>
            <w:tcW w:w="194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COSTS</w:t>
            </w:r>
          </w:p>
        </w:tc>
      </w:tr>
      <w:tr>
        <w:trPr>
          <w:trHeight w:val="182"/>
        </w:trPr>
        <w:tc>
          <w:tcPr>
            <w:tcW w:w="2880" w:type="dxa"/>
            <w:vAlign w:val="bottom"/>
          </w:tcPr>
          <w:p>
            <w:pPr>
              <w:spacing w:after="0"/>
              <w:rPr>
                <w:sz w:val="15"/>
                <w:szCs w:val="15"/>
                <w:color w:val="auto"/>
              </w:rPr>
            </w:pPr>
          </w:p>
        </w:tc>
        <w:tc>
          <w:tcPr>
            <w:tcW w:w="194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2880" w:type="dxa"/>
            <w:vAlign w:val="bottom"/>
          </w:tcPr>
          <w:p>
            <w:pPr>
              <w:spacing w:after="0"/>
              <w:rPr>
                <w:sz w:val="20"/>
                <w:szCs w:val="20"/>
                <w:color w:val="auto"/>
              </w:rPr>
            </w:pPr>
            <w:r>
              <w:rPr>
                <w:rFonts w:ascii="Courier New" w:cs="Courier New" w:eastAsia="Courier New" w:hAnsi="Courier New"/>
                <w:sz w:val="16"/>
                <w:szCs w:val="16"/>
                <w:color w:val="auto"/>
              </w:rPr>
              <w:t>Balance as of October 1, 2005</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$ 7,002</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Cash payments</w:t>
            </w:r>
          </w:p>
        </w:tc>
        <w:tc>
          <w:tcPr>
            <w:tcW w:w="19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(4,246)</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Adjustments</w:t>
            </w:r>
          </w:p>
        </w:tc>
        <w:tc>
          <w:tcPr>
            <w:tcW w:w="19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(568)</w:t>
            </w:r>
          </w:p>
        </w:tc>
      </w:tr>
      <w:tr>
        <w:trPr>
          <w:trHeight w:val="182"/>
        </w:trPr>
        <w:tc>
          <w:tcPr>
            <w:tcW w:w="2880" w:type="dxa"/>
            <w:vAlign w:val="bottom"/>
          </w:tcPr>
          <w:p>
            <w:pPr>
              <w:spacing w:after="0"/>
              <w:rPr>
                <w:sz w:val="15"/>
                <w:szCs w:val="15"/>
                <w:color w:val="auto"/>
              </w:rPr>
            </w:pP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Balance as of March 31, 2006</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$ 2,188</w:t>
            </w:r>
          </w:p>
        </w:tc>
      </w:tr>
      <w:tr>
        <w:trPr>
          <w:trHeight w:val="182"/>
        </w:trPr>
        <w:tc>
          <w:tcPr>
            <w:tcW w:w="2880" w:type="dxa"/>
            <w:vAlign w:val="bottom"/>
          </w:tcPr>
          <w:p>
            <w:pPr>
              <w:spacing w:after="0"/>
              <w:rPr>
                <w:sz w:val="15"/>
                <w:szCs w:val="15"/>
                <w:color w:val="auto"/>
              </w:rPr>
            </w:pP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In prior fiscal years, the Company implemented a series of cost reduction programs designed to reduce operating costs and improve productivity. As part of these programs, the Company reduced its workforce, vacated facilities in different centers around the world and implemented other cost reduction measures, including travel cuts and reduction in other discretionary costs.</w:t>
      </w:r>
    </w:p>
    <w:p>
      <w:pPr>
        <w:spacing w:after="0" w:line="189" w:lineRule="exact"/>
        <w:rPr>
          <w:sz w:val="20"/>
          <w:szCs w:val="20"/>
          <w:color w:val="auto"/>
        </w:rPr>
      </w:pPr>
    </w:p>
    <w:p>
      <w:pPr>
        <w:ind w:left="3" w:right="2659" w:firstLine="473"/>
        <w:spacing w:after="0" w:line="237" w:lineRule="auto"/>
        <w:rPr>
          <w:sz w:val="20"/>
          <w:szCs w:val="20"/>
          <w:color w:val="auto"/>
        </w:rPr>
      </w:pPr>
      <w:r>
        <w:rPr>
          <w:rFonts w:ascii="Courier New" w:cs="Courier New" w:eastAsia="Courier New" w:hAnsi="Courier New"/>
          <w:sz w:val="16"/>
          <w:szCs w:val="16"/>
          <w:color w:val="auto"/>
        </w:rPr>
        <w:t>The restructuring accrual for these cost reduction programs is comprised of the following as of March 31, 2006:</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FACILITIES</w:t>
            </w:r>
          </w:p>
        </w:tc>
      </w:tr>
      <w:tr>
        <w:trPr>
          <w:trHeight w:val="182"/>
        </w:trPr>
        <w:tc>
          <w:tcPr>
            <w:tcW w:w="3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160" w:type="dxa"/>
            <w:vAlign w:val="bottom"/>
          </w:tcPr>
          <w:p>
            <w:pPr>
              <w:spacing w:after="0"/>
              <w:rPr>
                <w:sz w:val="20"/>
                <w:szCs w:val="20"/>
                <w:color w:val="auto"/>
              </w:rPr>
            </w:pPr>
            <w:r>
              <w:rPr>
                <w:rFonts w:ascii="Courier New" w:cs="Courier New" w:eastAsia="Courier New" w:hAnsi="Courier New"/>
                <w:sz w:val="16"/>
                <w:szCs w:val="16"/>
                <w:color w:val="auto"/>
              </w:rPr>
              <w:t>Balance as of October 1, 2005</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$ 6,667</w:t>
            </w:r>
          </w:p>
        </w:tc>
      </w:tr>
      <w:tr>
        <w:trPr>
          <w:trHeight w:val="182"/>
        </w:trPr>
        <w:tc>
          <w:tcPr>
            <w:tcW w:w="3160" w:type="dxa"/>
            <w:vAlign w:val="bottom"/>
          </w:tcPr>
          <w:p>
            <w:pPr>
              <w:spacing w:after="0"/>
              <w:rPr>
                <w:sz w:val="20"/>
                <w:szCs w:val="20"/>
                <w:color w:val="auto"/>
              </w:rPr>
            </w:pPr>
            <w:r>
              <w:rPr>
                <w:rFonts w:ascii="Courier New" w:cs="Courier New" w:eastAsia="Courier New" w:hAnsi="Courier New"/>
                <w:sz w:val="16"/>
                <w:szCs w:val="16"/>
                <w:color w:val="auto"/>
              </w:rPr>
              <w:t>Cash payments</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(1,338)</w:t>
            </w:r>
          </w:p>
        </w:tc>
      </w:tr>
      <w:tr>
        <w:trPr>
          <w:trHeight w:val="182"/>
        </w:trPr>
        <w:tc>
          <w:tcPr>
            <w:tcW w:w="316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160" w:type="dxa"/>
            <w:vAlign w:val="bottom"/>
          </w:tcPr>
          <w:p>
            <w:pPr>
              <w:spacing w:after="0"/>
              <w:rPr>
                <w:sz w:val="20"/>
                <w:szCs w:val="20"/>
                <w:color w:val="auto"/>
              </w:rPr>
            </w:pPr>
            <w:r>
              <w:rPr>
                <w:rFonts w:ascii="Courier New" w:cs="Courier New" w:eastAsia="Courier New" w:hAnsi="Courier New"/>
                <w:sz w:val="16"/>
                <w:szCs w:val="16"/>
                <w:color w:val="auto"/>
              </w:rPr>
              <w:t>Balance as of March 31, 2006 (1)</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$ 5,329</w:t>
            </w:r>
          </w:p>
        </w:tc>
      </w:tr>
      <w:tr>
        <w:trPr>
          <w:trHeight w:val="182"/>
        </w:trPr>
        <w:tc>
          <w:tcPr>
            <w:tcW w:w="316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463" w:right="3119" w:hanging="463"/>
        <w:spacing w:after="0" w:line="237" w:lineRule="auto"/>
        <w:tabs>
          <w:tab w:leader="none" w:pos="4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the accrual is expected to be paid out through August 2008.</w:t>
      </w:r>
    </w:p>
    <w:p>
      <w:pPr>
        <w:spacing w:after="0" w:line="36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2"/>
          </w:cols>
          <w:pgMar w:left="237" w:top="477" w:right="1440" w:bottom="1440" w:gutter="0" w:footer="0" w:header="0"/>
        </w:sectPr>
      </w:pPr>
    </w:p>
    <w:bookmarkStart w:id="13" w:name="page14"/>
    <w:bookmarkEnd w:id="13"/>
    <w:p>
      <w:pPr>
        <w:ind w:left="463" w:hanging="463"/>
        <w:spacing w:after="0"/>
        <w:tabs>
          <w:tab w:leader="none" w:pos="4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BENEFITS</w:t>
      </w:r>
    </w:p>
    <w:p>
      <w:pPr>
        <w:spacing w:after="0" w:line="186"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The Company maintains non-contributory defined benefit plans that provide for pension, other retirement and post-employment benefits for some of its Canadian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pooled fund units established by Bell Canada Enterprises for the collective investment of registered pension plan assets.</w:t>
      </w:r>
    </w:p>
    <w:p>
      <w:pPr>
        <w:spacing w:after="0" w:line="188" w:lineRule="exact"/>
        <w:rPr>
          <w:sz w:val="20"/>
          <w:szCs w:val="20"/>
          <w:color w:val="auto"/>
        </w:rPr>
      </w:pPr>
    </w:p>
    <w:p>
      <w:pPr>
        <w:ind w:left="463"/>
        <w:spacing w:after="0"/>
        <w:rPr>
          <w:sz w:val="20"/>
          <w:szCs w:val="20"/>
          <w:color w:val="auto"/>
        </w:rPr>
      </w:pPr>
      <w:r>
        <w:rPr>
          <w:rFonts w:ascii="Courier New" w:cs="Courier New" w:eastAsia="Courier New" w:hAnsi="Courier New"/>
          <w:sz w:val="15"/>
          <w:szCs w:val="15"/>
          <w:color w:val="auto"/>
        </w:rPr>
        <w:t>The net periodic benefit costs under these plans for the three months ended</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March 31, 2006 and 2005, were as follows:</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208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THREE MONTHS ENDED</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3080" w:type="dxa"/>
            <w:vAlign w:val="bottom"/>
          </w:tcPr>
          <w:p>
            <w:pPr>
              <w:spacing w:after="0"/>
              <w:rPr>
                <w:sz w:val="15"/>
                <w:szCs w:val="15"/>
                <w:color w:val="auto"/>
              </w:rPr>
            </w:pPr>
          </w:p>
        </w:tc>
        <w:tc>
          <w:tcPr>
            <w:tcW w:w="20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MARCH 31, 2006</w:t>
            </w:r>
          </w:p>
        </w:tc>
        <w:tc>
          <w:tcPr>
            <w:tcW w:w="19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MARCH 31, 2005</w:t>
            </w:r>
          </w:p>
        </w:tc>
      </w:tr>
      <w:tr>
        <w:trPr>
          <w:trHeight w:val="182"/>
        </w:trPr>
        <w:tc>
          <w:tcPr>
            <w:tcW w:w="3080" w:type="dxa"/>
            <w:vAlign w:val="bottom"/>
          </w:tcPr>
          <w:p>
            <w:pPr>
              <w:spacing w:after="0"/>
              <w:rPr>
                <w:sz w:val="15"/>
                <w:szCs w:val="15"/>
                <w:color w:val="auto"/>
              </w:rPr>
            </w:pPr>
          </w:p>
        </w:tc>
        <w:tc>
          <w:tcPr>
            <w:tcW w:w="208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08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PENSION</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PENSION</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w:t>
            </w:r>
          </w:p>
        </w:tc>
      </w:tr>
      <w:tr>
        <w:trPr>
          <w:trHeight w:val="182"/>
        </w:trPr>
        <w:tc>
          <w:tcPr>
            <w:tcW w:w="308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BENEFITS</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BENEFITS</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BENEFITS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BENEFITS</w:t>
            </w:r>
          </w:p>
        </w:tc>
      </w:tr>
      <w:tr>
        <w:trPr>
          <w:trHeight w:val="182"/>
        </w:trPr>
        <w:tc>
          <w:tcPr>
            <w:tcW w:w="308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Service costs</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776</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$103</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$ 548</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$ 66</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Interest on benefit obligations</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965</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167</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836</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120</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Expected return on plan assets</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(803)</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(683)</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Actuarial loss</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155</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111</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8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8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$1,093</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$381</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$ 701</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$186</w:t>
            </w:r>
          </w:p>
        </w:tc>
      </w:tr>
      <w:tr>
        <w:trPr>
          <w:trHeight w:val="182"/>
        </w:trPr>
        <w:tc>
          <w:tcPr>
            <w:tcW w:w="308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The net periodic benefit costs under these plans for the six months ended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March 31, 2006 and 2005, were as follows:</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0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ENDED</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ENDED</w:t>
            </w:r>
          </w:p>
        </w:tc>
      </w:tr>
      <w:tr>
        <w:trPr>
          <w:trHeight w:val="182"/>
        </w:trPr>
        <w:tc>
          <w:tcPr>
            <w:tcW w:w="30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MARCH 31,</w:t>
            </w: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2006</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MARCH 31,</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3080" w:type="dxa"/>
            <w:vAlign w:val="bottom"/>
          </w:tcPr>
          <w:p>
            <w:pPr>
              <w:spacing w:after="0"/>
              <w:rPr>
                <w:sz w:val="15"/>
                <w:szCs w:val="15"/>
                <w:color w:val="auto"/>
              </w:rPr>
            </w:pPr>
          </w:p>
        </w:tc>
        <w:tc>
          <w:tcPr>
            <w:tcW w:w="2080" w:type="dxa"/>
            <w:vAlign w:val="bottom"/>
            <w:gridSpan w:val="3"/>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08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PENSION</w:t>
            </w:r>
          </w:p>
        </w:tc>
        <w:tc>
          <w:tcPr>
            <w:tcW w:w="28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PENSION</w:t>
            </w:r>
          </w:p>
        </w:tc>
        <w:tc>
          <w:tcPr>
            <w:tcW w:w="28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w:t>
            </w:r>
          </w:p>
        </w:tc>
      </w:tr>
      <w:tr>
        <w:trPr>
          <w:trHeight w:val="182"/>
        </w:trPr>
        <w:tc>
          <w:tcPr>
            <w:tcW w:w="308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BENEFITS</w:t>
            </w:r>
          </w:p>
        </w:tc>
        <w:tc>
          <w:tcPr>
            <w:tcW w:w="10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BENEFITS</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BENEFITS</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BENEFITS</w:t>
            </w:r>
          </w:p>
        </w:tc>
      </w:tr>
      <w:tr>
        <w:trPr>
          <w:trHeight w:val="182"/>
        </w:trPr>
        <w:tc>
          <w:tcPr>
            <w:tcW w:w="3080" w:type="dxa"/>
            <w:vAlign w:val="bottom"/>
          </w:tcPr>
          <w:p>
            <w:pPr>
              <w:spacing w:after="0"/>
              <w:rPr>
                <w:sz w:val="15"/>
                <w:szCs w:val="15"/>
                <w:color w:val="auto"/>
              </w:rPr>
            </w:pP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080" w:type="dxa"/>
            <w:vAlign w:val="bottom"/>
          </w:tcPr>
          <w:p>
            <w:pPr>
              <w:spacing w:after="0"/>
              <w:rPr>
                <w:sz w:val="20"/>
                <w:szCs w:val="20"/>
                <w:color w:val="auto"/>
              </w:rPr>
            </w:pPr>
            <w:r>
              <w:rPr>
                <w:rFonts w:ascii="Courier New" w:cs="Courier New" w:eastAsia="Courier New" w:hAnsi="Courier New"/>
                <w:sz w:val="16"/>
                <w:szCs w:val="16"/>
                <w:color w:val="auto"/>
              </w:rPr>
              <w:t>Service costs</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$ 1,545</w:t>
            </w:r>
          </w:p>
        </w:tc>
        <w:tc>
          <w:tcPr>
            <w:tcW w:w="28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$205</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$ 1,095</w:t>
            </w:r>
          </w:p>
        </w:tc>
        <w:tc>
          <w:tcPr>
            <w:tcW w:w="280" w:type="dxa"/>
            <w:vAlign w:val="bottom"/>
          </w:tcPr>
          <w:p>
            <w:pPr>
              <w:spacing w:after="0"/>
              <w:rPr>
                <w:sz w:val="24"/>
                <w:szCs w:val="24"/>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Interest on benefit obligations</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1,921</w:t>
            </w:r>
          </w:p>
        </w:tc>
        <w:tc>
          <w:tcPr>
            <w:tcW w:w="2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333</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1,673</w:t>
            </w:r>
          </w:p>
        </w:tc>
        <w:tc>
          <w:tcPr>
            <w:tcW w:w="28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241</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Expected return on plan assets</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(1,599)</w:t>
            </w:r>
          </w:p>
        </w:tc>
        <w:tc>
          <w:tcPr>
            <w:tcW w:w="2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(1,369)</w:t>
            </w:r>
          </w:p>
        </w:tc>
        <w:tc>
          <w:tcPr>
            <w:tcW w:w="28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Actuarial loss</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155</w:t>
            </w:r>
          </w:p>
        </w:tc>
        <w:tc>
          <w:tcPr>
            <w:tcW w:w="2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111</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8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08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$ 2,022</w:t>
            </w:r>
          </w:p>
        </w:tc>
        <w:tc>
          <w:tcPr>
            <w:tcW w:w="2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$649</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$ 1,399</w:t>
            </w:r>
          </w:p>
        </w:tc>
        <w:tc>
          <w:tcPr>
            <w:tcW w:w="28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$373</w:t>
            </w:r>
          </w:p>
        </w:tc>
      </w:tr>
      <w:tr>
        <w:trPr>
          <w:trHeight w:val="182"/>
        </w:trPr>
        <w:tc>
          <w:tcPr>
            <w:tcW w:w="3080" w:type="dxa"/>
            <w:vAlign w:val="bottom"/>
          </w:tcPr>
          <w:p>
            <w:pPr>
              <w:spacing w:after="0"/>
              <w:rPr>
                <w:sz w:val="15"/>
                <w:szCs w:val="15"/>
                <w:color w:val="auto"/>
              </w:rPr>
            </w:pP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In the six months ended March 31, 2006, the Company made contributions of $1,413 to the pension plan and $92 for other benefits. The Company expects to make contributions for the fiscal year ending September 30, 2006 of approximately $2,800 to the pension plan and $200 for other benefits.</w:t>
      </w:r>
    </w:p>
    <w:p>
      <w:pPr>
        <w:spacing w:after="0" w:line="36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2"/>
          </w:cols>
          <w:pgMar w:left="237" w:top="659" w:right="1440" w:bottom="1440" w:gutter="0" w:footer="0" w:header="0"/>
        </w:sectPr>
      </w:pPr>
    </w:p>
    <w:bookmarkStart w:id="14" w:name="page15"/>
    <w:bookmarkEnd w:id="14"/>
    <w:p>
      <w:pPr>
        <w:ind w:left="463" w:hanging="463"/>
        <w:spacing w:after="0"/>
        <w:tabs>
          <w:tab w:leader="none" w:pos="4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AND INCENTIVE PLAN</w:t>
      </w:r>
    </w:p>
    <w:p>
      <w:pPr>
        <w:spacing w:after="0" w:line="186"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In January 1998, the Company first adopted the 1998 Stock Option and Incentive Plan (the "Plan"), which provides for the grant of restricted stock awards, stock options and other stock-based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2006, the maximum number of Ordinary Shares authorized to be granted under the Plan was increased from 38,300 to 46,300. Awards granted under the Plan generally vest over a period of four years and stock options have a term of ten years. In the fourth quarter of fiscal 2005, the Company commenced routinely granting restricted shares and the Company's equity-based grant package may be comprised of restricted stock awards and a fewer number of stock options.</w:t>
      </w:r>
    </w:p>
    <w:p>
      <w:pPr>
        <w:spacing w:after="0" w:line="181" w:lineRule="exact"/>
        <w:rPr>
          <w:sz w:val="20"/>
          <w:szCs w:val="20"/>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The following table summarizes information about stock options to purchase the Company's Ordinary Shares, as well as changes during the six months period ended March 31, 2006:</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8"/>
              </w:rPr>
              <w:t>WEIGHTED</w:t>
            </w:r>
          </w:p>
        </w:tc>
      </w:tr>
      <w:tr>
        <w:trPr>
          <w:trHeight w:val="182"/>
        </w:trPr>
        <w:tc>
          <w:tcPr>
            <w:tcW w:w="3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WEIGHTED</w:t>
            </w:r>
          </w:p>
        </w:tc>
        <w:tc>
          <w:tcPr>
            <w:tcW w:w="118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AVERAGE</w:t>
            </w:r>
          </w:p>
        </w:tc>
      </w:tr>
      <w:tr>
        <w:trPr>
          <w:trHeight w:val="182"/>
        </w:trPr>
        <w:tc>
          <w:tcPr>
            <w:tcW w:w="3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AVERAGE</w:t>
            </w:r>
          </w:p>
        </w:tc>
        <w:tc>
          <w:tcPr>
            <w:tcW w:w="118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7"/>
              </w:rPr>
              <w:t>REMAINING</w:t>
            </w:r>
          </w:p>
        </w:tc>
      </w:tr>
      <w:tr>
        <w:trPr>
          <w:trHeight w:val="182"/>
        </w:trPr>
        <w:tc>
          <w:tcPr>
            <w:tcW w:w="3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NUMBER OF</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EXERCISE</w:t>
            </w:r>
          </w:p>
        </w:tc>
        <w:tc>
          <w:tcPr>
            <w:tcW w:w="118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CONTRACTUAL</w:t>
            </w:r>
          </w:p>
        </w:tc>
      </w:tr>
      <w:tr>
        <w:trPr>
          <w:trHeight w:val="182"/>
        </w:trPr>
        <w:tc>
          <w:tcPr>
            <w:tcW w:w="3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8"/>
              </w:rPr>
              <w:t>OPTIONS</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PRICE</w:t>
            </w:r>
          </w:p>
        </w:tc>
        <w:tc>
          <w:tcPr>
            <w:tcW w:w="11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TERM</w:t>
            </w:r>
          </w:p>
        </w:tc>
      </w:tr>
      <w:tr>
        <w:trPr>
          <w:trHeight w:val="182"/>
        </w:trPr>
        <w:tc>
          <w:tcPr>
            <w:tcW w:w="3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3260" w:type="dxa"/>
            <w:vAlign w:val="bottom"/>
          </w:tcPr>
          <w:p>
            <w:pPr>
              <w:spacing w:after="0"/>
              <w:rPr>
                <w:sz w:val="20"/>
                <w:szCs w:val="20"/>
                <w:color w:val="auto"/>
              </w:rPr>
            </w:pPr>
            <w:r>
              <w:rPr>
                <w:rFonts w:ascii="Courier New" w:cs="Courier New" w:eastAsia="Courier New" w:hAnsi="Courier New"/>
                <w:sz w:val="16"/>
                <w:szCs w:val="16"/>
                <w:color w:val="auto"/>
              </w:rPr>
              <w:t>Outstanding as of October 1, 2005</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25,807</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$26.91</w:t>
            </w:r>
          </w:p>
        </w:tc>
        <w:tc>
          <w:tcPr>
            <w:tcW w:w="1180" w:type="dxa"/>
            <w:vAlign w:val="bottom"/>
          </w:tcPr>
          <w:p>
            <w:pPr>
              <w:spacing w:after="0"/>
              <w:rPr>
                <w:sz w:val="24"/>
                <w:szCs w:val="24"/>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2,983</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29.31</w:t>
            </w:r>
          </w:p>
        </w:tc>
        <w:tc>
          <w:tcPr>
            <w:tcW w:w="118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(3,530)</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15.98</w:t>
            </w:r>
          </w:p>
        </w:tc>
        <w:tc>
          <w:tcPr>
            <w:tcW w:w="118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(1,371)</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33.98</w:t>
            </w:r>
          </w:p>
        </w:tc>
        <w:tc>
          <w:tcPr>
            <w:tcW w:w="1180" w:type="dxa"/>
            <w:vAlign w:val="bottom"/>
          </w:tcPr>
          <w:p>
            <w:pPr>
              <w:spacing w:after="0"/>
              <w:rPr>
                <w:sz w:val="15"/>
                <w:szCs w:val="15"/>
                <w:color w:val="auto"/>
              </w:rPr>
            </w:pPr>
          </w:p>
        </w:tc>
      </w:tr>
      <w:tr>
        <w:trPr>
          <w:trHeight w:val="182"/>
        </w:trPr>
        <w:tc>
          <w:tcPr>
            <w:tcW w:w="326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Outstanding as of March 31, 2006</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23,889</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$28.41</w:t>
            </w:r>
          </w:p>
        </w:tc>
        <w:tc>
          <w:tcPr>
            <w:tcW w:w="11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6.69</w:t>
            </w:r>
          </w:p>
        </w:tc>
      </w:tr>
      <w:tr>
        <w:trPr>
          <w:trHeight w:val="182"/>
        </w:trPr>
        <w:tc>
          <w:tcPr>
            <w:tcW w:w="326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Exercisable on March 31, 2006</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13,794</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$32.42</w:t>
            </w:r>
          </w:p>
        </w:tc>
        <w:tc>
          <w:tcPr>
            <w:tcW w:w="11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5.42</w:t>
            </w:r>
          </w:p>
        </w:tc>
      </w:tr>
      <w:tr>
        <w:trPr>
          <w:trHeight w:val="182"/>
        </w:trPr>
        <w:tc>
          <w:tcPr>
            <w:tcW w:w="326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w:t>
            </w:r>
          </w:p>
        </w:tc>
      </w:tr>
    </w:tbl>
    <w:p>
      <w:pPr>
        <w:spacing w:after="0" w:line="368" w:lineRule="exact"/>
        <w:rPr>
          <w:sz w:val="20"/>
          <w:szCs w:val="20"/>
          <w:color w:val="auto"/>
        </w:rPr>
      </w:pPr>
    </w:p>
    <w:p>
      <w:pPr>
        <w:ind w:left="463"/>
        <w:spacing w:after="0"/>
        <w:rPr>
          <w:sz w:val="20"/>
          <w:szCs w:val="20"/>
          <w:color w:val="auto"/>
        </w:rPr>
      </w:pPr>
      <w:r>
        <w:rPr>
          <w:rFonts w:ascii="Courier New" w:cs="Courier New" w:eastAsia="Courier New" w:hAnsi="Courier New"/>
          <w:sz w:val="15"/>
          <w:szCs w:val="15"/>
          <w:color w:val="auto"/>
        </w:rPr>
        <w:t>The weighted average grant date fair value of stock options granted during</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three months ended March 31, 2006 and 2005 was $10.39 and $13.67,</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respectively. The weighted average grant date fair value of stock options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granted during the six months ended March 31, 2006 and 2005 was $9.96 and</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$12.58, respectively. The total intrinsic value of options exercised during the</w:t>
      </w:r>
    </w:p>
    <w:p>
      <w:pPr>
        <w:spacing w:after="0" w:line="12"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three months ended March 31, 2006 and 2005 was $38,245 and $5,157, respectively,</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and during the six months ended March 31, 2006 was $54,881 and $17,318,</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respectively. The aggregate intrinsic value of outstanding and exercisable stock</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options as of March 31, 2006 was $247,984 and $115,627, respectively.</w:t>
      </w:r>
    </w:p>
    <w:p>
      <w:pPr>
        <w:spacing w:after="0" w:line="36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2"/>
          </w:cols>
          <w:pgMar w:left="237" w:top="659" w:right="1440" w:bottom="1440" w:gutter="0" w:footer="0" w:header="0"/>
        </w:sectPr>
      </w:pPr>
    </w:p>
    <w:bookmarkStart w:id="15" w:name="page16"/>
    <w:bookmarkEnd w:id="15"/>
    <w:p>
      <w:pPr>
        <w:jc w:val="both"/>
        <w:ind w:left="3" w:right="2659" w:firstLine="473"/>
        <w:spacing w:after="0" w:line="238" w:lineRule="auto"/>
        <w:rPr>
          <w:sz w:val="20"/>
          <w:szCs w:val="20"/>
          <w:color w:val="auto"/>
        </w:rPr>
      </w:pPr>
      <w:r>
        <w:rPr>
          <w:rFonts w:ascii="Courier New" w:cs="Courier New" w:eastAsia="Courier New" w:hAnsi="Courier New"/>
          <w:sz w:val="16"/>
          <w:szCs w:val="16"/>
          <w:color w:val="auto"/>
        </w:rPr>
        <w:t>The following table summarizes information relating to awards of restricted nonvested shares, as well as changes to such awards during the six month period ended on March 31, 2006:</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WEIGHTED</w:t>
            </w:r>
          </w:p>
        </w:tc>
      </w:tr>
      <w:tr>
        <w:trPr>
          <w:trHeight w:val="182"/>
        </w:trPr>
        <w:tc>
          <w:tcPr>
            <w:tcW w:w="326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NUMBER OF</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AVERAGE GRANT</w:t>
            </w:r>
          </w:p>
        </w:tc>
      </w:tr>
      <w:tr>
        <w:trPr>
          <w:trHeight w:val="182"/>
        </w:trPr>
        <w:tc>
          <w:tcPr>
            <w:tcW w:w="326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SHARES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DATE FAIR VALUE</w:t>
            </w:r>
          </w:p>
        </w:tc>
      </w:tr>
      <w:tr>
        <w:trPr>
          <w:trHeight w:val="182"/>
        </w:trPr>
        <w:tc>
          <w:tcPr>
            <w:tcW w:w="3260" w:type="dxa"/>
            <w:vAlign w:val="bottom"/>
          </w:tcPr>
          <w:p>
            <w:pPr>
              <w:spacing w:after="0"/>
              <w:rPr>
                <w:sz w:val="15"/>
                <w:szCs w:val="15"/>
                <w:color w:val="auto"/>
              </w:rPr>
            </w:pP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260" w:type="dxa"/>
            <w:vAlign w:val="bottom"/>
          </w:tcPr>
          <w:p>
            <w:pPr>
              <w:spacing w:after="0"/>
              <w:rPr>
                <w:sz w:val="20"/>
                <w:szCs w:val="20"/>
                <w:color w:val="auto"/>
              </w:rPr>
            </w:pPr>
            <w:r>
              <w:rPr>
                <w:rFonts w:ascii="Courier New" w:cs="Courier New" w:eastAsia="Courier New" w:hAnsi="Courier New"/>
                <w:sz w:val="16"/>
                <w:szCs w:val="16"/>
                <w:color w:val="auto"/>
              </w:rPr>
              <w:t>Outstanding as of October 1, 2005</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134</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$26.43</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443</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29.14</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Vested</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(76)</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26.43</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spacing w:after="0"/>
              <w:rPr>
                <w:sz w:val="15"/>
                <w:szCs w:val="15"/>
                <w:color w:val="auto"/>
              </w:rPr>
            </w:pP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Outstanding as of March 31, 2006</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501</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$28.83</w:t>
            </w:r>
          </w:p>
        </w:tc>
      </w:tr>
      <w:tr>
        <w:trPr>
          <w:trHeight w:val="182"/>
        </w:trPr>
        <w:tc>
          <w:tcPr>
            <w:tcW w:w="3260" w:type="dxa"/>
            <w:vAlign w:val="bottom"/>
          </w:tcPr>
          <w:p>
            <w:pPr>
              <w:spacing w:after="0"/>
              <w:rPr>
                <w:sz w:val="15"/>
                <w:szCs w:val="15"/>
                <w:color w:val="auto"/>
              </w:rPr>
            </w:pP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As of March 31, 2006, there was $58,652 of unrecognized compensation expense related to nonvested stock options and nonvested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90"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fair value of stock options granted was estimated on the date of grant using the Black-Scholes pricing model that uses the assumptions noted in the following table (all in weighted averages for options granted during the period):</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360" w:type="dxa"/>
            <w:vAlign w:val="bottom"/>
          </w:tcPr>
          <w:p>
            <w:pPr>
              <w:spacing w:after="0"/>
              <w:rPr>
                <w:sz w:val="15"/>
                <w:szCs w:val="15"/>
                <w:color w:val="auto"/>
              </w:rPr>
            </w:pPr>
          </w:p>
        </w:tc>
        <w:tc>
          <w:tcPr>
            <w:tcW w:w="1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THREE MONTHS ENDED</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3360" w:type="dxa"/>
            <w:vAlign w:val="bottom"/>
          </w:tcPr>
          <w:p>
            <w:pPr>
              <w:spacing w:after="0"/>
              <w:rPr>
                <w:sz w:val="15"/>
                <w:szCs w:val="15"/>
                <w:color w:val="auto"/>
              </w:rPr>
            </w:pPr>
          </w:p>
        </w:tc>
        <w:tc>
          <w:tcPr>
            <w:tcW w:w="19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MARCH 31,</w:t>
            </w:r>
          </w:p>
        </w:tc>
        <w:tc>
          <w:tcPr>
            <w:tcW w:w="16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3360" w:type="dxa"/>
            <w:vAlign w:val="bottom"/>
          </w:tcPr>
          <w:p>
            <w:pPr>
              <w:spacing w:after="0"/>
              <w:rPr>
                <w:sz w:val="15"/>
                <w:szCs w:val="15"/>
                <w:color w:val="auto"/>
              </w:rPr>
            </w:pPr>
          </w:p>
        </w:tc>
        <w:tc>
          <w:tcPr>
            <w:tcW w:w="1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360" w:type="dxa"/>
            <w:vAlign w:val="bottom"/>
          </w:tcPr>
          <w:p>
            <w:pPr>
              <w:spacing w:after="0"/>
              <w:rPr>
                <w:sz w:val="15"/>
                <w:szCs w:val="15"/>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2006</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2005</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2006</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3360" w:type="dxa"/>
            <w:vAlign w:val="bottom"/>
          </w:tcPr>
          <w:p>
            <w:pPr>
              <w:spacing w:after="0"/>
              <w:rPr>
                <w:sz w:val="15"/>
                <w:szCs w:val="15"/>
                <w:color w:val="auto"/>
              </w:rPr>
            </w:pP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3360" w:type="dxa"/>
            <w:vAlign w:val="bottom"/>
          </w:tcPr>
          <w:p>
            <w:pPr>
              <w:spacing w:after="0"/>
              <w:rPr>
                <w:sz w:val="20"/>
                <w:szCs w:val="20"/>
                <w:color w:val="auto"/>
              </w:rPr>
            </w:pPr>
            <w:r>
              <w:rPr>
                <w:rFonts w:ascii="Courier New" w:cs="Courier New" w:eastAsia="Courier New" w:hAnsi="Courier New"/>
                <w:sz w:val="16"/>
                <w:szCs w:val="16"/>
                <w:color w:val="auto"/>
              </w:rPr>
              <w:t>Risk-free interest rate (1)</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4.50%</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3.33%</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Expected life of stock options (2)</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4.50</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4.30</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4.50</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4.50</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Expected volatility (3)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0.30</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0.616</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0.331</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0.636</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Expected dividend yield (4)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None</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None</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None</w:t>
            </w: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Fair value per option</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$10.39</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$13.67</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$9.96</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$12.58</w:t>
            </w:r>
          </w:p>
        </w:tc>
      </w:tr>
    </w:tbl>
    <w:p>
      <w:pPr>
        <w:spacing w:after="0" w:line="368" w:lineRule="exact"/>
        <w:rPr>
          <w:sz w:val="20"/>
          <w:szCs w:val="20"/>
          <w:color w:val="auto"/>
        </w:rPr>
      </w:pPr>
    </w:p>
    <w:p>
      <w:pPr>
        <w:ind w:left="463" w:right="2659" w:hanging="463"/>
        <w:spacing w:after="0" w:line="237" w:lineRule="auto"/>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Risk-free interest rate is based upon U.S. Treasury yield curve appropriate for the term of the Company's employee stock options.</w:t>
      </w:r>
    </w:p>
    <w:p>
      <w:pPr>
        <w:spacing w:after="0" w:line="183"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Expected life of stock options is based upon historical experience.</w:t>
      </w:r>
    </w:p>
    <w:p>
      <w:pPr>
        <w:spacing w:after="0" w:line="186" w:lineRule="exact"/>
        <w:rPr>
          <w:rFonts w:ascii="Courier New" w:cs="Courier New" w:eastAsia="Courier New" w:hAnsi="Courier New"/>
          <w:sz w:val="16"/>
          <w:szCs w:val="16"/>
          <w:color w:val="auto"/>
        </w:rPr>
      </w:pPr>
    </w:p>
    <w:p>
      <w:pPr>
        <w:ind w:left="463" w:right="2759" w:hanging="463"/>
        <w:spacing w:after="0" w:line="239" w:lineRule="auto"/>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Expected volatility for the three and six months ended March 31, 2006 is based on implied volatility of the Company's traded options. For the three and six months ended March 31, 2005, expected volatility is based on the Company's historical stock price.</w:t>
      </w:r>
    </w:p>
    <w:p>
      <w:pPr>
        <w:spacing w:after="0" w:line="187" w:lineRule="exact"/>
        <w:rPr>
          <w:rFonts w:ascii="Courier New" w:cs="Courier New" w:eastAsia="Courier New" w:hAnsi="Courier New"/>
          <w:sz w:val="16"/>
          <w:szCs w:val="16"/>
          <w:color w:val="auto"/>
        </w:rPr>
      </w:pPr>
    </w:p>
    <w:p>
      <w:pPr>
        <w:ind w:left="463" w:right="2839" w:hanging="463"/>
        <w:spacing w:after="0" w:line="237" w:lineRule="auto"/>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Expected dividend yield is based on the Company's history and expectation of dividend payouts.</w:t>
      </w:r>
    </w:p>
    <w:p>
      <w:pPr>
        <w:spacing w:after="0" w:line="36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2"/>
          </w:cols>
          <w:pgMar w:left="237" w:top="663" w:right="1440" w:bottom="1440" w:gutter="0" w:footer="0" w:header="0"/>
        </w:sectPr>
      </w:pPr>
    </w:p>
    <w:bookmarkStart w:id="16" w:name="page17"/>
    <w:bookmarkEnd w:id="16"/>
    <w:p>
      <w:pPr>
        <w:jc w:val="both"/>
        <w:ind w:left="3" w:right="2659" w:firstLine="473"/>
        <w:spacing w:after="0" w:line="267" w:lineRule="auto"/>
        <w:rPr>
          <w:sz w:val="20"/>
          <w:szCs w:val="20"/>
          <w:color w:val="auto"/>
        </w:rPr>
      </w:pPr>
      <w:r>
        <w:rPr>
          <w:rFonts w:ascii="Courier New" w:cs="Courier New" w:eastAsia="Courier New" w:hAnsi="Courier New"/>
          <w:sz w:val="15"/>
          <w:szCs w:val="15"/>
          <w:color w:val="auto"/>
        </w:rPr>
        <w:t>The following table sets forth the pro forma effect of applying SFAS 123 on net income and earnings per share for three and six months ended March 31, 2005:</w:t>
      </w:r>
    </w:p>
    <w:p>
      <w:pPr>
        <w:spacing w:after="0" w:line="200" w:lineRule="exact"/>
        <w:rPr>
          <w:sz w:val="20"/>
          <w:szCs w:val="20"/>
          <w:color w:val="auto"/>
        </w:rPr>
      </w:pPr>
    </w:p>
    <w:p>
      <w:pPr>
        <w:spacing w:after="0" w:line="32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160" w:type="dxa"/>
            <w:vAlign w:val="bottom"/>
          </w:tcPr>
          <w:p>
            <w:pPr>
              <w:spacing w:after="0"/>
              <w:rPr>
                <w:sz w:val="15"/>
                <w:szCs w:val="15"/>
                <w:color w:val="auto"/>
              </w:rPr>
            </w:pPr>
          </w:p>
        </w:tc>
        <w:tc>
          <w:tcPr>
            <w:tcW w:w="200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THREE MONTHS ENDED</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3160" w:type="dxa"/>
            <w:vAlign w:val="bottom"/>
          </w:tcPr>
          <w:p>
            <w:pPr>
              <w:spacing w:after="0"/>
              <w:rPr>
                <w:sz w:val="15"/>
                <w:szCs w:val="15"/>
                <w:color w:val="auto"/>
              </w:rPr>
            </w:pPr>
          </w:p>
        </w:tc>
        <w:tc>
          <w:tcPr>
            <w:tcW w:w="200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MARCH 31,</w:t>
            </w:r>
          </w:p>
        </w:tc>
        <w:tc>
          <w:tcPr>
            <w:tcW w:w="164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3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2005</w:t>
            </w:r>
          </w:p>
        </w:tc>
        <w:tc>
          <w:tcPr>
            <w:tcW w:w="60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3160" w:type="dxa"/>
            <w:vAlign w:val="bottom"/>
          </w:tcPr>
          <w:p>
            <w:pPr>
              <w:spacing w:after="0"/>
              <w:rPr>
                <w:sz w:val="15"/>
                <w:szCs w:val="15"/>
                <w:color w:val="auto"/>
              </w:rPr>
            </w:pPr>
          </w:p>
        </w:tc>
        <w:tc>
          <w:tcPr>
            <w:tcW w:w="200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160" w:type="dxa"/>
            <w:vAlign w:val="bottom"/>
          </w:tcPr>
          <w:p>
            <w:pPr>
              <w:spacing w:after="0"/>
              <w:rPr>
                <w:sz w:val="20"/>
                <w:szCs w:val="20"/>
                <w:color w:val="auto"/>
              </w:rPr>
            </w:pPr>
            <w:r>
              <w:rPr>
                <w:rFonts w:ascii="Courier New" w:cs="Courier New" w:eastAsia="Courier New" w:hAnsi="Courier New"/>
                <w:sz w:val="16"/>
                <w:szCs w:val="16"/>
                <w:color w:val="auto"/>
              </w:rPr>
              <w:t>Net income, as reported</w:t>
            </w: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$74,297</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$143,740</w:t>
            </w:r>
          </w:p>
        </w:tc>
      </w:tr>
      <w:tr>
        <w:trPr>
          <w:trHeight w:val="182"/>
        </w:trPr>
        <w:tc>
          <w:tcPr>
            <w:tcW w:w="3160" w:type="dxa"/>
            <w:vAlign w:val="bottom"/>
          </w:tcPr>
          <w:p>
            <w:pPr>
              <w:spacing w:after="0"/>
              <w:rPr>
                <w:sz w:val="20"/>
                <w:szCs w:val="20"/>
                <w:color w:val="auto"/>
              </w:rPr>
            </w:pPr>
            <w:r>
              <w:rPr>
                <w:rFonts w:ascii="Courier New" w:cs="Courier New" w:eastAsia="Courier New" w:hAnsi="Courier New"/>
                <w:sz w:val="16"/>
                <w:szCs w:val="16"/>
                <w:color w:val="auto"/>
              </w:rPr>
              <w:t>Add: Stock-based employee</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compensation expense included</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in net income, net of related</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tax effects</w:t>
            </w:r>
          </w:p>
        </w:tc>
        <w:tc>
          <w:tcPr>
            <w:tcW w:w="7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92</w:t>
            </w:r>
          </w:p>
        </w:tc>
        <w:tc>
          <w:tcPr>
            <w:tcW w:w="60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150</w:t>
            </w:r>
          </w:p>
        </w:tc>
      </w:tr>
      <w:tr>
        <w:trPr>
          <w:trHeight w:val="182"/>
        </w:trPr>
        <w:tc>
          <w:tcPr>
            <w:tcW w:w="3160" w:type="dxa"/>
            <w:vAlign w:val="bottom"/>
          </w:tcPr>
          <w:p>
            <w:pPr>
              <w:spacing w:after="0"/>
              <w:rPr>
                <w:sz w:val="20"/>
                <w:szCs w:val="20"/>
                <w:color w:val="auto"/>
              </w:rPr>
            </w:pPr>
            <w:r>
              <w:rPr>
                <w:rFonts w:ascii="Courier New" w:cs="Courier New" w:eastAsia="Courier New" w:hAnsi="Courier New"/>
                <w:sz w:val="16"/>
                <w:szCs w:val="16"/>
                <w:color w:val="auto"/>
              </w:rPr>
              <w:t>Less: Total stock-based employee</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compensation expense</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determined under fair value</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method for all awards, net of</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related tax effects</w:t>
            </w:r>
          </w:p>
        </w:tc>
        <w:tc>
          <w:tcPr>
            <w:tcW w:w="7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(9,723)</w:t>
            </w:r>
          </w:p>
        </w:tc>
        <w:tc>
          <w:tcPr>
            <w:tcW w:w="6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(17,263)</w:t>
            </w:r>
          </w:p>
        </w:tc>
      </w:tr>
      <w:tr>
        <w:trPr>
          <w:trHeight w:val="182"/>
        </w:trPr>
        <w:tc>
          <w:tcPr>
            <w:tcW w:w="3160" w:type="dxa"/>
            <w:vAlign w:val="bottom"/>
          </w:tcPr>
          <w:p>
            <w:pPr>
              <w:spacing w:after="0"/>
              <w:rPr>
                <w:sz w:val="15"/>
                <w:szCs w:val="15"/>
                <w:color w:val="auto"/>
              </w:rPr>
            </w:pP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60" w:type="dxa"/>
            <w:vAlign w:val="bottom"/>
          </w:tcPr>
          <w:p>
            <w:pPr>
              <w:spacing w:after="0"/>
              <w:rPr>
                <w:sz w:val="20"/>
                <w:szCs w:val="20"/>
                <w:color w:val="auto"/>
              </w:rPr>
            </w:pPr>
            <w:r>
              <w:rPr>
                <w:rFonts w:ascii="Courier New" w:cs="Courier New" w:eastAsia="Courier New" w:hAnsi="Courier New"/>
                <w:sz w:val="16"/>
                <w:szCs w:val="16"/>
                <w:color w:val="auto"/>
              </w:rPr>
              <w:t>Pro forma net income</w:t>
            </w: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$64,666</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$126,627</w:t>
            </w:r>
          </w:p>
        </w:tc>
      </w:tr>
      <w:tr>
        <w:trPr>
          <w:trHeight w:val="182"/>
        </w:trPr>
        <w:tc>
          <w:tcPr>
            <w:tcW w:w="3160" w:type="dxa"/>
            <w:vAlign w:val="bottom"/>
          </w:tcPr>
          <w:p>
            <w:pPr>
              <w:spacing w:after="0"/>
              <w:rPr>
                <w:sz w:val="15"/>
                <w:szCs w:val="15"/>
                <w:color w:val="auto"/>
              </w:rPr>
            </w:pP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6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As reported</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0.37</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0.71</w:t>
            </w:r>
          </w:p>
        </w:tc>
      </w:tr>
      <w:tr>
        <w:trPr>
          <w:trHeight w:val="182"/>
        </w:trPr>
        <w:tc>
          <w:tcPr>
            <w:tcW w:w="3160" w:type="dxa"/>
            <w:vAlign w:val="bottom"/>
          </w:tcPr>
          <w:p>
            <w:pPr>
              <w:spacing w:after="0"/>
              <w:rPr>
                <w:sz w:val="15"/>
                <w:szCs w:val="15"/>
                <w:color w:val="auto"/>
              </w:rPr>
            </w:pP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Pro forma</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0.32</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0.63</w:t>
            </w:r>
          </w:p>
        </w:tc>
      </w:tr>
      <w:tr>
        <w:trPr>
          <w:trHeight w:val="182"/>
        </w:trPr>
        <w:tc>
          <w:tcPr>
            <w:tcW w:w="3160" w:type="dxa"/>
            <w:vAlign w:val="bottom"/>
          </w:tcPr>
          <w:p>
            <w:pPr>
              <w:spacing w:after="0"/>
              <w:rPr>
                <w:sz w:val="15"/>
                <w:szCs w:val="15"/>
                <w:color w:val="auto"/>
              </w:rPr>
            </w:pP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6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As reported</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0.34</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0.67</w:t>
            </w:r>
          </w:p>
        </w:tc>
      </w:tr>
      <w:tr>
        <w:trPr>
          <w:trHeight w:val="182"/>
        </w:trPr>
        <w:tc>
          <w:tcPr>
            <w:tcW w:w="3160" w:type="dxa"/>
            <w:vAlign w:val="bottom"/>
          </w:tcPr>
          <w:p>
            <w:pPr>
              <w:spacing w:after="0"/>
              <w:rPr>
                <w:sz w:val="15"/>
                <w:szCs w:val="15"/>
                <w:color w:val="auto"/>
              </w:rPr>
            </w:pP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Pro forma</w:t>
            </w:r>
          </w:p>
        </w:tc>
        <w:tc>
          <w:tcPr>
            <w:tcW w:w="720" w:type="dxa"/>
            <w:vAlign w:val="bottom"/>
          </w:tcPr>
          <w:p>
            <w:pPr>
              <w:ind w:left="620"/>
              <w:spacing w:after="0"/>
              <w:rPr>
                <w:sz w:val="20"/>
                <w:szCs w:val="20"/>
                <w:color w:val="auto"/>
              </w:rPr>
            </w:pPr>
            <w:r>
              <w:rPr>
                <w:rFonts w:ascii="Courier New" w:cs="Courier New" w:eastAsia="Courier New" w:hAnsi="Courier New"/>
                <w:sz w:val="16"/>
                <w:szCs w:val="16"/>
                <w:color w:val="auto"/>
                <w:w w:val="82"/>
              </w:rPr>
              <w:t>$</w:t>
            </w: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0.30</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0.59</w:t>
            </w:r>
          </w:p>
        </w:tc>
      </w:tr>
      <w:tr>
        <w:trPr>
          <w:trHeight w:val="182"/>
        </w:trPr>
        <w:tc>
          <w:tcPr>
            <w:tcW w:w="3160" w:type="dxa"/>
            <w:vAlign w:val="bottom"/>
          </w:tcPr>
          <w:p>
            <w:pPr>
              <w:spacing w:after="0"/>
              <w:rPr>
                <w:sz w:val="15"/>
                <w:szCs w:val="15"/>
                <w:color w:val="auto"/>
              </w:rPr>
            </w:pP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463" w:right="8139" w:hanging="463"/>
        <w:spacing w:after="0" w:line="513" w:lineRule="auto"/>
        <w:tabs>
          <w:tab w:leader="none" w:pos="46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 Legal Proceedings</w:t>
      </w:r>
    </w:p>
    <w:p>
      <w:pPr>
        <w:spacing w:after="0" w:line="1"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89"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six months ended March 31, 2006 and 2005.</w:t>
      </w:r>
    </w:p>
    <w:p>
      <w:pPr>
        <w:spacing w:after="0" w:line="190"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36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2"/>
          </w:cols>
          <w:pgMar w:left="237" w:top="66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ITEM 2. OPERATING AND FINANCIAL REVIEW AND PROSPECTS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81"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under the caption "Risk Factors" in our Annual Report on Form 20-F for fiscal 2005 that we filed on December 28, 2005 with the United States Securities and Exchange Commission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86"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In this section, we discuss the general financial condition and the results of operations for Amdocs and its subsidiaries including:</w:t>
      </w:r>
    </w:p>
    <w:p>
      <w:pPr>
        <w:spacing w:after="0" w:line="184" w:lineRule="exact"/>
        <w:rPr>
          <w:sz w:val="20"/>
          <w:szCs w:val="20"/>
          <w:color w:val="auto"/>
        </w:rPr>
      </w:pPr>
    </w:p>
    <w:p>
      <w:pPr>
        <w:ind w:left="940" w:hanging="470"/>
        <w:spacing w:after="0"/>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factors that affect our business,</w:t>
      </w:r>
    </w:p>
    <w:p>
      <w:pPr>
        <w:spacing w:after="0" w:line="186" w:lineRule="exact"/>
        <w:rPr>
          <w:rFonts w:ascii="Courier New" w:cs="Courier New" w:eastAsia="Courier New" w:hAnsi="Courier New"/>
          <w:sz w:val="16"/>
          <w:szCs w:val="16"/>
          <w:color w:val="auto"/>
        </w:rPr>
      </w:pPr>
    </w:p>
    <w:p>
      <w:pPr>
        <w:ind w:left="940" w:right="3039" w:hanging="470"/>
        <w:spacing w:after="0" w:line="237" w:lineRule="auto"/>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revenue and costs for the three and six months ended March 31, 2006 and 2005,</w:t>
      </w:r>
    </w:p>
    <w:p>
      <w:pPr>
        <w:spacing w:after="0" w:line="187" w:lineRule="exact"/>
        <w:rPr>
          <w:rFonts w:ascii="Courier New" w:cs="Courier New" w:eastAsia="Courier New" w:hAnsi="Courier New"/>
          <w:sz w:val="16"/>
          <w:szCs w:val="16"/>
          <w:color w:val="auto"/>
        </w:rPr>
      </w:pPr>
    </w:p>
    <w:p>
      <w:pPr>
        <w:ind w:left="940" w:right="2839" w:hanging="470"/>
        <w:spacing w:after="0" w:line="237" w:lineRule="auto"/>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reasons why such revenue and costs were different from period to period,</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revenue,</w:t>
      </w:r>
    </w:p>
    <w:p>
      <w:pPr>
        <w:spacing w:after="0" w:line="182"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 all of this affects our overall financial condition,</w:t>
      </w:r>
    </w:p>
    <w:p>
      <w:pPr>
        <w:spacing w:after="0" w:line="186" w:lineRule="exact"/>
        <w:rPr>
          <w:rFonts w:ascii="Courier New" w:cs="Courier New" w:eastAsia="Courier New" w:hAnsi="Courier New"/>
          <w:sz w:val="16"/>
          <w:szCs w:val="16"/>
          <w:color w:val="auto"/>
        </w:rPr>
      </w:pPr>
    </w:p>
    <w:p>
      <w:pPr>
        <w:ind w:left="940" w:right="2759" w:hanging="470"/>
        <w:spacing w:after="0" w:line="237" w:lineRule="auto"/>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capital expenditures for the three and six months ended March 31, 2006 and 2005, and</w:t>
      </w:r>
    </w:p>
    <w:p>
      <w:pPr>
        <w:spacing w:after="0" w:line="187" w:lineRule="exact"/>
        <w:rPr>
          <w:rFonts w:ascii="Courier New" w:cs="Courier New" w:eastAsia="Courier New" w:hAnsi="Courier New"/>
          <w:sz w:val="16"/>
          <w:szCs w:val="16"/>
          <w:color w:val="auto"/>
        </w:rPr>
      </w:pPr>
    </w:p>
    <w:p>
      <w:pPr>
        <w:ind w:left="940" w:right="3039" w:hanging="470"/>
        <w:spacing w:after="0" w:line="237" w:lineRule="auto"/>
        <w:tabs>
          <w:tab w:leader="none" w:pos="9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cash to pay for future capital expenditures and possible acquisitions.</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In this section, we also analyze and explain the changes in the specific line items in our consolidated statements of income between the three and six months ended March 31, 2006 and 2005. You should read this section in conjunction with our consolidated financial statements.</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OVERVIEW OF BUSINESS AND TREND INFORMATION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combine software and services with business knowledge to accelerate the adoption of integrated customer management (ICM) strategy by service providers. Our market focus is primarily Tier 1 and Tier 2 companies in the communications industry, and we are a leading provider of software products and services to that industry. Our addressable market has been expanded to include broadband cable and satellite companies, which we refer to as the Broadband Industry, as a result of our 2005 acquisition of DST Innovis, Inc. and DST Interactive, Inc., which we refer to together as DST Innovis. This acquisition not only enlarges our customer base, but also allows us to offer a broader set of solutions to customers in the Broadband Industry, which is continuing to converge with the telecommunications industry. We are also leveraging our experience by working with service providers in the financial services sector, since certain of the challenges faced by companies in this sector are similar to those of communications service providers. Our products and services help our customers move toward an integrated approach to customer management, which we refer to as Integrated Customer Management, or ICM. Our portfolio of product offerings includes billing, customer relationship management, (CRM), order management, service fulfillment, mediation, and content revenue management products, which we collectively refer to as Integrated Customer Management-Enabling Systems, or ICM-Enabling Systems.</w:t>
      </w:r>
    </w:p>
    <w:p>
      <w:pPr>
        <w:spacing w:after="0" w:line="194"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have designed our ICM-Enabling Systems to meet the mission-critical needs of leading communications service providers throughout the entire customer lifecycle. We support different lines of business, including wireline, wireless, broadband cable and satellite, and a wide range of communications services, including voice, video, data, Internet Protocol, or IP, broadband, content, electronic and mobile commerce. We also support companies that offer multiple service packages, commonly referred to as bundled or convergent service packages.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Due to the complexity of our customers' projects and the expertise required for systems support, we also provide information technology, or IT, services, including extensive consulting, business strategy, system implementation, training, integration, modification, ongoing support, enhancement and maintenance services. In addition, we offer Managed Services that include services such as system modernization and consolidation, the operation of data centers, ongoing support, maintenance services, system modification, the provision of rating and billing services and communications facility management services, in all cases on either or a combination of a fixed or unit charge basis to our customers.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We conduct our business globally, and, as a result we are subject to the effect of general global economic conditions and, in particular, market conditions in the communications industry. In 2005, we expanded our operations in China as a result of the acquisition of Longshine Information Technology Company, Ltd., or Longshine, a leading vendor of customer care and billing software in China. We maintain development facilities located in Canada, China, Cyprus, India, Ireland, Israel and the United States.</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As part of our strategy, we have pursued and may continue to pursue acquisitions and other initiatives in order to offer new products or services or otherwise enhance our market position or strategic strengths. For example, on April 17, 2006, we signed an agreement to acquire Qpass Inc., a leading provider of digital commerce software and solutions. Pursuant to the agreement we will acquire all of Qpass' shares of capital stock for approximately $275 million in cash. We expect to complete this acquisition during the third quarter of fiscal 2006, subject to regulatory approvals and other conditions customary to such transactions. We expect that this acquisition will allow us to support service providers and media companies seeking to launch and monetize digital content.</w:t>
      </w:r>
    </w:p>
    <w:p>
      <w:pPr>
        <w:spacing w:after="0" w:line="35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9" w:right="1440" w:bottom="1440" w:gutter="0" w:footer="0" w:header="0"/>
        </w:sectPr>
      </w:pPr>
    </w:p>
    <w:bookmarkStart w:id="19" w:name="page20"/>
    <w:bookmarkEnd w:id="19"/>
    <w:p>
      <w:pPr>
        <w:ind w:right="2659" w:firstLine="473"/>
        <w:spacing w:after="0"/>
        <w:rPr>
          <w:sz w:val="20"/>
          <w:szCs w:val="20"/>
          <w:color w:val="auto"/>
        </w:rPr>
      </w:pPr>
      <w:r>
        <w:rPr>
          <w:rFonts w:ascii="Courier New" w:cs="Courier New" w:eastAsia="Courier New" w:hAnsi="Courier New"/>
          <w:sz w:val="16"/>
          <w:szCs w:val="16"/>
          <w:color w:val="auto"/>
        </w:rPr>
        <w:t>Industry consolidation and convergence continue, and competition among service providers is intense. Therefore, we believe the need for differentiation among service providers is growing. Service providers must have systems that enhance their interactions with their customers and support the rapid introduction of new services. This requires an integrated customer management, or ICM, strategy and systems that can support the full customer lifecycle. We provide a broad portfolio of integrated, modular products, with proven functionality and scalability, accompanied by a comprehensive range of business consulting, system implementation and integration services. We believe we are uniquely positioned to enable service providers to rapidly introduce new offerings, lower total cost of ownership and focus on their customers. We believe that the demand for ICM and our ability to address this demand will continue to drive our growth in 2006 and beyond.</w:t>
      </w:r>
    </w:p>
    <w:p>
      <w:pPr>
        <w:spacing w:after="0" w:line="190"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We believe that demand for our ICM-Enabling Systems is driven by, among other key factors:</w:t>
      </w:r>
    </w:p>
    <w:p>
      <w:pPr>
        <w:spacing w:after="0" w:line="188" w:lineRule="exact"/>
        <w:rPr>
          <w:sz w:val="20"/>
          <w:szCs w:val="20"/>
          <w:color w:val="auto"/>
        </w:rPr>
      </w:pPr>
    </w:p>
    <w:p>
      <w:pPr>
        <w:ind w:left="940" w:right="2759" w:hanging="470"/>
        <w:spacing w:after="0" w:line="237"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 providers' need to focus on their customers in order to build profitable customer relationships,</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global use of communications services,</w:t>
      </w:r>
    </w:p>
    <w:p>
      <w:pPr>
        <w:spacing w:after="0" w:line="186" w:lineRule="exact"/>
        <w:rPr>
          <w:rFonts w:ascii="Courier New" w:cs="Courier New" w:eastAsia="Courier New" w:hAnsi="Courier New"/>
          <w:sz w:val="16"/>
          <w:szCs w:val="16"/>
          <w:color w:val="auto"/>
        </w:rPr>
      </w:pPr>
    </w:p>
    <w:p>
      <w:pPr>
        <w:ind w:left="940" w:right="2939" w:hanging="470"/>
        <w:spacing w:after="0" w:line="260" w:lineRule="auto"/>
        <w:tabs>
          <w:tab w:leader="none" w:pos="9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emergence of new communications products and services, especially video, broadband, data and content services and IP convergence services, such as Internet Protocol Television, or IPTV, Voice over IP, or VoIP and services based on IP Multimedia Subsystem systems,</w:t>
      </w:r>
    </w:p>
    <w:p>
      <w:pPr>
        <w:spacing w:after="0" w:line="173" w:lineRule="exact"/>
        <w:rPr>
          <w:rFonts w:ascii="Courier New" w:cs="Courier New" w:eastAsia="Courier New" w:hAnsi="Courier New"/>
          <w:sz w:val="15"/>
          <w:szCs w:val="15"/>
          <w:color w:val="auto"/>
        </w:rPr>
      </w:pPr>
    </w:p>
    <w:p>
      <w:pPr>
        <w:ind w:left="940" w:right="2759" w:hanging="470"/>
        <w:spacing w:after="0" w:line="238"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changes, such as the introduction of 3G wireless technology, next-generation content systems, and WiFi and WiMax based access technologies,</w:t>
      </w:r>
    </w:p>
    <w:p>
      <w:pPr>
        <w:spacing w:after="0" w:line="184"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ongoing consolidation within the communications industry,</w:t>
      </w:r>
    </w:p>
    <w:p>
      <w:pPr>
        <w:spacing w:after="0" w:line="186" w:lineRule="exact"/>
        <w:rPr>
          <w:rFonts w:ascii="Courier New" w:cs="Courier New" w:eastAsia="Courier New" w:hAnsi="Courier New"/>
          <w:sz w:val="16"/>
          <w:szCs w:val="16"/>
          <w:color w:val="auto"/>
        </w:rPr>
      </w:pPr>
    </w:p>
    <w:p>
      <w:pPr>
        <w:ind w:left="940" w:right="2659" w:hanging="470"/>
        <w:spacing w:after="0" w:line="237"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convergence of communications, broadband cable and satellite industries,</w:t>
      </w:r>
    </w:p>
    <w:p>
      <w:pPr>
        <w:spacing w:after="0" w:line="187" w:lineRule="exact"/>
        <w:rPr>
          <w:rFonts w:ascii="Courier New" w:cs="Courier New" w:eastAsia="Courier New" w:hAnsi="Courier New"/>
          <w:sz w:val="16"/>
          <w:szCs w:val="16"/>
          <w:color w:val="auto"/>
        </w:rPr>
      </w:pPr>
    </w:p>
    <w:p>
      <w:pPr>
        <w:ind w:left="940" w:right="2659" w:hanging="470"/>
        <w:spacing w:after="0" w:line="267" w:lineRule="auto"/>
        <w:tabs>
          <w:tab w:leader="none" w:pos="9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needs of communications service providers to reduce costs and retain high value customers in a highly competitive environment, and</w:t>
      </w:r>
    </w:p>
    <w:p>
      <w:pPr>
        <w:spacing w:after="0" w:line="163" w:lineRule="exact"/>
        <w:rPr>
          <w:rFonts w:ascii="Courier New" w:cs="Courier New" w:eastAsia="Courier New" w:hAnsi="Courier New"/>
          <w:sz w:val="15"/>
          <w:szCs w:val="15"/>
          <w:color w:val="auto"/>
        </w:rPr>
      </w:pPr>
    </w:p>
    <w:p>
      <w:pPr>
        <w:ind w:left="940" w:hanging="470"/>
        <w:spacing w:after="0"/>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shift from in-house management to vendor solutions.</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We also believe that additional drivers of demand are the continuing trend for communications service providers to offer their customers multiple service packages, commonly referred to as bundled or convergent services (combinations of voice, broadband, electronic and mobile commerce and IP services), and the ability of our ICM-Enabling Systems to launch and support such bundles, improve customer satisfaction, loyalty, profitability and overall productivity.</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derive our revenue principally from:</w:t>
      </w:r>
    </w:p>
    <w:p>
      <w:pPr>
        <w:spacing w:after="0" w:line="186" w:lineRule="exact"/>
        <w:rPr>
          <w:sz w:val="20"/>
          <w:szCs w:val="20"/>
          <w:color w:val="auto"/>
        </w:rPr>
      </w:pPr>
    </w:p>
    <w:p>
      <w:pPr>
        <w:ind w:left="940" w:right="3219" w:hanging="470"/>
        <w:spacing w:after="0" w:line="238" w:lineRule="auto"/>
        <w:tabs>
          <w:tab w:leader="none" w:pos="9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sales of licenses to use our products and related services, including modification, implementation and integration services,</w:t>
      </w:r>
    </w:p>
    <w:p>
      <w:pPr>
        <w:spacing w:after="0" w:line="188" w:lineRule="exact"/>
        <w:rPr>
          <w:rFonts w:ascii="Courier New" w:cs="Courier New" w:eastAsia="Courier New" w:hAnsi="Courier New"/>
          <w:sz w:val="16"/>
          <w:szCs w:val="16"/>
          <w:color w:val="auto"/>
        </w:rPr>
      </w:pPr>
    </w:p>
    <w:p>
      <w:pPr>
        <w:ind w:left="940" w:right="3499" w:hanging="470"/>
        <w:spacing w:after="0" w:line="237" w:lineRule="auto"/>
        <w:tabs>
          <w:tab w:leader="none" w:pos="9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Managed Services and other related services for our solutions, and</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3" w:right="1440" w:bottom="1440" w:gutter="0" w:footer="0" w:header="0"/>
        </w:sectPr>
      </w:pPr>
    </w:p>
    <w:bookmarkStart w:id="20" w:name="page21"/>
    <w:bookmarkEnd w:id="20"/>
    <w:p>
      <w:pPr>
        <w:ind w:left="940" w:right="2659" w:hanging="470"/>
        <w:spacing w:after="0" w:line="238" w:lineRule="auto"/>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recurring revenue from ongoing support and maintenance provided to our customers, and from incremental license fees resulting from increases in a customer's business volume.</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either ratably over the service period or as services are performed.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62"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Revenue from Managed Services arrangements is included in both license and service revenue from the sale of ICM-Enabling Systems and Directory Systems. Managed Services projects are a significant part of our business, generating substantial, long-term revenue streams, cash flow and operating income. Revenue from managed services customers was approximately 35% and 40% of our total revenue in the six months ended March 31, 2006 and 2005, respectively.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ADOPTION OF NEW ACCOUNTING STANDARDS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Accounting for Stock-Based Compensation</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Effective October 1, 2005, we adopted FASB Statement No. 123 (revised 2004), "Share-Based Payment," a revision of SFAS No. 123 ("SFAS 123(R)"). SFAS 123(R) supersedes Accounting Principles Board ("APB") Opinion No. 25, "Accounting for Stock Issued to Employees" ("APB No. 25") and related interpretations, and amends FASB Statement No. 95, "Statement of Cash Flows." Generally, the approach in SFAS 123(R) is similar to the approach described in SFAS 123. However, SFAS 123(R) requires all share-based payments to employees, including grants of employee stock options, to be recognized in the income statement based on their fair values. Pro forma disclosure is no longer an alternative. In March 2005, the U.S. Securities and Exchange Commission, or the SEC, issued Staff Accounting Bulletin No. 107 ("SAB 107"), which provides supplemental implementation guidance on SFAS 123(R). We have applied the provisions of SAB 107 in our adoption of SFAS 123(R). Prior to October 1, 2005 the Company accounted for share-based payments to employees under the recognition and measurement provisions of APB No. 25. Stock-based compensation expense recognized under SFAS 123(R) for the three and six months ended March 31, 2006 was $9.9 million</w:t>
      </w:r>
    </w:p>
    <w:p>
      <w:pPr>
        <w:spacing w:after="0" w:line="35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63" w:right="1440" w:bottom="1440" w:gutter="0" w:footer="0" w:header="0"/>
        </w:sectPr>
      </w:pPr>
    </w:p>
    <w:bookmarkStart w:id="21" w:name="page22"/>
    <w:bookmarkEnd w:id="21"/>
    <w:p>
      <w:pPr>
        <w:ind w:right="2759"/>
        <w:spacing w:after="0" w:line="237" w:lineRule="auto"/>
        <w:rPr>
          <w:sz w:val="20"/>
          <w:szCs w:val="20"/>
          <w:color w:val="auto"/>
        </w:rPr>
      </w:pPr>
      <w:r>
        <w:rPr>
          <w:rFonts w:ascii="Courier New" w:cs="Courier New" w:eastAsia="Courier New" w:hAnsi="Courier New"/>
          <w:sz w:val="16"/>
          <w:szCs w:val="16"/>
          <w:color w:val="auto"/>
        </w:rPr>
        <w:t>and $21.0 million. Stock-based compensation expense recognized under APB No. 25 for the three and six months ended March 31, 2005 was not material.</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of March 31, 2006, there was $58.7 million of unrecognized compensation expense related to nonvested stock options and nonvested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adopted SFAS 123(R) using the modified prospective method. Under this transition method, compensation costs recognized in the three and six months ended March 31, 2006 include (a) compensation costs for all share based payments granted prior to, but that had not yet vested as of, October 1, 2005, based on the grant date fair value estimated in accordance with the pro forma provisions of SFAS 123, and (b) compensation costs for the share based payments granted subsequent to October 1, 2005, based on the grant date fair value estimated in accordance with SFAS 123(R). Our consolidated financial statements for prior periods have not been restated to reflect, and do not include, the impact of SFAS 123(R). We selected the Black-Scholes option pricing model as the most appropriate fair value method for our stock based awards and recognize compensation costs using the graded vesting attribution method that results in an accelerated recognition of compensation costs in comparison to the straight line method.</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 a result of adopting SFAS 123(R) on October 1, 2005, our income before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 for the three and six months ended March 31, 2006 (not including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stock expense) was $8.7 million and $19.1 million lower,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than if we had continued to account for share based compensation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APB No. 25. Net income for the three and six months ended March 31, 2006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including restricted stock expense) was $7.7 million and $16.8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lower, respectively, than if we had continued to account for share based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under APB No. 25. Basic earnings per share for the three and six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March 31, 2006 would have been $0.44 and $0.86, respectively, if we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had not adopted SFAS 123(R), compared to reported basic earnings per share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$0.40 and $0.78, respectively. Diluted earnings per share for the three and six</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March 31, 2006 would have been $0.41 and $0.81, respectively, if we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had not adopted SFAS 123(R), compared to reported diluted earnings per share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$0.38 and $0.74, respectively.</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Prior to the adoption of SFAS 123(R), we presented all tax benefits of deductions resulting from the exercise of stock options as operating cash flows in the statement of cash flows. SFAS 123(R) requires the cash flows resulting from the tax deductions in excess of the compensation costs recognized for those stock options to be classified as financing cash flows. The $1.6 million excess tax benefit classified as financing cash inflows would have been classified as an operating cash inflow if the Company had not adopted SFAS 123(R).</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conjunction with the adoption of SFAS 123(R), we began to use the implied volatility of the Company's traded options as the expected volatility assumption required in the Black-Scholes option valuation model. Prior to October 1, 2005, we had used our historical stock price volatility in accordance with SFAS 123 for purpose of presenting pro forma information. The selection of the implied volatility approach was based upon the availability of actively traded options on the Company's shares and the Company's assessment that implied volatility is more representative of future share price trends than historical volatility. As stock-based compensation expense recognized in the Consolidated Statement of Operations for the three and six months ended on March 31,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fiscal 2006, we accounted for forfeitures as they occurred.</w:t>
      </w:r>
    </w:p>
    <w:p>
      <w:pPr>
        <w:spacing w:after="0" w:line="3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63"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 following table sets forth for the three and six months ended March 31, 2006 and 2005 certain items in our consolidated statements of income reflected as a percentage of total revenue:</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80" w:type="dxa"/>
            <w:vAlign w:val="bottom"/>
          </w:tcPr>
          <w:p>
            <w:pPr>
              <w:spacing w:after="0"/>
              <w:rPr>
                <w:sz w:val="15"/>
                <w:szCs w:val="15"/>
                <w:color w:val="auto"/>
              </w:rPr>
            </w:pPr>
          </w:p>
        </w:tc>
        <w:tc>
          <w:tcPr>
            <w:tcW w:w="24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THREE MONTHS ENDED</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w:t>
            </w:r>
          </w:p>
        </w:tc>
      </w:tr>
      <w:tr>
        <w:trPr>
          <w:trHeight w:val="182"/>
        </w:trPr>
        <w:tc>
          <w:tcPr>
            <w:tcW w:w="3680" w:type="dxa"/>
            <w:vAlign w:val="bottom"/>
          </w:tcPr>
          <w:p>
            <w:pPr>
              <w:spacing w:after="0"/>
              <w:rPr>
                <w:sz w:val="15"/>
                <w:szCs w:val="15"/>
                <w:color w:val="auto"/>
              </w:rPr>
            </w:pPr>
          </w:p>
        </w:tc>
        <w:tc>
          <w:tcPr>
            <w:tcW w:w="24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MARCH 31,</w:t>
            </w:r>
          </w:p>
        </w:tc>
        <w:tc>
          <w:tcPr>
            <w:tcW w:w="16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3680" w:type="dxa"/>
            <w:vAlign w:val="bottom"/>
          </w:tcPr>
          <w:p>
            <w:pPr>
              <w:spacing w:after="0"/>
              <w:rPr>
                <w:sz w:val="15"/>
                <w:szCs w:val="15"/>
                <w:color w:val="auto"/>
              </w:rPr>
            </w:pPr>
          </w:p>
        </w:tc>
        <w:tc>
          <w:tcPr>
            <w:tcW w:w="24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2006</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2005</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2006</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2005</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364"/>
        </w:trPr>
        <w:tc>
          <w:tcPr>
            <w:tcW w:w="368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w w:val="97"/>
              </w:rPr>
              <w:t>License ...............................</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w:t>
            </w: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w w:val="97"/>
              </w:rPr>
              <w:t>Service ...............................</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95.0</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94.4</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94.8</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95.0</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100.0</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100.0</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100.0</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100.0</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w w:val="97"/>
              </w:rPr>
              <w:t>Cost of license .......................</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0.2</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0.2</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0.2</w:t>
            </w: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w w:val="97"/>
              </w:rPr>
              <w:t>Cost of service .......................</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64.6</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63.5</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64.2</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63.2</w:t>
            </w: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w w:val="97"/>
              </w:rPr>
              <w:t>Research and development ..............</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7.0</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6.8</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w:t>
            </w:r>
          </w:p>
        </w:tc>
      </w:tr>
      <w:tr>
        <w:trPr>
          <w:trHeight w:val="182"/>
        </w:trPr>
        <w:tc>
          <w:tcPr>
            <w:tcW w:w="3680" w:type="dxa"/>
            <w:vAlign w:val="bottom"/>
          </w:tcPr>
          <w:p>
            <w:pPr>
              <w:jc w:val="right"/>
              <w:ind w:right="1421"/>
              <w:spacing w:after="0"/>
              <w:rPr>
                <w:sz w:val="20"/>
                <w:szCs w:val="20"/>
                <w:color w:val="auto"/>
              </w:rPr>
            </w:pPr>
            <w:r>
              <w:rPr>
                <w:rFonts w:ascii="Courier New" w:cs="Courier New" w:eastAsia="Courier New" w:hAnsi="Courier New"/>
                <w:sz w:val="16"/>
                <w:szCs w:val="16"/>
                <w:color w:val="auto"/>
              </w:rPr>
              <w:t>Selling, general and</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administrative .....................</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11.2</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12.8</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11.4</w:t>
            </w: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Amortization of purchased intangible</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assets .............................</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0.4</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0.6</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85.2</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82.1</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85.6</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82.3</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w w:val="90"/>
              </w:rPr>
              <w:t>Operating income .........................</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14.8</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17.9</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14.4</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17.7</w:t>
            </w: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w w:val="90"/>
              </w:rPr>
              <w:t>Interest income and other, net ...........</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w w:val="90"/>
              </w:rPr>
              <w:t>Income before income taxes ...............</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16.5</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19.0</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16.0</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18.8</w:t>
            </w: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w w:val="90"/>
              </w:rPr>
              <w:t>Income taxes .............................</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3.8</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w w:val="90"/>
              </w:rPr>
              <w:t>Net income ...............................</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13.6%</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15.2%</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15.0%</w:t>
            </w:r>
          </w:p>
        </w:tc>
      </w:tr>
      <w:tr>
        <w:trPr>
          <w:trHeight w:val="182"/>
        </w:trPr>
        <w:tc>
          <w:tcPr>
            <w:tcW w:w="3680" w:type="dxa"/>
            <w:vAlign w:val="bottom"/>
          </w:tcPr>
          <w:p>
            <w:pPr>
              <w:spacing w:after="0"/>
              <w:rPr>
                <w:sz w:val="15"/>
                <w:szCs w:val="15"/>
                <w:color w:val="auto"/>
              </w:rPr>
            </w:pP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728"/>
        </w:trPr>
        <w:tc>
          <w:tcPr>
            <w:tcW w:w="3680" w:type="dxa"/>
            <w:vAlign w:val="bottom"/>
          </w:tcPr>
          <w:p>
            <w:pPr>
              <w:spacing w:after="0"/>
              <w:rPr>
                <w:sz w:val="24"/>
                <w:szCs w:val="24"/>
                <w:color w:val="auto"/>
              </w:rPr>
            </w:pPr>
          </w:p>
        </w:tc>
        <w:tc>
          <w:tcPr>
            <w:tcW w:w="1520" w:type="dxa"/>
            <w:vAlign w:val="bottom"/>
          </w:tcPr>
          <w:p>
            <w:pPr>
              <w:jc w:val="right"/>
              <w:ind w:right="1241"/>
              <w:spacing w:after="0"/>
              <w:rPr>
                <w:sz w:val="20"/>
                <w:szCs w:val="20"/>
                <w:color w:val="auto"/>
              </w:rPr>
            </w:pPr>
            <w:r>
              <w:rPr>
                <w:rFonts w:ascii="Courier New" w:cs="Courier New" w:eastAsia="Courier New" w:hAnsi="Courier New"/>
                <w:sz w:val="16"/>
                <w:szCs w:val="16"/>
                <w:color w:val="auto"/>
                <w:w w:val="93"/>
              </w:rPr>
              <w:t>22</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659" w:right="1440" w:bottom="1440" w:gutter="0" w:footer="0" w:header="0"/>
        </w:sectPr>
      </w:pPr>
    </w:p>
    <w:bookmarkStart w:id="23" w:name="page24"/>
    <w:bookmarkEnd w:id="23"/>
    <w:p>
      <w:pPr>
        <w:ind w:left="460"/>
        <w:spacing w:after="0"/>
        <w:rPr>
          <w:sz w:val="20"/>
          <w:szCs w:val="20"/>
          <w:color w:val="auto"/>
        </w:rPr>
      </w:pPr>
      <w:r>
        <w:rPr>
          <w:rFonts w:ascii="Courier New" w:cs="Courier New" w:eastAsia="Courier New" w:hAnsi="Courier New"/>
          <w:sz w:val="16"/>
          <w:szCs w:val="16"/>
          <w:color w:val="auto"/>
        </w:rPr>
        <w:t>SIX MONTHS ENDED MARCH 31, 2006 AND 2005</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following is a tabular presentation of our results of operations for the six months ended March 31, 2006 compared to the six months ended March 31, 2005. Following the table is a discussion and analysis of our business and results of operations for the mentioned periods.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SIX MONTHS ENDED</w:t>
            </w: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2"/>
          </w:tcPr>
          <w:p>
            <w:pPr>
              <w:jc w:val="right"/>
              <w:ind w:right="621"/>
              <w:spacing w:after="0"/>
              <w:rPr>
                <w:sz w:val="20"/>
                <w:szCs w:val="20"/>
                <w:color w:val="auto"/>
              </w:rPr>
            </w:pPr>
            <w:r>
              <w:rPr>
                <w:rFonts w:ascii="Courier New" w:cs="Courier New" w:eastAsia="Courier New" w:hAnsi="Courier New"/>
                <w:sz w:val="16"/>
                <w:szCs w:val="16"/>
                <w:color w:val="auto"/>
              </w:rPr>
              <w:t>MARCH 31,</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(DECREASE)</w:t>
            </w:r>
          </w:p>
        </w:tc>
      </w:tr>
      <w:tr>
        <w:trPr>
          <w:trHeight w:val="182"/>
        </w:trPr>
        <w:tc>
          <w:tcPr>
            <w:tcW w:w="326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0"/>
              </w:rPr>
              <w:t>---------------------</w:t>
            </w:r>
          </w:p>
        </w:tc>
        <w:tc>
          <w:tcPr>
            <w:tcW w:w="104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2006</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2005</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AMOUNT</w:t>
            </w:r>
          </w:p>
        </w:tc>
        <w:tc>
          <w:tcPr>
            <w:tcW w:w="7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(in thousands)</w:t>
            </w:r>
          </w:p>
        </w:tc>
        <w:tc>
          <w:tcPr>
            <w:tcW w:w="740" w:type="dxa"/>
            <w:vAlign w:val="bottom"/>
          </w:tcPr>
          <w:p>
            <w:pPr>
              <w:spacing w:after="0"/>
              <w:rPr>
                <w:sz w:val="15"/>
                <w:szCs w:val="15"/>
                <w:color w:val="auto"/>
              </w:rPr>
            </w:pPr>
          </w:p>
        </w:tc>
      </w:tr>
      <w:tr>
        <w:trPr>
          <w:trHeight w:val="364"/>
        </w:trPr>
        <w:tc>
          <w:tcPr>
            <w:tcW w:w="32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License ......................</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61,952</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$ 47,710</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$ 14,242</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29.9%</w:t>
            </w: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Service ......................</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1,126,205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910,238</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215,967</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23.7</w:t>
            </w:r>
          </w:p>
        </w:tc>
      </w:tr>
      <w:tr>
        <w:trPr>
          <w:trHeight w:val="182"/>
        </w:trPr>
        <w:tc>
          <w:tcPr>
            <w:tcW w:w="326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1,188,157</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957,948</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230,209</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24.0</w:t>
            </w:r>
          </w:p>
        </w:tc>
      </w:tr>
      <w:tr>
        <w:trPr>
          <w:trHeight w:val="182"/>
        </w:trPr>
        <w:tc>
          <w:tcPr>
            <w:tcW w:w="326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Cost of license ..............</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1,978</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2,153</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(175)</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w:t>
            </w: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Cost of service ..............</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762,384</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605,238</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157,146</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26.0</w:t>
            </w: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Research and development .....</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84,937</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66,174</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18,763</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28.4</w:t>
            </w:r>
          </w:p>
        </w:tc>
      </w:tr>
      <w:tr>
        <w:trPr>
          <w:trHeight w:val="182"/>
        </w:trPr>
        <w:tc>
          <w:tcPr>
            <w:tcW w:w="3260" w:type="dxa"/>
            <w:vAlign w:val="bottom"/>
          </w:tcPr>
          <w:p>
            <w:pPr>
              <w:ind w:left="280"/>
              <w:spacing w:after="0"/>
              <w:rPr>
                <w:sz w:val="20"/>
                <w:szCs w:val="20"/>
                <w:color w:val="auto"/>
              </w:rPr>
            </w:pPr>
            <w:r>
              <w:rPr>
                <w:rFonts w:ascii="Courier New" w:cs="Courier New" w:eastAsia="Courier New" w:hAnsi="Courier New"/>
                <w:sz w:val="16"/>
                <w:szCs w:val="16"/>
                <w:color w:val="auto"/>
              </w:rPr>
              <w:t>Selling, general and</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administrative ............</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152,349</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109,552</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42,797</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39.1</w:t>
            </w:r>
          </w:p>
        </w:tc>
      </w:tr>
      <w:tr>
        <w:trPr>
          <w:trHeight w:val="182"/>
        </w:trPr>
        <w:tc>
          <w:tcPr>
            <w:tcW w:w="326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purchased</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intangible assets .........</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15,041</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5,797</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9,244</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159.5</w:t>
            </w:r>
          </w:p>
        </w:tc>
      </w:tr>
      <w:tr>
        <w:trPr>
          <w:trHeight w:val="182"/>
        </w:trPr>
        <w:tc>
          <w:tcPr>
            <w:tcW w:w="326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1,016,689</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788,914</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227,775</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28.9</w:t>
            </w:r>
          </w:p>
        </w:tc>
      </w:tr>
      <w:tr>
        <w:trPr>
          <w:trHeight w:val="182"/>
        </w:trPr>
        <w:tc>
          <w:tcPr>
            <w:tcW w:w="326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Operating income ................</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171,468</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169,034</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2,434</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w:t>
            </w: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Interest income and other, net</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18,721</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10,639</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8,082</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76.0</w:t>
            </w:r>
          </w:p>
        </w:tc>
      </w:tr>
      <w:tr>
        <w:trPr>
          <w:trHeight w:val="182"/>
        </w:trPr>
        <w:tc>
          <w:tcPr>
            <w:tcW w:w="326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Income before income taxes ......</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190,189</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179,673</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10,516</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w:t>
            </w: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Income taxes ....................</w:t>
            </w:r>
          </w:p>
        </w:tc>
        <w:tc>
          <w:tcPr>
            <w:tcW w:w="240" w:type="dxa"/>
            <w:vAlign w:val="bottom"/>
          </w:tcPr>
          <w:p>
            <w:pPr>
              <w:spacing w:after="0"/>
              <w:rPr>
                <w:sz w:val="15"/>
                <w:szCs w:val="15"/>
                <w:color w:val="auto"/>
              </w:rPr>
            </w:pP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33,093</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35,933</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(2,840)</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(7.9)</w:t>
            </w:r>
          </w:p>
        </w:tc>
      </w:tr>
      <w:tr>
        <w:trPr>
          <w:trHeight w:val="182"/>
        </w:trPr>
        <w:tc>
          <w:tcPr>
            <w:tcW w:w="326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Net income ......................</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157,096</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$143,740</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$ 13,356</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9.3%</w:t>
            </w:r>
          </w:p>
        </w:tc>
      </w:tr>
      <w:tr>
        <w:trPr>
          <w:trHeight w:val="182"/>
        </w:trPr>
        <w:tc>
          <w:tcPr>
            <w:tcW w:w="326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r>
    </w:tbl>
    <w:p>
      <w:pPr>
        <w:spacing w:after="0" w:line="368" w:lineRule="exact"/>
        <w:rPr>
          <w:sz w:val="20"/>
          <w:szCs w:val="20"/>
          <w:color w:val="auto"/>
        </w:rPr>
      </w:pPr>
    </w:p>
    <w:p>
      <w:pPr>
        <w:ind w:right="2839" w:firstLine="473"/>
        <w:spacing w:after="0" w:line="259" w:lineRule="auto"/>
        <w:rPr>
          <w:sz w:val="20"/>
          <w:szCs w:val="20"/>
          <w:color w:val="auto"/>
        </w:rPr>
      </w:pPr>
      <w:r>
        <w:rPr>
          <w:rFonts w:ascii="Courier New" w:cs="Courier New" w:eastAsia="Courier New" w:hAnsi="Courier New"/>
          <w:sz w:val="15"/>
          <w:szCs w:val="15"/>
          <w:color w:val="auto"/>
        </w:rPr>
        <w:t>REVENUE. Total revenue increased by $230.2 million, or 24.0%, in the six months ended March 31, 2006 to $1,188.2 million from $958.0 million in the six months ended March 31, 2005. Approximately $116.5 million of the increase was attributable to revenue contributed by DST Innovis, and the remainder was primarily attributable to projects for Tier 1 and Tier 2 customers.</w:t>
      </w:r>
    </w:p>
    <w:p>
      <w:pPr>
        <w:spacing w:after="0" w:line="17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License and service revenue attributable to the sale of ICM-Enabling Systems was $1,050.7 million in the six months ended March 31, 2006, an increase of $218.4 million, or 26.2%, over the six months ended March 31, 2005. Approximately $116.5 million of the increase was attributable to revenue contributed by DST Innovis, and the remainder was primarily attributable to projects for Tier 1 and Tier 2 customers. License and service revenue resulted from the sale of ICM-Enabling Systems represented 88.4% and 86.9% of our total revenue in the six months ended March 31, 2006 and 2005, respectively. The demand for our ICM-Enabling Systems is primarily driven by the need for communications service provides to continue to integrate their billing, CRM and order management systems into an ICM approach. In the six months ended March 31, 2006, we observed strong demand for our offerings.</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License and service revenue resulted from the sale of Directory Systems was $137.5 million in the six months ended March 31, 2006, an increase of $11.8 million, or 9.4%, over the six months ended March 31, 2005. Approximately 86% of the increase in Directory Systems revenue in the six months ended March 31, 2006 was attributable to an increase in business related to Managed Services customers, and the remainder was primarily attributable to projects for Tier 1 and Tier 2 customers. License and service revenue from the</w:t>
      </w:r>
    </w:p>
    <w:p>
      <w:pPr>
        <w:spacing w:after="0" w:line="35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59" w:right="1440" w:bottom="1440" w:gutter="0" w:footer="0" w:header="0"/>
        </w:sectPr>
      </w:pPr>
    </w:p>
    <w:bookmarkStart w:id="24" w:name="page25"/>
    <w:bookmarkEnd w:id="24"/>
    <w:p>
      <w:pPr>
        <w:ind w:right="2759"/>
        <w:spacing w:after="0" w:line="239" w:lineRule="auto"/>
        <w:rPr>
          <w:sz w:val="20"/>
          <w:szCs w:val="20"/>
          <w:color w:val="auto"/>
        </w:rPr>
      </w:pPr>
      <w:r>
        <w:rPr>
          <w:rFonts w:ascii="Courier New" w:cs="Courier New" w:eastAsia="Courier New" w:hAnsi="Courier New"/>
          <w:sz w:val="16"/>
          <w:szCs w:val="16"/>
          <w:color w:val="auto"/>
        </w:rPr>
        <w:t>sale of Directory Systems represented 11.6% and 13.1% of our total revenue in the six months ended March 31, 2006 and 2005, respectively. We believe that we are a leading provider of Directory Systems in most of the markets we serve. We expect that our revenue from Directory Systems in absolute amount will increase in fiscal 2006.</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the six months ended March 31, 2006, revenue from customers in North America, Europe and the rest of the world accounted for 71.4%, 20.2% and 8.4%, respectively, of total revenue compared to 66.4%, 24.9% and 8.7%, respectively, in the six months ended March 31, 2005. Approximately 52.5% of the increase in revenue from customers in North America was attributable to revenues contributed by DST Innovis, and the remainder was primarily attributable to projects for Tier 1 and Tier 2 customers. Revenue from customers in Europe in the six months ended March 31, 2006, in absolute amounts, was relatively stable compared to the six months ended March 31, 2005, and this resulted in a decrease in revenue from customers in Europe as a percentage of total revenue. Revenue from customers in the rest of the world increased in absolute amounts in the six months ended March 31, 2006, but the increase was less than the 24.0% increase in our total revenue which resulted in a decrease in revenue from customers in the rest of the world as a percentage of total revenue.</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six months ended March 31, 2006, cost of license as a percentage of license revenue was 3.2%, compared to 4.5% in the six months ended March 31, 2005.</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COST OF SERVICE. The increase in cost of service in the six months ended March 31, 2006 was 26.0%, which is greater than the increase in our total revenue in the six months ended March 31, 2006. As a percentage of revenue, cost of service was 64.2% in the six months ended March 31, 2006, compared to 63.2% in the six months ended March 31, 2005. Cost of service in the six months ended March 31, 2006 includes the effect of $8.1 million of stock-based compensation expense . Stock-based compensation expense in the six months ended March 31, 2005 was insignificant. Our cost of service and gross margin may vary depending on the types and geographic locations of projects that we undertake.</w:t>
      </w:r>
    </w:p>
    <w:p>
      <w:pPr>
        <w:spacing w:after="0" w:line="175"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RESEARCH AND DEVELOPMENT. Research and development expense was primarily comprised of compensation expense. Research and development expense increased by $18.7 million, or 28.4%, in the six months ended March 31, 2006 to $84.9 million from $66.2 million in the six months ended March 31, 2005. Research and development expense increased as a percentage of revenue from 6.9% in the six months ended March 31, 2005 to 7.1% in the six months ended March 31, 2006. The increase in research and development expense was attributable mainly to research and development activities related to the DST Innovis acquisition, including integration efforts of DST Innovis' products into our ICM-Enabling Systems offset by cost savings. Research and development expense in the six months ended March 31, 2006 includes the effect of $1.8 million of stock-based compensation expense. Stock-based compensation expense in the six months ended March 31, 2005 was insignificant.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93"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SELLING, GENERAL AND ADMINISTRATIVE. Selling, general and administrative expense increased by $42.8 million, or 39.1%, in the six months ended March 31, 2006 to $152.3 million, from $109.5 million in the six months ended March 31, 2005. Selling, general and administrative expense is primarily comprised of compensation expense. The increase in selling, general and administrative expense in the six months ended March 31, 2006 was attributable to an overall increase in our operations, as well as to the inclusion of $11.1 million of stock-based compensation expense. Stock-based compensation expense in the six months ended March 31, 2005 was insignificant.</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63" w:right="1440" w:bottom="1440" w:gutter="0" w:footer="0" w:header="0"/>
        </w:sectPr>
      </w:pPr>
    </w:p>
    <w:bookmarkStart w:id="25" w:name="page26"/>
    <w:bookmarkEnd w:id="25"/>
    <w:p>
      <w:pPr>
        <w:ind w:right="2659" w:firstLine="473"/>
        <w:spacing w:after="0" w:line="239" w:lineRule="auto"/>
        <w:rPr>
          <w:sz w:val="20"/>
          <w:szCs w:val="20"/>
          <w:color w:val="auto"/>
        </w:rPr>
      </w:pPr>
      <w:r>
        <w:rPr>
          <w:rFonts w:ascii="Courier New" w:cs="Courier New" w:eastAsia="Courier New" w:hAnsi="Courier New"/>
          <w:sz w:val="16"/>
          <w:szCs w:val="16"/>
          <w:color w:val="auto"/>
        </w:rPr>
        <w:t>AMORTIZATION OF PURCHASED INTANGIBLE ASSETS. Amortization of purchased intangible assets in the six months ended March 31, 2006 was $15.0 million, compared to $5.8 million in the six months ended March 31, 2005. The increase in amortization of purchased intangible assets was due to purchased intangible assets acquired in the DST Innovis and Longshine acquisitions, partially offset by purchased intangible assets that were fully amortized in the first quarter of fiscal 2005.</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OPERATING INCOME. Operating income slightly increased by $2.4 million, or 1.4%, in the six months ended March 31, 2006, to $171.5 million, or 14.4% of revenue, from $169.0 million, or 17.7% of revenue, in the six months ended March 31, 2005. The decrease in operating income as a percentage of revenue was attributable to a 28.9% increase in operating expense which grew at a greater rate than the 24.0% increase in revenue during the six months ended March 31, 2006. Stock-based compensation expense included in operating expense for the six months ended March 31, 2006 was $21.0 million or 1.8% of revenue.</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INTEREST INCOME AND OTHER, NET. Interest income and other, net increased by $8.1 million in the six months ended March 31, 2006 to $18.7 million from $10.6 million in the six months ended March 31, 2005. The increase in interest income and other, net, is primarily attributable to the increase in market interest rates on our cash and short-term interest-bearing investments.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INCOME TAXES. Income taxes for the six months ended March 31, 2006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$33.1 million on pretax income of $190.2 million, resulting in an effective tax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 of 17% compared to 20% in the six months ended March 31, 2005. 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tax rate for fiscal year 2006 is expected to be approximately 17%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annualized basis compared to 20% in fiscal year 2005. Approximately 2%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reduction in our effective tax rate is attributable to our continued expansion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into countries with lower effective tax rates and approximately 1%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attributable to the net effect of acquisition-related costs and stock-based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expense. Our effective tax rate may fluctuate between quarters as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 of discrete items that may affect a specific quarter.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NET INCOME. Net income was $157.1 million in the six months ended March 31, 2006, compared to net income of $143.7 million in the six months ended March 31, 2005. The increase in net income is attributable to the increase in interest income and other, net, and the decrease of our effective tax rate during the first quarter of fiscal 2006.</w:t>
      </w:r>
    </w:p>
    <w:p>
      <w:pPr>
        <w:spacing w:after="0" w:line="189" w:lineRule="exact"/>
        <w:rPr>
          <w:sz w:val="20"/>
          <w:szCs w:val="20"/>
          <w:color w:val="auto"/>
        </w:rPr>
      </w:pPr>
    </w:p>
    <w:p>
      <w:pPr>
        <w:jc w:val="both"/>
        <w:ind w:right="2759" w:firstLine="473"/>
        <w:spacing w:after="0" w:line="238" w:lineRule="auto"/>
        <w:rPr>
          <w:sz w:val="20"/>
          <w:szCs w:val="20"/>
          <w:color w:val="auto"/>
        </w:rPr>
      </w:pPr>
      <w:r>
        <w:rPr>
          <w:rFonts w:ascii="Courier New" w:cs="Courier New" w:eastAsia="Courier New" w:hAnsi="Courier New"/>
          <w:sz w:val="16"/>
          <w:szCs w:val="16"/>
          <w:color w:val="auto"/>
        </w:rPr>
        <w:t>DILUTED EARNINGS PER SHARE. Diluted earnings per share increased by $0.07, or 10.4%, in the six months ended March 31, 2006 to $0.74 from $0.67 in the six months ended March 31, 2005.</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3" w:right="1440" w:bottom="1440" w:gutter="0" w:footer="0" w:header="0"/>
        </w:sectPr>
      </w:pPr>
    </w:p>
    <w:bookmarkStart w:id="26" w:name="page27"/>
    <w:bookmarkEnd w:id="26"/>
    <w:p>
      <w:pPr>
        <w:ind w:left="460"/>
        <w:spacing w:after="0"/>
        <w:rPr>
          <w:sz w:val="20"/>
          <w:szCs w:val="20"/>
          <w:color w:val="auto"/>
        </w:rPr>
      </w:pPr>
      <w:r>
        <w:rPr>
          <w:rFonts w:ascii="Courier New" w:cs="Courier New" w:eastAsia="Courier New" w:hAnsi="Courier New"/>
          <w:sz w:val="16"/>
          <w:szCs w:val="16"/>
          <w:color w:val="auto"/>
        </w:rPr>
        <w:t>THREE MONTHS ENDED MARCH 31, 2006 AND 2005</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following is a tabular presentation of our results of operations for the three months ended March 31, 2006 compared to the three months ended March 31, 2005. Following the table is a discussion and analysis of our business and results of operations for such periods.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2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THREE MONTHS ENDED</w:t>
            </w:r>
          </w:p>
        </w:tc>
        <w:tc>
          <w:tcPr>
            <w:tcW w:w="240" w:type="dxa"/>
            <w:vAlign w:val="bottom"/>
          </w:tcPr>
          <w:p>
            <w:pPr>
              <w:spacing w:after="0"/>
              <w:rPr>
                <w:sz w:val="15"/>
                <w:szCs w:val="15"/>
                <w:color w:val="auto"/>
              </w:rPr>
            </w:pPr>
          </w:p>
        </w:tc>
        <w:tc>
          <w:tcPr>
            <w:tcW w:w="15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3260" w:type="dxa"/>
            <w:vAlign w:val="bottom"/>
          </w:tcPr>
          <w:p>
            <w:pPr>
              <w:spacing w:after="0"/>
              <w:rPr>
                <w:sz w:val="15"/>
                <w:szCs w:val="15"/>
                <w:color w:val="auto"/>
              </w:rPr>
            </w:pPr>
          </w:p>
        </w:tc>
        <w:tc>
          <w:tcPr>
            <w:tcW w:w="20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MARCH 31,</w:t>
            </w:r>
          </w:p>
        </w:tc>
        <w:tc>
          <w:tcPr>
            <w:tcW w:w="240" w:type="dxa"/>
            <w:vAlign w:val="bottom"/>
          </w:tcPr>
          <w:p>
            <w:pPr>
              <w:spacing w:after="0"/>
              <w:rPr>
                <w:sz w:val="15"/>
                <w:szCs w:val="15"/>
                <w:color w:val="auto"/>
              </w:rPr>
            </w:pPr>
          </w:p>
        </w:tc>
        <w:tc>
          <w:tcPr>
            <w:tcW w:w="15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(DECREASE)</w:t>
            </w:r>
          </w:p>
        </w:tc>
      </w:tr>
      <w:tr>
        <w:trPr>
          <w:trHeight w:val="182"/>
        </w:trPr>
        <w:tc>
          <w:tcPr>
            <w:tcW w:w="3260" w:type="dxa"/>
            <w:vAlign w:val="bottom"/>
          </w:tcPr>
          <w:p>
            <w:pPr>
              <w:spacing w:after="0"/>
              <w:rPr>
                <w:sz w:val="15"/>
                <w:szCs w:val="15"/>
                <w:color w:val="auto"/>
              </w:rPr>
            </w:pPr>
          </w:p>
        </w:tc>
        <w:tc>
          <w:tcPr>
            <w:tcW w:w="2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spacing w:after="0"/>
              <w:rPr>
                <w:sz w:val="15"/>
                <w:szCs w:val="15"/>
                <w:color w:val="auto"/>
              </w:rPr>
            </w:pP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2006</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2005</w:t>
            </w:r>
          </w:p>
        </w:tc>
        <w:tc>
          <w:tcPr>
            <w:tcW w:w="24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AMOUNT</w:t>
            </w:r>
          </w:p>
        </w:tc>
        <w:tc>
          <w:tcPr>
            <w:tcW w:w="6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(in thousands)</w:t>
            </w:r>
          </w:p>
        </w:tc>
        <w:tc>
          <w:tcPr>
            <w:tcW w:w="680" w:type="dxa"/>
            <w:vAlign w:val="bottom"/>
          </w:tcPr>
          <w:p>
            <w:pPr>
              <w:spacing w:after="0"/>
              <w:rPr>
                <w:sz w:val="15"/>
                <w:szCs w:val="15"/>
                <w:color w:val="auto"/>
              </w:rPr>
            </w:pPr>
          </w:p>
        </w:tc>
      </w:tr>
      <w:tr>
        <w:trPr>
          <w:trHeight w:val="364"/>
        </w:trPr>
        <w:tc>
          <w:tcPr>
            <w:tcW w:w="32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License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$ 30,291</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$ 27,344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2,947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Service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570,838</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461,072</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109,766</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23.8</w:t>
            </w:r>
          </w:p>
        </w:tc>
      </w:tr>
      <w:tr>
        <w:trPr>
          <w:trHeight w:val="182"/>
        </w:trPr>
        <w:tc>
          <w:tcPr>
            <w:tcW w:w="326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5"/>
                <w:szCs w:val="15"/>
                <w:color w:val="auto"/>
              </w:rPr>
            </w:pPr>
          </w:p>
        </w:tc>
      </w:tr>
      <w:tr>
        <w:trPr>
          <w:trHeight w:val="182"/>
        </w:trPr>
        <w:tc>
          <w:tcPr>
            <w:tcW w:w="326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601,129</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488,416</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112,713</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23.1</w:t>
            </w:r>
          </w:p>
        </w:tc>
      </w:tr>
      <w:tr>
        <w:trPr>
          <w:trHeight w:val="182"/>
        </w:trPr>
        <w:tc>
          <w:tcPr>
            <w:tcW w:w="326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5"/>
                <w:szCs w:val="15"/>
                <w:color w:val="auto"/>
              </w:rPr>
            </w:pPr>
          </w:p>
        </w:tc>
      </w:tr>
      <w:tr>
        <w:trPr>
          <w:trHeight w:val="182"/>
        </w:trPr>
        <w:tc>
          <w:tcPr>
            <w:tcW w:w="326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Cost of license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916</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998</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Cost of service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388,333</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310,291</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78,042</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25.2</w:t>
            </w: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Research and development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41,823</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33,263</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8,560</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25.7</w:t>
            </w:r>
          </w:p>
        </w:tc>
      </w:tr>
      <w:tr>
        <w:trPr>
          <w:trHeight w:val="182"/>
        </w:trPr>
        <w:tc>
          <w:tcPr>
            <w:tcW w:w="3260" w:type="dxa"/>
            <w:vAlign w:val="bottom"/>
          </w:tcPr>
          <w:p>
            <w:pPr>
              <w:ind w:left="280"/>
              <w:spacing w:after="0"/>
              <w:rPr>
                <w:sz w:val="20"/>
                <w:szCs w:val="20"/>
                <w:color w:val="auto"/>
              </w:rPr>
            </w:pPr>
            <w:r>
              <w:rPr>
                <w:rFonts w:ascii="Courier New" w:cs="Courier New" w:eastAsia="Courier New" w:hAnsi="Courier New"/>
                <w:sz w:val="16"/>
                <w:szCs w:val="16"/>
                <w:color w:val="auto"/>
              </w:rPr>
              <w:t>Selling, general and</w:t>
            </w: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administrative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73,799</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54,592</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19,207</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35.2</w:t>
            </w:r>
          </w:p>
        </w:tc>
      </w:tr>
      <w:tr>
        <w:trPr>
          <w:trHeight w:val="182"/>
        </w:trPr>
        <w:tc>
          <w:tcPr>
            <w:tcW w:w="326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purchased</w:t>
            </w: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intangible assets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7,469</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2,079</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5,390</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259.3</w:t>
            </w:r>
          </w:p>
        </w:tc>
      </w:tr>
      <w:tr>
        <w:trPr>
          <w:trHeight w:val="182"/>
        </w:trPr>
        <w:tc>
          <w:tcPr>
            <w:tcW w:w="326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5"/>
                <w:szCs w:val="15"/>
                <w:color w:val="auto"/>
              </w:rPr>
            </w:pPr>
          </w:p>
        </w:tc>
      </w:tr>
      <w:tr>
        <w:trPr>
          <w:trHeight w:val="182"/>
        </w:trPr>
        <w:tc>
          <w:tcPr>
            <w:tcW w:w="326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512,340</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401,223</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111,117</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27.7</w:t>
            </w:r>
          </w:p>
        </w:tc>
      </w:tr>
      <w:tr>
        <w:trPr>
          <w:trHeight w:val="182"/>
        </w:trPr>
        <w:tc>
          <w:tcPr>
            <w:tcW w:w="326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5"/>
                <w:szCs w:val="15"/>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Operating income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88,789</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87,193</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1,596</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Interest income and other, net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10,307</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5,680</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4,627</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81.5</w:t>
            </w:r>
          </w:p>
        </w:tc>
      </w:tr>
      <w:tr>
        <w:trPr>
          <w:trHeight w:val="182"/>
        </w:trPr>
        <w:tc>
          <w:tcPr>
            <w:tcW w:w="326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5"/>
                <w:szCs w:val="15"/>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Income before income taxes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99,096</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92,873</w:t>
            </w:r>
          </w:p>
        </w:tc>
        <w:tc>
          <w:tcPr>
            <w:tcW w:w="24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6,223</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w:t>
            </w: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Income taxes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17,334</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18,576</w:t>
            </w:r>
          </w:p>
        </w:tc>
        <w:tc>
          <w:tcPr>
            <w:tcW w:w="24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(1,242)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2"/>
        </w:trPr>
        <w:tc>
          <w:tcPr>
            <w:tcW w:w="326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5"/>
                <w:szCs w:val="15"/>
                <w:color w:val="auto"/>
              </w:rPr>
            </w:pPr>
          </w:p>
        </w:tc>
      </w:tr>
      <w:tr>
        <w:trPr>
          <w:trHeight w:val="182"/>
        </w:trPr>
        <w:tc>
          <w:tcPr>
            <w:tcW w:w="32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Net income ......................</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$ 81,762</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$ 74,297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7,465</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w:t>
            </w:r>
          </w:p>
        </w:tc>
      </w:tr>
      <w:tr>
        <w:trPr>
          <w:trHeight w:val="182"/>
        </w:trPr>
        <w:tc>
          <w:tcPr>
            <w:tcW w:w="326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w:t>
            </w:r>
          </w:p>
        </w:tc>
        <w:tc>
          <w:tcPr>
            <w:tcW w:w="1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5"/>
                <w:szCs w:val="15"/>
                <w:color w:val="auto"/>
              </w:rPr>
            </w:pPr>
          </w:p>
        </w:tc>
      </w:tr>
    </w:tbl>
    <w:p>
      <w:pPr>
        <w:spacing w:after="0" w:line="368"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REVENUE. Total revenue increased by $112.7 million, or 23.1%, in the three months ended March 31, 2006 to $601.1 million from $488.4 million in the three months ended March 31, 2005. Approximately $59.3 million of the increase was attributable to revenue contributed by DST Innovis, and the remainder was primarily attributable to projects for Tier 1 and Tier 2 customers.</w:t>
      </w:r>
    </w:p>
    <w:p>
      <w:pPr>
        <w:spacing w:after="0" w:line="17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License and service revenue attributable to the sale of ICM-Enabling Systems was $531.8 million in the three months ended March 31, 2006, an increase of $107.0 million, or 25.2%, over the three months ended March 31, 2005. Approximately $59.3 million of the increase was attributable to revenue contributed by DST Innovis, and the remainder was primarily attributable to projects for Tier 1 and Tier 2 customers. License and service revenue resulted from the sale of ICM-Enabling Systems represented 88.5% and 87.0% of our total revenue in the three months ended March 31, 2006 and 2005, respectively. The demand for our ICM-Enabling Systems is primarily driven by the need for communications service provides to continue to integrate their billing, CRM and order management systems into an ICM approach. In the three months ended March 31, 2006, we observed strong demand for our offerings.</w:t>
      </w:r>
    </w:p>
    <w:p>
      <w:pPr>
        <w:spacing w:after="0" w:line="189"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License and service revenue resulted from the sale of Directory Systems was $69.3 million in the three months ended March 31, 2006, an increase of $5.6 million, or 8.9%, over the three months ended March 31, 2005. Approximately</w:t>
      </w:r>
    </w:p>
    <w:p>
      <w:pPr>
        <w:spacing w:after="0" w:line="2"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45.6% of the increase in Directory Systems revenue in the three months ended March 31, 2006 was attributable to an increase in business related to Managed Services customers, and the</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9" w:right="1440" w:bottom="1440" w:gutter="0" w:footer="0" w:header="0"/>
        </w:sectPr>
      </w:pPr>
    </w:p>
    <w:bookmarkStart w:id="27" w:name="page28"/>
    <w:bookmarkEnd w:id="27"/>
    <w:p>
      <w:pPr>
        <w:ind w:right="2659"/>
        <w:spacing w:after="0" w:line="258" w:lineRule="auto"/>
        <w:rPr>
          <w:sz w:val="20"/>
          <w:szCs w:val="20"/>
          <w:color w:val="auto"/>
        </w:rPr>
      </w:pPr>
      <w:r>
        <w:rPr>
          <w:rFonts w:ascii="Courier New" w:cs="Courier New" w:eastAsia="Courier New" w:hAnsi="Courier New"/>
          <w:sz w:val="15"/>
          <w:szCs w:val="15"/>
          <w:color w:val="auto"/>
        </w:rPr>
        <w:t>remainder was primarily attributable to projects for Tier 1 and Tier 2 customers. License and service revenue from the sale of Directory Systems represented 11.5% and 13.0% of our total revenue in the three months ended March 31, 2006 and 2005, respectively. We believe that we are a leading provider of Directory Systems in most of the markets we serve. We expect that our revenue from Directory Systems in absolute amount will increase in fiscal 2006.</w:t>
      </w:r>
    </w:p>
    <w:p>
      <w:pPr>
        <w:spacing w:after="0" w:line="17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the three months ended March 31, 2006, revenue from customers in North America, Europe and the rest of the world accounted for 69.8%, 22.0% and 8.2%, respectively, of total revenue compared to 64.9%, 26.3% and 8.8%, respectively, in the three months ended March 31, 2005. Approximately 55.9% of the increase in revenue from customers in North America was attributable to revenues contributed by DST Innovis, and the remainder was primarily attributable to projects for Tier 1 and Tier 2 customers. Revenue from customers in Europe in the three months ended March 31, 2006, in absolute amounts, was relatively stable compared to the three months ended March 31, 2005, and this resulted in a decrease in revenue from customers in Europe as a percentage of total revenue. Revenue from customers in the rest of the world increased in absolute amounts in the three months ended March 31, 2006, but the increase was less than the 23.1% increase in our total revenue which resulted in a decrease in revenue from customers in the rest of the world as a percentage of total revenue.</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March 31, 2006, cost of license as a percentage of license revenue was 3.0% compared to 3.6% in the three months ended March 31, 2005.</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COST OF SERVICE. The increase in cost of service in the three months ended March 31, 2006 was 25.2%, which is greater than the increase in our total revenue in the three months ended March 31, 2006. As a percentage of revenue, cost of service was 64.6% in the three months ended March 31, 2006, compared to 63.5% in the three months ended March 31, 2005. Cost of service in the three months ended March 31, 2006 includes the effect of $3.7 million of stock-based compensation expense. Stock-based compensation expense in the three months ended March 31, 2005 was insignificant. Our cost of service and gross margin may vary depending on the types and geographic locations of projects that we undertake.</w:t>
      </w:r>
    </w:p>
    <w:p>
      <w:pPr>
        <w:spacing w:after="0" w:line="175"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Research and development expense increased by $8.6 million, or 25.7%, in the three months ended March 31, 2006 to $41.8 million from $33.2 million in the three months ended March 31, 2005. Research and development expense increased as a percentage of revenue from 6.8% in the three months ended March 31, 2005 to 7.0% in the three months ended March 31, 2006. The increase in research and development expense was attributable mainly to research and development activities related to the DST Innovis acquisition, including integration efforts of DST Innovis' products into our ICM-Enabling Systems offset by cost savings. Research and development expense in the three months ended March 31, 2006 includes the effect of $0.7 million of stock-based compensation expense. Stock-based compensation expense in the three months ended March 31, 2005 was insignificant.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1"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SELLING, GENERAL AND ADMINISTRATIVE. Selling, general and administrative expense increased by $19.2 million, or 35.2%, in the three months ended March 31, 2006 to $73.8 million, from $54.6 million in the three months ended March 31, 2005. Selling, general and administrative expense is primarily comprised of compensation expense. The increase in selling, general and administrative expense in the three months ended March 31, 2006 was attributable to an overall increase in our operations, as well as to the inclusion of $5.5 million of stock-based compensation expense. Stock-based compensation expense in the three months ended March 31, 2005 was insignificant.</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63" w:right="1440" w:bottom="1440" w:gutter="0" w:footer="0" w:header="0"/>
        </w:sectPr>
      </w:pPr>
    </w:p>
    <w:bookmarkStart w:id="28" w:name="page29"/>
    <w:bookmarkEnd w:id="28"/>
    <w:p>
      <w:pPr>
        <w:ind w:right="2659" w:firstLine="473"/>
        <w:spacing w:after="0" w:line="239" w:lineRule="auto"/>
        <w:rPr>
          <w:sz w:val="20"/>
          <w:szCs w:val="20"/>
          <w:color w:val="auto"/>
        </w:rPr>
      </w:pPr>
      <w:r>
        <w:rPr>
          <w:rFonts w:ascii="Courier New" w:cs="Courier New" w:eastAsia="Courier New" w:hAnsi="Courier New"/>
          <w:sz w:val="16"/>
          <w:szCs w:val="16"/>
          <w:color w:val="auto"/>
        </w:rPr>
        <w:t>AMORTIZATION OF PURCHASED INTANGIBLE ASSETS. Amortization of purchased intangible assets in the three months ended March 31, 2006 was $7.5 million, compared to $2.1 million in the three months ended March 31, 2005. The increase in amortization of purchased intangible assets was due to purchased intangible assets acquired in the DST Innovis and Longshine acquisitions, partially offset by purchased intangible assets that were fully amortized in the first quarter of fiscal 2005.</w:t>
      </w:r>
    </w:p>
    <w:p>
      <w:pPr>
        <w:spacing w:after="0" w:line="192"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OPERATING INCOME. Operating income slightly increased by $1.6 million, or 1.8%, in the three months ended March 31, 2006, to $88.8 million, or 14.8% of revenue, from $87.2 million, or 17.9% of revenue, in the three months ended March 31, 2005. The decrease in operating income as a percentage of revenue was attributable to a 27.7% increase in operating expense which grew at a greater rate than the 23.1% increase in revenue during the three months ended March 31, 2006. Stock-based compensation expense included in operating expense for the three months ended March 31, 2006 was $9.9 million or 1.7% of revenue.</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INTEREST INCOME AND OTHER, NET. Interest income and other, net increased by $4.6 million in the three months ended March 31, 2006 to $10.3 million from $5.7 million in the three months ended March 31, 2005. The increase in interest income and other, net, is primarily attributable to the increase in market interest rates on our cash and short-term interest-bearing investments.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INCOME TAXES. Income taxes for the three months ended March 31, 2006 were $17.3 million on pretax income of $99.1 million, resulting in an effective tax rate of 17% compared to 20% in the three months ended March 31, 2005. Our effective tax rate for fiscal year 2006 is expected to be approximately 17% on an annualized basis compared to 20% in fiscal year 2005. Approximately 2% of the reduction in our effective tax rate is attributable to our continued expansion into countries with lower effective tax rates and approximately 1% is attributable to the net effect of acquisition-related costs and stock-based compensation expense. Our effective tax rate may fluctuate between quarters as a result of discrete items that may affect a specific quarter.</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NET INCOME. Net income was $81.8 million in the three months ended March 31, 2006, compared to net income of $74.3 million in the three months ended March 31, 2005. The increase in net income is attributable to the increase in interest income and other, net, and the decrease of our effective tax rate during the first quarter of fiscal 2006.</w:t>
      </w:r>
    </w:p>
    <w:p>
      <w:pPr>
        <w:spacing w:after="0" w:line="189"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DILUTED EARNINGS PER SHARE. Diluted earnings per share increased by $0.04, or 11.8%, in the three months ended March 31, 2006 to $0.38 from $0.34 in the three months ended March 31, 2005.</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Cash, cash equivalents and short-term interest-bearing investments totaled $1,353.0 million as of March 31, 2006, compared to $1,145.6 million as of September 30, 2005. The increase is mainly attributable to positive cash flows from operations of $181.4 million, proceeds from employee stock options exercised and issuance of restricted stock of $54.2 million, partially offset by $27.1 million of capital expenditures. Net cash provided by operating activities amounted to $181.4 million and $176.5 million for the six months ended March 31, 2006 and 2005, respectively.</w:t>
      </w:r>
    </w:p>
    <w:p>
      <w:pPr>
        <w:spacing w:after="0" w:line="187"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173"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As of March 31, 2006, $450.0 million and $0.3 million aggregate principal amount of our 0.50% Notes and 2% Notes were outstanding, respectively. As of March 31, 2006, we had available short-term general revolving lines of credit totaling $31.0 million, none of which was outstanding, and outstanding letters of credit and bank guarantees from various banks totaling $9.8 million. As of March 31, 2006, we had outstanding a short term loan of $1.7 million secured by specified pledges and guaranties.</w:t>
      </w:r>
    </w:p>
    <w:p>
      <w:pPr>
        <w:spacing w:after="0" w:line="35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63" w:right="1440" w:bottom="1440" w:gutter="0" w:footer="0" w:header="0"/>
        </w:sectPr>
      </w:pPr>
    </w:p>
    <w:bookmarkStart w:id="29" w:name="page30"/>
    <w:bookmarkEnd w:id="29"/>
    <w:p>
      <w:pPr>
        <w:ind w:right="2759" w:firstLine="473"/>
        <w:spacing w:after="0" w:line="259" w:lineRule="auto"/>
        <w:rPr>
          <w:sz w:val="20"/>
          <w:szCs w:val="20"/>
          <w:color w:val="auto"/>
        </w:rPr>
      </w:pPr>
      <w:r>
        <w:rPr>
          <w:rFonts w:ascii="Courier New" w:cs="Courier New" w:eastAsia="Courier New" w:hAnsi="Courier New"/>
          <w:sz w:val="15"/>
          <w:szCs w:val="15"/>
          <w:color w:val="auto"/>
        </w:rPr>
        <w:t>We have contractual obligations for our convertible notes, financing arrangements, capital leases and non-cancelable operating leases that were summarized in a table of contractual obligations in our Annual Report on Form 20-F for fiscal 2005. Since September 30, 2005, there have been no material changes in contractual obligations outside the ordinary course of our business.</w:t>
      </w:r>
    </w:p>
    <w:p>
      <w:pPr>
        <w:spacing w:after="0" w:line="174"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Our capital expenditures were approximately $27.1 million in the six months ended March 31, 2006. Approximately 90% of these expenditures consisted of purchases of computer equipment, and the remainder to leasehold improvements. We funded our capital expenditures principally from operating cash flows. We do not anticipate any changes to this policy in the foreseeable future.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CURRENCY FLUCTUATIONS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predominately denominated in the U.S. dollar. The operations of our foreign subsidiaries provide the same type of services with the same type of expenditure throughout the Amdocs group.</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During the three and six months ended March 31, 2006 and 2005, approximately 70% to 80% of our revenue and approximately 50% to 60% of our operating expenses were in U.S. dollars or linked to the U.S. dollar. As a result of long-term contracts in currencies other than the U.S. dollar and more customers seeking contracts that are denominated in currencies such as the Euro, the percentage of our revenue and operating expenses in U.S. dollar or linked to the U.S. dollar may decrease slightly over time.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3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63"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ITEM 1. CHANGES IN SECURITIES, USE OF PROCEEDS AND ISSUER PURCHASES OF EQUITY SECURITIES.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Not applicable</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59" w:right="1440" w:bottom="1440" w:gutter="0" w:footer="0" w:header="0"/>
        </w:sectPr>
      </w:pPr>
    </w:p>
    <w:bookmarkStart w:id="31" w:name="page32"/>
    <w:bookmarkEnd w:id="31"/>
    <w:p>
      <w:pPr>
        <w:ind w:left="3"/>
        <w:spacing w:after="0"/>
        <w:rPr>
          <w:sz w:val="20"/>
          <w:szCs w:val="20"/>
          <w:color w:val="auto"/>
        </w:rPr>
      </w:pPr>
      <w:r>
        <w:rPr>
          <w:rFonts w:ascii="Courier New" w:cs="Courier New" w:eastAsia="Courier New" w:hAnsi="Courier New"/>
          <w:sz w:val="16"/>
          <w:szCs w:val="16"/>
          <w:color w:val="auto"/>
        </w:rPr>
        <w:t>ITEM 2. REPORTS ON FORM 6-K</w:t>
      </w:r>
    </w:p>
    <w:p>
      <w:pPr>
        <w:spacing w:after="0" w:line="183" w:lineRule="exact"/>
        <w:rPr>
          <w:sz w:val="20"/>
          <w:szCs w:val="20"/>
          <w:color w:val="auto"/>
        </w:rPr>
      </w:pPr>
    </w:p>
    <w:p>
      <w:pPr>
        <w:ind w:left="463" w:hanging="463"/>
        <w:spacing w:after="0"/>
        <w:tabs>
          <w:tab w:leader="none" w:pos="46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6-K</w:t>
      </w:r>
    </w:p>
    <w:p>
      <w:pPr>
        <w:spacing w:after="0" w:line="186" w:lineRule="exact"/>
        <w:rPr>
          <w:rFonts w:ascii="Courier New" w:cs="Courier New" w:eastAsia="Courier New" w:hAnsi="Courier New"/>
          <w:sz w:val="16"/>
          <w:szCs w:val="16"/>
          <w:color w:val="auto"/>
        </w:rPr>
      </w:pPr>
    </w:p>
    <w:p>
      <w:pPr>
        <w:ind w:left="463" w:right="265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furnished or filed the following reports on Form 6-K during the three months ended March 31, 2006:</w:t>
      </w:r>
    </w:p>
    <w:p>
      <w:pPr>
        <w:spacing w:after="0" w:line="183" w:lineRule="exact"/>
        <w:rPr>
          <w:rFonts w:ascii="Courier New" w:cs="Courier New" w:eastAsia="Courier New" w:hAnsi="Courier New"/>
          <w:sz w:val="16"/>
          <w:szCs w:val="16"/>
          <w:color w:val="auto"/>
        </w:rPr>
      </w:pPr>
    </w:p>
    <w:p>
      <w:pPr>
        <w:ind w:left="943" w:hanging="470"/>
        <w:spacing w:after="0"/>
        <w:tabs>
          <w:tab w:leader="none" w:pos="94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6-K dated January 19, 2006.</w:t>
      </w:r>
    </w:p>
    <w:p>
      <w:pPr>
        <w:spacing w:after="0" w:line="182" w:lineRule="exact"/>
        <w:rPr>
          <w:rFonts w:ascii="Courier New" w:cs="Courier New" w:eastAsia="Courier New" w:hAnsi="Courier New"/>
          <w:sz w:val="16"/>
          <w:szCs w:val="16"/>
          <w:color w:val="auto"/>
        </w:rPr>
      </w:pPr>
    </w:p>
    <w:p>
      <w:pPr>
        <w:ind w:left="943" w:hanging="470"/>
        <w:spacing w:after="0"/>
        <w:tabs>
          <w:tab w:leader="none" w:pos="94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6-K dated February 15, 2006.</w:t>
      </w:r>
    </w:p>
    <w:p>
      <w:pPr>
        <w:spacing w:after="0" w:line="36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22"/>
          </w:cols>
          <w:pgMar w:left="237" w:top="659" w:right="1440" w:bottom="1440" w:gutter="0" w:footer="0" w:header="0"/>
        </w:sectPr>
      </w:pPr>
    </w:p>
    <w:bookmarkStart w:id="32" w:name="page33"/>
    <w:bookmarkEnd w:id="32"/>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jc w:val="both"/>
        <w:ind w:right="3419"/>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AMDOCS LIMITED</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 Thomas G. O'Brien</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Thomas G. O'Brien</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Treasurer and Secretary</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Authorized U.S. Representative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15, 2006</w:t>
      </w:r>
    </w:p>
    <w:sectPr>
      <w:pgSz w:w="11900" w:h="16838" w:orient="portrait"/>
      <w:cols w:equalWidth="0" w:num="1">
        <w:col w:w="10219"/>
      </w:cols>
      <w:pgMar w:left="240" w:top="6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decimal"/>
      <w:start w:val="6"/>
    </w:lvl>
  </w:abstractNum>
  <w:abstractNum w:abstractNumId="6">
    <w:nsid w:val="140E0F76"/>
    <w:multiLevelType w:val="hybridMultilevel"/>
    <w:lvl w:ilvl="0">
      <w:lvlJc w:val="left"/>
      <w:lvlText w:val="%1."/>
      <w:numFmt w:val="decimal"/>
      <w:start w:val="7"/>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9"/>
    </w:lvl>
  </w:abstractNum>
  <w:abstractNum w:abstractNumId="10">
    <w:nsid w:val="7FDCC233"/>
    <w:multiLevelType w:val="hybridMultilevel"/>
    <w:lvl w:ilvl="0">
      <w:lvlJc w:val="left"/>
      <w:lvlText w:val="%1."/>
      <w:numFmt w:val="decimal"/>
      <w:start w:val="10"/>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2019-12-12T02:28:22Z</dcterms:created>
  <dcterms:modified xsi:type="dcterms:W3CDTF">2019-12-12T02:28:22Z</dcterms:modified>
</cp:coreProperties>
</file>