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December 2011</w:t>
      </w:r>
    </w:p>
    <w:p>
      <w:pPr>
        <w:spacing w:after="0" w:line="17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 Peter Port, Island of Guernsey, GY1 3QT Channel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Amdocs, Inc.</w:t>
      </w:r>
    </w:p>
    <w:p>
      <w:pPr>
        <w:spacing w:after="0" w:line="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-13970</wp:posOffset>
            </wp:positionV>
            <wp:extent cx="557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11260"/>
          </w:cols>
          <w:pgMar w:left="240" w:top="314" w:right="39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3124835</wp:posOffset>
            </wp:positionH>
            <wp:positionV relativeFrom="page">
              <wp:posOffset>183515</wp:posOffset>
            </wp:positionV>
            <wp:extent cx="132080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20800" cy="257175"/>
                    </a:xfrm>
                    <a:prstGeom prst="rect">
                      <a:avLst/>
                    </a:prstGeom>
                    <a:noFill/>
                  </pic:spPr>
                </pic:pic>
              </a:graphicData>
            </a:graphic>
          </wp:anchor>
        </w:drawing>
        <w:t>NOTICE OF ANNUAL GENERAL MEETING OF SHAREHOLDERS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ON THURSDAY, FEBRUARY 2,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general meeting of shareholders of Amdocs Limited will be held at 10:00 a.m., local time, on Thursday, February 2, 2012, at the offices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WilmerHale, 399 Park Avenue, New York, New York, 31st floor, for the following purposes:</w:t>
      </w:r>
    </w:p>
    <w:p>
      <w:pPr>
        <w:spacing w:after="0" w:line="84" w:lineRule="exact"/>
        <w:rPr>
          <w:sz w:val="20"/>
          <w:szCs w:val="20"/>
          <w:color w:val="auto"/>
        </w:rPr>
      </w:pPr>
    </w:p>
    <w:p>
      <w:pPr>
        <w:ind w:left="460" w:right="120" w:firstLine="443"/>
        <w:spacing w:after="0" w:line="332" w:lineRule="auto"/>
        <w:tabs>
          <w:tab w:leader="none" w:pos="1071"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election of each of the following 12 individuals to serve as directors of Amdocs Limited until the next annual general meeting of shareholders or until his earlier resignation or removal or until his respective successor is elected and qualified (Proposal I);</w:t>
      </w:r>
    </w:p>
    <w:p>
      <w:pPr>
        <w:spacing w:after="0" w:line="8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Robert A. Minicucci</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Bruce K. Anderson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Nehemia Lemelbaum</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Giora Yaron</w:t>
      </w:r>
    </w:p>
    <w:p>
      <w:pPr>
        <w:spacing w:after="0" w:line="165" w:lineRule="exact"/>
        <w:rPr>
          <w:sz w:val="20"/>
          <w:szCs w:val="20"/>
          <w:color w:val="auto"/>
        </w:rPr>
      </w:pPr>
    </w:p>
    <w:p>
      <w:pPr>
        <w:ind w:left="460" w:firstLine="443"/>
        <w:spacing w:after="0" w:line="268" w:lineRule="auto"/>
        <w:tabs>
          <w:tab w:leader="none" w:pos="107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amendment of the 1998 Stock Option and Incentive Plan increasing the number of shares authorized for issuance under the plan by 7,000,000 shares and making other specified changes (Proposal II);</w:t>
      </w:r>
    </w:p>
    <w:p>
      <w:pPr>
        <w:spacing w:after="0" w:line="131" w:lineRule="exact"/>
        <w:rPr>
          <w:rFonts w:ascii="Arial" w:cs="Arial" w:eastAsia="Arial" w:hAnsi="Arial"/>
          <w:sz w:val="18"/>
          <w:szCs w:val="18"/>
          <w:color w:val="auto"/>
        </w:rPr>
      </w:pPr>
    </w:p>
    <w:p>
      <w:pPr>
        <w:ind w:left="1080" w:hanging="17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Consolidated Financial Statements for the fiscal year ended September 30, 2011 (Proposal III); and</w:t>
      </w:r>
    </w:p>
    <w:p>
      <w:pPr>
        <w:spacing w:after="0" w:line="171" w:lineRule="exact"/>
        <w:rPr>
          <w:rFonts w:ascii="Arial" w:cs="Arial" w:eastAsia="Arial" w:hAnsi="Arial"/>
          <w:sz w:val="18"/>
          <w:szCs w:val="18"/>
          <w:color w:val="auto"/>
        </w:rPr>
      </w:pPr>
    </w:p>
    <w:p>
      <w:pPr>
        <w:ind w:left="460" w:right="240" w:firstLine="443"/>
        <w:spacing w:after="0" w:line="306" w:lineRule="auto"/>
        <w:tabs>
          <w:tab w:leader="none" w:pos="1071"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ratify and approve the appointment of Ernst &amp; Young LLP as our independent registered public accounting firm for the fiscal year ending September 30, 2012,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will also act on such other business as may properly come before the annual general meeting.</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Board of Directors has fixed the close of business on December 5, 2011 as the record date for the determination of our shareholders entitled to notice of, and to vote on the matters proposed at, the annual general meeting and any adjournments thereof.</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56908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90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G. O’B</w:t>
      </w:r>
      <w:r>
        <w:rPr>
          <w:rFonts w:ascii="Arial" w:cs="Arial" w:eastAsia="Arial" w:hAnsi="Arial"/>
          <w:sz w:val="14"/>
          <w:szCs w:val="14"/>
          <w:color w:val="auto"/>
        </w:rPr>
        <w:t>RIEN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2011</w:t>
      </w:r>
    </w:p>
    <w:p>
      <w:pPr>
        <w:sectPr>
          <w:pgSz w:w="11900" w:h="16838" w:orient="portrait"/>
          <w:cols w:equalWidth="0" w:num="1">
            <w:col w:w="11320"/>
          </w:cols>
          <w:pgMar w:left="240" w:top="841"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228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1228090"/>
                    </a:xfrm>
                    <a:prstGeom prst="rect">
                      <a:avLst/>
                    </a:prstGeom>
                    <a:noFill/>
                  </pic:spPr>
                </pic:pic>
              </a:graphicData>
            </a:graphic>
          </wp:anchor>
        </w:drawing>
        <w:t>YOUR VOTE IS IMPORTANT</w:t>
      </w:r>
    </w:p>
    <w:p>
      <w:pPr>
        <w:spacing w:after="0" w:line="171" w:lineRule="exact"/>
        <w:rPr>
          <w:sz w:val="20"/>
          <w:szCs w:val="20"/>
          <w:color w:val="auto"/>
        </w:rPr>
      </w:pPr>
    </w:p>
    <w:p>
      <w:pPr>
        <w:ind w:left="260" w:right="140"/>
        <w:spacing w:after="0" w:line="293" w:lineRule="auto"/>
        <w:rPr>
          <w:sz w:val="20"/>
          <w:szCs w:val="20"/>
          <w:color w:val="auto"/>
        </w:rPr>
      </w:pPr>
      <w:r>
        <w:rPr>
          <w:rFonts w:ascii="Arial" w:cs="Arial" w:eastAsia="Arial" w:hAnsi="Arial"/>
          <w:sz w:val="16"/>
          <w:szCs w:val="16"/>
          <w:b w:val="1"/>
          <w:bCs w:val="1"/>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A proxy card for the annual general meeting for the fiscal year ended September 30, 2011 is enclosed and our Annual Report on Form 20-F is available on our website at www.amdocs.com/proxy or by request. 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If, within 30 minutes from the appointed time for the meeting, a quorum is not present, the meeting if convened by or upon a requisition shall be dissolved. If otherwise convened, it shall stand adjourned for seven days at the same time and place or to such other day and at such other time and place as the Board of Directors may determine and no notice of adjournment need be given. At that meeting, those shareholders present in person or by proxy will form a quorum whatever their number and the number of shares held by them.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14" w:right="27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THURSDAY, FEBRUARY 2, 2012</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10:00 a.m., local time, on Thursday, February 2, 2012, at the offices of WilmerHale, 399 Park Avenue, New York, New York, 31st floor, or at any adjournments thereof (the “General Meeting”).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Proxy Statement and the accompanying proxy are first being mailed or delivered to our shareholders on or about December 22, 2011.</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At the General Meeting, the holders of our ordinary shares as of the close of business on December 5, 2011 (the “Record Date”) will be asked to take the following actions:</w:t>
      </w:r>
    </w:p>
    <w:p>
      <w:pPr>
        <w:spacing w:after="0" w:line="51" w:lineRule="exact"/>
        <w:rPr>
          <w:sz w:val="20"/>
          <w:szCs w:val="20"/>
          <w:color w:val="auto"/>
        </w:rPr>
      </w:pPr>
    </w:p>
    <w:p>
      <w:pPr>
        <w:ind w:left="460" w:right="440" w:firstLine="443"/>
        <w:spacing w:after="0" w:line="268" w:lineRule="auto"/>
        <w:tabs>
          <w:tab w:leader="none" w:pos="1074"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 12 directors to serve until the next annual general meeting of shareholders or until their earlier resignation or removal or successors are elected and qualified (Proposal I);</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064"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an amendment of the 1998 Stock Option and Incentive Plan increasing the number of shares authorized for issuance under the plan by 7,000,000 shares and making other specified changes (Proposal II);</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our Consolidated Financial Statements for the fiscal year ended September 30, 2011 (Proposal III); and</w:t>
      </w:r>
    </w:p>
    <w:p>
      <w:pPr>
        <w:spacing w:after="0" w:line="90" w:lineRule="exact"/>
        <w:rPr>
          <w:rFonts w:ascii="Arial" w:cs="Arial" w:eastAsia="Arial" w:hAnsi="Arial"/>
          <w:sz w:val="18"/>
          <w:szCs w:val="18"/>
          <w:color w:val="auto"/>
        </w:rPr>
      </w:pPr>
    </w:p>
    <w:p>
      <w:pPr>
        <w:ind w:left="460" w:right="320" w:firstLine="443"/>
        <w:spacing w:after="0" w:line="306" w:lineRule="auto"/>
        <w:tabs>
          <w:tab w:leader="none" w:pos="1074" w:val="left"/>
        </w:tabs>
        <w:numPr>
          <w:ilvl w:val="0"/>
          <w:numId w:val="3"/>
        </w:numPr>
        <w:rPr>
          <w:rFonts w:ascii="Arial" w:cs="Arial" w:eastAsia="Arial" w:hAnsi="Arial"/>
          <w:sz w:val="16"/>
          <w:szCs w:val="16"/>
          <w:color w:val="auto"/>
        </w:rPr>
      </w:pPr>
      <w:r>
        <w:rPr>
          <w:rFonts w:ascii="Arial" w:cs="Arial" w:eastAsia="Arial" w:hAnsi="Arial"/>
          <w:sz w:val="16"/>
          <w:szCs w:val="16"/>
          <w:color w:val="auto"/>
        </w:rPr>
        <w:t>Ratify and approve the appointment of Ernst &amp; Young LLP as our independent registered public accounting firm for the fiscal year ending September 30, 2012,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the Record Date, Amdocs had outstanding 172,265,944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16"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Approval of Proposals I, II, III and IV requires the affirmative vote of a majority of our ordinary shares voted in person or by proxy at the General Meeting. 1</w:t>
      </w:r>
    </w:p>
    <w:p>
      <w:pPr>
        <w:sectPr>
          <w:pgSz w:w="11900" w:h="16838" w:orient="portrait"/>
          <w:cols w:equalWidth="0" w:num="1">
            <w:col w:w="11400"/>
          </w:cols>
          <w:pgMar w:left="240" w:top="274" w:right="259" w:bottom="1440" w:gutter="0" w:footer="0" w:header="0"/>
        </w:sectPr>
      </w:pPr>
    </w:p>
    <w:bookmarkStart w:id="4" w:name="page5"/>
    <w:bookmarkEnd w:id="4"/>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enclosed proxy provides that each shareholder may specify that his, her or its ordinary shares be voted “for”, “against” or “abstain” from voting with respect to each of Proposals II, III and IV. Each shareholder may specify that his, her or its ordinary shares may be voted “for” any of the director nominees named in Proposal I, or they may be “withheld” from any such nominees. If proxies in the accompanying form are properly executed and returned, the ordinary shares represented thereby will be voted in the manner specified therein. If not otherwise specified, in the reasonable discretion of the proxyholders, the ordinary shares represented by a proxy will be voted FOR each of the proposals.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February 2, 2012. We strongly encourage our shareholders to use the enclosed proxy card or to authorize the voting of their shares over the Internet or by telephone as provided in the instructions set forth in the enclosed proxy card.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shareholder giving a proxy may revoke it at any time before it is exercised at the General Meeting by:</w:t>
      </w:r>
    </w:p>
    <w:p>
      <w:pPr>
        <w:spacing w:after="0" w:line="90" w:lineRule="exact"/>
        <w:rPr>
          <w:sz w:val="20"/>
          <w:szCs w:val="20"/>
          <w:color w:val="auto"/>
        </w:rPr>
      </w:pPr>
    </w:p>
    <w:p>
      <w:pPr>
        <w:ind w:left="900" w:right="60" w:hanging="446"/>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62"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Attending the General Meeting and voting in person (although attendance at the General Meeting will not in and of itself constitute revocation of a proxy).</w:t>
      </w:r>
    </w:p>
    <w:p>
      <w:pPr>
        <w:spacing w:after="0" w:line="126" w:lineRule="exact"/>
        <w:rPr>
          <w:sz w:val="20"/>
          <w:szCs w:val="20"/>
          <w:color w:val="auto"/>
        </w:rPr>
      </w:pPr>
    </w:p>
    <w:p>
      <w:pPr>
        <w:jc w:val="center"/>
        <w:ind w:left="260" w:right="2340"/>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OF SHAREHOLDERS TO BE HELD ON FEBRUARY 2, 2012</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statement and the 2011 Annual Report to Shareholders are available for viewing, printing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downloading at www.amdocs.com/proxy.</w:t>
      </w:r>
    </w:p>
    <w:p>
      <w:pPr>
        <w:spacing w:after="0" w:line="159" w:lineRule="exact"/>
        <w:rPr>
          <w:sz w:val="20"/>
          <w:szCs w:val="20"/>
          <w:color w:val="auto"/>
        </w:rPr>
      </w:pPr>
    </w:p>
    <w:p>
      <w:pPr>
        <w:jc w:val="center"/>
        <w:ind w:left="260" w:right="1760"/>
        <w:spacing w:after="0" w:line="301" w:lineRule="auto"/>
        <w:rPr>
          <w:sz w:val="20"/>
          <w:szCs w:val="20"/>
          <w:color w:val="auto"/>
        </w:rPr>
      </w:pPr>
      <w:r>
        <w:rPr>
          <w:rFonts w:ascii="Arial" w:cs="Arial" w:eastAsia="Arial" w:hAnsi="Arial"/>
          <w:sz w:val="16"/>
          <w:szCs w:val="16"/>
          <w:b w:val="1"/>
          <w:bCs w:val="1"/>
          <w:color w:val="auto"/>
        </w:rPr>
        <w:t>You may also request a copy of the materials relating to our annual general meeting, including this proxy statement and form of proxy for our annual general meeting and our Annual Report on Form 20-F for the fiscal year ended September 30, 2011 by contacting our investor relations department by telephone at (314) 212-8328 or by e-mail at dox_info@amdocs.com.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171"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Board of Directors is comprised of 13 directors, and, currently 12 individuals are serving as directors, leaving one vacancy. As set forth below, the Board of Directors has nominated 12 individuals as nominees for election as directors at the General Meeting, all of whom are incumbent directors. Each director elected at the General Meeting will serve until the next annual general meeting of shareholders or until his earlier resignation or removal or a successor is elected and qualified.</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Ordinary shares represented by proxies returned duly executed will be voted, unless otherwise specified, in favor of the 12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Set forth below are the names and ages of the nominees for director, the principal occupations of each nominee currently and for at least the past five years, and the year in which he became a director of Amdocs.</w:t>
      </w:r>
    </w:p>
    <w:p>
      <w:pPr>
        <w:sectPr>
          <w:pgSz w:w="11900" w:h="16838" w:orient="portrait"/>
          <w:cols w:equalWidth="0" w:num="1">
            <w:col w:w="11400"/>
          </w:cols>
          <w:pgMar w:left="240" w:top="274" w:right="25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Robert A. Minicucci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Bruce K. Anderson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Age</w:t>
      </w:r>
    </w:p>
    <w:p>
      <w:pPr>
        <w:spacing w:after="0" w:line="6" w:lineRule="exact"/>
        <w:rPr>
          <w:sz w:val="20"/>
          <w:szCs w:val="20"/>
          <w:color w:val="auto"/>
        </w:rPr>
      </w:pPr>
    </w:p>
    <w:p>
      <w:pPr>
        <w:ind w:left="540" w:right="40" w:hanging="487"/>
        <w:spacing w:after="0" w:line="284"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Minicucci has been Chairman of the Board of Directors of Amdocs since October 2011 and a director since September 1997. He has been a general partner of Welsh, Carson, Anderson &amp; Stowe, or WCAS, an investment firm that specializes in the acquisition of companies in the information and business services and health care industries, since 1993. Until September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also a director of two other publicly-held companies: Alliance Data Systems, Inc. and Retalix Ltd., and several private companies. Mr. Minicucci’s career in information technology investing, including as a director of more than twenty different public and private companies, and his experience as chief financial officer to a public company and treasurer of another public company, have provided him with strong business acumen and strategic and financial expertise.</w:t>
      </w:r>
    </w:p>
    <w:p>
      <w:pPr>
        <w:spacing w:after="0" w:line="73" w:lineRule="exact"/>
        <w:rPr>
          <w:sz w:val="20"/>
          <w:szCs w:val="20"/>
          <w:color w:val="auto"/>
        </w:rPr>
      </w:pPr>
    </w:p>
    <w:p>
      <w:pPr>
        <w:ind w:left="540" w:hanging="487"/>
        <w:spacing w:after="0" w:line="309"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Mr. Anderson has been a director since September 1997 and is Chairman of the Executive Committee. Mr. Anderson was Chairman of the Board of Directors of Amdocs from September 1997 to September 2011. Since August 1978, Mr. Anderson has been a general partner of WCAS. Mr. Anderson served for nine years with Automated Data Processing, Inc. (“ADP”) until his resignation as Executive Vice President and a director of ADP, and President of ADP International, effective August 1978. Mr. Anderson serves on the board of Alliance Data Systems, Inc., a publicly-held company that provides transaction, credit and marketing services to large consumer based businesses. Mr. Anderson’s career in information technology investing and service, and his experience as a director of many public and private companies, have given him sharp business acumen, financial expertise and extensive experience providing strategic and financial advisory services to complex organizations.</w:t>
      </w:r>
    </w:p>
    <w:p>
      <w:pPr>
        <w:spacing w:after="0" w:line="9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220" w:space="720"/>
            <w:col w:w="8460"/>
          </w:cols>
          <w:pgMar w:left="240" w:top="274" w:right="259" w:bottom="1440" w:gutter="0" w:footer="0" w:header="0"/>
          <w:type w:val="continuous"/>
        </w:sectPr>
      </w:pPr>
    </w:p>
    <w:bookmarkStart w:id="6" w:name="page7"/>
    <w:bookmarkEnd w:id="6"/>
    <w:p>
      <w:pPr>
        <w:ind w:left="220"/>
        <w:spacing w:after="0"/>
        <w:rPr>
          <w:sz w:val="20"/>
          <w:szCs w:val="20"/>
          <w:color w:val="auto"/>
        </w:rPr>
      </w:pPr>
      <w:r>
        <w:rPr>
          <w:rFonts w:ascii="Arial" w:cs="Arial" w:eastAsia="Arial" w:hAnsi="Arial"/>
          <w:sz w:val="16"/>
          <w:szCs w:val="16"/>
          <w:color w:val="auto"/>
        </w:rPr>
        <w:t>Adrian Gardner</w:t>
      </w:r>
    </w:p>
    <w:p>
      <w:pPr>
        <w:spacing w:after="0" w:line="20" w:lineRule="exact"/>
        <w:rPr>
          <w:sz w:val="20"/>
          <w:szCs w:val="20"/>
          <w:color w:val="auto"/>
        </w:rPr>
      </w:pPr>
      <w:r>
        <w:rPr>
          <w:sz w:val="20"/>
          <w:szCs w:val="20"/>
          <w:color w:val="auto"/>
        </w:rPr>
        <w:br w:type="column"/>
      </w:r>
    </w:p>
    <w:p>
      <w:pPr>
        <w:ind w:hanging="359"/>
        <w:spacing w:after="0" w:line="286" w:lineRule="auto"/>
        <w:rPr>
          <w:sz w:val="20"/>
          <w:szCs w:val="20"/>
          <w:color w:val="auto"/>
        </w:rPr>
      </w:pPr>
      <w:r>
        <w:rPr>
          <w:rFonts w:ascii="Arial" w:cs="Arial" w:eastAsia="Arial" w:hAnsi="Arial"/>
          <w:sz w:val="16"/>
          <w:szCs w:val="16"/>
          <w:color w:val="auto"/>
        </w:rPr>
        <w:t>49</w:t>
      </w:r>
      <w:r>
        <w:rPr>
          <w:sz w:val="20"/>
          <w:szCs w:val="20"/>
          <w:color w:val="auto"/>
        </w:rPr>
        <w:t xml:space="preserve"> </w:t>
      </w:r>
      <w:r>
        <w:rPr>
          <w:rFonts w:ascii="Arial" w:cs="Arial" w:eastAsia="Arial" w:hAnsi="Arial"/>
          <w:sz w:val="16"/>
          <w:szCs w:val="16"/>
          <w:color w:val="auto"/>
        </w:rPr>
        <w:t>Mr. Gardner has been a director of Amdocs since April 1998 and is Chairman of the Audit Committee. Since October 2011, Mr. Gardner has been Chief Financial Officer and a director of RSM Tenon Group PLC, a London-based accounting and advisory firm listed on the London Stock Exchange. From March 2011 to October 2011, Mr. Gardner was a private investor. Mr. Gardner was Chief Financial Officer of PA Consulting Group, a London-based business consulting firm from November 2007 to March 2011. From April until November 2007, Mr. Gardner was a private investor. Mr. Gardner was Chief Financial Officer of ProStrakan Group plc, a pharmaceuticals company based in the United Kingdom and listed on the London Stock Exchange, from 2002 until April 2007 and a director from April 2002 until June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 Mr. Gardner’s extensive experience as an accountant, technology investment banker and chief financial officer enables him to make valuable contributions to our strategic and financial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-1966595</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2520" w:space="720"/>
            <w:col w:w="8160"/>
          </w:cols>
          <w:pgMar w:left="240" w:top="388" w:right="259" w:bottom="1440" w:gutter="0" w:footer="0" w:header="0"/>
        </w:sectPr>
      </w:pPr>
    </w:p>
    <w:p>
      <w:pPr>
        <w:spacing w:after="0"/>
        <w:rPr>
          <w:sz w:val="20"/>
          <w:szCs w:val="20"/>
          <w:color w:val="auto"/>
        </w:rPr>
      </w:pPr>
      <w:r>
        <w:rPr>
          <w:rFonts w:ascii="Arial" w:cs="Arial" w:eastAsia="Arial" w:hAnsi="Arial"/>
          <w:sz w:val="15"/>
          <w:szCs w:val="15"/>
          <w:color w:val="auto"/>
        </w:rPr>
        <w:t>John T. McLennan</w:t>
      </w:r>
    </w:p>
    <w:p>
      <w:pPr>
        <w:spacing w:after="0" w:line="20" w:lineRule="exact"/>
        <w:rPr>
          <w:sz w:val="20"/>
          <w:szCs w:val="20"/>
          <w:color w:val="auto"/>
        </w:rPr>
      </w:pPr>
      <w:r>
        <w:rPr>
          <w:sz w:val="20"/>
          <w:szCs w:val="20"/>
          <w:color w:val="auto"/>
        </w:rPr>
        <w:br w:type="column"/>
      </w:r>
    </w:p>
    <w:p>
      <w:pPr>
        <w:ind w:right="40" w:hanging="359"/>
        <w:spacing w:after="0" w:line="286" w:lineRule="auto"/>
        <w:rPr>
          <w:sz w:val="20"/>
          <w:szCs w:val="20"/>
          <w:color w:val="auto"/>
        </w:rPr>
      </w:pPr>
      <w:r>
        <w:rPr>
          <w:rFonts w:ascii="Arial" w:cs="Arial" w:eastAsia="Arial" w:hAnsi="Arial"/>
          <w:sz w:val="16"/>
          <w:szCs w:val="16"/>
          <w:color w:val="auto"/>
        </w:rPr>
        <w:t>66</w:t>
      </w:r>
      <w:r>
        <w:rPr>
          <w:sz w:val="20"/>
          <w:szCs w:val="20"/>
          <w:color w:val="auto"/>
        </w:rPr>
        <w:t xml:space="preserve"> </w:t>
      </w:r>
      <w:r>
        <w:rPr>
          <w:rFonts w:ascii="Arial" w:cs="Arial" w:eastAsia="Arial" w:hAnsi="Arial"/>
          <w:sz w:val="16"/>
          <w:szCs w:val="16"/>
          <w:color w:val="auto"/>
        </w:rPr>
        <w:t>Mr. McLennan has been a director of Amdocs since November 1999 and is Chairman of the Compensation Committee. From May 2000 until June 2004, he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 Mr. McLennan is also a director of Air Canada Jazz, a publicly-held regional airline company, Chairman of Emera Inc., a Canadian publicly-held energy services company, and director of Nova Scotia Power Inc., a wholly-owned subsidiary of Emera Inc. From 2005 to 2008, Mr. McLennan also served as a director of Medisys Inc., a healthcare management company.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70" w:lineRule="exact"/>
        <w:rPr>
          <w:sz w:val="20"/>
          <w:szCs w:val="20"/>
          <w:color w:val="auto"/>
        </w:rPr>
      </w:pPr>
    </w:p>
    <w:p>
      <w:pPr>
        <w:sectPr>
          <w:pgSz w:w="11900" w:h="16838" w:orient="portrait"/>
          <w:cols w:equalWidth="0" w:num="2">
            <w:col w:w="2520" w:space="720"/>
            <w:col w:w="8160"/>
          </w:cols>
          <w:pgMar w:left="240" w:top="388" w:right="259" w:bottom="1440" w:gutter="0" w:footer="0" w:header="0"/>
          <w:type w:val="continuous"/>
        </w:sectPr>
      </w:pPr>
    </w:p>
    <w:p>
      <w:pPr>
        <w:spacing w:after="0"/>
        <w:rPr>
          <w:sz w:val="20"/>
          <w:szCs w:val="20"/>
          <w:color w:val="auto"/>
        </w:rPr>
      </w:pPr>
      <w:r>
        <w:rPr>
          <w:rFonts w:ascii="Arial" w:cs="Arial" w:eastAsia="Arial" w:hAnsi="Arial"/>
          <w:sz w:val="16"/>
          <w:szCs w:val="16"/>
          <w:color w:val="auto"/>
        </w:rPr>
        <w:t>Simon Olswang</w:t>
      </w:r>
    </w:p>
    <w:p>
      <w:pPr>
        <w:spacing w:after="0" w:line="20" w:lineRule="exact"/>
        <w:rPr>
          <w:sz w:val="20"/>
          <w:szCs w:val="20"/>
          <w:color w:val="auto"/>
        </w:rPr>
      </w:pPr>
      <w:r>
        <w:rPr>
          <w:sz w:val="20"/>
          <w:szCs w:val="20"/>
          <w:color w:val="auto"/>
        </w:rPr>
        <w:br w:type="column"/>
      </w:r>
    </w:p>
    <w:p>
      <w:pPr>
        <w:ind w:hanging="359"/>
        <w:spacing w:after="0" w:line="252" w:lineRule="auto"/>
        <w:rPr>
          <w:sz w:val="20"/>
          <w:szCs w:val="20"/>
          <w:color w:val="auto"/>
        </w:rPr>
      </w:pPr>
      <w:r>
        <w:rPr>
          <w:rFonts w:ascii="Arial" w:cs="Arial" w:eastAsia="Arial" w:hAnsi="Arial"/>
          <w:sz w:val="18"/>
          <w:szCs w:val="18"/>
          <w:color w:val="auto"/>
        </w:rPr>
        <w:t>67</w:t>
      </w:r>
      <w:r>
        <w:rPr>
          <w:sz w:val="20"/>
          <w:szCs w:val="20"/>
          <w:color w:val="auto"/>
        </w:rPr>
        <w:t xml:space="preserve"> </w:t>
      </w:r>
      <w:r>
        <w:rPr>
          <w:rFonts w:ascii="Arial" w:cs="Arial" w:eastAsia="Arial" w:hAnsi="Arial"/>
          <w:sz w:val="18"/>
          <w:szCs w:val="18"/>
          <w:color w:val="auto"/>
        </w:rPr>
        <w:t>Mr. Olswang has been a director of Amdocs since November 2004 and is Chairman of the Nominating and Corporate Governance Committee. In 2002, Mr. Olswang retired as Chairman of Olswang, a media and communications law firm in the United Kingdom that he founded in 1981. He is a member of the Advisory Board of Palamon Capital Partners LLP and of the Board of Directors of Amiad Filtration Systems Limited, an Israeli company listed on the London AIM market, which is active in the clean water industry. Mr. Olswang was a member of the Board of Directors of The British Library until March 2008 and has served as a non-executive director of a number of companies and organizations, including Aegis Group plc, The Press Association and the British Film Institute. Mr. Olswang previously served as Trustee of Langdon College of Further (Special) Education in Salford, of</w:t>
      </w:r>
    </w:p>
    <w:p>
      <w:pPr>
        <w:spacing w:after="0" w:line="137" w:lineRule="exact"/>
        <w:rPr>
          <w:sz w:val="20"/>
          <w:szCs w:val="20"/>
          <w:color w:val="auto"/>
        </w:rPr>
      </w:pPr>
    </w:p>
    <w:p>
      <w:pPr>
        <w:sectPr>
          <w:pgSz w:w="11900" w:h="16838" w:orient="portrait"/>
          <w:cols w:equalWidth="0" w:num="2">
            <w:col w:w="2520" w:space="720"/>
            <w:col w:w="8160"/>
          </w:cols>
          <w:pgMar w:left="240" w:top="388"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388" w:right="259" w:bottom="1440" w:gutter="0" w:footer="0" w:header="0"/>
          <w:type w:val="continuous"/>
        </w:sectPr>
      </w:pPr>
    </w:p>
    <w:bookmarkStart w:id="7" w:name="page8"/>
    <w:bookmarkEnd w:id="7"/>
    <w:p>
      <w:pPr>
        <w:ind w:left="324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he is a co-founder. We believe Mr. Olswang’s qualifications to sit on our board of directors include his extensive experience providing strategic and legal advisory services to complex organizations, as well as startups, in the media and communications industry.</w:t>
      </w:r>
    </w:p>
    <w:p>
      <w:pPr>
        <w:sectPr>
          <w:pgSz w:w="11900" w:h="16838" w:orient="portrait"/>
          <w:cols w:equalWidth="0" w:num="1">
            <w:col w:w="11400"/>
          </w:cols>
          <w:pgMar w:left="240" w:top="280" w:right="25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Zohar Zisapel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62</w:t>
        <w:tab/>
        <w:t>Mr. Zisapel has been a director of Amdocs since July 2008 and is the Chairman of the Technology and Innovation</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Committee. Mr. Zisapel co-founded RAD Data Communications Ltd. and has been its chairman since 1982, 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privately-held voice and data communications company and part of the RAD Group, a family of independent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networking and telecommunications companies. Mr. Zisapel also serves as chairman of Ceragon Networks Ltd.,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RADVision Ltd. and RADCOM Ltd., each of which is a publicly-traded member of the RAD Group, as a director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of Silicom Ltd., a public company, as well as on the boards of directors of several privately-held companies.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Zisapel previously served as chairman of the Israel Association of Electronic Industries from 1998 until 2001.</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Zisapel’s experience as founder, chairman and director of several public and private high technology</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companies, and his leadership in several government organizations, demonstrate his leadership capability and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provide him with valuable insights into the voice and data communications industries.</w:t>
      </w:r>
    </w:p>
    <w:p>
      <w:pPr>
        <w:spacing w:after="0" w:line="111" w:lineRule="exact"/>
        <w:rPr>
          <w:sz w:val="20"/>
          <w:szCs w:val="20"/>
          <w:color w:val="auto"/>
        </w:rPr>
      </w:pPr>
    </w:p>
    <w:p>
      <w:pPr>
        <w:sectPr>
          <w:pgSz w:w="11900" w:h="16838" w:orient="portrait"/>
          <w:cols w:equalWidth="0" w:num="2">
            <w:col w:w="2160" w:space="720"/>
            <w:col w:w="852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Julian A. Brodsky</w:t>
      </w:r>
    </w:p>
    <w:p>
      <w:pPr>
        <w:spacing w:after="0" w:line="20" w:lineRule="exact"/>
        <w:rPr>
          <w:sz w:val="20"/>
          <w:szCs w:val="20"/>
          <w:color w:val="auto"/>
        </w:rPr>
      </w:pPr>
      <w:r>
        <w:rPr>
          <w:sz w:val="20"/>
          <w:szCs w:val="20"/>
          <w:color w:val="auto"/>
        </w:rPr>
        <w:br w:type="column"/>
      </w:r>
    </w:p>
    <w:p>
      <w:pPr>
        <w:ind w:hanging="359"/>
        <w:spacing w:after="0" w:line="291" w:lineRule="auto"/>
        <w:rPr>
          <w:sz w:val="20"/>
          <w:szCs w:val="20"/>
          <w:color w:val="auto"/>
        </w:rPr>
      </w:pPr>
      <w:r>
        <w:rPr>
          <w:rFonts w:ascii="Arial" w:cs="Arial" w:eastAsia="Arial" w:hAnsi="Arial"/>
          <w:sz w:val="16"/>
          <w:szCs w:val="16"/>
          <w:color w:val="auto"/>
        </w:rPr>
        <w:t>78</w:t>
      </w:r>
      <w:r>
        <w:rPr>
          <w:sz w:val="20"/>
          <w:szCs w:val="20"/>
          <w:color w:val="auto"/>
        </w:rPr>
        <w:t xml:space="preserve"> </w:t>
      </w:r>
      <w:r>
        <w:rPr>
          <w:rFonts w:ascii="Arial" w:cs="Arial" w:eastAsia="Arial" w:hAnsi="Arial"/>
          <w:sz w:val="16"/>
          <w:szCs w:val="16"/>
          <w:color w:val="auto"/>
        </w:rPr>
        <w:t>Mr. Brodsky has been a director of Amdocs since July 2003. Mr. Brodsky served as a director and as Vice Chairman of Comcast Corporation from 1989 to 2011. From 1989 to May 2004, Mr. Brodsky was Chairman of Comcast Interactive Capital, LP, a venture fund affiliated with Comcast. He is a director of RBB Fund, Inc. Mr. Brodsky brings to our board of directors deep and extensive knowledge of the cable industry gained through his longstanding executive leadership roles at Comcast, as well as financial expertise in capital markets, accounting and tax matters gained through his experience as Chief Financial Officer of Comcast and as a practicing CPA.</w:t>
      </w:r>
    </w:p>
    <w:p>
      <w:pPr>
        <w:spacing w:after="0" w:line="66"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Eli Gelman</w:t>
      </w:r>
    </w:p>
    <w:p>
      <w:pPr>
        <w:spacing w:after="0" w:line="20" w:lineRule="exact"/>
        <w:rPr>
          <w:sz w:val="20"/>
          <w:szCs w:val="20"/>
          <w:color w:val="auto"/>
        </w:rPr>
      </w:pPr>
      <w:r>
        <w:rPr>
          <w:sz w:val="20"/>
          <w:szCs w:val="20"/>
          <w:color w:val="auto"/>
        </w:rPr>
        <w:br w:type="column"/>
      </w:r>
    </w:p>
    <w:p>
      <w:pPr>
        <w:ind w:right="40" w:hanging="359"/>
        <w:spacing w:after="0" w:line="285" w:lineRule="auto"/>
        <w:rPr>
          <w:sz w:val="20"/>
          <w:szCs w:val="20"/>
          <w:color w:val="auto"/>
        </w:rPr>
      </w:pPr>
      <w:r>
        <w:rPr>
          <w:rFonts w:ascii="Arial" w:cs="Arial" w:eastAsia="Arial" w:hAnsi="Arial"/>
          <w:sz w:val="16"/>
          <w:szCs w:val="16"/>
          <w:color w:val="auto"/>
        </w:rPr>
        <w:t>53</w:t>
      </w:r>
      <w:r>
        <w:rPr>
          <w:sz w:val="20"/>
          <w:szCs w:val="20"/>
          <w:color w:val="auto"/>
        </w:rPr>
        <w:t xml:space="preserve"> </w:t>
      </w:r>
      <w:r>
        <w:rPr>
          <w:rFonts w:ascii="Arial" w:cs="Arial" w:eastAsia="Arial" w:hAnsi="Arial"/>
          <w:sz w:val="16"/>
          <w:szCs w:val="16"/>
          <w:color w:val="auto"/>
        </w:rPr>
        <w:t>Mr. Gelman has been a director of Amdocs since 2002. On November 15, 2010, Mr. Gelman became the President and Chief Executive Officer of Amdocs Management Limited, our wholly-owned subsidiary. Since January 2010, Mr. Gelman has served as a director of Retalix, a publicly-held global software company, and from January 2010 to December 2010, he also served as the Chairman of Retalix. From April 2008 to December 2010, Mr. Gelman devoted his time to charitable matters focused on youth education. He served as Executive Vice President of Amdocs Management Limited from October 2002 until April 2008 and as our Chief Operating Officer from October 2006 until April 2008. Prior to October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Mr. Gelman’s qualifications to serve on our board of directors include his more than two decades of service to Amdocs and its customers, including as our Chief Operating Officer. With more than 29 years of experience in the software industry, he possesses a vast institutional knowledge and strategic understanding of our organization and industry.</w:t>
      </w:r>
    </w:p>
    <w:p>
      <w:pPr>
        <w:spacing w:after="0" w:line="115"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280" w:right="2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5"/>
          <w:szCs w:val="15"/>
          <w:color w:val="auto"/>
        </w:rPr>
        <w:t>James S. Kahan</w:t>
      </w:r>
    </w:p>
    <w:p>
      <w:pPr>
        <w:spacing w:after="0" w:line="20" w:lineRule="exact"/>
        <w:rPr>
          <w:sz w:val="20"/>
          <w:szCs w:val="20"/>
          <w:color w:val="auto"/>
        </w:rPr>
      </w:pPr>
      <w:r>
        <w:rPr>
          <w:sz w:val="20"/>
          <w:szCs w:val="20"/>
          <w:color w:val="auto"/>
        </w:rPr>
        <w:br w:type="column"/>
      </w:r>
    </w:p>
    <w:p>
      <w:pPr>
        <w:ind w:hanging="359"/>
        <w:spacing w:after="0" w:line="287" w:lineRule="auto"/>
        <w:rPr>
          <w:sz w:val="20"/>
          <w:szCs w:val="20"/>
          <w:color w:val="auto"/>
        </w:rPr>
      </w:pPr>
      <w:r>
        <w:rPr>
          <w:rFonts w:ascii="Arial" w:cs="Arial" w:eastAsia="Arial" w:hAnsi="Arial"/>
          <w:sz w:val="16"/>
          <w:szCs w:val="16"/>
          <w:color w:val="auto"/>
        </w:rPr>
        <w:t>64</w:t>
      </w:r>
      <w:r>
        <w:rPr>
          <w:sz w:val="20"/>
          <w:szCs w:val="20"/>
          <w:color w:val="auto"/>
        </w:rPr>
        <w:t xml:space="preserve"> </w:t>
      </w:r>
      <w:r>
        <w:rPr>
          <w:rFonts w:ascii="Arial" w:cs="Arial" w:eastAsia="Arial" w:hAnsi="Arial"/>
          <w:sz w:val="16"/>
          <w:szCs w:val="16"/>
          <w:color w:val="auto"/>
        </w:rPr>
        <w:t>Mr. Kahan has been a director of Amdocs since April 1998 and is a member of the Executive Committee. From 1983 until his June 2007 retirement, he worked at SBC, which is now AT&amp;T, and served as a Senior Executive Vice President from 1992 until June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the world’s largest live music and ticketing entity, and Frontier Communication Corporation, the largest U.S. provider of rural communication services. Mr. Kahan’s long service at SBC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-1485265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2520" w:space="720"/>
            <w:col w:w="8160"/>
          </w:cols>
          <w:pgMar w:left="240" w:top="280" w:right="259" w:bottom="1440" w:gutter="0" w:footer="0" w:header="0"/>
        </w:sectPr>
      </w:pPr>
    </w:p>
    <w:p>
      <w:pPr>
        <w:spacing w:after="0"/>
        <w:rPr>
          <w:sz w:val="20"/>
          <w:szCs w:val="20"/>
          <w:color w:val="auto"/>
        </w:rPr>
      </w:pPr>
      <w:r>
        <w:rPr>
          <w:rFonts w:ascii="Arial" w:cs="Arial" w:eastAsia="Arial" w:hAnsi="Arial"/>
          <w:sz w:val="16"/>
          <w:szCs w:val="16"/>
          <w:color w:val="auto"/>
        </w:rPr>
        <w:t>Richard T.C. LeFave</w:t>
      </w:r>
    </w:p>
    <w:p>
      <w:pPr>
        <w:spacing w:after="0" w:line="20" w:lineRule="exact"/>
        <w:rPr>
          <w:sz w:val="20"/>
          <w:szCs w:val="20"/>
          <w:color w:val="auto"/>
        </w:rPr>
      </w:pPr>
      <w:r>
        <w:rPr>
          <w:sz w:val="20"/>
          <w:szCs w:val="20"/>
          <w:color w:val="auto"/>
        </w:rPr>
        <w:br w:type="column"/>
      </w:r>
    </w:p>
    <w:p>
      <w:pPr>
        <w:ind w:right="40" w:hanging="359"/>
        <w:spacing w:after="0" w:line="253" w:lineRule="auto"/>
        <w:rPr>
          <w:sz w:val="20"/>
          <w:szCs w:val="20"/>
          <w:color w:val="auto"/>
        </w:rPr>
      </w:pPr>
      <w:r>
        <w:rPr>
          <w:rFonts w:ascii="Arial" w:cs="Arial" w:eastAsia="Arial" w:hAnsi="Arial"/>
          <w:sz w:val="18"/>
          <w:szCs w:val="18"/>
          <w:color w:val="auto"/>
        </w:rPr>
        <w:t>60</w:t>
      </w:r>
      <w:r>
        <w:rPr>
          <w:sz w:val="20"/>
          <w:szCs w:val="20"/>
          <w:color w:val="auto"/>
        </w:rPr>
        <w:t xml:space="preserve"> </w:t>
      </w:r>
      <w:r>
        <w:rPr>
          <w:rFonts w:ascii="Arial" w:cs="Arial" w:eastAsia="Arial" w:hAnsi="Arial"/>
          <w:sz w:val="18"/>
          <w:szCs w:val="18"/>
          <w:color w:val="auto"/>
        </w:rPr>
        <w:t>Mr. LeFave has been a director of Amdocs since November 2011. Since May 2008, Mr. LeFave has been a Principal at D&amp;L Partners, LLC, an information technology consulting firm. Mr. LeFave served as Chief Information Officer for Nextel Communications, a telecommunications company, from 1999 until its merger with Sprint Corporation in September 2005, after which he served as Chief Information Officer for Sprint Nextel Corporation until May 2008. From 1995 to 1999, Mr. LeFave served as Chief Information Officer for Southern New England Telephone Company, a provider of communications products and services. We believe Mr. LeFave’s qualifications to sit on our board include his extensive experience and leadership in the information technology and telecommunications industry.</w:t>
      </w:r>
    </w:p>
    <w:p>
      <w:pPr>
        <w:spacing w:after="0" w:line="91"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Nehemia Lemelbaum</w:t>
      </w:r>
    </w:p>
    <w:p>
      <w:pPr>
        <w:spacing w:after="0" w:line="20" w:lineRule="exact"/>
        <w:rPr>
          <w:sz w:val="20"/>
          <w:szCs w:val="20"/>
          <w:color w:val="auto"/>
        </w:rPr>
      </w:pPr>
      <w:r>
        <w:rPr>
          <w:sz w:val="20"/>
          <w:szCs w:val="20"/>
          <w:color w:val="auto"/>
        </w:rPr>
        <w:br w:type="column"/>
      </w:r>
    </w:p>
    <w:p>
      <w:pPr>
        <w:ind w:right="20" w:hanging="359"/>
        <w:spacing w:after="0" w:line="285" w:lineRule="auto"/>
        <w:rPr>
          <w:sz w:val="20"/>
          <w:szCs w:val="20"/>
          <w:color w:val="auto"/>
        </w:rPr>
      </w:pPr>
      <w:r>
        <w:rPr>
          <w:rFonts w:ascii="Arial" w:cs="Arial" w:eastAsia="Arial" w:hAnsi="Arial"/>
          <w:sz w:val="16"/>
          <w:szCs w:val="16"/>
          <w:color w:val="auto"/>
        </w:rPr>
        <w:t>69</w:t>
      </w:r>
      <w:r>
        <w:rPr>
          <w:sz w:val="20"/>
          <w:szCs w:val="20"/>
          <w:color w:val="auto"/>
        </w:rPr>
        <w:t xml:space="preserve"> </w:t>
      </w:r>
      <w:r>
        <w:rPr>
          <w:rFonts w:ascii="Arial" w:cs="Arial" w:eastAsia="Arial" w:hAnsi="Arial"/>
          <w:sz w:val="16"/>
          <w:szCs w:val="16"/>
          <w:color w:val="auto"/>
        </w:rPr>
        <w:t>Mr. Lemelbaum has been a director of Amdocs since December 2001 and was a Senior Vice President of Amdocs Management Limited from 1985 until January 2005. Since 2005, Mr. Lemelbaum has been a private investor and since November 2009, he has been a director of Retalix, a publicly-held global software company. Since December 2006, Mr. Lemelbaum has also been a director and the Chief Executive Officer of EHYN, a privately-held investment company. He joined Amdocs in 1985, with initial responsibility for U.S. operations. Mr. Lemelbaum led our development of graphic products for the Yellow Pages industry and later led our development of customer care and billing systems, as well as our penetration into that market. Prior to joining Amdocs, he served for nine years with Contahal Ltd., a leading Israeli software company, first as a senior consultant, and later as Chief Executive Officer. From 1967 to 1976, Mr. Lemelbaum was employed by the Ministry of Communications of Israel (the organization that predated Bezeq, the Israel Telecommunication Corp. Ltd.), with responsibility for computer technology in the area of business data processing. With more than two decades in our leadership ranks, including representing us with analysts and investors for five years during and after our initial public offering, Mr. Lemelbaum has extensive communication software industry experience, and deep institutional knowledge and understanding of our business and strategy.</w:t>
      </w:r>
    </w:p>
    <w:p>
      <w:pPr>
        <w:spacing w:after="0" w:line="74"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Giora Yaron</w:t>
      </w:r>
    </w:p>
    <w:p>
      <w:pPr>
        <w:spacing w:after="0" w:line="20" w:lineRule="exact"/>
        <w:rPr>
          <w:sz w:val="20"/>
          <w:szCs w:val="20"/>
          <w:color w:val="auto"/>
        </w:rPr>
      </w:pPr>
      <w:r>
        <w:rPr>
          <w:sz w:val="20"/>
          <w:szCs w:val="20"/>
          <w:color w:val="auto"/>
        </w:rPr>
        <w:br w:type="column"/>
      </w:r>
    </w:p>
    <w:p>
      <w:pPr>
        <w:ind w:right="240" w:hanging="359"/>
        <w:spacing w:after="0" w:line="256" w:lineRule="auto"/>
        <w:rPr>
          <w:sz w:val="20"/>
          <w:szCs w:val="20"/>
          <w:color w:val="auto"/>
        </w:rPr>
      </w:pPr>
      <w:r>
        <w:rPr>
          <w:rFonts w:ascii="Arial" w:cs="Arial" w:eastAsia="Arial" w:hAnsi="Arial"/>
          <w:sz w:val="18"/>
          <w:szCs w:val="18"/>
          <w:color w:val="auto"/>
        </w:rPr>
        <w:t>62</w:t>
      </w:r>
      <w:r>
        <w:rPr>
          <w:sz w:val="20"/>
          <w:szCs w:val="20"/>
          <w:color w:val="auto"/>
        </w:rPr>
        <w:t xml:space="preserve"> </w:t>
      </w:r>
      <w:r>
        <w:rPr>
          <w:rFonts w:ascii="Arial" w:cs="Arial" w:eastAsia="Arial" w:hAnsi="Arial"/>
          <w:sz w:val="18"/>
          <w:szCs w:val="18"/>
          <w:color w:val="auto"/>
        </w:rPr>
        <w:t>Dr. Yaron has been a director of Amdocs since July 2009. Dr. Yaron co-founded Itamar Medical Ltd., a publicly-traded medical technology company, and has been its co-chairman since 1997. Dr. Yaron provides consulting services to Itamar Medical and to various other technology companies. He co-founded P-cube, Pentacom, Qumranet, Exanet and Comsys,</w:t>
      </w:r>
    </w:p>
    <w:p>
      <w:pPr>
        <w:spacing w:after="0" w:line="130"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280" w:right="259" w:bottom="1440" w:gutter="0" w:footer="0" w:header="0"/>
          <w:type w:val="continuous"/>
        </w:sectPr>
      </w:pPr>
    </w:p>
    <w:bookmarkStart w:id="9" w:name="page10"/>
    <w:bookmarkEnd w:id="9"/>
    <w:p>
      <w:pPr>
        <w:ind w:left="178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privately-held companies sold to multinational corporations. In 2009, Dr. Yaron also co-founded Qwilt, Inc., a privately-held video technology company and serves as one of its directors. Since 2010, Dr. Yaron has been the chairman of The Executive Council of Tel Aviv University, an institution of higher education. Dr. Yaron also has served on the advisory board of Rafael Advanced Defense Systems, Ltd., a developer of high-tech defense systems, since 2008 and on the advisory board of the Israeli Ministry of Defense since 2011. Dr. Yaron has served as the chairman of Mercury Interactive from 1996 to 2006, a publicly-traded IT optimization software company acquired by Hewlett-Packard. We believe that Dr. Yaron’s qualifications to sit on our board of directors include his experience as an entrepreneur and the various leadership positions he has held on the boards of directors of software and technology companies.</w:t>
      </w:r>
    </w:p>
    <w:p>
      <w:pPr>
        <w:spacing w:after="0" w:line="1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00"/>
          </w:cols>
          <w:pgMar w:left="14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Committees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formed five committees as described below. Members of each committee are appointed by the Board of Directors.</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Audit Committee reviews, acts on and reports to the Board of Directors with respect to various auditing and accounting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The current members of our Audit Committee are Messrs. Gardner (Chair), McLennan and Olswang, all of whom are independent directors, as required by the rules of the NYSE, and pursuant to the categorical director independence standards adopted by our Board of Directors. The Board of Directors has determined that Mr. Gardner is an “audit committee financial expert” as defined by rules promulgated by the U.S. Securities and Exchange Commission, or the SEC, and that each member of the Audit Committee is financially literate as required by the rules of the NYSE. The Audit Committee written charter is attached to this Proxy Statement as Appendix A, and it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w:t>
      </w:r>
    </w:p>
    <w:p>
      <w:pPr>
        <w:spacing w:after="0" w:line="12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Nominating and Corporate Governance Committee identifies individuals qualified to become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Olswang (Chair), Brodsky, Gardner, Kahan and Minicucci. All of the members of the Nominating and Corporate Governance Committee are independent directors, as required by rules of the NYSE and pursuant to the categorical director independence standards adopted by our Board of Directors. The Nominating and Corporate Governance Committee written charter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xml:space="preserve">. The Nominating and Corporate Governance Committee has approved corporate governance guidelines that are also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You may request a copy of the corporate governance guidelines, at no cost, by writing to us at the address listed below under the heading “Annual Report on Form 20-F.”</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Compensation Committee discharges the responsibilities of our Board of Directors relating to the compensation of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Executive Officer of Amdocs Management Limited and makes recommendations to our Board of Directors with respect to the compensation of our other executive officers. The current members of our Compensation Committee are Messrs. McLennan (Chair), Anderson and Brodsky, all of whom are independent directors, as required by the rules of the NYSE, and pursuant to the categorical director independence standards adopted by our Board of Directors. The Compensation Committee written charter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w:t>
      </w:r>
    </w:p>
    <w:p>
      <w:pPr>
        <w:spacing w:after="0" w:line="1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i w:val="1"/>
          <w:iCs w:val="1"/>
          <w:color w:val="auto"/>
        </w:rPr>
        <w:t xml:space="preserve">Executive Committee. </w:t>
      </w:r>
      <w:r>
        <w:rPr>
          <w:rFonts w:ascii="Arial" w:cs="Arial" w:eastAsia="Arial" w:hAnsi="Arial"/>
          <w:sz w:val="16"/>
          <w:szCs w:val="16"/>
          <w:color w:val="auto"/>
        </w:rPr>
        <w:t>The Executive Committee has such responsibilities as may be delegated to it from time to time by the Board of Directors. The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members of our Executive Committee are Messrs. Anderson (Chair), Gelman, Kahan, Lemelbaum and Minicucci.</w:t>
      </w:r>
    </w:p>
    <w:p>
      <w:pPr>
        <w:spacing w:after="0" w:line="85"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i w:val="1"/>
          <w:iCs w:val="1"/>
          <w:color w:val="auto"/>
        </w:rPr>
        <w:t xml:space="preserve">Technology and Innovation Committee. </w:t>
      </w:r>
      <w:r>
        <w:rPr>
          <w:rFonts w:ascii="Arial" w:cs="Arial" w:eastAsia="Arial" w:hAnsi="Arial"/>
          <w:sz w:val="16"/>
          <w:szCs w:val="16"/>
          <w:color w:val="auto"/>
        </w:rPr>
        <w:t>The Technology and Innovation Committee was established to assist the Board of Directors in reviewing our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technological development, opportunities and innovation, in connection with our current and future business and markets. The current members of our Technology and Innovation Committee are Messrs. Zisapel (Chair), Anderson, Gelman, Lemelbaum and Dr. Yaron.</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independent directors receive no compensation from us, except in connection with their membership on the Board of Directors and its committees as described below regarding Non-Employee Directors under “—Compensation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and Committee Meetings</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During the past fiscal year, the Board of Directors held six meetings. In addition, the Audit Committee held eight meetings, the Compensation Committee held three meetings, the Nominating and Corporate Governance Committee held five meetings, the Executive Committee held three meetings and the Technology and Innovation Committee held four meetings in the 2011 fiscal year. During fiscal 2011, each of our directors attended at least 75% of the aggregate number of meetings of the Board of Directors held during the time he was serving as a director and meetings held by all committees on which he then served, except for one director, who has since resigned. During fiscal 2011, our directors who are not our employees, which we refer to as Non-Employee Directors, held four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Corporate Governance Differences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issuers under the NYSE listing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Standards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adopted a formal set of categorical independence standards with respect to the determination of director independence.</w:t>
      </w:r>
    </w:p>
    <w:p>
      <w:pPr>
        <w:spacing w:after="0" w:line="19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In accordance with these standards and the rules of the NYSE, our Board of Directors has determined that each of the following 11 of our current</w:t>
      </w:r>
    </w:p>
    <w:p>
      <w:pPr>
        <w:spacing w:after="0" w:line="3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12 directors has no material relationship with us and is therefore independent: Messrs. Minicucci, Anderson, Gardner, McLennan, Olswang, Zisapel, Brodsky, Kahan, LeFave and Lemelbaum and Dr. Yaron.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our categorical standards is attached to this Proxy Statement as Appendix B.</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of Ethics and Business Conduct</w:t>
      </w:r>
    </w:p>
    <w:p>
      <w:pPr>
        <w:spacing w:after="0" w:line="9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NYSE rules concerning any amendments to, or waivers from, any provision of the code.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these efforts as they relate to operational and financial risks, and it periodically reports and makes recommendations to our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structure our compensation to consist of both fixed and variable elements, including salary, equity and cash bonuses. The fixed portions of compensation, such as salary, are designed to be local market based and provide steady income regardless of our stock price performance. The variable portions of compensation, such as equity incentives and performance bonuses, are designed to reward the accomplishment of both short- and long-term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140" w:firstLine="456"/>
        <w:spacing w:after="0" w:line="307" w:lineRule="auto"/>
        <w:rPr>
          <w:sz w:val="20"/>
          <w:szCs w:val="20"/>
          <w:color w:val="auto"/>
        </w:rPr>
      </w:pPr>
      <w:r>
        <w:rPr>
          <w:rFonts w:ascii="Arial" w:cs="Arial" w:eastAsia="Arial" w:hAnsi="Arial"/>
          <w:sz w:val="15"/>
          <w:szCs w:val="15"/>
          <w:color w:val="auto"/>
        </w:rPr>
        <w:t>Each Non-Employee Director receives compensation for his services as a director in the form of cash and restricted shares. Each Non-Employee Director receives an annual cash payment of $80,000. Each member of our Audit and Executive Committees who is a Non-Employee Director and who is not the chairman of such committees receives an annual cash payment of $5,000. Each member of our Compensation, Nominating and Corporate Governance and Technology and Innovation Committees, who is a Non-Employee Director and who is not the chairman of such committees, receives an annual cash payment of $1,000. The Chairmen of our Audit and Executive Committees each receives an annual cash payment of $10,000 and the Chairmen of our Compensation, Nominating and Corporate Governance and Technology and Innovation Committees each receives an annual cash payment of $5,000. Each Non-Employee Director receives an annual grant of restricted shares at a total value of $150,000. The Chairman of the Board of Directors receives an additional annual amount equal to $200,000, of which $75,000 is paid in cash and $125,000 is awarded in the form of restricted shares. All restricted share awards to our Non-Employee Directors are immediately vested with respect to 25%, with the remainder vesting annually in three equal installments. The price per share for the purpose of determining the value of the grants to our Non-Employee Directors is the NYSE closing price of our shares on the last trading day preceding the grant date. We also reimburse all of our Non-Employee Directors for their reasonable travel expenses incurred in connection with attending Board or committee meetings.</w:t>
      </w:r>
    </w:p>
    <w:p>
      <w:pPr>
        <w:spacing w:after="0" w:line="11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2011 fiscal year, we granted to 12 Non-Employee Directors an aggregate of 71,379 restricted shares at a weighted average price of $26.97 per share, with vesting over three year terms.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3" w:name="page14"/>
    <w:bookmarkEnd w:id="13"/>
    <w:p>
      <w:pPr>
        <w:ind w:right="4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proposed that each of the following 12 individuals be elected to serve as a director of Amdocs Limited until the next annual general meeting of shareholders or until his earlier resignation or removal or until his respective successor is elected and qualified:</w:t>
      </w:r>
    </w:p>
    <w:p>
      <w:pPr>
        <w:spacing w:after="0" w:line="5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Robert A. Minicucci</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Bruce K. Anderson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Nehemia Lemelbaum</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Giora Yaron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the election of each director nominee named above.</w:t>
      </w:r>
    </w:p>
    <w:p>
      <w:pPr>
        <w:spacing w:after="0" w:line="126"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EACH OF THE DIRECTOR NOMINEES NAMED ABOVE.</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280" w:right="3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 AND MANAGEMENT</w:t>
      </w:r>
    </w:p>
    <w:p>
      <w:pPr>
        <w:spacing w:after="0" w:line="165" w:lineRule="exact"/>
        <w:rPr>
          <w:sz w:val="20"/>
          <w:szCs w:val="20"/>
          <w:color w:val="auto"/>
        </w:rPr>
      </w:pPr>
    </w:p>
    <w:p>
      <w:pPr>
        <w:ind w:right="220" w:firstLine="456"/>
        <w:spacing w:after="0" w:line="314" w:lineRule="auto"/>
        <w:rPr>
          <w:sz w:val="20"/>
          <w:szCs w:val="20"/>
          <w:color w:val="auto"/>
        </w:rPr>
      </w:pPr>
      <w:r>
        <w:rPr>
          <w:rFonts w:ascii="Arial" w:cs="Arial" w:eastAsia="Arial" w:hAnsi="Arial"/>
          <w:sz w:val="15"/>
          <w:szCs w:val="15"/>
          <w:color w:val="auto"/>
        </w:rPr>
        <w:t>The following table sets forth specified information with respect to the beneficial ownership of our ordinary shares as of December 5, 2011 of (i) 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172,265,944 ordinary shares outstanding as of December 5, 2011. Information concerning shareholders other than our directors and executive officers is based on periodic public filings made by such shareholders and may not necessarily be accurate as of December 5, 2011.</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Shares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860" w:type="dxa"/>
            <w:vAlign w:val="bottom"/>
            <w:vMerge w:val="restart"/>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6860" w:type="dxa"/>
            <w:vAlign w:val="bottom"/>
            <w:vMerge w:val="continue"/>
          </w:tcPr>
          <w:p>
            <w:pPr>
              <w:spacing w:after="0"/>
              <w:rPr>
                <w:sz w:val="12"/>
                <w:szCs w:val="12"/>
                <w:color w:val="auto"/>
              </w:rPr>
            </w:pPr>
          </w:p>
        </w:tc>
        <w:tc>
          <w:tcPr>
            <w:tcW w:w="150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5"/>
              </w:rPr>
              <w:t>Owned</w:t>
            </w: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20"/>
        </w:trPr>
        <w:tc>
          <w:tcPr>
            <w:tcW w:w="7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Manning &amp; Napier Advisors, Inc.(1)</w:t>
            </w:r>
          </w:p>
        </w:tc>
        <w:tc>
          <w:tcPr>
            <w:tcW w:w="8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17,713,713</w:t>
            </w:r>
          </w:p>
        </w:tc>
        <w:tc>
          <w:tcPr>
            <w:tcW w:w="6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Thornburg Investment Management Inc.(2)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15,757,400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Ameriprise Financial, Inc.(3)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12,931,201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(17 persons)(4)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5,024,526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right="26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Schedule 13G filed by Manning &amp; Napier Advisors, Inc., or Manning &amp; Napier, with the SEC on February 11, 2011, Manning &amp; Napier had sole voting power over 15,822,958 of our ordinary shares and sole dispositive power over 17,713,713 of our ordinary shares. The address of Manning &amp; Napier is 290 Woodcliff Drive, Fairport, New York 14450.</w:t>
      </w:r>
    </w:p>
    <w:p>
      <w:pPr>
        <w:ind w:left="460" w:right="14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address of Thornburg Investment Management Inc., or Thornburg, is 2300 North Ridgetop Road, Santa Fe, New Mexico 87506. Based on a Schedule 13G filed by Thornburg with the SEC on January 24, 2011, Thornburg had sole voting and dispositive power over all of these ordinary shares.</w:t>
      </w:r>
    </w:p>
    <w:p>
      <w:pPr>
        <w:spacing w:after="0" w:line="1"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 Schedule 13G filed by Ameriprise Financial, Inc., or Ameriprise, and Columbia Management Investment Advisers, LLC, or Columbia, with the SEC on February 11, 2011, Ameriprise and Columbia had shared voting power over 4,010,936 of our ordinary shares and shared dispositive power over 12,931,201 of our ordinary shares. Ameriprise is the parent company of Columbia. Ameriprise and Columbia disclaim beneficial ownership of these shares. The address of Ameriprise and RiverSource is 145 Ameriprise Financial Center, Minneapolis, Minnesota 55474.</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December 5,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MATTERS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Audit Committee has reviewed our audited financial statements for the fiscal year ended September 30, 2011 and has discussed these financial statements with our management and independent registered public accounting firm.</w:t>
      </w:r>
    </w:p>
    <w:p>
      <w:pPr>
        <w:spacing w:after="0" w:line="132"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Audit Committee has also discussed with our independent registered public accounting firm the matters required to be discussed by Statement on Auditing Standards 61 (Communication with Audit Committees). SAS 61 (as codified in AU Section 380 of the Codification of Statements on Auditing Standards) requires our independent registered public accounting firm to discuss with our Audit Committee, among other things, the following:</w:t>
      </w:r>
    </w:p>
    <w:p>
      <w:pPr>
        <w:spacing w:after="0" w:line="2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methods to account for significant unusual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effect of significant accounting policies in controversial or emerging areas for which there is a lack of authoritative guidance or consensus;</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process used by management in formulating particularly sensitive accounting estimates and the basis for the auditors’ conclusions regarding the reasonableness of those estimates;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disagreements with management over the application of accounting principles, the basis for management’s accounting estimates and the disclosures in the financial statements.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independent registered public accounting firm also provided the Audit Committee with the written disclosures and the letter required by the Public Company Accounting Oversight Board (PCAOB) Ethics and Independence Rule 3526 (Rule 3526), Communication with Audit Committees Concerning Independence. PCAOB Rule 3526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4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Audit Committee has adopted policies and procedures relating to the pre-approval of all audit services to be provided to us, whether provided by our principal auditor or other firms, and all other services to be provided to us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STOCK OPTION AND INCENTIVE PLAN</w:t>
      </w:r>
    </w:p>
    <w:p>
      <w:pPr>
        <w:spacing w:after="0" w:line="1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 November 8, 2011, our Board of Directors adopted, subject to shareholder approval, an amendment to our 1998 Stock Option and Incentive Plan, as amended, which we refer to as the 1998 Plan, increasing from 55,300,000 to 62,300,000 the maximum number of ordinary shares issuable under the 1998 Plan and making the other changes described below.</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1998 Plan was last amended in January 2008. As of November 30, 2011, of the 55,300,000 ordinary shares reserved for issuance under the 1998 Plan prior to giving effect to this amendment, awards with respect to an aggregate of 46,203,807 ordinary shares (net of cancellations and forfeitures) had been granted, of which 25,602,339 shares have been issued upon option exercises and restricted share issuances that have vested, 19,071,061 remain subject to outstanding option awards, 1,530,407 remain subject to outstanding unvested restricted stock awards, and 9,096,193 ordinary shares remained available for future awards. In addition, there are options to purchase 218,352 ordinary shares outstanding as a result of acquisitions we have made.</w:t>
      </w:r>
    </w:p>
    <w:p>
      <w:pPr>
        <w:spacing w:after="0" w:line="116"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Based on 172,265,944 ordinary shares outstanding as of December 5, 2011, which is the Record Date, the number of shares reserved for issuance pursuant to outstanding awards granted and the number of shares available for future grants represented approximately 16.4% of our shares outstanding on a fully diluted basis, assuming all shares reserved for issuance pursuant to outstanding awards granted and all shares available for future grants were issued and outstanding.</w:t>
      </w:r>
    </w:p>
    <w:p>
      <w:pPr>
        <w:spacing w:after="0" w:line="8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of November 30, 2011, the closing price of our ordinary shares was $28.24 per share. Of the options to purchase 19,071,061 ordinary shares that were outstanding as of November 30, 2011, awards to purchase 11,348,965 ordinary shares were at an exercise price of $28.25 or greater. These awards with an exercise price greater than the current trading price of the ordinary shares, so-called “underwater” awards, represented approximately 59.5% of the ordinary shares reserved for issuance pursuant to outstanding awards. The weighted average remaining life of the options outstanding as of November 30, 2011 was 6.05 years, and their weighted average exercise price was $28.81.</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table summarizes information, as of November 30, 2011, regarding our equity compensation plans. The table does not include the additional shares that may be issuable pursuant to the proposed amendments to the 1998 Plan that are the subject of this Proposal II.</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As of November 30, 2011</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Ordinary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Number of Ordinary</w:t>
            </w:r>
          </w:p>
        </w:tc>
        <w:tc>
          <w:tcPr>
            <w:tcW w:w="640" w:type="dxa"/>
            <w:vAlign w:val="bottom"/>
          </w:tcPr>
          <w:p>
            <w:pPr>
              <w:spacing w:after="0"/>
              <w:rPr>
                <w:sz w:val="12"/>
                <w:szCs w:val="12"/>
                <w:color w:val="auto"/>
              </w:rPr>
            </w:pPr>
          </w:p>
        </w:tc>
        <w:tc>
          <w:tcPr>
            <w:tcW w:w="24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Shares to be Issued Upon</w:t>
            </w:r>
          </w:p>
        </w:tc>
        <w:tc>
          <w:tcPr>
            <w:tcW w:w="640" w:type="dxa"/>
            <w:vAlign w:val="bottom"/>
          </w:tcPr>
          <w:p>
            <w:pPr>
              <w:spacing w:after="0"/>
              <w:rPr>
                <w:sz w:val="12"/>
                <w:szCs w:val="12"/>
                <w:color w:val="auto"/>
              </w:rPr>
            </w:pPr>
          </w:p>
        </w:tc>
        <w:tc>
          <w:tcPr>
            <w:tcW w:w="24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Exercise of Outstanding</w:t>
            </w:r>
          </w:p>
        </w:tc>
        <w:tc>
          <w:tcPr>
            <w:tcW w:w="640" w:type="dxa"/>
            <w:vAlign w:val="bottom"/>
          </w:tcPr>
          <w:p>
            <w:pPr>
              <w:spacing w:after="0"/>
              <w:rPr>
                <w:sz w:val="12"/>
                <w:szCs w:val="12"/>
                <w:color w:val="auto"/>
              </w:rPr>
            </w:pPr>
          </w:p>
        </w:tc>
        <w:tc>
          <w:tcPr>
            <w:tcW w:w="24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Options, Restricted</w:t>
            </w:r>
          </w:p>
        </w:tc>
        <w:tc>
          <w:tcPr>
            <w:tcW w:w="640" w:type="dxa"/>
            <w:vAlign w:val="bottom"/>
          </w:tcPr>
          <w:p>
            <w:pPr>
              <w:spacing w:after="0"/>
              <w:rPr>
                <w:sz w:val="12"/>
                <w:szCs w:val="12"/>
                <w:color w:val="auto"/>
              </w:rPr>
            </w:pPr>
          </w:p>
        </w:tc>
        <w:tc>
          <w:tcPr>
            <w:tcW w:w="24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Stock-Based Awards,</w:t>
            </w:r>
          </w:p>
        </w:tc>
        <w:tc>
          <w:tcPr>
            <w:tcW w:w="640" w:type="dxa"/>
            <w:vAlign w:val="bottom"/>
          </w:tcPr>
          <w:p>
            <w:pPr>
              <w:spacing w:after="0"/>
              <w:rPr>
                <w:sz w:val="12"/>
                <w:szCs w:val="12"/>
                <w:color w:val="auto"/>
              </w:rPr>
            </w:pPr>
          </w:p>
        </w:tc>
        <w:tc>
          <w:tcPr>
            <w:tcW w:w="24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Based Awards,</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Warrants and Rights</w:t>
            </w:r>
          </w:p>
        </w:tc>
        <w:tc>
          <w:tcPr>
            <w:tcW w:w="640" w:type="dxa"/>
            <w:vAlign w:val="bottom"/>
          </w:tcPr>
          <w:p>
            <w:pPr>
              <w:spacing w:after="0"/>
              <w:rPr>
                <w:sz w:val="14"/>
                <w:szCs w:val="14"/>
                <w:color w:val="auto"/>
              </w:rPr>
            </w:pPr>
          </w:p>
        </w:tc>
        <w:tc>
          <w:tcPr>
            <w:tcW w:w="246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9"/>
              </w:rPr>
              <w:t>Warrants and Rights</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Plans(1)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shareholders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20,601,468(2)</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4"/>
              </w:rPr>
              <w:t>28.81</w:t>
            </w:r>
          </w:p>
        </w:tc>
        <w:tc>
          <w:tcPr>
            <w:tcW w:w="1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9,096,193(3)</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shareholders(3)</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218,352(4)</w:t>
            </w:r>
          </w:p>
        </w:tc>
        <w:tc>
          <w:tcPr>
            <w:tcW w:w="3100" w:type="dxa"/>
            <w:vAlign w:val="bottom"/>
            <w:gridSpan w:val="3"/>
          </w:tcPr>
          <w:p>
            <w:pPr>
              <w:ind w:left="1500"/>
              <w:spacing w:after="0"/>
              <w:rPr>
                <w:sz w:val="20"/>
                <w:szCs w:val="20"/>
                <w:color w:val="auto"/>
              </w:rPr>
            </w:pPr>
            <w:r>
              <w:rPr>
                <w:rFonts w:ascii="Arial" w:cs="Arial" w:eastAsia="Arial" w:hAnsi="Arial"/>
                <w:sz w:val="18"/>
                <w:szCs w:val="18"/>
                <w:color w:val="auto"/>
              </w:rPr>
              <w:t>23.36</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20,819,820</w:t>
            </w:r>
          </w:p>
        </w:tc>
        <w:tc>
          <w:tcPr>
            <w:tcW w:w="54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500"/>
              <w:spacing w:after="0"/>
              <w:rPr>
                <w:sz w:val="20"/>
                <w:szCs w:val="20"/>
                <w:color w:val="auto"/>
              </w:rPr>
            </w:pPr>
            <w:r>
              <w:rPr>
                <w:rFonts w:ascii="Arial" w:cs="Arial" w:eastAsia="Arial" w:hAnsi="Arial"/>
                <w:sz w:val="18"/>
                <w:szCs w:val="18"/>
                <w:color w:val="auto"/>
              </w:rPr>
              <w:t>28.75(5)</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9,096,193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4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the shares listed under the column heading “Number of Ordinary Shares to be Issued Upon Exercise of Outstanding Options, Restricted Stock-Based Awards, Warrants and Rights.”</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options to purchase 19,071,061 ordinary shares and 1,530,407 restricted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shares available for future issuance under the 1998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left="460" w:right="46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Consists of options assumed in connection with acquisitions. No additional awards were or can be granted under the plans that originally issued these awards.</w:t>
      </w:r>
    </w:p>
    <w:p>
      <w:pPr>
        <w:ind w:left="460" w:right="400" w:hanging="452"/>
        <w:spacing w:after="0" w:line="32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Of the 20,819,820 ordinary shares reflected, 19,289,413 are ordinary shares to be issued upon exercise of outstanding options with a weighted average exercise price of $28.75 and a weighted average remaining life of 6.04 years, and 1,530,407 are restricted shares.</w:t>
      </w:r>
    </w:p>
    <w:p>
      <w:pPr>
        <w:spacing w:after="0" w:line="9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Under our practices over the last three fiscal years, and as set forth in the table below, the combined run rate for usage of ordinary shares, or the burn rate, used for grants to participants under 1998 Plan has been 2.08% for fiscal 2009, 2.66% for fiscal 2010 and 2.90% for fiscal 2011: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Award</w:t>
            </w:r>
          </w:p>
        </w:tc>
        <w:tc>
          <w:tcPr>
            <w:tcW w:w="3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Fiscal Year Ended September 30,</w:t>
            </w:r>
          </w:p>
        </w:tc>
        <w:tc>
          <w:tcPr>
            <w:tcW w:w="0" w:type="dxa"/>
            <w:vAlign w:val="bottom"/>
          </w:tcPr>
          <w:p>
            <w:pPr>
              <w:spacing w:after="0"/>
              <w:rPr>
                <w:sz w:val="1"/>
                <w:szCs w:val="1"/>
                <w:color w:val="auto"/>
              </w:rPr>
            </w:pPr>
          </w:p>
        </w:tc>
      </w:tr>
      <w:tr>
        <w:trPr>
          <w:trHeight w:val="136"/>
        </w:trPr>
        <w:tc>
          <w:tcPr>
            <w:tcW w:w="8280" w:type="dxa"/>
            <w:vAlign w:val="bottom"/>
            <w:gridSpan w:val="2"/>
            <w:vMerge w:val="continue"/>
          </w:tcPr>
          <w:p>
            <w:pPr>
              <w:spacing w:after="0"/>
              <w:rPr>
                <w:sz w:val="11"/>
                <w:szCs w:val="11"/>
                <w:color w:val="auto"/>
              </w:rPr>
            </w:pPr>
          </w:p>
        </w:tc>
        <w:tc>
          <w:tcPr>
            <w:tcW w:w="920" w:type="dxa"/>
            <w:vAlign w:val="bottom"/>
            <w:tcBorders>
              <w:top w:val="single" w:sz="8" w:color="auto"/>
            </w:tcBorders>
          </w:tcPr>
          <w:p>
            <w:pPr>
              <w:jc w:val="right"/>
              <w:ind w:right="379"/>
              <w:spacing w:after="0" w:line="129" w:lineRule="exact"/>
              <w:rPr>
                <w:sz w:val="20"/>
                <w:szCs w:val="20"/>
                <w:color w:val="auto"/>
              </w:rPr>
            </w:pPr>
            <w:r>
              <w:rPr>
                <w:rFonts w:ascii="Arial" w:cs="Arial" w:eastAsia="Arial" w:hAnsi="Arial"/>
                <w:sz w:val="14"/>
                <w:szCs w:val="14"/>
                <w:b w:val="1"/>
                <w:bCs w:val="1"/>
                <w:color w:val="auto"/>
              </w:rPr>
              <w:t>2011</w:t>
            </w:r>
          </w:p>
        </w:tc>
        <w:tc>
          <w:tcPr>
            <w:tcW w:w="124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4"/>
                <w:szCs w:val="14"/>
                <w:b w:val="1"/>
                <w:bCs w:val="1"/>
                <w:color w:val="auto"/>
                <w:w w:val="83"/>
              </w:rPr>
              <w:t>2010</w:t>
            </w:r>
          </w:p>
        </w:tc>
        <w:tc>
          <w:tcPr>
            <w:tcW w:w="7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top w:val="single" w:sz="8" w:color="auto"/>
            </w:tcBorders>
          </w:tcPr>
          <w:p>
            <w:pPr>
              <w:spacing w:after="0"/>
              <w:rPr>
                <w:sz w:val="12"/>
                <w:szCs w:val="12"/>
                <w:color w:val="auto"/>
              </w:rPr>
            </w:pPr>
          </w:p>
        </w:tc>
        <w:tc>
          <w:tcPr>
            <w:tcW w:w="73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59"/>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granted</w:t>
            </w: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4,210</w:t>
            </w:r>
          </w:p>
        </w:tc>
        <w:tc>
          <w:tcPr>
            <w:tcW w:w="124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4,735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Restricted shares granted</w:t>
            </w:r>
          </w:p>
        </w:tc>
        <w:tc>
          <w:tcPr>
            <w:tcW w:w="920" w:type="dxa"/>
            <w:vAlign w:val="bottom"/>
          </w:tcPr>
          <w:p>
            <w:pPr>
              <w:jc w:val="right"/>
              <w:ind w:right="199"/>
              <w:spacing w:after="0"/>
              <w:rPr>
                <w:sz w:val="20"/>
                <w:szCs w:val="20"/>
                <w:color w:val="auto"/>
              </w:rPr>
            </w:pPr>
            <w:r>
              <w:rPr>
                <w:rFonts w:ascii="Arial" w:cs="Arial" w:eastAsia="Arial" w:hAnsi="Arial"/>
                <w:sz w:val="18"/>
                <w:szCs w:val="18"/>
                <w:color w:val="auto"/>
              </w:rPr>
              <w:t>1,154</w:t>
            </w:r>
          </w:p>
        </w:tc>
        <w:tc>
          <w:tcPr>
            <w:tcW w:w="1240" w:type="dxa"/>
            <w:vAlign w:val="bottom"/>
          </w:tcPr>
          <w:p>
            <w:pPr>
              <w:jc w:val="right"/>
              <w:ind w:right="299"/>
              <w:spacing w:after="0"/>
              <w:rPr>
                <w:sz w:val="20"/>
                <w:szCs w:val="20"/>
                <w:color w:val="auto"/>
              </w:rPr>
            </w:pPr>
            <w:r>
              <w:rPr>
                <w:rFonts w:ascii="Arial" w:cs="Arial" w:eastAsia="Arial" w:hAnsi="Arial"/>
                <w:sz w:val="18"/>
                <w:szCs w:val="18"/>
                <w:color w:val="auto"/>
              </w:rPr>
              <w:t>650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basic ordinary shares outstanding</w:t>
            </w: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5"/>
              </w:rPr>
              <w:t>185,213</w:t>
            </w:r>
          </w:p>
        </w:tc>
        <w:tc>
          <w:tcPr>
            <w:tcW w:w="124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202,584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204,023</w:t>
            </w:r>
          </w:p>
        </w:tc>
        <w:tc>
          <w:tcPr>
            <w:tcW w:w="0" w:type="dxa"/>
            <w:vAlign w:val="bottom"/>
          </w:tcPr>
          <w:p>
            <w:pPr>
              <w:spacing w:after="0"/>
              <w:rPr>
                <w:sz w:val="1"/>
                <w:szCs w:val="1"/>
                <w:color w:val="auto"/>
              </w:rPr>
            </w:pP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Burn rate</w:t>
            </w:r>
          </w:p>
        </w:tc>
        <w:tc>
          <w:tcPr>
            <w:tcW w:w="920" w:type="dxa"/>
            <w:vAlign w:val="bottom"/>
          </w:tcPr>
          <w:p>
            <w:pPr>
              <w:jc w:val="right"/>
              <w:ind w:right="59"/>
              <w:spacing w:after="0"/>
              <w:rPr>
                <w:sz w:val="20"/>
                <w:szCs w:val="20"/>
                <w:color w:val="auto"/>
              </w:rPr>
            </w:pPr>
            <w:r>
              <w:rPr>
                <w:rFonts w:ascii="Arial" w:cs="Arial" w:eastAsia="Arial" w:hAnsi="Arial"/>
                <w:sz w:val="18"/>
                <w:szCs w:val="18"/>
                <w:color w:val="auto"/>
              </w:rPr>
              <w:t>2.90%</w:t>
            </w:r>
          </w:p>
        </w:tc>
        <w:tc>
          <w:tcPr>
            <w:tcW w:w="1240" w:type="dxa"/>
            <w:vAlign w:val="bottom"/>
          </w:tcPr>
          <w:p>
            <w:pPr>
              <w:jc w:val="right"/>
              <w:ind w:right="139"/>
              <w:spacing w:after="0"/>
              <w:rPr>
                <w:sz w:val="20"/>
                <w:szCs w:val="20"/>
                <w:color w:val="auto"/>
              </w:rPr>
            </w:pPr>
            <w:r>
              <w:rPr>
                <w:rFonts w:ascii="Arial" w:cs="Arial" w:eastAsia="Arial" w:hAnsi="Arial"/>
                <w:sz w:val="18"/>
                <w:szCs w:val="18"/>
                <w:color w:val="auto"/>
              </w:rPr>
              <w:t>2.66%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Board of Directors considers availability of ordinary shares for future grants under the 1998 Plan to be important to the business prospects and operations of the company and believes that, after giving effect to the proposed 7,000,000 share increase of the 1998 Plan, we will have sufficient awards available for grant to our employees and others for the next two to three years. The Board considers grants of options and restricted stock to be an effective method to attract and retain officers, directors, employees and consultants, and to encourage long-term performance and productivity. The company will not be able to grant awards under the 1998 Plan after January 17, 2016.</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Board of Directors believes that the increase in the number of shares issuable under the 1998 Plan and the other changes described below are in the best interests of the company and its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 of the 1998 Stock Option and Incentive Plan</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Following is a summary of the material changes proposed to be made to the 1998 Plan. The following summary of material changes is qualified in its entirety by reference to the 1998 Plan, as proposed to be amended, a copy of which is attached as Appendix C.</w:t>
      </w:r>
    </w:p>
    <w:p>
      <w:pPr>
        <w:spacing w:after="0" w:line="5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Shares Available</w:t>
      </w:r>
      <w:r>
        <w:rPr>
          <w:rFonts w:ascii="Arial" w:cs="Arial" w:eastAsia="Arial" w:hAnsi="Arial"/>
          <w:sz w:val="16"/>
          <w:szCs w:val="16"/>
          <w:color w:val="auto"/>
        </w:rPr>
        <w:t>. The proposed amendment increases by 7,000,000 the number of ordinary shares available for issuance under the 1998 Plan.</w:t>
      </w:r>
    </w:p>
    <w:p>
      <w:pPr>
        <w:spacing w:after="0" w:line="113" w:lineRule="exact"/>
        <w:rPr>
          <w:rFonts w:ascii="Arial" w:cs="Arial" w:eastAsia="Arial" w:hAnsi="Arial"/>
          <w:sz w:val="16"/>
          <w:szCs w:val="16"/>
          <w:color w:val="auto"/>
        </w:rPr>
      </w:pPr>
    </w:p>
    <w:p>
      <w:pPr>
        <w:ind w:left="900" w:right="28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The proposed amendment provides that stock appreciation rights may only be awarded with an exercise price that is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equal to the fair market value of our ordinary shares on the date of grant and with a term of no longer than 10 years.</w:t>
      </w:r>
    </w:p>
    <w:p>
      <w:pPr>
        <w:spacing w:after="0" w:line="4" w:lineRule="exact"/>
        <w:rPr>
          <w:rFonts w:ascii="Arial" w:cs="Arial" w:eastAsia="Arial" w:hAnsi="Arial"/>
          <w:sz w:val="16"/>
          <w:szCs w:val="16"/>
          <w:color w:val="auto"/>
        </w:rPr>
      </w:pPr>
    </w:p>
    <w:p>
      <w:pPr>
        <w:ind w:left="900" w:right="60" w:hanging="446"/>
        <w:spacing w:after="0" w:line="289"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Sublimit on “Full Value” Awards</w:t>
      </w:r>
      <w:r>
        <w:rPr>
          <w:rFonts w:ascii="Arial" w:cs="Arial" w:eastAsia="Arial" w:hAnsi="Arial"/>
          <w:sz w:val="16"/>
          <w:szCs w:val="16"/>
          <w:color w:val="auto"/>
        </w:rPr>
        <w:t>. The proposed 7,000,000 additional shares that will be available for grant under the 1998 Plan if the amendment is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shareholders may only be granted in the form of stock options or stock appreciation rights. The 1998 Plan was amended in 2008 to impose a sublimit that restricts our ability to make “full value” stock-based awards, such as restricted stock or awards denominated in stock units, to 9,700,000 ordinary shares. After taking into account full value awards granted after the 2008 amendment, subject to shareholder approval of the proposed amendment, we will have the ability to grant after November 30, 2011 restricted shares or awards denominated in stock units with respect to no more than 7,554,579 ordinary shares. In the event any ordinary shares that were subject to a full value award made prior to November 30, 2011 cease to be subject to such award (other than by reason of exercise or payment of the award to the extent it is settled in shares), such shares shall again be available for full value awards, without regard to the 7,554,579 ordinary share sublimit that will be in effect following the amendment.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the 1998 Stock Option and Incentive Plan (as proposed to be amended)</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is a summary of the 1998 Stock Option and Incentive Plan (as proposed to be amended), a copy of which is attached as Appendix C. The following summary is qualified in its entirety by reference to the 1998 Plan.</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 xml:space="preserve">Purpose. </w:t>
      </w:r>
      <w:r>
        <w:rPr>
          <w:rFonts w:ascii="Arial" w:cs="Arial" w:eastAsia="Arial" w:hAnsi="Arial"/>
          <w:sz w:val="16"/>
          <w:szCs w:val="16"/>
          <w:color w:val="auto"/>
        </w:rPr>
        <w:t>The purpose of the 1998 Plan is to afford an incentive to grantees to acquire a proprietary interest in the company, to continue in service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increase their efforts on behalf of the company and to promote the success of the company’s business.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1998 Plan provides for the grant of stock options (which may be either incentive stock options or nonqualified stock options),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restricted stock awards and other stock-based awards, which we collectively refers to as “awards.”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Grantees receive the right to purchase a specified number of ordinary shares at a specified option price and subject to such other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as are specified in connection with the option grant. Options may not be granted at an exercise price that is less than 100% of the fair market value of our ordinary shares on the date of grant and may not be granted for a term in excess of ten years. Payment of the exercise price of options may be by cash, delivery of ordinary shares, a combination thereof, or, in connection with a broker-assisted exercise. The vesting of option awards can be based on the achievement of specified performance goals or on the passage of time. Although we have never done so, the 1998 Plan permits us to make loans to grantees in connection with the exercise of outstanding options. Options may generally only be exercised while the grantee is in our service or employ. If the grantee’s service ends for any reason other than cause, death or disability, his or her option will expire 90 days after such cessation. Termination for cause results in expiration of the option upon the termination date. Termination due to death or disability allows, in general, for the option to be exercised for 12 months, but in no event after the option’s stated final expiration date. The 1998 Plan prohibits the grant of options containing a provision entitling a grantee to the automatic grant of additional options in connection with any exercise by the grantee of his or her options.</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entitle grantees to acquire ordinary shares subject to the right of Amdocs Limited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to repurchase all or part of such shares from the grantee in the event that the conditions specified in the applicable award are not satisfied prior to the end of the applicable restriction period established for such award. The vesting of restricted stock awards can be based on the achievement of specified performance goals or on the passage of time.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The Committee may also grant stock appreciation rights without the grant of an accompanying option, which rights shall permit</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grantee to receive, at the time of any exercise of such rights, cash equal to the amount by which the fair market value of all shares of ordinary shares in respect to which the right was exercised exceeds the exercise price thereof. The exercise price of a stock appreciation right shall not be less than the fair market value on the date the stock appreciation right is granted and no stock appreciation right may be granted with a term in excess of 10 years. As of the date of this Proxy Statement, we have never granted stock appreciation rights under the 1998 Plan.</w:t>
      </w:r>
    </w:p>
    <w:p>
      <w:pPr>
        <w:spacing w:after="0" w:line="1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committee administering the 1998 Plan may grant other awards pursuant to which ordinary shares may be acquired or</w:t>
      </w:r>
      <w:r>
        <w:rPr>
          <w:rFonts w:ascii="Arial" w:cs="Arial" w:eastAsia="Arial" w:hAnsi="Arial"/>
          <w:sz w:val="16"/>
          <w:szCs w:val="16"/>
          <w:i w:val="1"/>
          <w:iCs w:val="1"/>
          <w:color w:val="auto"/>
        </w:rPr>
        <w:t xml:space="preserve"> </w:t>
      </w:r>
      <w:r>
        <w:rPr>
          <w:rFonts w:ascii="Arial" w:cs="Arial" w:eastAsia="Arial" w:hAnsi="Arial"/>
          <w:sz w:val="16"/>
          <w:szCs w:val="16"/>
          <w:color w:val="auto"/>
        </w:rPr>
        <w:t>awards denominated in stock units. As of the date of this Proxy Statement, we have never granted such other stock-based awards under the 1998 Plan.</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Eligibility to Receive Awards. </w:t>
      </w:r>
      <w:r>
        <w:rPr>
          <w:rFonts w:ascii="Arial" w:cs="Arial" w:eastAsia="Arial" w:hAnsi="Arial"/>
          <w:sz w:val="18"/>
          <w:szCs w:val="18"/>
          <w:color w:val="auto"/>
        </w:rPr>
        <w:t>All officers, directors, employees and consultants of Amdocs Limited, or of any parent or subsidiary of Amdocs Limited,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under the 1998 Plan. Under the 1998 Plan, a subsidiary means any entity in which Amdocs Limited holds, directly or indirectly, 50% or more of its voting power.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9" w:name="page20"/>
    <w:bookmarkEnd w:id="19"/>
    <w:p>
      <w:pPr>
        <w:ind w:firstLine="456"/>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Shares Available. </w:t>
      </w:r>
      <w:r>
        <w:rPr>
          <w:rFonts w:ascii="Arial" w:cs="Arial" w:eastAsia="Arial" w:hAnsi="Arial"/>
          <w:sz w:val="16"/>
          <w:szCs w:val="16"/>
          <w:color w:val="auto"/>
        </w:rPr>
        <w:t>Awards may be made under the 1998 Plan for up to 62,300,000 ordinary shares (including the 7,000,000 ordinary shares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proposed amendment), with a limit of 7,554,579 ordinary shares that may be issued after November 30, 2011 pursuant to restricted stock or awards denominated in stock units. If any award expires or is terminated, surrendered, cancelled (including the repurchase of unvested restricted stock at its original issuance price) or forfeited, the unused shares covered by such award (other than any shares surrendered by reason of exercise or payment of the award to the extent it is settled in shares) will again be available for grant under the 1998 Plan, with the exception of (i) shares that were subject to a stock-settled stock appreciation right and were not issued upon the net settlement or net exercise of such stock appreciation right, (ii) shares used to pay the exercise price of a stock option, (iii) shares delivered to or withheld by the company to pay the withholding taxes related to an award, or (iv) shares repurchased on the open market with proceeds of a stock option exercise. Any shares subject to a full value award made prior to November 30, 2011 that cease to be subject to such award (other than by reason of exercise or payment of the award to the extent it is settled in shares) shall again be available for full value awards, without regard to the 7,554,579 Ordinary Share sublimit that will be in effect following this amendment.</w:t>
      </w:r>
    </w:p>
    <w:p>
      <w:pPr>
        <w:spacing w:after="0" w:line="12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1998 Plan is administered by a committee established by the Board of Directors, which we refer to as the Committee.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has the authority to administer the 1998 Plan and to exercise all the powers and authorities either specifically granted to it under the 1998 Plan or necessary or advisable in the administration of the 1998 Plan, and to make all other determinations deemed necessary or advisable for the administration of the 1998 Plan.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Assumed or Substitute Awards. </w:t>
      </w:r>
      <w:r>
        <w:rPr>
          <w:rFonts w:ascii="Arial" w:cs="Arial" w:eastAsia="Arial" w:hAnsi="Arial"/>
          <w:sz w:val="16"/>
          <w:szCs w:val="16"/>
          <w:color w:val="auto"/>
        </w:rPr>
        <w:t>If, in connection with a business combination transaction, we assume or substitute for awards originally granted by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entity, and such assumed or substituted awards will be administered under the 1998 Plan, such awards (1) will not count as part of the total number of ordinary shares that may be made subject to awards under the 1998 Plan, subject to any limitations required by the U.S. Internal Revenue Code of 1986, as amended, and (2) will be on such terms as the Board deems appropriate notwithstanding any limitations contained in the 1998 Plan on new awards.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The Committee is required to make appropriate adjustments in connection with the 1998 Plan and any outstanding awards to reflect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recapitalizations, stock splits, combinations or exchanges of ordinary shares and other similar transactions which result in any increase or decrease in the number of issued ordinary shares effected without receipt of consideration. In the event of a proposed sale of all or substantially all the assets of Amdocs, merger, liquidation, dissolution or other similar event, the Committee is authorized to provide for outstanding awards to be assumed or substituted for, to accelerate the awards to make them fully exercisable prior to consummation of the acquisition event, to provide that the awards will terminate as a fixed date following their acceleration or to provide for a cash-out of any outstanding options.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No award may be made under the 1998 Plan after January 17, 2016. The Board of Directors may at any time suspend,</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modify or amend the 1998 Plan, however, shareholders must approve any amendment that would (1) increase the aggregate number of ordinary shares issuable under the 1998 Plan, (2) materially increase the benefits accruing to grantees, (3) change the class of employees eligible for participation, (4) extend the period during which awards may be granted or (5) provide for an option that is exercisable more than 10 years after the date it is granted.</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No Repricing of Options or Stock Appreciation Rights. </w:t>
      </w:r>
      <w:r>
        <w:rPr>
          <w:rFonts w:ascii="Arial" w:cs="Arial" w:eastAsia="Arial" w:hAnsi="Arial"/>
          <w:sz w:val="16"/>
          <w:szCs w:val="16"/>
          <w:color w:val="auto"/>
        </w:rPr>
        <w:t>The 1998 Plan prohibits the repricing of options or stock appreciation rights under the 1998 Plan</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shareholder approval. Specifically, except in connection with a corporate transaction involving us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20" w:name="page21"/>
    <w:bookmarkEnd w:id="20"/>
    <w:p>
      <w:pPr>
        <w:ind w:right="56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Nontransferability. </w:t>
      </w:r>
      <w:r>
        <w:rPr>
          <w:rFonts w:ascii="Arial" w:cs="Arial" w:eastAsia="Arial" w:hAnsi="Arial"/>
          <w:sz w:val="18"/>
          <w:szCs w:val="18"/>
          <w:color w:val="auto"/>
        </w:rPr>
        <w:t>Awards granted under the 1998 Plan are not transferable other than by will or by the laws of descent and distribution,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qualified domestic relations order.</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Section 102 Awards. </w:t>
      </w:r>
      <w:r>
        <w:rPr>
          <w:rFonts w:ascii="Arial" w:cs="Arial" w:eastAsia="Arial" w:hAnsi="Arial"/>
          <w:sz w:val="18"/>
          <w:szCs w:val="18"/>
          <w:color w:val="auto"/>
        </w:rPr>
        <w:t>Under the 1998 Plan, nonqualified stock options and restricted stock awards may be granted to employees and consultants of Amdocs</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or any of its subsidiaries or parents pursuant to the provisions of Section 102 of the Israel Tax Ordinance (New Version) 1961. Section 102 is designed to afford qualified recipients with specified favorable tax treatment in Israel.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the 1998 Stock Option and Incentive Plan, as amended, in the form attached to the company’s Proxy Statement as Appendix C, be and hereby is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affirmative vote of holders of a majority of the ordinary shares issued and outstanding is necessary for the approval of the Ordinary Resolution to approve the amendment to the 1998 Plan. If Proposal II is not approved by the shareholders, the 1998 Plan will continue in accordance with its existing terms and the Board will evaluate other alternatives for achieving the purposes of the plan.</w:t>
      </w:r>
    </w:p>
    <w:p>
      <w:pPr>
        <w:spacing w:after="0" w:line="134"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THE AMENDMENT AND CONTINUATION OF THE 1998 PLAN AS SET FORTH IN APPENDIX C ATTACHED HERETO.</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1" w:name="page22"/>
    <w:bookmarkEnd w:id="21"/>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III</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APPROVAL OF OUR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30, 2011</w:t>
      </w:r>
    </w:p>
    <w:p>
      <w:pPr>
        <w:spacing w:after="0" w:line="165"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Our Annual Report for the fiscal year ended September 30, 2011 is available on our website at http://www.amdocs.com/About/Pages/AnnualReport.aspx. Our Consolidated Financial Statements for the fiscal year ended September 30, 2011 are included in our Annual Report. At the General Meeting, we will review the Operating and Financial Review and Prospects section of our Annual Report and will answer appropriate questions related thereto.</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the Consolidated Financial Statements of Amdocs Limited for the fiscal year ended September 30, 2011 be, and the same hereby are,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2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OUR CONSOLIDATED FINANCIAL STATEMENTS.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2" w:name="page23"/>
    <w:bookmarkEnd w:id="22"/>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IV</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RATIFICATION AND APPROVAL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Audit Committee of the Board of Directors has selected the firm of Ernst &amp; Young LLP to continue to serve as our independent registered public accounting firm for the fiscal year ending September 30, 2012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2011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 Fees and Other Matters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Fee Category</w:t>
            </w:r>
          </w:p>
        </w:tc>
        <w:tc>
          <w:tcPr>
            <w:tcW w:w="5340" w:type="dxa"/>
            <w:vAlign w:val="bottom"/>
          </w:tcPr>
          <w:p>
            <w:pPr>
              <w:spacing w:after="0"/>
              <w:rPr>
                <w:sz w:val="15"/>
                <w:szCs w:val="15"/>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5"/>
                <w:szCs w:val="15"/>
                <w:color w:val="auto"/>
              </w:rPr>
            </w:pPr>
          </w:p>
        </w:tc>
      </w:tr>
      <w:tr>
        <w:trPr>
          <w:trHeight w:val="203"/>
        </w:trPr>
        <w:tc>
          <w:tcPr>
            <w:tcW w:w="6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$3,300,000</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3,200,000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940" w:type="dxa"/>
            <w:vAlign w:val="bottom"/>
          </w:tcPr>
          <w:p>
            <w:pPr>
              <w:jc w:val="right"/>
              <w:spacing w:after="0"/>
              <w:rPr>
                <w:sz w:val="20"/>
                <w:szCs w:val="20"/>
                <w:color w:val="auto"/>
              </w:rPr>
            </w:pPr>
            <w:r>
              <w:rPr>
                <w:rFonts w:ascii="Arial" w:cs="Arial" w:eastAsia="Arial" w:hAnsi="Arial"/>
                <w:sz w:val="18"/>
                <w:szCs w:val="18"/>
                <w:color w:val="auto"/>
              </w:rPr>
              <w:t>$1,200,000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1,700,000</w:t>
            </w:r>
          </w:p>
        </w:tc>
        <w:tc>
          <w:tcPr>
            <w:tcW w:w="12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1,400,000</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fees consist of fees associated with the annual audit and reviews of our quarterly financial results submitted on Form 6-K, consultations on various accounting issues and performance of local statutory audits.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Audit-related services principally include SAS 70 report issuances and due diligence examinations.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fees consist of fees associated with tax compliance, tax advice and tax planning services.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(i) the appointment of Ernst &amp; Young LLP as Amdocs Limited’s independent registered public accounting firm for the fiscal year ending September 30, 2012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34"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 site located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as well as on our website at www.amdocs.com. Requests for copies of our Annual Report on Form 20-F should be mailed to our principal U.S. subsidiary 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(314) 212-8358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400"/>
          </w:cols>
          <w:pgMar w:left="240" w:top="274" w:right="259" w:bottom="1440" w:gutter="0" w:footer="0" w:header="0"/>
        </w:sectPr>
      </w:pP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Mr.Thomas G. O’Brien</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Secretary and Treasurer of Amdocs Limited</w:t>
      </w:r>
    </w:p>
    <w:p>
      <w:pPr>
        <w:spacing w:after="0" w:line="200" w:lineRule="exact"/>
        <w:rPr>
          <w:sz w:val="20"/>
          <w:szCs w:val="20"/>
          <w:color w:val="auto"/>
        </w:rPr>
      </w:pPr>
    </w:p>
    <w:p>
      <w:pPr>
        <w:sectPr>
          <w:pgSz w:w="11900" w:h="16838" w:orient="portrait"/>
          <w:cols w:equalWidth="0" w:num="2">
            <w:col w:w="1160" w:space="540"/>
            <w:col w:w="9700"/>
          </w:cols>
          <w:pgMar w:left="240" w:top="274" w:right="25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Phoenix Advisory Partners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569085"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690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G. O’B</w:t>
      </w:r>
      <w:r>
        <w:rPr>
          <w:rFonts w:ascii="Arial" w:cs="Arial" w:eastAsia="Arial" w:hAnsi="Arial"/>
          <w:sz w:val="14"/>
          <w:szCs w:val="14"/>
          <w:color w:val="auto"/>
        </w:rPr>
        <w:t>RIEN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19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Purpose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Audit Committee of Amdocs Limited (the “Company”) is a standing committee of the Board of Directors. The primary objective of the Audit Committee is to assist the Board of Directors’ oversight of: the Company’s accounting practices; the integrity of the Company’s financial statements; the Company’s compliance with legal and regulatory requirements; the qualifications, independence, and performance of the Company’s registered public accounting firm (the “independent auditor”); and the internal audit function.</w:t>
      </w:r>
    </w:p>
    <w:p>
      <w:pPr>
        <w:spacing w:after="0" w:line="25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Membership, Structure, and Administration</w:t>
      </w:r>
    </w:p>
    <w:p>
      <w:pPr>
        <w:spacing w:after="0" w:line="96" w:lineRule="exact"/>
        <w:rPr>
          <w:rFonts w:ascii="Arial" w:cs="Arial" w:eastAsia="Arial" w:hAnsi="Arial"/>
          <w:sz w:val="18"/>
          <w:szCs w:val="18"/>
          <w:b w:val="1"/>
          <w:bCs w:val="1"/>
          <w:u w:val="single" w:color="auto"/>
          <w:color w:val="auto"/>
        </w:rPr>
      </w:pPr>
    </w:p>
    <w:p>
      <w:pPr>
        <w:ind w:right="200" w:firstLine="464"/>
        <w:spacing w:after="0" w:line="291" w:lineRule="auto"/>
        <w:tabs>
          <w:tab w:leader="none" w:pos="632" w:val="left"/>
        </w:tabs>
        <w:numPr>
          <w:ilvl w:val="1"/>
          <w:numId w:val="14"/>
        </w:numPr>
        <w:rPr>
          <w:rFonts w:ascii="Arial" w:cs="Arial" w:eastAsia="Arial" w:hAnsi="Arial"/>
          <w:sz w:val="16"/>
          <w:szCs w:val="16"/>
          <w:color w:val="auto"/>
        </w:rPr>
      </w:pPr>
      <w:r>
        <w:rPr>
          <w:rFonts w:ascii="Arial" w:cs="Arial" w:eastAsia="Arial" w:hAnsi="Arial"/>
          <w:sz w:val="16"/>
          <w:szCs w:val="16"/>
          <w:i w:val="1"/>
          <w:iCs w:val="1"/>
          <w:u w:val="single" w:color="auto"/>
          <w:color w:val="auto"/>
        </w:rPr>
        <w:t>Size and Member Qualifications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 The Audit Committee shall consist of at least three members of the Board of Directors, all of whom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of management and the Company and shall satisfy the independence requirements as defined, by the applicable rules of the New York Stock Exchange (NYSE) and Rule 10A-3(b)(1) of the Securities Exchange Act of 1934. Each member of the Audit Committee shall be financially literate, as such qualification is interpreted by the Board of Directors in its business judgment, or must become financially literate within a reasonable period of time after his or her appointment to the Audit Committee. At least one member of the Audit Committee shall be an “audit committee financial expert” (as defined by applicable SEC rules) as determined by the business judgment of the Board of Directors.</w:t>
      </w:r>
    </w:p>
    <w:p>
      <w:pPr>
        <w:spacing w:after="0" w:line="120" w:lineRule="exact"/>
        <w:rPr>
          <w:rFonts w:ascii="Arial" w:cs="Arial" w:eastAsia="Arial" w:hAnsi="Arial"/>
          <w:sz w:val="16"/>
          <w:szCs w:val="16"/>
          <w:color w:val="auto"/>
        </w:rPr>
      </w:pPr>
    </w:p>
    <w:p>
      <w:pPr>
        <w:ind w:right="40" w:firstLine="464"/>
        <w:spacing w:after="0" w:line="256" w:lineRule="auto"/>
        <w:tabs>
          <w:tab w:leader="none" w:pos="632" w:val="left"/>
        </w:tabs>
        <w:numPr>
          <w:ilvl w:val="1"/>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Board of Directors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 Members of the Audit Committee shall be appointed by the Board of Directors. The Audit Committee shall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regularly to the Board of Directors. Unless otherwise determined by the Board of Directors, no member of the Audit Committee may serve on the audit committee of more than two other public companies. The Board of Directors may remove members of the Audit Committee from such committee with or without cause.</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1"/>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Chair</w:t>
      </w:r>
      <w:r>
        <w:rPr>
          <w:rFonts w:ascii="Arial" w:cs="Arial" w:eastAsia="Arial" w:hAnsi="Arial"/>
          <w:sz w:val="18"/>
          <w:szCs w:val="18"/>
          <w:i w:val="1"/>
          <w:iCs w:val="1"/>
          <w:color w:val="auto"/>
        </w:rPr>
        <w:t xml:space="preserve"> </w:t>
      </w:r>
      <w:r>
        <w:rPr>
          <w:rFonts w:ascii="Arial" w:cs="Arial" w:eastAsia="Arial" w:hAnsi="Arial"/>
          <w:sz w:val="18"/>
          <w:szCs w:val="18"/>
          <w:color w:val="auto"/>
        </w:rPr>
        <w:t>— Unless the Board of Directors elects a Chair of the Audit Committee, the Audit Committee shall elect one by majority vote.</w:t>
      </w:r>
    </w:p>
    <w:p>
      <w:pPr>
        <w:spacing w:after="0" w:line="171" w:lineRule="exact"/>
        <w:rPr>
          <w:rFonts w:ascii="Arial" w:cs="Arial" w:eastAsia="Arial" w:hAnsi="Arial"/>
          <w:sz w:val="18"/>
          <w:szCs w:val="18"/>
          <w:color w:val="auto"/>
        </w:rPr>
      </w:pPr>
    </w:p>
    <w:p>
      <w:pPr>
        <w:ind w:right="260" w:firstLine="464"/>
        <w:spacing w:after="0" w:line="259" w:lineRule="auto"/>
        <w:tabs>
          <w:tab w:leader="none" w:pos="632" w:val="left"/>
        </w:tabs>
        <w:numPr>
          <w:ilvl w:val="1"/>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compensation of the Audit Committee members shall be as determined by the Board of Directors. No member of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receive, directly or indirectly, any compensation from the Company other than director’s fees (in cash and/or company shares or options or in-kind consideration).</w:t>
      </w:r>
    </w:p>
    <w:p>
      <w:pPr>
        <w:spacing w:after="0" w:line="140" w:lineRule="exact"/>
        <w:rPr>
          <w:rFonts w:ascii="Arial" w:cs="Arial" w:eastAsia="Arial" w:hAnsi="Arial"/>
          <w:sz w:val="18"/>
          <w:szCs w:val="18"/>
          <w:color w:val="auto"/>
        </w:rPr>
      </w:pPr>
    </w:p>
    <w:p>
      <w:pPr>
        <w:ind w:right="40" w:firstLine="464"/>
        <w:spacing w:after="0" w:line="256" w:lineRule="auto"/>
        <w:tabs>
          <w:tab w:leader="none" w:pos="632" w:val="left"/>
        </w:tabs>
        <w:numPr>
          <w:ilvl w:val="1"/>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shall meet on a schedule and in a manner the Audit Committee shall establish. The Audit Committee may also act by</w:t>
      </w:r>
      <w:r>
        <w:rPr>
          <w:rFonts w:ascii="Arial" w:cs="Arial" w:eastAsia="Arial" w:hAnsi="Arial"/>
          <w:sz w:val="18"/>
          <w:szCs w:val="18"/>
          <w:i w:val="1"/>
          <w:iCs w:val="1"/>
          <w:color w:val="auto"/>
        </w:rPr>
        <w:t xml:space="preserve"> </w:t>
      </w:r>
      <w:r>
        <w:rPr>
          <w:rFonts w:ascii="Arial" w:cs="Arial" w:eastAsia="Arial" w:hAnsi="Arial"/>
          <w:sz w:val="18"/>
          <w:szCs w:val="18"/>
          <w:color w:val="auto"/>
        </w:rPr>
        <w:t>unanimous written consent in lieu of a meeting. Periodically, the Audit Committee shall meet separately with: the independent auditor, members of the Company’s management, and the Company’s internal auditor. A special meeting may be called on not less than 24 hours notice, at any time by the Chairman. The Audit Committee shall keep such records of its meetings, as it shall deem appropriate.</w:t>
      </w:r>
    </w:p>
    <w:p>
      <w:pPr>
        <w:spacing w:after="0" w:line="143" w:lineRule="exact"/>
        <w:rPr>
          <w:rFonts w:ascii="Arial" w:cs="Arial" w:eastAsia="Arial" w:hAnsi="Arial"/>
          <w:sz w:val="18"/>
          <w:szCs w:val="18"/>
          <w:color w:val="auto"/>
        </w:rPr>
      </w:pPr>
    </w:p>
    <w:p>
      <w:pPr>
        <w:ind w:right="20" w:firstLine="464"/>
        <w:spacing w:after="0" w:line="268" w:lineRule="auto"/>
        <w:tabs>
          <w:tab w:leader="none" w:pos="632" w:val="left"/>
        </w:tabs>
        <w:numPr>
          <w:ilvl w:val="1"/>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Subcommittees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may form and delegate authority to one or more subcommittees as it deems appropriate from time to time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circumstances.</w:t>
      </w:r>
    </w:p>
    <w:p>
      <w:pPr>
        <w:spacing w:after="0" w:line="131" w:lineRule="exact"/>
        <w:rPr>
          <w:rFonts w:ascii="Arial" w:cs="Arial" w:eastAsia="Arial" w:hAnsi="Arial"/>
          <w:sz w:val="18"/>
          <w:szCs w:val="18"/>
          <w:color w:val="auto"/>
        </w:rPr>
      </w:pPr>
    </w:p>
    <w:p>
      <w:pPr>
        <w:ind w:right="100" w:firstLine="464"/>
        <w:spacing w:after="0" w:line="255" w:lineRule="auto"/>
        <w:tabs>
          <w:tab w:leader="none" w:pos="632" w:val="left"/>
        </w:tabs>
        <w:numPr>
          <w:ilvl w:val="1"/>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shall maintain unrestricted communication with the independent auditors, the Company’s internal audit function</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counsel and financial management to assure that each understands and accepts its responsibilities for direct communication with the Audit Committee as appropriate. The Audit Committee shall have full access to the books and records of the Company, as well as, full access to interview employees, if necessary. The Chairman of the Audit Committee shall have the authority to direct the Company’s internal audit function to carry out such special audit projects as, in the Chairman’s judgment, are warranted.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5" w:name="page26"/>
    <w:bookmarkEnd w:id="25"/>
    <w:p>
      <w:pPr>
        <w:ind w:right="280" w:firstLine="464"/>
        <w:spacing w:after="0" w:line="332" w:lineRule="auto"/>
        <w:tabs>
          <w:tab w:leader="none" w:pos="632" w:val="left"/>
        </w:tabs>
        <w:numPr>
          <w:ilvl w:val="1"/>
          <w:numId w:val="15"/>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and Charter Evaluations</w:t>
      </w:r>
      <w:r>
        <w:rPr>
          <w:rFonts w:ascii="Arial" w:cs="Arial" w:eastAsia="Arial" w:hAnsi="Arial"/>
          <w:sz w:val="16"/>
          <w:szCs w:val="16"/>
          <w:i w:val="1"/>
          <w:iCs w:val="1"/>
          <w:color w:val="auto"/>
        </w:rPr>
        <w:t xml:space="preserve"> </w:t>
      </w:r>
      <w:r>
        <w:rPr>
          <w:rFonts w:ascii="Arial" w:cs="Arial" w:eastAsia="Arial" w:hAnsi="Arial"/>
          <w:sz w:val="16"/>
          <w:szCs w:val="16"/>
          <w:color w:val="auto"/>
        </w:rPr>
        <w:t>— The Audit Committee shall maintain this Audit Committee Charter and obtain the approval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for all revisions or changes to the Charter. The Audit Committee shall review and reassess the Charter as conditions dictate or at least annually.</w:t>
      </w:r>
    </w:p>
    <w:p>
      <w:pPr>
        <w:spacing w:after="0" w:line="20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C.   Responsibilities and Duties</w:t>
      </w:r>
    </w:p>
    <w:p>
      <w:pPr>
        <w:spacing w:after="0" w:line="96" w:lineRule="exact"/>
        <w:rPr>
          <w:rFonts w:ascii="Arial" w:cs="Arial" w:eastAsia="Arial" w:hAnsi="Arial"/>
          <w:sz w:val="16"/>
          <w:szCs w:val="16"/>
          <w:color w:val="auto"/>
        </w:rPr>
      </w:pPr>
    </w:p>
    <w:p>
      <w:pPr>
        <w:ind w:left="640" w:hanging="176"/>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General</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shall discharge its responsibilities and shall assess the information</w:t>
      </w:r>
    </w:p>
    <w:p>
      <w:pPr>
        <w:spacing w:after="0" w:line="1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provided by the Company’s management, the internal auditor and the independent auditors, in accordance with its business judgment. Management is responsible for the preparation, presentation, and integrity of the Company’s financial statements, for the appropriateness of the accounting principles and the reporting policies that are used by the Company and for establishing and maintaining adequate internal control over financial reporting. The independent auditors are responsible for auditing the Company’s financial statements and the Company’s internal control over financial reporting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123"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u w:val="single" w:color="auto"/>
          <w:color w:val="auto"/>
        </w:rPr>
        <w:t>Oversight of Independent Auditors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Selection and Reporting</w:t>
      </w:r>
      <w:r>
        <w:rPr>
          <w:rFonts w:ascii="Arial" w:cs="Arial" w:eastAsia="Arial" w:hAnsi="Arial"/>
          <w:sz w:val="18"/>
          <w:szCs w:val="18"/>
          <w:color w:val="auto"/>
        </w:rPr>
        <w:t xml:space="preserve"> — The Audit Committee shall be directly responsible for appointing, evaluating and, when necessary, terminating the independent auditors. The Audit Committee is also directly responsible for oversight of the independent auditor’s work, including the resolution of disagreements between Company management and the independent auditors regarding financial reporting. The independent auditors shall report directly to the Audit Committee.</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Compensation</w:t>
      </w:r>
      <w:r>
        <w:rPr>
          <w:rFonts w:ascii="Arial" w:cs="Arial" w:eastAsia="Arial" w:hAnsi="Arial"/>
          <w:sz w:val="18"/>
          <w:szCs w:val="18"/>
          <w:color w:val="auto"/>
        </w:rPr>
        <w:t xml:space="preserve"> — The Audit Committee shall take direct responsibility for setting compensation of the independent auditors. The Audit Committee is empowered, without further action by the Board of Directors, to cause the Company to pay the compensation of the independent auditor established by the Audit Committee.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u w:val="single" w:color="auto"/>
          <w:color w:val="auto"/>
        </w:rPr>
        <w:t>Independence</w:t>
      </w:r>
      <w:r>
        <w:rPr>
          <w:rFonts w:ascii="Arial" w:cs="Arial" w:eastAsia="Arial" w:hAnsi="Arial"/>
          <w:sz w:val="16"/>
          <w:szCs w:val="16"/>
          <w:color w:val="auto"/>
        </w:rPr>
        <w:t xml:space="preserve"> — On a periodic but no less frequently than annual basis, the Audit Committee shall obtain from the independent auditors a formal written statement delineating all their relationships with the Company or professional services that may impact their objectivity and independence, including those required to be disclosed by the PCAOB Ethics and Independence Rule 3526 (Rule 3526), Communication with Audit Committees Concerning Independence. In addition, the Audit Committee shall review with the independent auditors the nature and scope of any disclosed relationships or professional services and any appropriate actions necessary to ensure the continuing independence of the auditors.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i w:val="1"/>
          <w:iCs w:val="1"/>
          <w:u w:val="single" w:color="auto"/>
          <w:color w:val="auto"/>
        </w:rPr>
        <w:t>Quality-Control Report</w:t>
      </w:r>
      <w:r>
        <w:rPr>
          <w:rFonts w:ascii="Arial" w:cs="Arial" w:eastAsia="Arial" w:hAnsi="Arial"/>
          <w:sz w:val="16"/>
          <w:szCs w:val="16"/>
          <w:color w:val="auto"/>
        </w:rPr>
        <w:t xml:space="preserve"> — At least annually, the Audit Committee shall obtain and review a report by the independent auditors describing:</w:t>
      </w:r>
    </w:p>
    <w:p>
      <w:pPr>
        <w:spacing w:after="0" w:line="113"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internal quality-control procedures at the independent auditor’s firm; and</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material issues raised by the most recent internal quality-control review, or peer review, of the independent auditor’s firm, or by any inquiry or investigation by any governmental or professional authorities, within the preceding five years, relating to one or more independent audits carried out by the independent auditor’s firm, and any steps taken to deal with any such issues.</w:t>
      </w:r>
    </w:p>
    <w:p>
      <w:pPr>
        <w:spacing w:after="0" w:line="140" w:lineRule="exact"/>
        <w:rPr>
          <w:rFonts w:ascii="Arial" w:cs="Arial" w:eastAsia="Arial" w:hAnsi="Arial"/>
          <w:sz w:val="18"/>
          <w:szCs w:val="18"/>
          <w:color w:val="auto"/>
        </w:rPr>
      </w:pPr>
    </w:p>
    <w:p>
      <w:pPr>
        <w:ind w:right="60" w:firstLine="464"/>
        <w:spacing w:after="0" w:line="254" w:lineRule="auto"/>
        <w:tabs>
          <w:tab w:leader="none" w:pos="622" w:val="left"/>
        </w:tabs>
        <w:numPr>
          <w:ilvl w:val="1"/>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Pre-approval of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shall pre-approve all audit services to be provided to the Company, whether provided by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auditor or other firms, and all other services (review, attest and non-audit) to be provided to the Company by the independent auditor; provided, however, that de minimis non-audit services may instead be approved in accordance with applicable NYSE and SEC rules. The Audit Committee shall cause the Company to disclose compliance with any applicable disclosure requirements regarding approval by the Audit Committee of any non-audit services to be performed by the independent auditor. Any decision of a subcommittee to pre-approve audit or non- audit services shall be presented to the full Audit Committee at its next scheduled meeting.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26" w:name="page27"/>
    <w:bookmarkEnd w:id="26"/>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 </w:t>
      </w:r>
      <w:r>
        <w:rPr>
          <w:rFonts w:ascii="Arial" w:cs="Arial" w:eastAsia="Arial" w:hAnsi="Arial"/>
          <w:sz w:val="18"/>
          <w:szCs w:val="18"/>
          <w:i w:val="1"/>
          <w:iCs w:val="1"/>
          <w:u w:val="single" w:color="auto"/>
          <w:color w:val="auto"/>
        </w:rPr>
        <w:t>Review Scope of Services</w:t>
      </w:r>
      <w:r>
        <w:rPr>
          <w:rFonts w:ascii="Arial" w:cs="Arial" w:eastAsia="Arial" w:hAnsi="Arial"/>
          <w:sz w:val="18"/>
          <w:szCs w:val="18"/>
          <w:color w:val="auto"/>
        </w:rPr>
        <w:t xml:space="preserve"> — The Audit Committee shall meet with the independent auditors and financial management of the Company to review the scope of the proposed audit and quarterly reviews for the current year and the procedures to be utilized. This review should include an evaluation of the adequacy of the auditor’s staffing and compensation.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i w:val="1"/>
          <w:iCs w:val="1"/>
          <w:u w:val="single" w:color="auto"/>
          <w:color w:val="auto"/>
        </w:rPr>
        <w:t>Discussion of Independent Auditors’ Comments and Recommendations</w:t>
      </w:r>
      <w:r>
        <w:rPr>
          <w:rFonts w:ascii="Arial" w:cs="Arial" w:eastAsia="Arial" w:hAnsi="Arial"/>
          <w:sz w:val="18"/>
          <w:szCs w:val="18"/>
          <w:color w:val="auto"/>
        </w:rPr>
        <w:t xml:space="preserve"> — The Audit Committee shall meet with the independent auditors to review their comments and recommendations with respect to:</w:t>
      </w:r>
    </w:p>
    <w:p>
      <w:pPr>
        <w:spacing w:after="0" w:line="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internal accounting controls;</w:t>
      </w:r>
    </w:p>
    <w:p>
      <w:pPr>
        <w:spacing w:after="0" w:line="90" w:lineRule="exact"/>
        <w:rPr>
          <w:rFonts w:ascii="Arial" w:cs="Arial" w:eastAsia="Arial" w:hAnsi="Arial"/>
          <w:sz w:val="18"/>
          <w:szCs w:val="18"/>
          <w:color w:val="auto"/>
        </w:rPr>
      </w:pPr>
    </w:p>
    <w:p>
      <w:pPr>
        <w:ind w:left="900" w:right="7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 difficulties, including restrictions on the scope of the independent auditors’ activities or access to requested information or significant disagreements with management;</w:t>
      </w:r>
    </w:p>
    <w:p>
      <w:pPr>
        <w:spacing w:after="0" w:line="50" w:lineRule="exact"/>
        <w:rPr>
          <w:rFonts w:ascii="Arial" w:cs="Arial" w:eastAsia="Arial" w:hAnsi="Arial"/>
          <w:sz w:val="18"/>
          <w:szCs w:val="18"/>
          <w:color w:val="auto"/>
        </w:rPr>
      </w:pPr>
    </w:p>
    <w:p>
      <w:pPr>
        <w:ind w:left="900" w:right="72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regulatory and accounting initiatives, as well as off balance sheet structures;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matters relating to the accounting procedures and records of the Company.</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Audit Committee shall also review with the independent auditors the consideration given by management to such and any corrective action taken by management with respect thereto.</w:t>
      </w:r>
    </w:p>
    <w:p>
      <w:pPr>
        <w:spacing w:after="0" w:line="132"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i w:val="1"/>
          <w:iCs w:val="1"/>
          <w:color w:val="auto"/>
        </w:rPr>
        <w:t>I</w:t>
      </w:r>
      <w:r>
        <w:rPr>
          <w:rFonts w:ascii="Arial" w:cs="Arial" w:eastAsia="Arial" w:hAnsi="Arial"/>
          <w:sz w:val="16"/>
          <w:szCs w:val="16"/>
          <w:i w:val="1"/>
          <w:iCs w:val="1"/>
          <w:u w:val="single" w:color="auto"/>
          <w:color w:val="auto"/>
        </w:rPr>
        <w:t>nterim Financial Information</w:t>
      </w:r>
      <w:r>
        <w:rPr>
          <w:rFonts w:ascii="Arial" w:cs="Arial" w:eastAsia="Arial" w:hAnsi="Arial"/>
          <w:sz w:val="16"/>
          <w:szCs w:val="16"/>
          <w:color w:val="auto"/>
        </w:rPr>
        <w:t xml:space="preserve"> — The Audit Committee shall direct the independent auditor to use its best efforts to perform all reviews of interim financial information prior to disclosure by the Company of such information and to discuss promptly with the Audit Committee and the CFO any matters identified in connection with the auditor’s review of interim financial information which are required to be discussed by applicable auditing standards.</w:t>
      </w:r>
    </w:p>
    <w:p>
      <w:pPr>
        <w:spacing w:after="0" w:line="107"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Review of Financial Data and Disclosures</w:t>
      </w:r>
    </w:p>
    <w:p>
      <w:pPr>
        <w:spacing w:after="0" w:line="17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u w:val="single" w:color="auto"/>
          <w:color w:val="auto"/>
        </w:rPr>
        <w:t>Review of Quarterly Reviewed and Annual Audited Financial Data</w:t>
      </w:r>
      <w:r>
        <w:rPr>
          <w:rFonts w:ascii="Arial" w:cs="Arial" w:eastAsia="Arial" w:hAnsi="Arial"/>
          <w:sz w:val="16"/>
          <w:szCs w:val="16"/>
          <w:color w:val="auto"/>
        </w:rPr>
        <w:t xml:space="preserve"> — The Audit Committee shall meet to review and discuss the financial data in the quarterly financial statements and annual report, including the Company’s specific disclosures under “Operating and Financial Review and Prospects”; any accompanying opinions of the independent auditors; and matters required to be discussed by applicable auditing standards with financial management and the independent auditors and report thereon to the Board of Directors prior to the release, by public filing or other public disclosure, of earnings.</w:t>
      </w:r>
    </w:p>
    <w:p>
      <w:pPr>
        <w:spacing w:after="0" w:line="11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i w:val="1"/>
          <w:iCs w:val="1"/>
          <w:u w:val="single" w:color="auto"/>
          <w:color w:val="auto"/>
        </w:rPr>
        <w:t>Review of Auditor Reports</w:t>
      </w:r>
      <w:r>
        <w:rPr>
          <w:rFonts w:ascii="Arial" w:cs="Arial" w:eastAsia="Arial" w:hAnsi="Arial"/>
          <w:sz w:val="15"/>
          <w:szCs w:val="15"/>
          <w:color w:val="auto"/>
        </w:rPr>
        <w:t xml:space="preserve"> — The Audit Committee shall review and evaluate reports required to be made by the independent auditor pursuant to critical accounting policies and practices; alternative treatments of financial information within generally accepted accounting principles that have been discussed with Company management, ramifications of the use of such alternative disclosures and treatments, and the treatment preferred by the independent auditor; and other material written correspondence between Company management and the independent auditor, such as a management letter or schedule of unadjusted differences.</w:t>
      </w:r>
    </w:p>
    <w:p>
      <w:pPr>
        <w:spacing w:after="0" w:line="9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Review of Earnings Release and Other Financial Information</w:t>
      </w:r>
      <w:r>
        <w:rPr>
          <w:rFonts w:ascii="Arial" w:cs="Arial" w:eastAsia="Arial" w:hAnsi="Arial"/>
          <w:sz w:val="18"/>
          <w:szCs w:val="18"/>
          <w:color w:val="auto"/>
        </w:rPr>
        <w:t xml:space="preserve"> — The Audit Committee shall discuss generally the type and presentation of information to be disclosed in the Company’s earnings press releases, as well as in financial information and earnings guidance provided to analysts, rating agencies and others.</w:t>
      </w:r>
    </w:p>
    <w:p>
      <w:pPr>
        <w:spacing w:after="0" w:line="140"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i w:val="1"/>
          <w:iCs w:val="1"/>
          <w:u w:val="single" w:color="auto"/>
          <w:color w:val="auto"/>
        </w:rPr>
        <w:t>Review of Internal Reports and Processes</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u w:val="single" w:color="auto"/>
          <w:color w:val="auto"/>
        </w:rPr>
        <w:t>Review of Internal Audit Function</w:t>
      </w:r>
      <w:r>
        <w:rPr>
          <w:rFonts w:ascii="Arial" w:cs="Arial" w:eastAsia="Arial" w:hAnsi="Arial"/>
          <w:sz w:val="16"/>
          <w:szCs w:val="16"/>
          <w:color w:val="auto"/>
        </w:rPr>
        <w:t xml:space="preserve"> — The Audit Committee shall review and evaluate the activities and recommendations of the Company’s internal audit function and the responses of the Company to such recommendations, including the independence and authority of the function. The Audit Committee is responsible to review the scope of the internal audit function, as well as, its staffing and compensation.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27" w:name="page28"/>
    <w:bookmarkEnd w:id="27"/>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w:t>
      </w:r>
      <w:r>
        <w:rPr>
          <w:rFonts w:ascii="Arial" w:cs="Arial" w:eastAsia="Arial" w:hAnsi="Arial"/>
          <w:sz w:val="18"/>
          <w:szCs w:val="18"/>
          <w:i w:val="1"/>
          <w:iCs w:val="1"/>
          <w:u w:val="single" w:color="auto"/>
          <w:color w:val="auto"/>
        </w:rPr>
        <w:t>Oversight of Company’s Internal Control Processes</w:t>
      </w:r>
      <w:r>
        <w:rPr>
          <w:rFonts w:ascii="Arial" w:cs="Arial" w:eastAsia="Arial" w:hAnsi="Arial"/>
          <w:sz w:val="18"/>
          <w:szCs w:val="18"/>
          <w:color w:val="auto"/>
        </w:rPr>
        <w:t xml:space="preserve"> — The Audit Committee shall coordinate the Board of Director’s oversight of the Company’s significant internal control processes, including the process of preparing the interim and annual financial results; disclosure controls and procedures; internal audit function; and code of business conduct and ethics. The Audit Committee shall receive and review the reports of the CEO and CFO required by Rule 13a-14 of the Securities Exchange Act of 1934.</w:t>
      </w:r>
    </w:p>
    <w:p>
      <w:pPr>
        <w:spacing w:after="0" w:line="14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Succession Planning Process</w:t>
      </w:r>
      <w:r>
        <w:rPr>
          <w:rFonts w:ascii="Arial" w:cs="Arial" w:eastAsia="Arial" w:hAnsi="Arial"/>
          <w:sz w:val="18"/>
          <w:szCs w:val="18"/>
          <w:color w:val="auto"/>
        </w:rPr>
        <w:t xml:space="preserve"> — The Audit Committee shall review and evaluate the performance and the succession planning process for the Company’s finance and accounting personnel.</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Procedure for Complaints</w:t>
      </w:r>
      <w:r>
        <w:rPr>
          <w:rFonts w:ascii="Arial" w:cs="Arial" w:eastAsia="Arial" w:hAnsi="Arial"/>
          <w:sz w:val="18"/>
          <w:szCs w:val="18"/>
          <w:color w:val="auto"/>
        </w:rPr>
        <w:t xml:space="preserve"> — The Audit Committee shall establish procedures to provide for (i) receiving, tracking, retaining and treating complaints received by the Company regarding employee reports of conflicts in interest; unethical or illegal activities; or accounting, accounting controls, auditing matters and (ii) the confidential, anonymous submission by employees of the Company of concerns regarding such matters. The Audit Committee shall establish procedures for the reporting of such matters, when significant, to the Board of Directors.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Discussion with Company Counsel</w:t>
      </w:r>
      <w:r>
        <w:rPr>
          <w:rFonts w:ascii="Arial" w:cs="Arial" w:eastAsia="Arial" w:hAnsi="Arial"/>
          <w:sz w:val="18"/>
          <w:szCs w:val="18"/>
          <w:color w:val="auto"/>
        </w:rPr>
        <w:t xml:space="preserve"> — The Audit Committee shall review periodically legal, environmental, code of ethics, and related matters with the Company’s counsel.</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u w:val="single" w:color="auto"/>
          <w:color w:val="auto"/>
        </w:rPr>
        <w:t>Hiring Policies</w:t>
      </w:r>
      <w:r>
        <w:rPr>
          <w:rFonts w:ascii="Arial" w:cs="Arial" w:eastAsia="Arial" w:hAnsi="Arial"/>
          <w:sz w:val="18"/>
          <w:szCs w:val="18"/>
          <w:color w:val="auto"/>
        </w:rPr>
        <w:t xml:space="preserve"> — The Audit Committee shall establish policies regarding the hiring of employees or former employees of the Company’s independent auditors.</w:t>
      </w:r>
    </w:p>
    <w:p>
      <w:pPr>
        <w:spacing w:after="0" w:line="132"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i w:val="1"/>
          <w:iCs w:val="1"/>
          <w:u w:val="single" w:color="auto"/>
          <w:color w:val="auto"/>
        </w:rPr>
        <w:t>Risk Management</w:t>
      </w:r>
      <w:r>
        <w:rPr>
          <w:rFonts w:ascii="Arial" w:cs="Arial" w:eastAsia="Arial" w:hAnsi="Arial"/>
          <w:sz w:val="16"/>
          <w:szCs w:val="16"/>
          <w:color w:val="auto"/>
        </w:rPr>
        <w:t xml:space="preserve"> — The Audit Committee shall discuss the Company’s policies with respect to risk assessment and risk management, including guidelines and policies to govern the process by which the Company’s exposure to risk is handled. The Audit Committee should also discuss the Company’s major financial risk exposures and steps taken by management to monitor and control such exposures.</w:t>
      </w:r>
    </w:p>
    <w:p>
      <w:pPr>
        <w:spacing w:after="0" w:line="107"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i w:val="1"/>
          <w:iCs w:val="1"/>
          <w:u w:val="single" w:color="auto"/>
          <w:color w:val="auto"/>
        </w:rPr>
        <w:t>Related Party Transactions</w:t>
      </w:r>
      <w:r>
        <w:rPr>
          <w:rFonts w:ascii="Arial" w:cs="Arial" w:eastAsia="Arial" w:hAnsi="Arial"/>
          <w:sz w:val="16"/>
          <w:szCs w:val="16"/>
          <w:color w:val="auto"/>
        </w:rPr>
        <w:t xml:space="preserve"> — The Audit Committee shall review and approve the Company’s policies and procedures for reviewing and approving related party transactions (i.e., transactions within the scope of Item 7.B. of Form 20-F), and, to the extent no other policy or procedure applies to a particular proposed related party transaction, the Audit Committee shall have the authority to review and approve such transaction.</w:t>
      </w:r>
    </w:p>
    <w:p>
      <w:pPr>
        <w:spacing w:after="0" w:line="107"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Administration</w:t>
      </w:r>
    </w:p>
    <w:p>
      <w:pPr>
        <w:spacing w:after="0" w:line="17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u w:val="single" w:color="auto"/>
          <w:color w:val="auto"/>
        </w:rPr>
        <w:t>Audit Committee Independence</w:t>
      </w:r>
      <w:r>
        <w:rPr>
          <w:rFonts w:ascii="Arial" w:cs="Arial" w:eastAsia="Arial" w:hAnsi="Arial"/>
          <w:sz w:val="16"/>
          <w:szCs w:val="16"/>
          <w:color w:val="auto"/>
        </w:rPr>
        <w:t xml:space="preserve"> — The Audit Committee shall make inquiry of each member of the Audit Committee to confirm compliance with independence requirements as defined by Section 301 of the Sarbanes-Oxley Act of 2002 to the extent applicable to the Company.</w:t>
      </w:r>
    </w:p>
    <w:p>
      <w:pPr>
        <w:spacing w:after="0" w:line="85"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u w:val="single" w:color="auto"/>
          <w:color w:val="auto"/>
        </w:rPr>
        <w:t>Outside Consultants</w:t>
      </w:r>
      <w:r>
        <w:rPr>
          <w:rFonts w:ascii="Arial" w:cs="Arial" w:eastAsia="Arial" w:hAnsi="Arial"/>
          <w:sz w:val="16"/>
          <w:szCs w:val="16"/>
          <w:color w:val="auto"/>
        </w:rPr>
        <w:t xml:space="preserve"> — The Audit Committee shall retain independent counsel or consultants if necessary to carry out responsibilities. The Audit Committee is empowered, without further action by the Board of Directors, to cause the Company to pay the compensation of such advisors.</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Administrative Expenses</w:t>
      </w:r>
      <w:r>
        <w:rPr>
          <w:rFonts w:ascii="Arial" w:cs="Arial" w:eastAsia="Arial" w:hAnsi="Arial"/>
          <w:sz w:val="18"/>
          <w:szCs w:val="18"/>
          <w:color w:val="auto"/>
        </w:rPr>
        <w:t xml:space="preserve"> — The Audit Committee is empowered, without further action by the Board of Directors, to cause the Company to pay the ordinary administrative expenses of the Audit Committee that are necessary or appropriate to carry out its duties.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Report to Board of Directors</w:t>
      </w:r>
      <w:r>
        <w:rPr>
          <w:rFonts w:ascii="Arial" w:cs="Arial" w:eastAsia="Arial" w:hAnsi="Arial"/>
          <w:sz w:val="18"/>
          <w:szCs w:val="18"/>
          <w:color w:val="auto"/>
        </w:rPr>
        <w:t xml:space="preserve"> — The Audit Committee shall report, no less frequently than annually or more frequently as circumstances require, to the Board of Directors concerning the Audit Committee’s actions since the previous report and the Audit Committee’s agenda for the ensuing year, which report shall contain recommendations as appropriate.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Audit Committee Report</w:t>
      </w:r>
      <w:r>
        <w:rPr>
          <w:rFonts w:ascii="Arial" w:cs="Arial" w:eastAsia="Arial" w:hAnsi="Arial"/>
          <w:sz w:val="18"/>
          <w:szCs w:val="18"/>
          <w:color w:val="auto"/>
        </w:rPr>
        <w:t xml:space="preserve"> — The Audit Committee shall prepare an annual committee report as necessary or appropriate under the rules and regulations of the SEC.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28" w:name="page29"/>
    <w:bookmarkEnd w:id="28"/>
    <w:p>
      <w:pPr>
        <w:jc w:val="both"/>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 </w:t>
      </w:r>
      <w:r>
        <w:rPr>
          <w:rFonts w:ascii="Arial" w:cs="Arial" w:eastAsia="Arial" w:hAnsi="Arial"/>
          <w:sz w:val="18"/>
          <w:szCs w:val="18"/>
          <w:i w:val="1"/>
          <w:iCs w:val="1"/>
          <w:u w:val="single" w:color="auto"/>
          <w:color w:val="auto"/>
        </w:rPr>
        <w:t>Written Affirmation to the NYSE</w:t>
      </w:r>
      <w:r>
        <w:rPr>
          <w:rFonts w:ascii="Arial" w:cs="Arial" w:eastAsia="Arial" w:hAnsi="Arial"/>
          <w:sz w:val="18"/>
          <w:szCs w:val="18"/>
          <w:color w:val="auto"/>
        </w:rPr>
        <w:t xml:space="preserve"> — On an annual basis, no later than one month after the Annual Meeting of Stockholders, and after each change in the composition of the Audit Committee, the Audit Committee shall direct the Company to prepare and provide to the NYSE such written confirmations regarding the membership and operation of the Audit Committee as the NYSE rules require.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 </w:t>
      </w:r>
      <w:r>
        <w:rPr>
          <w:rFonts w:ascii="Arial" w:cs="Arial" w:eastAsia="Arial" w:hAnsi="Arial"/>
          <w:sz w:val="18"/>
          <w:szCs w:val="18"/>
          <w:i w:val="1"/>
          <w:iCs w:val="1"/>
          <w:u w:val="single" w:color="auto"/>
          <w:color w:val="auto"/>
        </w:rPr>
        <w:t>Annual Self-Evaluation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 At least annually, the Audit Committee shall evaluate its own performance.</w:t>
      </w:r>
    </w:p>
    <w:p>
      <w:pPr>
        <w:spacing w:after="0" w:line="171"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Responsibilities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 </w:t>
      </w:r>
      <w:r>
        <w:rPr>
          <w:rFonts w:ascii="Arial" w:cs="Arial" w:eastAsia="Arial" w:hAnsi="Arial"/>
          <w:sz w:val="18"/>
          <w:szCs w:val="18"/>
          <w:i w:val="1"/>
          <w:iCs w:val="1"/>
          <w:u w:val="single" w:color="auto"/>
          <w:color w:val="auto"/>
        </w:rPr>
        <w:t>Review of Other Outside Reports</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shall review reports received from regulators</w:t>
      </w:r>
    </w:p>
    <w:p>
      <w:pPr>
        <w:spacing w:after="0" w:line="1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and other legal and regulatory matters that have been brought to the attention of the Audit Committee and that may have a material effect on the financial statements or related company compliance policies.</w:t>
      </w:r>
    </w:p>
    <w:p>
      <w:pPr>
        <w:spacing w:after="0" w:line="13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u w:val="single" w:color="auto"/>
          <w:color w:val="auto"/>
        </w:rPr>
        <w:t>Other investigations</w:t>
      </w:r>
      <w:r>
        <w:rPr>
          <w:rFonts w:ascii="Arial" w:cs="Arial" w:eastAsia="Arial" w:hAnsi="Arial"/>
          <w:sz w:val="16"/>
          <w:szCs w:val="16"/>
          <w:color w:val="auto"/>
        </w:rPr>
        <w:t xml:space="preserve"> — The Audit Committee shall conduct or authorize investigations into any matter brought to the Audit Committee’s attention within the scope of its duties, including anything as may be referred to the Audit Committee by the Board of Directors.</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Other Matters</w:t>
      </w:r>
      <w:r>
        <w:rPr>
          <w:rFonts w:ascii="Arial" w:cs="Arial" w:eastAsia="Arial" w:hAnsi="Arial"/>
          <w:sz w:val="18"/>
          <w:szCs w:val="18"/>
          <w:color w:val="auto"/>
        </w:rPr>
        <w:t xml:space="preserve"> — The Audit Committee shall consider such other matters in relation to the financial affairs of the Company as the Audit Committee may, in its discretion, determine to be advisable.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i w:val="1"/>
          <w:iCs w:val="1"/>
          <w:u w:val="single" w:color="auto"/>
          <w:color w:val="auto"/>
        </w:rPr>
        <w:t>Additional Powers</w:t>
      </w:r>
      <w:r>
        <w:rPr>
          <w:rFonts w:ascii="Arial" w:cs="Arial" w:eastAsia="Arial" w:hAnsi="Arial"/>
          <w:sz w:val="16"/>
          <w:szCs w:val="16"/>
          <w:color w:val="auto"/>
        </w:rPr>
        <w:t xml:space="preserve"> — The Audit Committee shall have such other duties as may be delegated from time to time by the Board of Directors.</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CATEGORICAL STANDARDS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to applying the requirements under the NYSE rules, the Board has adopted guidelines to assist it in determining whether a director has a “material relationship” with the Company. Under these guidelines, a director will be considered to have a material relationship with the Company if during the last three years prior to the independency determination date:</w:t>
      </w:r>
    </w:p>
    <w:p>
      <w:pPr>
        <w:spacing w:after="0" w:line="59" w:lineRule="exact"/>
        <w:rPr>
          <w:sz w:val="20"/>
          <w:szCs w:val="20"/>
          <w:color w:val="auto"/>
        </w:rPr>
      </w:pPr>
    </w:p>
    <w:p>
      <w:pPr>
        <w:ind w:left="900" w:hanging="446"/>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Charitable Contributions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director, or an immediate family member of the director, has served as an executive officer of a charitable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that receives payments from the Company in an amount which, in any single fiscal year since the determination date, exceeds the greater of $1,000,000, or 2% of such charitable organization consolidated gross revenues as reported in its last completed fiscal year.</w:t>
      </w:r>
    </w:p>
    <w:p>
      <w:pPr>
        <w:spacing w:after="0" w:line="25" w:lineRule="exact"/>
        <w:rPr>
          <w:rFonts w:ascii="Arial" w:cs="Arial" w:eastAsia="Arial" w:hAnsi="Arial"/>
          <w:sz w:val="16"/>
          <w:szCs w:val="16"/>
          <w:color w:val="auto"/>
        </w:rPr>
      </w:pPr>
    </w:p>
    <w:p>
      <w:pPr>
        <w:ind w:left="900" w:right="4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 or an immediate family member of the director has served, as an executive officer of another company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consolidated gross revenues as reported in its last completed fiscal year.</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For purposes of the above standards: (i)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includes Amdocs Limited and any parent or subsidiary that would be required under U.S. generally accepted accounting principles to prepare financial statements on a consolidated basis; and (ii) </w:t>
      </w:r>
      <w:r>
        <w:rPr>
          <w:rFonts w:ascii="Arial" w:cs="Arial" w:eastAsia="Arial" w:hAnsi="Arial"/>
          <w:sz w:val="18"/>
          <w:szCs w:val="18"/>
          <w:b w:val="1"/>
          <w:bCs w:val="1"/>
          <w:i w:val="1"/>
          <w:iCs w:val="1"/>
          <w:color w:val="auto"/>
        </w:rPr>
        <w:t>“Immediate Family Member”</w:t>
      </w:r>
      <w:r>
        <w:rPr>
          <w:rFonts w:ascii="Arial" w:cs="Arial" w:eastAsia="Arial" w:hAnsi="Arial"/>
          <w:sz w:val="18"/>
          <w:szCs w:val="18"/>
          <w:color w:val="auto"/>
        </w:rPr>
        <w:t xml:space="preserve"> includes a person’s spouse, parents, children, siblings, mothers and fathers-in-law, sons and daughters-in-law, brothers and sisters-in-law, and anyone (other than domestic employees) who shares such person’s home, other than individuals who are no longer immediate family members as a result of legal separation or divorce, or those who have died or become incapacitated.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AMDOCS LIMITED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1998 STOCK OPTION AND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PROPOSED TO BE AMENDED ON FEBRUARY 2, 2012</w:t>
      </w:r>
    </w:p>
    <w:p>
      <w:pPr>
        <w:spacing w:after="0" w:line="21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Purpose; Type of Awards; Construction</w:t>
      </w:r>
    </w:p>
    <w:p>
      <w:pPr>
        <w:spacing w:after="0" w:line="90" w:lineRule="exact"/>
        <w:rPr>
          <w:rFonts w:ascii="Arial" w:cs="Arial" w:eastAsia="Arial" w:hAnsi="Arial"/>
          <w:sz w:val="18"/>
          <w:szCs w:val="18"/>
          <w:color w:val="auto"/>
        </w:rPr>
      </w:pPr>
    </w:p>
    <w:p>
      <w:pPr>
        <w:ind w:left="460" w:right="20"/>
        <w:spacing w:after="0" w:line="288" w:lineRule="auto"/>
        <w:rPr>
          <w:rFonts w:ascii="Arial" w:cs="Arial" w:eastAsia="Arial" w:hAnsi="Arial"/>
          <w:sz w:val="18"/>
          <w:szCs w:val="18"/>
          <w:color w:val="auto"/>
        </w:rPr>
      </w:pPr>
      <w:r>
        <w:rPr>
          <w:rFonts w:ascii="Arial" w:cs="Arial" w:eastAsia="Arial" w:hAnsi="Arial"/>
          <w:sz w:val="16"/>
          <w:szCs w:val="16"/>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16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used in this Plan, the following words and phrases shall have the meanings indicated: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“Ordinary Shares” shall mean shares of ordinary shares, par value £0.01 per share, of the Company.</w:t>
      </w:r>
    </w:p>
    <w:p>
      <w:pPr>
        <w:spacing w:after="0" w:line="90" w:lineRule="exact"/>
        <w:rPr>
          <w:rFonts w:ascii="Arial" w:cs="Arial" w:eastAsia="Arial" w:hAnsi="Arial"/>
          <w:sz w:val="18"/>
          <w:szCs w:val="18"/>
          <w:color w:val="auto"/>
        </w:rPr>
      </w:pPr>
    </w:p>
    <w:p>
      <w:pPr>
        <w:jc w:val="both"/>
        <w:ind w:left="900" w:right="50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59" w:lineRule="exact"/>
        <w:rPr>
          <w:rFonts w:ascii="Arial" w:cs="Arial" w:eastAsia="Arial" w:hAnsi="Arial"/>
          <w:sz w:val="18"/>
          <w:szCs w:val="18"/>
          <w:color w:val="auto"/>
        </w:rPr>
      </w:pPr>
    </w:p>
    <w:p>
      <w:pPr>
        <w:ind w:left="900" w:right="20" w:hanging="446"/>
        <w:spacing w:after="0" w:line="302" w:lineRule="auto"/>
        <w:tabs>
          <w:tab w:leader="none" w:pos="900" w:val="left"/>
        </w:tabs>
        <w:numPr>
          <w:ilvl w:val="1"/>
          <w:numId w:val="25"/>
        </w:numPr>
        <w:rPr>
          <w:rFonts w:ascii="Arial" w:cs="Arial" w:eastAsia="Arial" w:hAnsi="Arial"/>
          <w:sz w:val="15"/>
          <w:szCs w:val="15"/>
          <w:color w:val="auto"/>
        </w:rPr>
      </w:pPr>
      <w:r>
        <w:rPr>
          <w:rFonts w:ascii="Arial" w:cs="Arial" w:eastAsia="Arial" w:hAnsi="Arial"/>
          <w:sz w:val="15"/>
          <w:szCs w:val="15"/>
          <w:color w:val="auto"/>
        </w:rPr>
        <w:t>“Fair Market Value” per share as of a particular date shall mean (i) if the shares of Ordinary Shares are not then listed on a national securities exchange or traded in an over-the-counter market, such value as the Committee, in 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w:t>
      </w:r>
    </w:p>
    <w:p>
      <w:pPr>
        <w:spacing w:after="0" w:line="2" w:lineRule="exact"/>
        <w:rPr>
          <w:rFonts w:ascii="Arial" w:cs="Arial" w:eastAsia="Arial" w:hAnsi="Arial"/>
          <w:sz w:val="15"/>
          <w:szCs w:val="15"/>
          <w:color w:val="auto"/>
        </w:rPr>
      </w:pPr>
    </w:p>
    <w:p>
      <w:pPr>
        <w:ind w:left="900" w:right="220" w:hanging="1"/>
        <w:spacing w:after="0" w:line="352" w:lineRule="auto"/>
        <w:tabs>
          <w:tab w:leader="none" w:pos="1207" w:val="left"/>
        </w:tabs>
        <w:numPr>
          <w:ilvl w:val="2"/>
          <w:numId w:val="25"/>
        </w:numPr>
        <w:rPr>
          <w:rFonts w:ascii="Arial" w:cs="Arial" w:eastAsia="Arial" w:hAnsi="Arial"/>
          <w:sz w:val="15"/>
          <w:szCs w:val="15"/>
          <w:color w:val="auto"/>
        </w:rPr>
      </w:pPr>
      <w:r>
        <w:rPr>
          <w:rFonts w:ascii="Arial" w:cs="Arial" w:eastAsia="Arial" w:hAnsi="Arial"/>
          <w:sz w:val="15"/>
          <w:szCs w:val="15"/>
          <w:color w:val="auto"/>
        </w:rPr>
        <w:t>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ind w:left="900" w:right="6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“Parent” shall mean any company (other than the Company)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w:t>
      </w:r>
    </w:p>
    <w:p>
      <w:pPr>
        <w:spacing w:after="0" w:line="59" w:lineRule="exact"/>
        <w:rPr>
          <w:rFonts w:ascii="Arial" w:cs="Arial" w:eastAsia="Arial" w:hAnsi="Arial"/>
          <w:sz w:val="18"/>
          <w:szCs w:val="18"/>
          <w:color w:val="auto"/>
        </w:rPr>
      </w:pPr>
    </w:p>
    <w:p>
      <w:pPr>
        <w:jc w:val="both"/>
        <w:ind w:left="900" w:right="220" w:hanging="446"/>
        <w:spacing w:after="0" w:line="306"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“Subsidiary” shall mean any company (other than the Company)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w:t>
      </w:r>
    </w:p>
    <w:p>
      <w:pPr>
        <w:sectPr>
          <w:pgSz w:w="11900" w:h="16838" w:orient="portrait"/>
          <w:cols w:equalWidth="0" w:num="1">
            <w:col w:w="11420"/>
          </w:cols>
          <w:pgMar w:left="240" w:top="274" w:right="239" w:bottom="1440" w:gutter="0" w:footer="0" w:header="0"/>
        </w:sectPr>
      </w:pPr>
    </w:p>
    <w:bookmarkStart w:id="31" w:name="page32"/>
    <w:bookmarkEnd w:id="31"/>
    <w:p>
      <w:pPr>
        <w:ind w:left="892" w:right="160" w:hanging="446"/>
        <w:spacing w:after="0" w:line="370" w:lineRule="auto"/>
        <w:tabs>
          <w:tab w:leader="none" w:pos="892" w:val="left"/>
        </w:tabs>
        <w:numPr>
          <w:ilvl w:val="1"/>
          <w:numId w:val="2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102" w:lineRule="exact"/>
        <w:rPr>
          <w:rFonts w:ascii="Arial" w:cs="Arial" w:eastAsia="Arial" w:hAnsi="Arial"/>
          <w:sz w:val="15"/>
          <w:szCs w:val="15"/>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Plan shall be administered by a committee (the “Committee”) established by the Board of Directors of the Company (the “Board”).</w:t>
      </w:r>
    </w:p>
    <w:p>
      <w:pPr>
        <w:spacing w:after="0" w:line="90" w:lineRule="exact"/>
        <w:rPr>
          <w:rFonts w:ascii="Arial" w:cs="Arial" w:eastAsia="Arial" w:hAnsi="Arial"/>
          <w:sz w:val="18"/>
          <w:szCs w:val="18"/>
          <w:color w:val="auto"/>
        </w:rPr>
      </w:pPr>
    </w:p>
    <w:p>
      <w:pPr>
        <w:ind w:left="452" w:right="60"/>
        <w:spacing w:after="0" w:line="287" w:lineRule="auto"/>
        <w:rPr>
          <w:rFonts w:ascii="Arial" w:cs="Arial" w:eastAsia="Arial" w:hAnsi="Arial"/>
          <w:sz w:val="18"/>
          <w:szCs w:val="18"/>
          <w:color w:val="auto"/>
        </w:rPr>
      </w:pPr>
      <w:r>
        <w:rPr>
          <w:rFonts w:ascii="Arial" w:cs="Arial" w:eastAsia="Arial" w:hAnsi="Arial"/>
          <w:sz w:val="16"/>
          <w:szCs w:val="16"/>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41" w:lineRule="exact"/>
        <w:rPr>
          <w:rFonts w:ascii="Arial" w:cs="Arial" w:eastAsia="Arial" w:hAnsi="Arial"/>
          <w:sz w:val="18"/>
          <w:szCs w:val="18"/>
          <w:color w:val="auto"/>
        </w:rPr>
      </w:pPr>
    </w:p>
    <w:p>
      <w:pPr>
        <w:ind w:left="452" w:right="40"/>
        <w:spacing w:after="0" w:line="256" w:lineRule="auto"/>
        <w:rPr>
          <w:rFonts w:ascii="Arial" w:cs="Arial" w:eastAsia="Arial" w:hAnsi="Arial"/>
          <w:sz w:val="18"/>
          <w:szCs w:val="18"/>
          <w:color w:val="auto"/>
        </w:rPr>
      </w:pPr>
      <w:r>
        <w:rPr>
          <w:rFonts w:ascii="Arial" w:cs="Arial" w:eastAsia="Arial" w:hAnsi="Arial"/>
          <w:sz w:val="18"/>
          <w:szCs w:val="18"/>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62" w:lineRule="exact"/>
        <w:rPr>
          <w:rFonts w:ascii="Arial" w:cs="Arial" w:eastAsia="Arial" w:hAnsi="Arial"/>
          <w:sz w:val="18"/>
          <w:szCs w:val="18"/>
          <w:color w:val="auto"/>
        </w:rPr>
      </w:pPr>
    </w:p>
    <w:p>
      <w:pPr>
        <w:ind w:left="452" w:right="60"/>
        <w:spacing w:after="0" w:line="268" w:lineRule="auto"/>
        <w:rPr>
          <w:rFonts w:ascii="Arial" w:cs="Arial" w:eastAsia="Arial" w:hAnsi="Arial"/>
          <w:sz w:val="18"/>
          <w:szCs w:val="18"/>
          <w:color w:val="auto"/>
        </w:rPr>
      </w:pPr>
      <w:r>
        <w:rPr>
          <w:rFonts w:ascii="Arial" w:cs="Arial" w:eastAsia="Arial" w:hAnsi="Arial"/>
          <w:sz w:val="18"/>
          <w:szCs w:val="18"/>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50" w:lineRule="exact"/>
        <w:rPr>
          <w:rFonts w:ascii="Arial" w:cs="Arial" w:eastAsia="Arial" w:hAnsi="Arial"/>
          <w:sz w:val="18"/>
          <w:szCs w:val="18"/>
          <w:color w:val="auto"/>
        </w:rPr>
      </w:pPr>
    </w:p>
    <w:p>
      <w:pPr>
        <w:ind w:left="452" w:right="500"/>
        <w:spacing w:after="0" w:line="268" w:lineRule="auto"/>
        <w:rPr>
          <w:rFonts w:ascii="Arial" w:cs="Arial" w:eastAsia="Arial" w:hAnsi="Arial"/>
          <w:sz w:val="18"/>
          <w:szCs w:val="18"/>
          <w:color w:val="auto"/>
        </w:rPr>
      </w:pPr>
      <w:r>
        <w:rPr>
          <w:rFonts w:ascii="Arial" w:cs="Arial" w:eastAsia="Arial" w:hAnsi="Arial"/>
          <w:sz w:val="18"/>
          <w:szCs w:val="18"/>
          <w:color w:val="auto"/>
        </w:rPr>
        <w:t>No member of the Board or Committee shall be liable for any action taken or determination made in good faith with respect to the Plan or any award granted hereunder.</w:t>
      </w:r>
    </w:p>
    <w:p>
      <w:pPr>
        <w:spacing w:after="0" w:line="172" w:lineRule="exact"/>
        <w:rPr>
          <w:rFonts w:ascii="Arial" w:cs="Arial" w:eastAsia="Arial" w:hAnsi="Arial"/>
          <w:sz w:val="18"/>
          <w:szCs w:val="18"/>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rFonts w:ascii="Arial" w:cs="Arial" w:eastAsia="Arial" w:hAnsi="Arial"/>
          <w:sz w:val="18"/>
          <w:szCs w:val="18"/>
          <w:color w:val="auto"/>
        </w:rPr>
      </w:pPr>
    </w:p>
    <w:p>
      <w:pPr>
        <w:ind w:left="452"/>
        <w:spacing w:after="0" w:line="256" w:lineRule="auto"/>
        <w:rPr>
          <w:rFonts w:ascii="Arial" w:cs="Arial" w:eastAsia="Arial" w:hAnsi="Arial"/>
          <w:sz w:val="18"/>
          <w:szCs w:val="18"/>
          <w:color w:val="auto"/>
        </w:rPr>
      </w:pPr>
      <w:r>
        <w:rPr>
          <w:rFonts w:ascii="Arial" w:cs="Arial" w:eastAsia="Arial" w:hAnsi="Arial"/>
          <w:sz w:val="18"/>
          <w:szCs w:val="18"/>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183" w:lineRule="exact"/>
        <w:rPr>
          <w:rFonts w:ascii="Arial" w:cs="Arial" w:eastAsia="Arial" w:hAnsi="Arial"/>
          <w:sz w:val="18"/>
          <w:szCs w:val="18"/>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Ordinary Shares</w:t>
      </w:r>
    </w:p>
    <w:p>
      <w:pPr>
        <w:spacing w:after="0" w:line="90" w:lineRule="exact"/>
        <w:rPr>
          <w:rFonts w:ascii="Arial" w:cs="Arial" w:eastAsia="Arial" w:hAnsi="Arial"/>
          <w:sz w:val="18"/>
          <w:szCs w:val="18"/>
          <w:color w:val="auto"/>
        </w:rPr>
      </w:pPr>
    </w:p>
    <w:p>
      <w:pPr>
        <w:ind w:left="452" w:right="580"/>
        <w:spacing w:after="0" w:line="332" w:lineRule="auto"/>
        <w:rPr>
          <w:rFonts w:ascii="Arial" w:cs="Arial" w:eastAsia="Arial" w:hAnsi="Arial"/>
          <w:sz w:val="18"/>
          <w:szCs w:val="18"/>
          <w:color w:val="auto"/>
        </w:rPr>
      </w:pPr>
      <w:r>
        <w:rPr>
          <w:rFonts w:ascii="Arial" w:cs="Arial" w:eastAsia="Arial" w:hAnsi="Arial"/>
          <w:sz w:val="16"/>
          <w:szCs w:val="16"/>
          <w:color w:val="auto"/>
        </w:rPr>
        <w:t>The maximum number of Ordinary Shares reserved for grant of awards under the Plan shall be 62,300,000. Such shares may, in whole or in part, be authorized but unissued shares. The foregoing numbers of shares may be increased or decreased by the events set forth in Section 10 hereof.</w:t>
      </w:r>
    </w:p>
    <w:p>
      <w:pPr>
        <w:spacing w:after="0" w:line="4" w:lineRule="exact"/>
        <w:rPr>
          <w:rFonts w:ascii="Arial" w:cs="Arial" w:eastAsia="Arial" w:hAnsi="Arial"/>
          <w:sz w:val="18"/>
          <w:szCs w:val="18"/>
          <w:color w:val="auto"/>
        </w:rPr>
      </w:pPr>
    </w:p>
    <w:p>
      <w:pPr>
        <w:ind w:left="452" w:right="300"/>
        <w:spacing w:after="0" w:line="256" w:lineRule="auto"/>
        <w:rPr>
          <w:rFonts w:ascii="Arial" w:cs="Arial" w:eastAsia="Arial" w:hAnsi="Arial"/>
          <w:sz w:val="18"/>
          <w:szCs w:val="18"/>
          <w:color w:val="auto"/>
        </w:rPr>
      </w:pPr>
      <w:r>
        <w:rPr>
          <w:rFonts w:ascii="Arial" w:cs="Arial" w:eastAsia="Arial" w:hAnsi="Arial"/>
          <w:sz w:val="18"/>
          <w:szCs w:val="18"/>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 provided that an award under the plan may not again be made available for issuance under the plan if such Ordinary Shares are: (i) Ordinary Shares that were subject to</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12"/>
          </w:cols>
          <w:pgMar w:left="248" w:top="280" w:right="239" w:bottom="1440" w:gutter="0" w:footer="0" w:header="0"/>
        </w:sectPr>
      </w:pPr>
    </w:p>
    <w:bookmarkStart w:id="32" w:name="page33"/>
    <w:bookmarkEnd w:id="32"/>
    <w:p>
      <w:pPr>
        <w:ind w:left="452"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stock-settled stock appreciation rights and were not issued upon the net settlement or net exercise of such stock appreciation rights, (ii) Ordinary Shares used to pay the Option Price, (iii) Ordinary Shares delivered to or withheld by the Company to pay the withholding taxes related to an award, or (iv) Ordinary Shares repurchased on the open market with proceeds of an Option exercise.</w:t>
      </w:r>
    </w:p>
    <w:p>
      <w:pPr>
        <w:spacing w:after="0" w:line="181" w:lineRule="exact"/>
        <w:rPr>
          <w:sz w:val="20"/>
          <w:szCs w:val="20"/>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90" w:lineRule="exact"/>
        <w:rPr>
          <w:rFonts w:ascii="Arial" w:cs="Arial" w:eastAsia="Arial" w:hAnsi="Arial"/>
          <w:sz w:val="18"/>
          <w:szCs w:val="18"/>
          <w:color w:val="auto"/>
        </w:rPr>
      </w:pPr>
    </w:p>
    <w:p>
      <w:pPr>
        <w:ind w:left="452" w:right="160"/>
        <w:spacing w:after="0" w:line="259" w:lineRule="auto"/>
        <w:rPr>
          <w:rFonts w:ascii="Arial" w:cs="Arial" w:eastAsia="Arial" w:hAnsi="Arial"/>
          <w:sz w:val="18"/>
          <w:szCs w:val="18"/>
          <w:color w:val="auto"/>
        </w:rPr>
      </w:pPr>
      <w:r>
        <w:rPr>
          <w:rFonts w:ascii="Arial" w:cs="Arial" w:eastAsia="Arial" w:hAnsi="Arial"/>
          <w:sz w:val="18"/>
          <w:szCs w:val="18"/>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NUMBER OF SHARES. Each Option Agreement shall state the number of shares of Ordinary Shares to which the Option relates.</w:t>
      </w:r>
    </w:p>
    <w:p>
      <w:pPr>
        <w:spacing w:after="0" w:line="90" w:lineRule="exact"/>
        <w:rPr>
          <w:rFonts w:ascii="Arial" w:cs="Arial" w:eastAsia="Arial" w:hAnsi="Arial"/>
          <w:sz w:val="18"/>
          <w:szCs w:val="18"/>
          <w:color w:val="auto"/>
        </w:rPr>
      </w:pPr>
    </w:p>
    <w:p>
      <w:pPr>
        <w:ind w:left="892" w:right="220" w:hanging="446"/>
        <w:spacing w:after="0" w:line="268"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OPTION. Each Option Agreement shall specifically state that the Option constitutes an Incentive Stock Option or a Nonqualified Stock Option.</w:t>
      </w:r>
    </w:p>
    <w:p>
      <w:pPr>
        <w:spacing w:after="0" w:line="50" w:lineRule="exact"/>
        <w:rPr>
          <w:rFonts w:ascii="Arial" w:cs="Arial" w:eastAsia="Arial" w:hAnsi="Arial"/>
          <w:sz w:val="18"/>
          <w:szCs w:val="18"/>
          <w:color w:val="auto"/>
        </w:rPr>
      </w:pPr>
    </w:p>
    <w:p>
      <w:pPr>
        <w:ind w:left="892" w:right="180" w:hanging="446"/>
        <w:spacing w:after="0" w:line="256"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62" w:lineRule="exact"/>
        <w:rPr>
          <w:rFonts w:ascii="Arial" w:cs="Arial" w:eastAsia="Arial" w:hAnsi="Arial"/>
          <w:sz w:val="18"/>
          <w:szCs w:val="18"/>
          <w:color w:val="auto"/>
        </w:rPr>
      </w:pPr>
    </w:p>
    <w:p>
      <w:pPr>
        <w:ind w:left="892" w:right="180" w:hanging="446"/>
        <w:spacing w:after="0" w:line="290" w:lineRule="auto"/>
        <w:tabs>
          <w:tab w:leader="none" w:pos="892" w:val="left"/>
        </w:tabs>
        <w:numPr>
          <w:ilvl w:val="1"/>
          <w:numId w:val="28"/>
        </w:numPr>
        <w:rPr>
          <w:rFonts w:ascii="Arial" w:cs="Arial" w:eastAsia="Arial" w:hAnsi="Arial"/>
          <w:sz w:val="16"/>
          <w:szCs w:val="16"/>
          <w:color w:val="auto"/>
        </w:rPr>
      </w:pPr>
      <w:r>
        <w:rPr>
          <w:rFonts w:ascii="Arial" w:cs="Arial" w:eastAsia="Arial" w:hAnsi="Arial"/>
          <w:sz w:val="16"/>
          <w:szCs w:val="16"/>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37" w:lineRule="exact"/>
        <w:rPr>
          <w:rFonts w:ascii="Arial" w:cs="Arial" w:eastAsia="Arial" w:hAnsi="Arial"/>
          <w:sz w:val="16"/>
          <w:szCs w:val="16"/>
          <w:color w:val="auto"/>
        </w:rPr>
      </w:pPr>
    </w:p>
    <w:p>
      <w:pPr>
        <w:ind w:left="892" w:right="140" w:hanging="446"/>
        <w:spacing w:after="0" w:line="255"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62" w:lineRule="exact"/>
        <w:rPr>
          <w:sz w:val="20"/>
          <w:szCs w:val="20"/>
          <w:color w:val="auto"/>
        </w:rPr>
      </w:pPr>
    </w:p>
    <w:p>
      <w:pPr>
        <w:ind w:left="912"/>
        <w:spacing w:after="0" w:line="318" w:lineRule="auto"/>
        <w:rPr>
          <w:sz w:val="20"/>
          <w:szCs w:val="20"/>
          <w:color w:val="auto"/>
        </w:rPr>
      </w:pPr>
      <w:r>
        <w:rPr>
          <w:rFonts w:ascii="Arial" w:cs="Arial" w:eastAsia="Arial" w:hAnsi="Arial"/>
          <w:sz w:val="15"/>
          <w:szCs w:val="15"/>
          <w:color w:val="auto"/>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19" w:lineRule="exact"/>
        <w:rPr>
          <w:sz w:val="20"/>
          <w:szCs w:val="20"/>
          <w:color w:val="auto"/>
        </w:rPr>
      </w:pPr>
    </w:p>
    <w:p>
      <w:pPr>
        <w:ind w:left="892" w:right="40" w:hanging="446"/>
        <w:spacing w:after="0" w:line="294" w:lineRule="auto"/>
        <w:tabs>
          <w:tab w:leader="none" w:pos="89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92"/>
          </w:cols>
          <w:pgMar w:left="248" w:top="280" w:right="259" w:bottom="1440" w:gutter="0" w:footer="0" w:header="0"/>
        </w:sectPr>
      </w:pPr>
    </w:p>
    <w:bookmarkStart w:id="33" w:name="page34"/>
    <w:bookmarkEnd w:id="33"/>
    <w:p>
      <w:pPr>
        <w:ind w:left="466"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66" w:lineRule="exact"/>
        <w:rPr>
          <w:sz w:val="20"/>
          <w:szCs w:val="20"/>
          <w:color w:val="auto"/>
        </w:rPr>
      </w:pPr>
    </w:p>
    <w:p>
      <w:pPr>
        <w:ind w:left="446" w:hanging="446"/>
        <w:spacing w:after="0" w:line="288"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38" w:lineRule="exact"/>
        <w:rPr>
          <w:rFonts w:ascii="Arial" w:cs="Arial" w:eastAsia="Arial" w:hAnsi="Arial"/>
          <w:sz w:val="16"/>
          <w:szCs w:val="16"/>
          <w:color w:val="auto"/>
        </w:rPr>
      </w:pPr>
    </w:p>
    <w:p>
      <w:pPr>
        <w:ind w:left="446" w:hanging="446"/>
        <w:spacing w:after="0" w:line="306" w:lineRule="auto"/>
        <w:tabs>
          <w:tab w:leader="none" w:pos="446" w:val="left"/>
        </w:tabs>
        <w:numPr>
          <w:ilvl w:val="0"/>
          <w:numId w:val="30"/>
        </w:numPr>
        <w:rPr>
          <w:rFonts w:ascii="Arial" w:cs="Arial" w:eastAsia="Arial" w:hAnsi="Arial"/>
          <w:sz w:val="15"/>
          <w:szCs w:val="15"/>
          <w:color w:val="auto"/>
        </w:rPr>
      </w:pPr>
      <w:r>
        <w:rPr>
          <w:rFonts w:ascii="Arial" w:cs="Arial" w:eastAsia="Arial" w:hAnsi="Arial"/>
          <w:sz w:val="15"/>
          <w:szCs w:val="15"/>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31" w:lineRule="exact"/>
        <w:rPr>
          <w:rFonts w:ascii="Arial" w:cs="Arial" w:eastAsia="Arial" w:hAnsi="Arial"/>
          <w:sz w:val="15"/>
          <w:szCs w:val="15"/>
          <w:color w:val="auto"/>
        </w:rPr>
      </w:pPr>
    </w:p>
    <w:p>
      <w:pPr>
        <w:ind w:left="446" w:right="18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PROVISIONS. The Option Agreements evidencing Options under the Plan shall contain such other terms and conditions, not inconsistent with the Plan, as the Committee may determine.</w:t>
      </w:r>
    </w:p>
    <w:p>
      <w:pPr>
        <w:spacing w:after="0" w:line="50"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EXERCISE OF OPTIONS. A Grantee who decides to exercise an Option in whole or in part shall give notice to the Company or its designated agent of such exercise in writing on a form approved by the Committee. Such notice shall specify the manner in which the Grantee will make payment of the Option Price.</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946"/>
          </w:cols>
          <w:pgMar w:left="694" w:top="280" w:right="259" w:bottom="1440" w:gutter="0" w:footer="0" w:header="0"/>
        </w:sectPr>
      </w:pPr>
    </w:p>
    <w:bookmarkStart w:id="34" w:name="page35"/>
    <w:bookmarkEnd w:id="34"/>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Stock Options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Options intended to constitute Nonqualified Stock Options shall be subject only to the general terms and conditions specified in Section 6 hereof.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7A. </w:t>
      </w:r>
      <w:r>
        <w:rPr>
          <w:rFonts w:ascii="Arial" w:cs="Arial" w:eastAsia="Arial" w:hAnsi="Arial"/>
          <w:sz w:val="18"/>
          <w:szCs w:val="18"/>
          <w:u w:val="single" w:color="auto"/>
          <w:color w:val="auto"/>
        </w:rPr>
        <w:t>102 Securities</w:t>
      </w:r>
    </w:p>
    <w:p>
      <w:pPr>
        <w:spacing w:after="0" w:line="90" w:lineRule="exact"/>
        <w:rPr>
          <w:sz w:val="20"/>
          <w:szCs w:val="20"/>
          <w:color w:val="auto"/>
        </w:rPr>
      </w:pPr>
    </w:p>
    <w:p>
      <w:pPr>
        <w:jc w:val="both"/>
        <w:ind w:left="460" w:right="40"/>
        <w:spacing w:after="0" w:line="298" w:lineRule="auto"/>
        <w:rPr>
          <w:sz w:val="20"/>
          <w:szCs w:val="20"/>
          <w:color w:val="auto"/>
        </w:rPr>
      </w:pPr>
      <w:r>
        <w:rPr>
          <w:rFonts w:ascii="Arial" w:cs="Arial" w:eastAsia="Arial" w:hAnsi="Arial"/>
          <w:sz w:val="16"/>
          <w:szCs w:val="16"/>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153"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p>
    <w:p>
      <w:pPr>
        <w:spacing w:after="0" w:line="90"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50" w:lineRule="exact"/>
        <w:rPr>
          <w:rFonts w:ascii="Arial" w:cs="Arial" w:eastAsia="Arial" w:hAnsi="Arial"/>
          <w:sz w:val="18"/>
          <w:szCs w:val="18"/>
          <w:color w:val="auto"/>
        </w:rPr>
      </w:pPr>
    </w:p>
    <w:p>
      <w:pPr>
        <w:ind w:left="900" w:hanging="446"/>
        <w:spacing w:after="0" w:line="289"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37" w:lineRule="exact"/>
        <w:rPr>
          <w:rFonts w:ascii="Arial" w:cs="Arial" w:eastAsia="Arial" w:hAnsi="Arial"/>
          <w:sz w:val="16"/>
          <w:szCs w:val="16"/>
          <w:color w:val="auto"/>
        </w:rPr>
      </w:pPr>
    </w:p>
    <w:p>
      <w:pPr>
        <w:jc w:val="both"/>
        <w:ind w:left="900" w:right="100" w:hanging="446"/>
        <w:spacing w:after="0" w:line="306"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147"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90"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31" w:lineRule="exact"/>
        <w:rPr>
          <w:rFonts w:ascii="Arial" w:cs="Arial" w:eastAsia="Arial" w:hAnsi="Arial"/>
          <w:sz w:val="18"/>
          <w:szCs w:val="18"/>
          <w:color w:val="auto"/>
        </w:rPr>
      </w:pPr>
    </w:p>
    <w:p>
      <w:pPr>
        <w:ind w:left="1140" w:hanging="565"/>
        <w:spacing w:after="0"/>
        <w:tabs>
          <w:tab w:leader="none" w:pos="11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Committee shall determine the number of shares of Ordinary Shares to be issued to the Grantee pursuant to the award.</w:t>
      </w:r>
    </w:p>
    <w:p>
      <w:pPr>
        <w:spacing w:after="0" w:line="90" w:lineRule="exact"/>
        <w:rPr>
          <w:sz w:val="20"/>
          <w:szCs w:val="20"/>
          <w:color w:val="auto"/>
        </w:rPr>
      </w:pPr>
    </w:p>
    <w:p>
      <w:pPr>
        <w:ind w:left="1140" w:right="60" w:hanging="559"/>
        <w:spacing w:after="0" w:line="294" w:lineRule="auto"/>
        <w:tabs>
          <w:tab w:leader="none" w:pos="1120" w:val="left"/>
        </w:tabs>
        <w:rPr>
          <w:sz w:val="20"/>
          <w:szCs w:val="20"/>
          <w:color w:val="auto"/>
        </w:rPr>
      </w:pPr>
      <w:r>
        <w:rPr>
          <w:rFonts w:ascii="Arial" w:cs="Arial" w:eastAsia="Arial" w:hAnsi="Arial"/>
          <w:sz w:val="16"/>
          <w:szCs w:val="16"/>
          <w:color w:val="auto"/>
        </w:rPr>
        <w:t>(b)(i)</w:t>
        <w:tab/>
        <w:t>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 attempt to dispose of any such shares of stock in contravention of such restrictions shall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280" w:right="259" w:bottom="1440" w:gutter="0" w:footer="0" w:header="0"/>
        </w:sectPr>
      </w:pPr>
    </w:p>
    <w:bookmarkStart w:id="35" w:name="page36"/>
    <w:bookmarkEnd w:id="35"/>
    <w:p>
      <w:pPr>
        <w:ind w:left="1140"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fourth anniversary of the date of grant</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further, however, that the foregoing vesting schedule shall not apply to (A) 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42" w:lineRule="exact"/>
        <w:rPr>
          <w:sz w:val="20"/>
          <w:szCs w:val="20"/>
          <w:color w:val="auto"/>
        </w:rPr>
      </w:pPr>
    </w:p>
    <w:p>
      <w:pPr>
        <w:ind w:left="1140" w:right="20" w:hanging="565"/>
        <w:spacing w:after="0" w:line="291"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 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39" w:lineRule="exact"/>
        <w:rPr>
          <w:sz w:val="20"/>
          <w:szCs w:val="20"/>
          <w:color w:val="auto"/>
        </w:rPr>
      </w:pPr>
    </w:p>
    <w:p>
      <w:pPr>
        <w:ind w:left="1140" w:hanging="565"/>
        <w:spacing w:after="0" w:line="298"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spacing w:after="0" w:line="31" w:lineRule="exact"/>
        <w:rPr>
          <w:rFonts w:ascii="Arial" w:cs="Arial" w:eastAsia="Arial" w:hAnsi="Arial"/>
          <w:sz w:val="16"/>
          <w:szCs w:val="16"/>
          <w:color w:val="auto"/>
        </w:rPr>
      </w:pPr>
    </w:p>
    <w:p>
      <w:pPr>
        <w:ind w:left="1140" w:right="460" w:hanging="565"/>
        <w:spacing w:after="0" w:line="268"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50" w:lineRule="exact"/>
        <w:rPr>
          <w:rFonts w:ascii="Arial" w:cs="Arial" w:eastAsia="Arial" w:hAnsi="Arial"/>
          <w:sz w:val="18"/>
          <w:szCs w:val="18"/>
          <w:color w:val="auto"/>
        </w:rPr>
      </w:pPr>
    </w:p>
    <w:p>
      <w:pPr>
        <w:ind w:left="1140" w:right="100" w:hanging="565"/>
        <w:spacing w:after="0" w:line="259"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8"/>
          <w:szCs w:val="18"/>
          <w:u w:val="single" w:color="auto"/>
          <w:color w:val="auto"/>
        </w:rPr>
        <w:t>Stock Appreciation Rights</w:t>
      </w:r>
    </w:p>
    <w:p>
      <w:pPr>
        <w:spacing w:after="0" w:line="90" w:lineRule="exact"/>
        <w:rPr>
          <w:sz w:val="20"/>
          <w:szCs w:val="20"/>
          <w:color w:val="auto"/>
        </w:rPr>
      </w:pPr>
    </w:p>
    <w:p>
      <w:pPr>
        <w:ind w:left="900" w:right="40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Committee may also grant stock appreciation rights (“SARs”)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w:t>
      </w:r>
    </w:p>
    <w:p>
      <w:pPr>
        <w:spacing w:after="0" w:line="59" w:lineRule="exact"/>
        <w:rPr>
          <w:rFonts w:ascii="Arial" w:cs="Arial" w:eastAsia="Arial" w:hAnsi="Arial"/>
          <w:sz w:val="18"/>
          <w:szCs w:val="18"/>
          <w:color w:val="auto"/>
        </w:rPr>
      </w:pPr>
    </w:p>
    <w:p>
      <w:pPr>
        <w:jc w:val="both"/>
        <w:ind w:left="900" w:right="220" w:hanging="446"/>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Committee shall establish the exercise price of each SAR and specify it in the applicable SAR agreement. The exercise price shall not be less than 100% of the Fair Market Value on the date the SAR is granted; provided that if the Committee approves the grant of an SAR effective as of a future date, the exercise price shall be not less than 100% of the Fair Market Value on such future date.</w:t>
      </w:r>
    </w:p>
    <w:p>
      <w:pPr>
        <w:spacing w:after="0" w:line="25" w:lineRule="exact"/>
        <w:rPr>
          <w:rFonts w:ascii="Arial" w:cs="Arial" w:eastAsia="Arial" w:hAnsi="Arial"/>
          <w:sz w:val="16"/>
          <w:szCs w:val="16"/>
          <w:color w:val="auto"/>
        </w:rPr>
      </w:pPr>
    </w:p>
    <w:p>
      <w:pPr>
        <w:ind w:left="900" w:right="72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SAR shall be exercisable at such times and subject to such terms and conditions as the Committee may specify in the applicable SAR agreement; provided, however, that no SAR will be granted with a term in excess of 10 years.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80"/>
          </w:cols>
          <w:pgMar w:left="240" w:top="280" w:right="279" w:bottom="1440" w:gutter="0" w:footer="0" w:header="0"/>
        </w:sectPr>
      </w:pPr>
    </w:p>
    <w:bookmarkStart w:id="36" w:name="page37"/>
    <w:bookmarkEnd w:id="3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9B.</w:t>
      </w:r>
      <w:r>
        <w:rPr>
          <w:sz w:val="20"/>
          <w:szCs w:val="20"/>
          <w:color w:val="auto"/>
        </w:rPr>
        <w:tab/>
      </w:r>
      <w:r>
        <w:rPr>
          <w:rFonts w:ascii="Arial" w:cs="Arial" w:eastAsia="Arial" w:hAnsi="Arial"/>
          <w:sz w:val="18"/>
          <w:szCs w:val="18"/>
          <w:u w:val="single" w:color="auto"/>
          <w:color w:val="auto"/>
        </w:rPr>
        <w:t>Other Stock-Based Awards</w:t>
      </w:r>
    </w:p>
    <w:p>
      <w:pPr>
        <w:spacing w:after="0" w:line="90"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The Committee may grant other awards under the Plan pursuant to which shares of Ordinary Shares (which may, but need not, be shares of Restricted Stock pursuant to Section 9 hereof) are or may in the future be acquired, or awards denominated in stock units, including ones values using measures other than market value. Such other stock based awards may be granted alone, in addition to, or in tandem with any award of any typed granted under the plan and must be consistent with the purposes of the Plan. From and after November 30, 2011, the Committee may not award such stock-based awards, including but not limited to Shares of Restricted Stock or awards denominated in stock units (but excluding options and SARs), in an aggregate amount that exceeds 7,554,579 Ordinary Shares.</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9C.</w:t>
      </w:r>
      <w:r>
        <w:rPr>
          <w:sz w:val="20"/>
          <w:szCs w:val="20"/>
          <w:color w:val="auto"/>
        </w:rPr>
        <w:tab/>
      </w:r>
      <w:r>
        <w:rPr>
          <w:rFonts w:ascii="Arial" w:cs="Arial" w:eastAsia="Arial" w:hAnsi="Arial"/>
          <w:sz w:val="18"/>
          <w:szCs w:val="18"/>
          <w:u w:val="single" w:color="auto"/>
          <w:color w:val="auto"/>
        </w:rPr>
        <w:t>Limitations and Conditions.</w:t>
      </w:r>
    </w:p>
    <w:p>
      <w:pPr>
        <w:spacing w:after="0" w:line="90" w:lineRule="exact"/>
        <w:rPr>
          <w:sz w:val="20"/>
          <w:szCs w:val="20"/>
          <w:color w:val="auto"/>
        </w:rPr>
      </w:pPr>
    </w:p>
    <w:p>
      <w:pPr>
        <w:ind w:left="900" w:hanging="446"/>
        <w:spacing w:after="0" w:line="290"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substiuted options or other awards shall not count as part of the total number of shares of Ordinary Shares that may be made subject to awards under this Plan or the limitation on other stock-based awards under Section 9B hereof, except as may be required by reason of Section 422 and related provisions of the Code. Any assumed or substituted awards to be administered under the Plan shall be on such terms as the Board deems appropriate in the circumstances, notwithstanding any limitations on the terms and conditions of awards contained in the Plan.</w:t>
      </w:r>
    </w:p>
    <w:p>
      <w:pPr>
        <w:spacing w:after="0" w:line="37" w:lineRule="exact"/>
        <w:rPr>
          <w:rFonts w:ascii="Arial" w:cs="Arial" w:eastAsia="Arial" w:hAnsi="Arial"/>
          <w:sz w:val="16"/>
          <w:szCs w:val="16"/>
          <w:color w:val="auto"/>
        </w:rPr>
      </w:pPr>
    </w:p>
    <w:p>
      <w:pPr>
        <w:ind w:left="900" w:right="40" w:hanging="446"/>
        <w:spacing w:after="0" w:line="314"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Subject to section 5 above, 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 For the avoidance of doubt, any shares that have been made subject to an award made prior to November 30, 2011 and of the type described in the last sentence of Section 9B that cease to be subject to such award (other than by reason of exercise or payment of the award to the extent it is settled in shares) shall again be available for awards of the type described in the last sentence of Section 9B, without regard to the sublimit set forth in the last sentence of Section 9B, and shall not be considered as having been theretofore made subject to award.</w:t>
      </w:r>
    </w:p>
    <w:p>
      <w:pPr>
        <w:spacing w:after="0" w:line="23" w:lineRule="exact"/>
        <w:rPr>
          <w:rFonts w:ascii="Arial" w:cs="Arial" w:eastAsia="Arial" w:hAnsi="Arial"/>
          <w:sz w:val="15"/>
          <w:szCs w:val="15"/>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Nothing contained herein shall affect the right of the Company to terminate any Grantee’s employment at any time or for any reason.</w:t>
      </w:r>
    </w:p>
    <w:p>
      <w:pPr>
        <w:spacing w:after="0" w:line="23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Effect of Certain Changes</w:t>
      </w:r>
    </w:p>
    <w:p>
      <w:pPr>
        <w:spacing w:after="0" w:line="90" w:lineRule="exact"/>
        <w:rPr>
          <w:rFonts w:ascii="Arial" w:cs="Arial" w:eastAsia="Arial" w:hAnsi="Arial"/>
          <w:sz w:val="18"/>
          <w:szCs w:val="18"/>
          <w:color w:val="auto"/>
        </w:rPr>
      </w:pPr>
    </w:p>
    <w:p>
      <w:pPr>
        <w:ind w:left="900" w:right="40" w:hanging="446"/>
        <w:spacing w:after="0" w:line="291"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pacing w:after="0" w:line="39" w:lineRule="exact"/>
        <w:rPr>
          <w:rFonts w:ascii="Arial" w:cs="Arial" w:eastAsia="Arial" w:hAnsi="Arial"/>
          <w:sz w:val="16"/>
          <w:szCs w:val="16"/>
          <w:color w:val="auto"/>
        </w:rPr>
      </w:pPr>
    </w:p>
    <w:p>
      <w:pPr>
        <w:ind w:left="900" w:right="32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50" w:lineRule="exact"/>
        <w:rPr>
          <w:rFonts w:ascii="Arial" w:cs="Arial" w:eastAsia="Arial" w:hAnsi="Arial"/>
          <w:sz w:val="18"/>
          <w:szCs w:val="18"/>
          <w:color w:val="auto"/>
        </w:rPr>
      </w:pPr>
    </w:p>
    <w:p>
      <w:pPr>
        <w:ind w:left="1480" w:right="60" w:hanging="567"/>
        <w:spacing w:after="0" w:line="306" w:lineRule="auto"/>
        <w:tabs>
          <w:tab w:leader="none" w:pos="1480" w:val="left"/>
        </w:tabs>
        <w:numPr>
          <w:ilvl w:val="2"/>
          <w:numId w:val="37"/>
        </w:numPr>
        <w:rPr>
          <w:rFonts w:ascii="Arial" w:cs="Arial" w:eastAsia="Arial" w:hAnsi="Arial"/>
          <w:sz w:val="16"/>
          <w:szCs w:val="16"/>
          <w:color w:val="auto"/>
        </w:rPr>
      </w:pPr>
      <w:r>
        <w:rPr>
          <w:rFonts w:ascii="Arial" w:cs="Arial" w:eastAsia="Arial" w:hAnsi="Arial"/>
          <w:sz w:val="16"/>
          <w:szCs w:val="16"/>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280" w:right="259" w:bottom="1440" w:gutter="0" w:footer="0" w:header="0"/>
        </w:sectPr>
      </w:pPr>
    </w:p>
    <w:bookmarkStart w:id="37" w:name="page38"/>
    <w:bookmarkEnd w:id="37"/>
    <w:p>
      <w:pPr>
        <w:ind w:left="1472"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subject to such award for which such award might have been exercised or realized immediately prior to such dissolution, liquidation, or corporate separation or division; or</w:t>
      </w:r>
    </w:p>
    <w:p>
      <w:pPr>
        <w:spacing w:after="0" w:line="51" w:lineRule="exact"/>
        <w:rPr>
          <w:sz w:val="20"/>
          <w:szCs w:val="20"/>
          <w:color w:val="auto"/>
        </w:rPr>
      </w:pPr>
    </w:p>
    <w:p>
      <w:pPr>
        <w:ind w:left="1472" w:right="40" w:hanging="567"/>
        <w:spacing w:after="0" w:line="256" w:lineRule="auto"/>
        <w:tabs>
          <w:tab w:leader="none" w:pos="14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62" w:lineRule="exact"/>
        <w:rPr>
          <w:sz w:val="20"/>
          <w:szCs w:val="20"/>
          <w:color w:val="auto"/>
        </w:rPr>
      </w:pPr>
    </w:p>
    <w:p>
      <w:pPr>
        <w:ind w:left="912"/>
        <w:spacing w:after="0" w:line="294" w:lineRule="auto"/>
        <w:rPr>
          <w:sz w:val="20"/>
          <w:szCs w:val="20"/>
          <w:color w:val="auto"/>
        </w:rPr>
      </w:pPr>
      <w:r>
        <w:rPr>
          <w:rFonts w:ascii="Arial" w:cs="Arial" w:eastAsia="Arial" w:hAnsi="Arial"/>
          <w:sz w:val="16"/>
          <w:szCs w:val="16"/>
          <w:color w:val="auto"/>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35" w:lineRule="exact"/>
        <w:rPr>
          <w:sz w:val="20"/>
          <w:szCs w:val="20"/>
          <w:color w:val="auto"/>
        </w:rPr>
      </w:pPr>
    </w:p>
    <w:p>
      <w:pPr>
        <w:jc w:val="both"/>
        <w:ind w:left="892" w:right="180" w:hanging="446"/>
        <w:spacing w:after="0" w:line="259" w:lineRule="auto"/>
        <w:tabs>
          <w:tab w:leader="none" w:pos="892"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59" w:lineRule="exact"/>
        <w:rPr>
          <w:rFonts w:ascii="Arial" w:cs="Arial" w:eastAsia="Arial" w:hAnsi="Arial"/>
          <w:sz w:val="18"/>
          <w:szCs w:val="18"/>
          <w:color w:val="auto"/>
        </w:rPr>
      </w:pPr>
    </w:p>
    <w:p>
      <w:pPr>
        <w:ind w:left="892" w:hanging="446"/>
        <w:spacing w:after="0" w:line="286" w:lineRule="auto"/>
        <w:tabs>
          <w:tab w:leader="none" w:pos="892" w:val="left"/>
        </w:tabs>
        <w:numPr>
          <w:ilvl w:val="1"/>
          <w:numId w:val="39"/>
        </w:numPr>
        <w:rPr>
          <w:rFonts w:ascii="Arial" w:cs="Arial" w:eastAsia="Arial" w:hAnsi="Arial"/>
          <w:sz w:val="16"/>
          <w:szCs w:val="16"/>
          <w:color w:val="auto"/>
        </w:rPr>
      </w:pPr>
      <w:r>
        <w:rPr>
          <w:rFonts w:ascii="Arial" w:cs="Arial" w:eastAsia="Arial" w:hAnsi="Arial"/>
          <w:sz w:val="16"/>
          <w:szCs w:val="16"/>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64" w:lineRule="exact"/>
        <w:rPr>
          <w:rFonts w:ascii="Arial" w:cs="Arial" w:eastAsia="Arial" w:hAnsi="Arial"/>
          <w:sz w:val="16"/>
          <w:szCs w:val="16"/>
          <w:color w:val="auto"/>
        </w:rPr>
      </w:pPr>
    </w:p>
    <w:p>
      <w:pPr>
        <w:ind w:left="452" w:hanging="452"/>
        <w:spacing w:after="0"/>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the Plan</w:t>
      </w:r>
    </w:p>
    <w:p>
      <w:pPr>
        <w:spacing w:after="0" w:line="90" w:lineRule="exact"/>
        <w:rPr>
          <w:rFonts w:ascii="Arial" w:cs="Arial" w:eastAsia="Arial" w:hAnsi="Arial"/>
          <w:sz w:val="18"/>
          <w:szCs w:val="18"/>
          <w:color w:val="auto"/>
        </w:rPr>
      </w:pPr>
    </w:p>
    <w:p>
      <w:pPr>
        <w:ind w:left="452" w:right="160"/>
        <w:spacing w:after="0" w:line="268" w:lineRule="auto"/>
        <w:rPr>
          <w:rFonts w:ascii="Arial" w:cs="Arial" w:eastAsia="Arial" w:hAnsi="Arial"/>
          <w:sz w:val="18"/>
          <w:szCs w:val="18"/>
          <w:color w:val="auto"/>
        </w:rPr>
      </w:pPr>
      <w:r>
        <w:rPr>
          <w:rFonts w:ascii="Arial" w:cs="Arial" w:eastAsia="Arial" w:hAnsi="Arial"/>
          <w:sz w:val="18"/>
          <w:szCs w:val="18"/>
          <w:color w:val="auto"/>
        </w:rPr>
        <w:t>Awards may be granted pursuant to the Plan from time to time by no later than January 17, 2016, but awards previously granted may extend beyond such date</w:t>
      </w:r>
    </w:p>
    <w:p>
      <w:pPr>
        <w:spacing w:after="0" w:line="172" w:lineRule="exact"/>
        <w:rPr>
          <w:rFonts w:ascii="Arial" w:cs="Arial" w:eastAsia="Arial" w:hAnsi="Arial"/>
          <w:sz w:val="18"/>
          <w:szCs w:val="18"/>
          <w:color w:val="auto"/>
        </w:rPr>
      </w:pPr>
    </w:p>
    <w:p>
      <w:pPr>
        <w:ind w:left="452" w:hanging="452"/>
        <w:spacing w:after="0"/>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p>
    <w:p>
      <w:pPr>
        <w:spacing w:after="0" w:line="90" w:lineRule="exact"/>
        <w:rPr>
          <w:rFonts w:ascii="Arial" w:cs="Arial" w:eastAsia="Arial" w:hAnsi="Arial"/>
          <w:sz w:val="18"/>
          <w:szCs w:val="18"/>
          <w:color w:val="auto"/>
        </w:rPr>
      </w:pPr>
    </w:p>
    <w:p>
      <w:pPr>
        <w:ind w:left="452" w:right="80"/>
        <w:spacing w:after="0" w:line="259" w:lineRule="auto"/>
        <w:rPr>
          <w:rFonts w:ascii="Arial" w:cs="Arial" w:eastAsia="Arial" w:hAnsi="Arial"/>
          <w:sz w:val="18"/>
          <w:szCs w:val="18"/>
          <w:color w:val="auto"/>
        </w:rPr>
      </w:pPr>
      <w:r>
        <w:rPr>
          <w:rFonts w:ascii="Arial" w:cs="Arial" w:eastAsia="Arial" w:hAnsi="Arial"/>
          <w:sz w:val="18"/>
          <w:szCs w:val="18"/>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72"/>
          </w:cols>
          <w:pgMar w:left="248" w:top="280" w:right="279" w:bottom="1440" w:gutter="0" w:footer="0" w:header="0"/>
        </w:sectPr>
      </w:pPr>
    </w:p>
    <w:bookmarkStart w:id="38" w:name="page39"/>
    <w:bookmarkEnd w:id="38"/>
    <w:p>
      <w:pPr>
        <w:ind w:left="452" w:hanging="452"/>
        <w:spacing w:after="0"/>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of Shareholders</w:t>
      </w:r>
    </w:p>
    <w:p>
      <w:pPr>
        <w:spacing w:after="0" w:line="90" w:lineRule="exact"/>
        <w:rPr>
          <w:rFonts w:ascii="Arial" w:cs="Arial" w:eastAsia="Arial" w:hAnsi="Arial"/>
          <w:sz w:val="18"/>
          <w:szCs w:val="18"/>
          <w:color w:val="auto"/>
        </w:rPr>
      </w:pPr>
    </w:p>
    <w:p>
      <w:pPr>
        <w:ind w:left="452" w:right="100"/>
        <w:spacing w:after="0" w:line="259" w:lineRule="auto"/>
        <w:rPr>
          <w:rFonts w:ascii="Arial" w:cs="Arial" w:eastAsia="Arial" w:hAnsi="Arial"/>
          <w:sz w:val="18"/>
          <w:szCs w:val="18"/>
          <w:color w:val="auto"/>
        </w:rPr>
      </w:pPr>
      <w:r>
        <w:rPr>
          <w:rFonts w:ascii="Arial" w:cs="Arial" w:eastAsia="Arial" w:hAnsi="Arial"/>
          <w:sz w:val="18"/>
          <w:szCs w:val="18"/>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180" w:lineRule="exact"/>
        <w:rPr>
          <w:rFonts w:ascii="Arial" w:cs="Arial" w:eastAsia="Arial" w:hAnsi="Arial"/>
          <w:sz w:val="18"/>
          <w:szCs w:val="18"/>
          <w:color w:val="auto"/>
        </w:rPr>
      </w:pPr>
    </w:p>
    <w:p>
      <w:pPr>
        <w:ind w:left="452" w:hanging="452"/>
        <w:spacing w:after="0"/>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Agreement by Grantee Regarding Withholding Taxes</w:t>
      </w:r>
    </w:p>
    <w:p>
      <w:pPr>
        <w:spacing w:after="0" w:line="90" w:lineRule="exact"/>
        <w:rPr>
          <w:rFonts w:ascii="Arial" w:cs="Arial" w:eastAsia="Arial" w:hAnsi="Arial"/>
          <w:sz w:val="18"/>
          <w:szCs w:val="18"/>
          <w:color w:val="auto"/>
        </w:rPr>
      </w:pPr>
    </w:p>
    <w:p>
      <w:pPr>
        <w:ind w:left="452" w:right="160"/>
        <w:spacing w:after="0" w:line="254" w:lineRule="auto"/>
        <w:rPr>
          <w:rFonts w:ascii="Arial" w:cs="Arial" w:eastAsia="Arial" w:hAnsi="Arial"/>
          <w:sz w:val="18"/>
          <w:szCs w:val="18"/>
          <w:color w:val="auto"/>
        </w:rPr>
      </w:pPr>
      <w:r>
        <w:rPr>
          <w:rFonts w:ascii="Arial" w:cs="Arial" w:eastAsia="Arial" w:hAnsi="Arial"/>
          <w:sz w:val="18"/>
          <w:szCs w:val="18"/>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184" w:lineRule="exact"/>
        <w:rPr>
          <w:rFonts w:ascii="Arial" w:cs="Arial" w:eastAsia="Arial" w:hAnsi="Arial"/>
          <w:sz w:val="18"/>
          <w:szCs w:val="18"/>
          <w:color w:val="auto"/>
        </w:rPr>
      </w:pPr>
    </w:p>
    <w:p>
      <w:pPr>
        <w:ind w:left="452" w:hanging="452"/>
        <w:spacing w:after="0"/>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90" w:lineRule="exact"/>
        <w:rPr>
          <w:rFonts w:ascii="Arial" w:cs="Arial" w:eastAsia="Arial" w:hAnsi="Arial"/>
          <w:sz w:val="18"/>
          <w:szCs w:val="18"/>
          <w:color w:val="auto"/>
        </w:rPr>
      </w:pPr>
    </w:p>
    <w:p>
      <w:pPr>
        <w:ind w:left="452" w:right="40"/>
        <w:spacing w:after="0" w:line="285" w:lineRule="auto"/>
        <w:rPr>
          <w:rFonts w:ascii="Arial" w:cs="Arial" w:eastAsia="Arial" w:hAnsi="Arial"/>
          <w:sz w:val="18"/>
          <w:szCs w:val="18"/>
          <w:color w:val="auto"/>
        </w:rPr>
      </w:pPr>
      <w:r>
        <w:rPr>
          <w:rFonts w:ascii="Arial" w:cs="Arial" w:eastAsia="Arial" w:hAnsi="Arial"/>
          <w:sz w:val="16"/>
          <w:szCs w:val="16"/>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or SAR granted under the Plan may be amended to provide an exercise price per share that is lower than the then-current exercise price per share of such outstanding Option or SAR (other than adjustments pursuant to Section 10) and (2) the Board may not cancel any outstanding Option or SAR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or SAR. No Option or SAR granted under the Plan shall contain any provision entitling the Grantee to the automatic grant of additional Options or SARs in connection with any exercise of the original Option or SAR.</w:t>
      </w:r>
    </w:p>
    <w:p>
      <w:pPr>
        <w:spacing w:after="0" w:line="168" w:lineRule="exact"/>
        <w:rPr>
          <w:rFonts w:ascii="Arial" w:cs="Arial" w:eastAsia="Arial" w:hAnsi="Arial"/>
          <w:sz w:val="18"/>
          <w:szCs w:val="18"/>
          <w:color w:val="auto"/>
        </w:rPr>
      </w:pPr>
    </w:p>
    <w:p>
      <w:pPr>
        <w:ind w:left="452" w:hanging="452"/>
        <w:spacing w:after="0"/>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90" w:lineRule="exact"/>
        <w:rPr>
          <w:rFonts w:ascii="Arial" w:cs="Arial" w:eastAsia="Arial" w:hAnsi="Arial"/>
          <w:sz w:val="18"/>
          <w:szCs w:val="18"/>
          <w:color w:val="auto"/>
        </w:rPr>
      </w:pPr>
    </w:p>
    <w:p>
      <w:pPr>
        <w:ind w:left="452" w:right="20"/>
        <w:spacing w:after="0" w:line="256" w:lineRule="auto"/>
        <w:rPr>
          <w:rFonts w:ascii="Arial" w:cs="Arial" w:eastAsia="Arial" w:hAnsi="Arial"/>
          <w:sz w:val="18"/>
          <w:szCs w:val="18"/>
          <w:color w:val="auto"/>
        </w:rPr>
      </w:pPr>
      <w:r>
        <w:rPr>
          <w:rFonts w:ascii="Arial" w:cs="Arial" w:eastAsia="Arial" w:hAnsi="Arial"/>
          <w:sz w:val="18"/>
          <w:szCs w:val="18"/>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183" w:lineRule="exact"/>
        <w:rPr>
          <w:rFonts w:ascii="Arial" w:cs="Arial" w:eastAsia="Arial" w:hAnsi="Arial"/>
          <w:sz w:val="18"/>
          <w:szCs w:val="18"/>
          <w:color w:val="auto"/>
        </w:rPr>
      </w:pPr>
    </w:p>
    <w:p>
      <w:pPr>
        <w:ind w:left="452" w:hanging="452"/>
        <w:spacing w:after="0"/>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p>
    <w:p>
      <w:pPr>
        <w:spacing w:after="0" w:line="90"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392"/>
          </w:cols>
          <w:pgMar w:left="248" w:top="280" w:right="259" w:bottom="1440" w:gutter="0" w:footer="0" w:header="0"/>
        </w:sectPr>
      </w:pPr>
    </w:p>
    <w:bookmarkStart w:id="39" w:name="page40"/>
    <w:bookmarkEnd w:id="39"/>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Beneficiary</w:t>
      </w:r>
    </w:p>
    <w:p>
      <w:pPr>
        <w:spacing w:after="0" w:line="90"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180" w:lineRule="exact"/>
        <w:rPr>
          <w:rFonts w:ascii="Arial" w:cs="Arial" w:eastAsia="Arial" w:hAnsi="Arial"/>
          <w:sz w:val="18"/>
          <w:szCs w:val="18"/>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Plan and all determinations made and actions taken pursuant hereto shall be governed by the laws of the State of New York.</w:t>
      </w:r>
    </w:p>
    <w:p>
      <w:pPr>
        <w:spacing w:after="0" w:line="15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292"/>
          </w:cols>
          <w:pgMar w:left="248" w:top="280" w:right="35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AMDOCS LIMITED</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February 2, 2012</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Notice of Meeting, Proxy Statement, Proxy Card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are available at www.amdocs.com/proxy</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Please sign, date and mail</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possible.</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17"/>
          <w:szCs w:val="17"/>
          <w:color w:val="auto"/>
        </w:rPr>
        <w:t>Please detach along perforated line and mail in the envelope provided.</w:t>
      </w:r>
      <w:r>
        <w:rPr>
          <w:rFonts w:ascii="Arial" w:cs="Arial" w:eastAsia="Arial" w:hAnsi="Arial"/>
          <w:sz w:val="32"/>
          <w:szCs w:val="32"/>
          <w:color w:val="auto"/>
        </w:rPr>
        <w:t xml:space="preserve">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300" w:type="dxa"/>
            <w:vAlign w:val="bottom"/>
            <w:gridSpan w:val="2"/>
          </w:tcPr>
          <w:p>
            <w:pPr>
              <w:spacing w:after="0"/>
              <w:rPr>
                <w:sz w:val="20"/>
                <w:szCs w:val="20"/>
                <w:color w:val="auto"/>
              </w:rPr>
            </w:pPr>
            <w:r>
              <w:rPr>
                <w:rFonts w:ascii="Arial" w:cs="Arial" w:eastAsia="Arial" w:hAnsi="Arial"/>
                <w:sz w:val="32"/>
                <w:szCs w:val="32"/>
                <w:color w:val="auto"/>
              </w:rPr>
              <w:t>n</w:t>
            </w:r>
          </w:p>
        </w:tc>
        <w:tc>
          <w:tcPr>
            <w:tcW w:w="3600" w:type="dxa"/>
            <w:vAlign w:val="bottom"/>
            <w:gridSpan w:val="5"/>
          </w:tcPr>
          <w:p>
            <w:pPr>
              <w:ind w:left="300"/>
              <w:spacing w:after="0"/>
              <w:rPr>
                <w:sz w:val="20"/>
                <w:szCs w:val="20"/>
                <w:color w:val="auto"/>
              </w:rPr>
            </w:pPr>
            <w:r>
              <w:rPr>
                <w:rFonts w:ascii="Arial" w:cs="Arial" w:eastAsia="Arial" w:hAnsi="Arial"/>
                <w:sz w:val="18"/>
                <w:szCs w:val="18"/>
                <w:color w:val="auto"/>
              </w:rPr>
              <w:t>21233300000000000000 9</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gridSpan w:val="3"/>
          </w:tcPr>
          <w:p>
            <w:pPr>
              <w:ind w:left="4180"/>
              <w:spacing w:after="0"/>
              <w:rPr>
                <w:sz w:val="20"/>
                <w:szCs w:val="20"/>
                <w:color w:val="auto"/>
              </w:rPr>
            </w:pPr>
            <w:r>
              <w:rPr>
                <w:rFonts w:ascii="Arial" w:cs="Arial" w:eastAsia="Arial" w:hAnsi="Arial"/>
                <w:sz w:val="18"/>
                <w:szCs w:val="18"/>
                <w:color w:val="auto"/>
              </w:rPr>
              <w:t>020212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900" w:type="dxa"/>
            <w:vAlign w:val="bottom"/>
            <w:gridSpan w:val="11"/>
          </w:tcPr>
          <w:p>
            <w:pPr>
              <w:jc w:val="center"/>
              <w:ind w:left="312"/>
              <w:spacing w:after="0" w:line="156" w:lineRule="exact"/>
              <w:rPr>
                <w:sz w:val="20"/>
                <w:szCs w:val="20"/>
                <w:color w:val="auto"/>
              </w:rPr>
            </w:pPr>
            <w:r>
              <w:rPr>
                <w:rFonts w:ascii="Arial" w:cs="Arial" w:eastAsia="Arial" w:hAnsi="Arial"/>
                <w:sz w:val="14"/>
                <w:szCs w:val="14"/>
                <w:b w:val="1"/>
                <w:bCs w:val="1"/>
                <w:color w:val="auto"/>
                <w:w w:val="97"/>
              </w:rPr>
              <w:t>AMDOCS’ BOARD OF DIRECTORS RECOMMENDS A VOTE “FOR” THE ELECTION OF EACH OF THE DIRECTOR NOMINEES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680" w:type="dxa"/>
            <w:vAlign w:val="bottom"/>
            <w:gridSpan w:val="6"/>
          </w:tcPr>
          <w:p>
            <w:pPr>
              <w:jc w:val="center"/>
              <w:ind w:right="2040"/>
              <w:spacing w:after="0" w:line="135" w:lineRule="exact"/>
              <w:rPr>
                <w:sz w:val="20"/>
                <w:szCs w:val="20"/>
                <w:color w:val="auto"/>
              </w:rPr>
            </w:pPr>
            <w:r>
              <w:rPr>
                <w:rFonts w:ascii="Arial" w:cs="Arial" w:eastAsia="Arial" w:hAnsi="Arial"/>
                <w:sz w:val="14"/>
                <w:szCs w:val="14"/>
                <w:b w:val="1"/>
                <w:bCs w:val="1"/>
                <w:color w:val="auto"/>
                <w:w w:val="93"/>
              </w:rPr>
              <w:t>AND A VOTE “FOR” PROPOSALS 2, 3 AND 4.</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60" w:type="dxa"/>
            <w:vAlign w:val="bottom"/>
            <w:tcBorders>
              <w:bottom w:val="single" w:sz="8" w:color="auto"/>
            </w:tcBorders>
            <w:gridSpan w:val="14"/>
          </w:tcPr>
          <w:p>
            <w:pPr>
              <w:jc w:val="center"/>
              <w:ind w:left="290"/>
              <w:spacing w:after="0" w:line="161" w:lineRule="exact"/>
              <w:rPr>
                <w:sz w:val="20"/>
                <w:szCs w:val="20"/>
                <w:color w:val="auto"/>
              </w:rPr>
            </w:pPr>
            <w:r>
              <w:rPr>
                <w:rFonts w:ascii="Arial" w:cs="Arial" w:eastAsia="Arial" w:hAnsi="Arial"/>
                <w:sz w:val="14"/>
                <w:szCs w:val="14"/>
                <w:b w:val="1"/>
                <w:bCs w:val="1"/>
                <w:color w:val="auto"/>
                <w:w w:val="96"/>
              </w:rPr>
              <w:t xml:space="preserve">PLEASE SIGN, DATE AND RETURN PROMPTLY IN THE ENCLOSED ENVELOPE. PLEASE MARK YOUR VOTE IN BLUE OR BLACK INK AS SHOWN HERE </w:t>
            </w:r>
            <w:r>
              <w:rPr>
                <w:rFonts w:ascii="MS PGothic" w:cs="MS PGothic" w:eastAsia="MS PGothic" w:hAnsi="MS PGothic"/>
                <w:sz w:val="14"/>
                <w:szCs w:val="14"/>
                <w:color w:val="auto"/>
                <w:w w:val="96"/>
              </w:rPr>
              <w:t>☒</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0" w:type="dxa"/>
            <w:vAlign w:val="bottom"/>
            <w:vMerge w:val="restart"/>
          </w:tcPr>
          <w:p>
            <w:pPr>
              <w:jc w:val="center"/>
              <w:ind w:right="60"/>
              <w:spacing w:after="0" w:line="142" w:lineRule="exact"/>
              <w:rPr>
                <w:sz w:val="20"/>
                <w:szCs w:val="20"/>
                <w:color w:val="auto"/>
              </w:rPr>
            </w:pPr>
            <w:r>
              <w:rPr>
                <w:rFonts w:ascii="Arial" w:cs="Arial" w:eastAsia="Arial" w:hAnsi="Arial"/>
                <w:sz w:val="14"/>
                <w:szCs w:val="14"/>
                <w:color w:val="auto"/>
                <w:w w:val="87"/>
              </w:rPr>
              <w:t>FOR</w:t>
            </w:r>
          </w:p>
        </w:tc>
        <w:tc>
          <w:tcPr>
            <w:tcW w:w="780" w:type="dxa"/>
            <w:vAlign w:val="bottom"/>
            <w:gridSpan w:val="2"/>
            <w:vMerge w:val="restart"/>
          </w:tcPr>
          <w:p>
            <w:pPr>
              <w:jc w:val="center"/>
              <w:ind w:right="52"/>
              <w:spacing w:after="0" w:line="142" w:lineRule="exact"/>
              <w:rPr>
                <w:sz w:val="20"/>
                <w:szCs w:val="20"/>
                <w:color w:val="auto"/>
              </w:rPr>
            </w:pPr>
            <w:r>
              <w:rPr>
                <w:rFonts w:ascii="Arial" w:cs="Arial" w:eastAsia="Arial" w:hAnsi="Arial"/>
                <w:sz w:val="14"/>
                <w:szCs w:val="14"/>
                <w:color w:val="auto"/>
                <w:w w:val="97"/>
              </w:rPr>
              <w:t>AGAINST</w:t>
            </w:r>
          </w:p>
        </w:tc>
        <w:tc>
          <w:tcPr>
            <w:tcW w:w="68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w w:val="93"/>
              </w:rPr>
              <w:t>ABSTAIN</w:t>
            </w: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20" w:type="dxa"/>
            <w:vAlign w:val="bottom"/>
            <w:gridSpan w:val="5"/>
          </w:tcPr>
          <w:p>
            <w:pPr>
              <w:spacing w:after="0"/>
              <w:rPr>
                <w:sz w:val="20"/>
                <w:szCs w:val="20"/>
                <w:color w:val="auto"/>
              </w:rPr>
            </w:pPr>
            <w:r>
              <w:rPr>
                <w:rFonts w:ascii="Arial" w:cs="Arial" w:eastAsia="Arial" w:hAnsi="Arial"/>
                <w:sz w:val="14"/>
                <w:szCs w:val="14"/>
                <w:color w:val="auto"/>
              </w:rPr>
              <w:t>1. ELECTION OF DIRECTORS:</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4840" w:type="dxa"/>
            <w:vAlign w:val="bottom"/>
            <w:gridSpan w:val="3"/>
          </w:tcPr>
          <w:p>
            <w:pPr>
              <w:ind w:left="60"/>
              <w:spacing w:after="0"/>
              <w:rPr>
                <w:sz w:val="20"/>
                <w:szCs w:val="20"/>
                <w:color w:val="auto"/>
              </w:rPr>
            </w:pPr>
            <w:r>
              <w:rPr>
                <w:rFonts w:ascii="Arial" w:cs="Arial" w:eastAsia="Arial" w:hAnsi="Arial"/>
                <w:sz w:val="14"/>
                <w:szCs w:val="14"/>
                <w:color w:val="auto"/>
              </w:rPr>
              <w:t>APPROVE  THE  AMENDMENT  TO  THE  1998  STOCK  OPTION  AND</w:t>
            </w:r>
          </w:p>
        </w:tc>
        <w:tc>
          <w:tcPr>
            <w:tcW w:w="400" w:type="dxa"/>
            <w:vAlign w:val="bottom"/>
          </w:tcPr>
          <w:p>
            <w:pPr>
              <w:jc w:val="center"/>
              <w:ind w:right="40"/>
              <w:spacing w:after="0" w:line="177"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5"/>
                <w:szCs w:val="15"/>
                <w:color w:val="auto"/>
              </w:rPr>
            </w:pPr>
          </w:p>
        </w:tc>
        <w:tc>
          <w:tcPr>
            <w:tcW w:w="680" w:type="dxa"/>
            <w:vAlign w:val="bottom"/>
          </w:tcPr>
          <w:p>
            <w:pPr>
              <w:jc w:val="center"/>
              <w:ind w:right="152"/>
              <w:spacing w:after="0" w:line="177"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77"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40" w:type="dxa"/>
            <w:vAlign w:val="bottom"/>
            <w:gridSpan w:val="3"/>
          </w:tcPr>
          <w:p>
            <w:pPr>
              <w:ind w:left="60"/>
              <w:spacing w:after="0" w:line="137" w:lineRule="exact"/>
              <w:rPr>
                <w:sz w:val="20"/>
                <w:szCs w:val="20"/>
                <w:color w:val="auto"/>
              </w:rPr>
            </w:pPr>
            <w:r>
              <w:rPr>
                <w:rFonts w:ascii="Arial" w:cs="Arial" w:eastAsia="Arial" w:hAnsi="Arial"/>
                <w:sz w:val="14"/>
                <w:szCs w:val="14"/>
                <w:color w:val="auto"/>
              </w:rPr>
              <w:t>INCENTIVE PLAN.</w:t>
            </w:r>
          </w:p>
        </w:tc>
        <w:tc>
          <w:tcPr>
            <w:tcW w:w="400" w:type="dxa"/>
            <w:vAlign w:val="bottom"/>
            <w:vMerge w:val="restart"/>
          </w:tcPr>
          <w:p>
            <w:pPr>
              <w:jc w:val="center"/>
              <w:ind w:right="40"/>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1"/>
                <w:szCs w:val="11"/>
                <w:color w:val="auto"/>
              </w:rPr>
            </w:pPr>
          </w:p>
        </w:tc>
        <w:tc>
          <w:tcPr>
            <w:tcW w:w="680" w:type="dxa"/>
            <w:vAlign w:val="bottom"/>
            <w:vMerge w:val="restart"/>
          </w:tcPr>
          <w:p>
            <w:pPr>
              <w:jc w:val="center"/>
              <w:ind w:right="152"/>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NOMINEES:</w:t>
            </w: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4840" w:type="dxa"/>
            <w:vAlign w:val="bottom"/>
            <w:gridSpan w:val="3"/>
          </w:tcPr>
          <w:p>
            <w:pPr>
              <w:ind w:left="60"/>
              <w:spacing w:after="0"/>
              <w:rPr>
                <w:sz w:val="20"/>
                <w:szCs w:val="20"/>
                <w:color w:val="auto"/>
              </w:rPr>
            </w:pPr>
            <w:r>
              <w:rPr>
                <w:rFonts w:ascii="Arial" w:cs="Arial" w:eastAsia="Arial" w:hAnsi="Arial"/>
                <w:sz w:val="14"/>
                <w:szCs w:val="14"/>
                <w:color w:val="auto"/>
              </w:rPr>
              <w:t>APPROVAL   OF   CONSOLIDATED   FINANCIAL   STATEMENTS   FOR</w:t>
            </w:r>
          </w:p>
        </w:tc>
        <w:tc>
          <w:tcPr>
            <w:tcW w:w="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40" w:type="dxa"/>
            <w:vAlign w:val="bottom"/>
            <w:gridSpan w:val="3"/>
          </w:tcPr>
          <w:p>
            <w:pPr>
              <w:ind w:left="60"/>
              <w:spacing w:after="0" w:line="137" w:lineRule="exact"/>
              <w:rPr>
                <w:sz w:val="20"/>
                <w:szCs w:val="20"/>
                <w:color w:val="auto"/>
              </w:rPr>
            </w:pPr>
            <w:r>
              <w:rPr>
                <w:rFonts w:ascii="Arial" w:cs="Arial" w:eastAsia="Arial" w:hAnsi="Arial"/>
                <w:sz w:val="14"/>
                <w:szCs w:val="14"/>
                <w:color w:val="auto"/>
              </w:rPr>
              <w:t>FISCALYEAR 2011.</w:t>
            </w:r>
          </w:p>
        </w:tc>
        <w:tc>
          <w:tcPr>
            <w:tcW w:w="400" w:type="dxa"/>
            <w:vAlign w:val="bottom"/>
            <w:vMerge w:val="restart"/>
          </w:tcPr>
          <w:p>
            <w:pPr>
              <w:jc w:val="center"/>
              <w:ind w:right="40"/>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1"/>
                <w:szCs w:val="11"/>
                <w:color w:val="auto"/>
              </w:rPr>
            </w:pPr>
          </w:p>
        </w:tc>
        <w:tc>
          <w:tcPr>
            <w:tcW w:w="680" w:type="dxa"/>
            <w:vAlign w:val="bottom"/>
            <w:vMerge w:val="restart"/>
          </w:tcPr>
          <w:p>
            <w:pPr>
              <w:jc w:val="center"/>
              <w:ind w:right="152"/>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3"/>
        </w:trPr>
        <w:tc>
          <w:tcPr>
            <w:tcW w:w="300" w:type="dxa"/>
            <w:vAlign w:val="bottom"/>
            <w:gridSpan w:val="2"/>
            <w:vMerge w:val="continue"/>
          </w:tcPr>
          <w:p>
            <w:pPr>
              <w:spacing w:after="0"/>
              <w:rPr>
                <w:sz w:val="15"/>
                <w:szCs w:val="15"/>
                <w:color w:val="auto"/>
              </w:rPr>
            </w:pPr>
          </w:p>
        </w:tc>
        <w:tc>
          <w:tcPr>
            <w:tcW w:w="1820" w:type="dxa"/>
            <w:vAlign w:val="bottom"/>
            <w:gridSpan w:val="3"/>
          </w:tcPr>
          <w:p>
            <w:pPr>
              <w:ind w:left="140"/>
              <w:spacing w:after="0"/>
              <w:rPr>
                <w:sz w:val="20"/>
                <w:szCs w:val="20"/>
                <w:color w:val="auto"/>
              </w:rPr>
            </w:pPr>
            <w:r>
              <w:rPr>
                <w:rFonts w:ascii="Arial" w:cs="Arial" w:eastAsia="Arial" w:hAnsi="Arial"/>
                <w:sz w:val="14"/>
                <w:szCs w:val="14"/>
                <w:b w:val="1"/>
                <w:bCs w:val="1"/>
                <w:color w:val="auto"/>
              </w:rPr>
              <w:t>FOR ALL NOMINEES</w:t>
            </w:r>
          </w:p>
        </w:tc>
        <w:tc>
          <w:tcPr>
            <w:tcW w:w="220" w:type="dxa"/>
            <w:vAlign w:val="bottom"/>
          </w:tcPr>
          <w:p>
            <w:pPr>
              <w:ind w:left="60"/>
              <w:spacing w:after="0"/>
              <w:rPr>
                <w:sz w:val="20"/>
                <w:szCs w:val="20"/>
                <w:color w:val="auto"/>
              </w:rPr>
            </w:pPr>
            <w:r>
              <w:rPr>
                <w:rFonts w:ascii="Arial" w:cs="Arial" w:eastAsia="Arial" w:hAnsi="Arial"/>
                <w:sz w:val="14"/>
                <w:szCs w:val="14"/>
                <w:color w:val="auto"/>
              </w:rPr>
              <w:t>O</w:t>
            </w:r>
          </w:p>
        </w:tc>
        <w:tc>
          <w:tcPr>
            <w:tcW w:w="1560" w:type="dxa"/>
            <w:vAlign w:val="bottom"/>
          </w:tcPr>
          <w:p>
            <w:pPr>
              <w:ind w:left="40"/>
              <w:spacing w:after="0"/>
              <w:rPr>
                <w:sz w:val="20"/>
                <w:szCs w:val="20"/>
                <w:color w:val="auto"/>
              </w:rPr>
            </w:pPr>
            <w:r>
              <w:rPr>
                <w:rFonts w:ascii="Arial" w:cs="Arial" w:eastAsia="Arial" w:hAnsi="Arial"/>
                <w:sz w:val="14"/>
                <w:szCs w:val="14"/>
                <w:color w:val="auto"/>
              </w:rPr>
              <w:t>Robert A. Minicucci</w:t>
            </w:r>
          </w:p>
        </w:tc>
        <w:tc>
          <w:tcPr>
            <w:tcW w:w="4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4.</w:t>
            </w:r>
          </w:p>
        </w:tc>
        <w:tc>
          <w:tcPr>
            <w:tcW w:w="4840" w:type="dxa"/>
            <w:vAlign w:val="bottom"/>
            <w:gridSpan w:val="3"/>
          </w:tcPr>
          <w:p>
            <w:pPr>
              <w:ind w:left="60"/>
              <w:spacing w:after="0"/>
              <w:rPr>
                <w:sz w:val="20"/>
                <w:szCs w:val="20"/>
                <w:color w:val="auto"/>
              </w:rPr>
            </w:pPr>
            <w:r>
              <w:rPr>
                <w:rFonts w:ascii="Arial" w:cs="Arial" w:eastAsia="Arial" w:hAnsi="Arial"/>
                <w:sz w:val="14"/>
                <w:szCs w:val="14"/>
                <w:color w:val="auto"/>
              </w:rPr>
              <w:t>RATIFICATION  AND  APPROVAL  OF  ERNST  &amp;  YOUNG  LLP  AND</w:t>
            </w:r>
          </w:p>
        </w:tc>
        <w:tc>
          <w:tcPr>
            <w:tcW w:w="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ind w:left="60"/>
              <w:spacing w:after="0" w:line="125" w:lineRule="exact"/>
              <w:rPr>
                <w:sz w:val="20"/>
                <w:szCs w:val="20"/>
                <w:color w:val="auto"/>
              </w:rPr>
            </w:pPr>
            <w:r>
              <w:rPr>
                <w:rFonts w:ascii="Arial" w:cs="Arial" w:eastAsia="Arial" w:hAnsi="Arial"/>
                <w:sz w:val="14"/>
                <w:szCs w:val="14"/>
                <w:color w:val="auto"/>
              </w:rPr>
              <w:t>O</w:t>
            </w:r>
          </w:p>
        </w:tc>
        <w:tc>
          <w:tcPr>
            <w:tcW w:w="1560" w:type="dxa"/>
            <w:vAlign w:val="bottom"/>
          </w:tcPr>
          <w:p>
            <w:pPr>
              <w:ind w:left="40"/>
              <w:spacing w:after="0" w:line="125" w:lineRule="exact"/>
              <w:rPr>
                <w:sz w:val="20"/>
                <w:szCs w:val="20"/>
                <w:color w:val="auto"/>
              </w:rPr>
            </w:pPr>
            <w:r>
              <w:rPr>
                <w:rFonts w:ascii="Arial" w:cs="Arial" w:eastAsia="Arial" w:hAnsi="Arial"/>
                <w:sz w:val="14"/>
                <w:szCs w:val="14"/>
                <w:color w:val="auto"/>
              </w:rPr>
              <w:t>Bruce K. Anderson</w:t>
            </w:r>
          </w:p>
        </w:tc>
        <w:tc>
          <w:tcPr>
            <w:tcW w:w="4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840" w:type="dxa"/>
            <w:vAlign w:val="bottom"/>
            <w:gridSpan w:val="3"/>
          </w:tcPr>
          <w:p>
            <w:pPr>
              <w:ind w:left="60"/>
              <w:spacing w:after="0" w:line="125" w:lineRule="exact"/>
              <w:rPr>
                <w:sz w:val="20"/>
                <w:szCs w:val="20"/>
                <w:color w:val="auto"/>
              </w:rPr>
            </w:pPr>
            <w:r>
              <w:rPr>
                <w:rFonts w:ascii="Arial" w:cs="Arial" w:eastAsia="Arial" w:hAnsi="Arial"/>
                <w:sz w:val="14"/>
                <w:szCs w:val="14"/>
                <w:color w:val="auto"/>
              </w:rPr>
              <w:t>AUTHORIZATION   OF   AUDIT   COMMITTEE   OF   BOARD   TO   FIX</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ind w:left="60"/>
              <w:spacing w:after="0" w:line="149" w:lineRule="exact"/>
              <w:rPr>
                <w:sz w:val="20"/>
                <w:szCs w:val="20"/>
                <w:color w:val="auto"/>
              </w:rPr>
            </w:pPr>
            <w:r>
              <w:rPr>
                <w:rFonts w:ascii="Arial" w:cs="Arial" w:eastAsia="Arial" w:hAnsi="Arial"/>
                <w:sz w:val="14"/>
                <w:szCs w:val="14"/>
                <w:color w:val="auto"/>
              </w:rPr>
              <w:t>O</w:t>
            </w:r>
          </w:p>
        </w:tc>
        <w:tc>
          <w:tcPr>
            <w:tcW w:w="1560" w:type="dxa"/>
            <w:vAlign w:val="bottom"/>
          </w:tcPr>
          <w:p>
            <w:pPr>
              <w:ind w:left="40"/>
              <w:spacing w:after="0" w:line="149" w:lineRule="exact"/>
              <w:rPr>
                <w:sz w:val="20"/>
                <w:szCs w:val="20"/>
                <w:color w:val="auto"/>
              </w:rPr>
            </w:pPr>
            <w:r>
              <w:rPr>
                <w:rFonts w:ascii="Arial" w:cs="Arial" w:eastAsia="Arial" w:hAnsi="Arial"/>
                <w:sz w:val="14"/>
                <w:szCs w:val="14"/>
                <w:color w:val="auto"/>
              </w:rPr>
              <w:t>Adrian Gardner</w:t>
            </w: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REMUNERATION.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00" w:type="dxa"/>
            <w:vAlign w:val="bottom"/>
            <w:gridSpan w:val="2"/>
            <w:vMerge w:val="continue"/>
          </w:tcPr>
          <w:p>
            <w:pPr>
              <w:spacing w:after="0"/>
              <w:rPr>
                <w:sz w:val="17"/>
                <w:szCs w:val="17"/>
                <w:color w:val="auto"/>
              </w:rPr>
            </w:pPr>
          </w:p>
        </w:tc>
        <w:tc>
          <w:tcPr>
            <w:tcW w:w="1820" w:type="dxa"/>
            <w:vAlign w:val="bottom"/>
            <w:gridSpan w:val="3"/>
          </w:tcPr>
          <w:p>
            <w:pPr>
              <w:ind w:left="140"/>
              <w:spacing w:after="0"/>
              <w:rPr>
                <w:sz w:val="20"/>
                <w:szCs w:val="20"/>
                <w:color w:val="auto"/>
              </w:rPr>
            </w:pPr>
            <w:r>
              <w:rPr>
                <w:rFonts w:ascii="Arial" w:cs="Arial" w:eastAsia="Arial" w:hAnsi="Arial"/>
                <w:sz w:val="14"/>
                <w:szCs w:val="14"/>
                <w:b w:val="1"/>
                <w:bCs w:val="1"/>
                <w:color w:val="auto"/>
              </w:rPr>
              <w:t>WITHHOLD AUTHORITY</w:t>
            </w:r>
          </w:p>
        </w:tc>
        <w:tc>
          <w:tcPr>
            <w:tcW w:w="220" w:type="dxa"/>
            <w:vAlign w:val="bottom"/>
          </w:tcPr>
          <w:p>
            <w:pPr>
              <w:ind w:left="60"/>
              <w:spacing w:after="0"/>
              <w:rPr>
                <w:sz w:val="20"/>
                <w:szCs w:val="20"/>
                <w:color w:val="auto"/>
              </w:rPr>
            </w:pPr>
            <w:r>
              <w:rPr>
                <w:rFonts w:ascii="Arial" w:cs="Arial" w:eastAsia="Arial" w:hAnsi="Arial"/>
                <w:sz w:val="14"/>
                <w:szCs w:val="14"/>
                <w:color w:val="auto"/>
              </w:rPr>
              <w:t>O</w:t>
            </w:r>
          </w:p>
        </w:tc>
        <w:tc>
          <w:tcPr>
            <w:tcW w:w="1560" w:type="dxa"/>
            <w:vAlign w:val="bottom"/>
          </w:tcPr>
          <w:p>
            <w:pPr>
              <w:ind w:left="40"/>
              <w:spacing w:after="0"/>
              <w:rPr>
                <w:sz w:val="20"/>
                <w:szCs w:val="20"/>
                <w:color w:val="auto"/>
              </w:rPr>
            </w:pPr>
            <w:r>
              <w:rPr>
                <w:rFonts w:ascii="Arial" w:cs="Arial" w:eastAsia="Arial" w:hAnsi="Arial"/>
                <w:sz w:val="14"/>
                <w:szCs w:val="14"/>
                <w:color w:val="auto"/>
              </w:rPr>
              <w:t>John T. McLennan</w:t>
            </w: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FOR ALL NOMINEES</w:t>
            </w:r>
          </w:p>
        </w:tc>
        <w:tc>
          <w:tcPr>
            <w:tcW w:w="220" w:type="dxa"/>
            <w:vAlign w:val="bottom"/>
          </w:tcPr>
          <w:p>
            <w:pPr>
              <w:ind w:left="60"/>
              <w:spacing w:after="0" w:line="97" w:lineRule="exact"/>
              <w:rPr>
                <w:sz w:val="20"/>
                <w:szCs w:val="20"/>
                <w:color w:val="auto"/>
              </w:rPr>
            </w:pPr>
            <w:r>
              <w:rPr>
                <w:rFonts w:ascii="Arial" w:cs="Arial" w:eastAsia="Arial" w:hAnsi="Arial"/>
                <w:sz w:val="11"/>
                <w:szCs w:val="11"/>
                <w:color w:val="auto"/>
              </w:rPr>
              <w:t>O</w:t>
            </w:r>
          </w:p>
        </w:tc>
        <w:tc>
          <w:tcPr>
            <w:tcW w:w="1560" w:type="dxa"/>
            <w:vAlign w:val="bottom"/>
          </w:tcPr>
          <w:p>
            <w:pPr>
              <w:ind w:left="40"/>
              <w:spacing w:after="0" w:line="97" w:lineRule="exact"/>
              <w:rPr>
                <w:sz w:val="20"/>
                <w:szCs w:val="20"/>
                <w:color w:val="auto"/>
              </w:rPr>
            </w:pPr>
            <w:r>
              <w:rPr>
                <w:rFonts w:ascii="Arial" w:cs="Arial" w:eastAsia="Arial" w:hAnsi="Arial"/>
                <w:sz w:val="11"/>
                <w:szCs w:val="11"/>
                <w:color w:val="auto"/>
              </w:rPr>
              <w:t>Simon Olswang</w:t>
            </w:r>
          </w:p>
        </w:tc>
        <w:tc>
          <w:tcPr>
            <w:tcW w:w="4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0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gridSpan w:val="3"/>
            <w:vMerge w:val="continue"/>
          </w:tcPr>
          <w:p>
            <w:pPr>
              <w:spacing w:after="0"/>
              <w:rPr>
                <w:sz w:val="10"/>
                <w:szCs w:val="10"/>
                <w:color w:val="auto"/>
              </w:rPr>
            </w:pPr>
          </w:p>
        </w:tc>
        <w:tc>
          <w:tcPr>
            <w:tcW w:w="220" w:type="dxa"/>
            <w:vAlign w:val="bottom"/>
            <w:vMerge w:val="restart"/>
          </w:tcPr>
          <w:p>
            <w:pPr>
              <w:ind w:left="60"/>
              <w:spacing w:after="0" w:line="149" w:lineRule="exact"/>
              <w:rPr>
                <w:sz w:val="20"/>
                <w:szCs w:val="20"/>
                <w:color w:val="auto"/>
              </w:rPr>
            </w:pPr>
            <w:r>
              <w:rPr>
                <w:rFonts w:ascii="Arial" w:cs="Arial" w:eastAsia="Arial" w:hAnsi="Arial"/>
                <w:sz w:val="14"/>
                <w:szCs w:val="14"/>
                <w:color w:val="auto"/>
              </w:rPr>
              <w:t>O</w:t>
            </w:r>
          </w:p>
        </w:tc>
        <w:tc>
          <w:tcPr>
            <w:tcW w:w="156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Zohar Zisapel</w:t>
            </w:r>
          </w:p>
        </w:tc>
        <w:tc>
          <w:tcPr>
            <w:tcW w:w="4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3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0" w:type="dxa"/>
            <w:vAlign w:val="bottom"/>
            <w:gridSpan w:val="2"/>
            <w:vMerge w:val="continue"/>
          </w:tcPr>
          <w:p>
            <w:pPr>
              <w:spacing w:after="0"/>
              <w:rPr>
                <w:sz w:val="12"/>
                <w:szCs w:val="12"/>
                <w:color w:val="auto"/>
              </w:rPr>
            </w:pPr>
          </w:p>
        </w:tc>
        <w:tc>
          <w:tcPr>
            <w:tcW w:w="18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FOR ALL EXCEPT</w:t>
            </w:r>
          </w:p>
        </w:tc>
        <w:tc>
          <w:tcPr>
            <w:tcW w:w="220" w:type="dxa"/>
            <w:vAlign w:val="bottom"/>
          </w:tcPr>
          <w:p>
            <w:pPr>
              <w:ind w:left="60"/>
              <w:spacing w:after="0" w:line="149" w:lineRule="exact"/>
              <w:rPr>
                <w:sz w:val="20"/>
                <w:szCs w:val="20"/>
                <w:color w:val="auto"/>
              </w:rPr>
            </w:pPr>
            <w:r>
              <w:rPr>
                <w:rFonts w:ascii="Arial" w:cs="Arial" w:eastAsia="Arial" w:hAnsi="Arial"/>
                <w:sz w:val="14"/>
                <w:szCs w:val="14"/>
                <w:color w:val="auto"/>
              </w:rPr>
              <w:t>O</w:t>
            </w:r>
          </w:p>
        </w:tc>
        <w:tc>
          <w:tcPr>
            <w:tcW w:w="1560" w:type="dxa"/>
            <w:vAlign w:val="bottom"/>
          </w:tcPr>
          <w:p>
            <w:pPr>
              <w:ind w:left="40"/>
              <w:spacing w:after="0" w:line="149" w:lineRule="exact"/>
              <w:rPr>
                <w:sz w:val="20"/>
                <w:szCs w:val="20"/>
                <w:color w:val="auto"/>
              </w:rPr>
            </w:pPr>
            <w:r>
              <w:rPr>
                <w:rFonts w:ascii="Arial" w:cs="Arial" w:eastAsia="Arial" w:hAnsi="Arial"/>
                <w:sz w:val="14"/>
                <w:szCs w:val="14"/>
                <w:color w:val="auto"/>
              </w:rPr>
              <w:t>Julian A. Brodsky</w:t>
            </w: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3"/>
          </w:tcPr>
          <w:p>
            <w:pPr>
              <w:ind w:left="140"/>
              <w:spacing w:after="0"/>
              <w:rPr>
                <w:sz w:val="20"/>
                <w:szCs w:val="20"/>
                <w:color w:val="auto"/>
              </w:rPr>
            </w:pPr>
            <w:r>
              <w:rPr>
                <w:rFonts w:ascii="Arial" w:cs="Arial" w:eastAsia="Arial" w:hAnsi="Arial"/>
                <w:sz w:val="14"/>
                <w:szCs w:val="14"/>
                <w:color w:val="auto"/>
              </w:rPr>
              <w:t>(See instructions below)</w:t>
            </w:r>
          </w:p>
        </w:tc>
        <w:tc>
          <w:tcPr>
            <w:tcW w:w="220" w:type="dxa"/>
            <w:vAlign w:val="bottom"/>
          </w:tcPr>
          <w:p>
            <w:pPr>
              <w:ind w:left="60"/>
              <w:spacing w:after="0"/>
              <w:rPr>
                <w:sz w:val="20"/>
                <w:szCs w:val="20"/>
                <w:color w:val="auto"/>
              </w:rPr>
            </w:pPr>
            <w:r>
              <w:rPr>
                <w:rFonts w:ascii="Arial" w:cs="Arial" w:eastAsia="Arial" w:hAnsi="Arial"/>
                <w:sz w:val="14"/>
                <w:szCs w:val="14"/>
                <w:color w:val="auto"/>
              </w:rPr>
              <w:t>O</w:t>
            </w:r>
          </w:p>
        </w:tc>
        <w:tc>
          <w:tcPr>
            <w:tcW w:w="1560" w:type="dxa"/>
            <w:vAlign w:val="bottom"/>
          </w:tcPr>
          <w:p>
            <w:pPr>
              <w:ind w:left="40"/>
              <w:spacing w:after="0"/>
              <w:rPr>
                <w:sz w:val="20"/>
                <w:szCs w:val="20"/>
                <w:color w:val="auto"/>
              </w:rPr>
            </w:pPr>
            <w:r>
              <w:rPr>
                <w:rFonts w:ascii="Arial" w:cs="Arial" w:eastAsia="Arial" w:hAnsi="Arial"/>
                <w:sz w:val="14"/>
                <w:szCs w:val="14"/>
                <w:color w:val="auto"/>
              </w:rPr>
              <w:t>Eli Gelman</w:t>
            </w:r>
          </w:p>
        </w:tc>
        <w:tc>
          <w:tcPr>
            <w:tcW w:w="4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ind w:left="60"/>
              <w:spacing w:after="0" w:line="125" w:lineRule="exact"/>
              <w:rPr>
                <w:sz w:val="20"/>
                <w:szCs w:val="20"/>
                <w:color w:val="auto"/>
              </w:rPr>
            </w:pPr>
            <w:r>
              <w:rPr>
                <w:rFonts w:ascii="Arial" w:cs="Arial" w:eastAsia="Arial" w:hAnsi="Arial"/>
                <w:sz w:val="14"/>
                <w:szCs w:val="14"/>
                <w:color w:val="auto"/>
              </w:rPr>
              <w:t>O</w:t>
            </w:r>
          </w:p>
        </w:tc>
        <w:tc>
          <w:tcPr>
            <w:tcW w:w="1560" w:type="dxa"/>
            <w:vAlign w:val="bottom"/>
          </w:tcPr>
          <w:p>
            <w:pPr>
              <w:ind w:left="40"/>
              <w:spacing w:after="0" w:line="125" w:lineRule="exact"/>
              <w:rPr>
                <w:sz w:val="20"/>
                <w:szCs w:val="20"/>
                <w:color w:val="auto"/>
              </w:rPr>
            </w:pPr>
            <w:r>
              <w:rPr>
                <w:rFonts w:ascii="Arial" w:cs="Arial" w:eastAsia="Arial" w:hAnsi="Arial"/>
                <w:sz w:val="14"/>
                <w:szCs w:val="14"/>
                <w:color w:val="auto"/>
              </w:rPr>
              <w:t>James S. Kahan</w:t>
            </w:r>
          </w:p>
        </w:tc>
        <w:tc>
          <w:tcPr>
            <w:tcW w:w="4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ind w:left="60"/>
              <w:spacing w:after="0" w:line="149" w:lineRule="exact"/>
              <w:rPr>
                <w:sz w:val="20"/>
                <w:szCs w:val="20"/>
                <w:color w:val="auto"/>
              </w:rPr>
            </w:pPr>
            <w:r>
              <w:rPr>
                <w:rFonts w:ascii="Arial" w:cs="Arial" w:eastAsia="Arial" w:hAnsi="Arial"/>
                <w:sz w:val="14"/>
                <w:szCs w:val="14"/>
                <w:color w:val="auto"/>
              </w:rPr>
              <w:t>O</w:t>
            </w:r>
          </w:p>
        </w:tc>
        <w:tc>
          <w:tcPr>
            <w:tcW w:w="1560" w:type="dxa"/>
            <w:vAlign w:val="bottom"/>
          </w:tcPr>
          <w:p>
            <w:pPr>
              <w:ind w:left="40"/>
              <w:spacing w:after="0" w:line="149" w:lineRule="exact"/>
              <w:rPr>
                <w:sz w:val="20"/>
                <w:szCs w:val="20"/>
                <w:color w:val="auto"/>
              </w:rPr>
            </w:pPr>
            <w:r>
              <w:rPr>
                <w:rFonts w:ascii="Arial" w:cs="Arial" w:eastAsia="Arial" w:hAnsi="Arial"/>
                <w:sz w:val="14"/>
                <w:szCs w:val="14"/>
                <w:color w:val="auto"/>
              </w:rPr>
              <w:t>Richard T.C. LeFave</w:t>
            </w: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ind w:left="60"/>
              <w:spacing w:after="0" w:line="149" w:lineRule="exact"/>
              <w:rPr>
                <w:sz w:val="20"/>
                <w:szCs w:val="20"/>
                <w:color w:val="auto"/>
              </w:rPr>
            </w:pPr>
            <w:r>
              <w:rPr>
                <w:rFonts w:ascii="Arial" w:cs="Arial" w:eastAsia="Arial" w:hAnsi="Arial"/>
                <w:sz w:val="14"/>
                <w:szCs w:val="14"/>
                <w:color w:val="auto"/>
              </w:rPr>
              <w:t>O</w:t>
            </w:r>
          </w:p>
        </w:tc>
        <w:tc>
          <w:tcPr>
            <w:tcW w:w="1560" w:type="dxa"/>
            <w:vAlign w:val="bottom"/>
          </w:tcPr>
          <w:p>
            <w:pPr>
              <w:ind w:left="40"/>
              <w:spacing w:after="0" w:line="149" w:lineRule="exact"/>
              <w:rPr>
                <w:sz w:val="20"/>
                <w:szCs w:val="20"/>
                <w:color w:val="auto"/>
              </w:rPr>
            </w:pPr>
            <w:r>
              <w:rPr>
                <w:rFonts w:ascii="Arial" w:cs="Arial" w:eastAsia="Arial" w:hAnsi="Arial"/>
                <w:sz w:val="14"/>
                <w:szCs w:val="14"/>
                <w:color w:val="auto"/>
              </w:rPr>
              <w:t>Nehemia Lemelbaum</w:t>
            </w: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rPr>
              <w:t>O</w:t>
            </w:r>
          </w:p>
        </w:tc>
        <w:tc>
          <w:tcPr>
            <w:tcW w:w="1560" w:type="dxa"/>
            <w:vAlign w:val="bottom"/>
          </w:tcPr>
          <w:p>
            <w:pPr>
              <w:ind w:left="40"/>
              <w:spacing w:after="0"/>
              <w:rPr>
                <w:sz w:val="20"/>
                <w:szCs w:val="20"/>
                <w:color w:val="auto"/>
              </w:rPr>
            </w:pPr>
            <w:r>
              <w:rPr>
                <w:rFonts w:ascii="Arial" w:cs="Arial" w:eastAsia="Arial" w:hAnsi="Arial"/>
                <w:sz w:val="14"/>
                <w:szCs w:val="14"/>
                <w:color w:val="auto"/>
              </w:rPr>
              <w:t>Giora Yaron</w:t>
            </w: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3900" w:type="dxa"/>
            <w:vAlign w:val="bottom"/>
            <w:gridSpan w:val="7"/>
          </w:tcPr>
          <w:p>
            <w:pPr>
              <w:spacing w:after="0"/>
              <w:rPr>
                <w:sz w:val="20"/>
                <w:szCs w:val="20"/>
                <w:color w:val="auto"/>
              </w:rPr>
            </w:pPr>
            <w:r>
              <w:rPr>
                <w:rFonts w:ascii="Arial" w:cs="Arial" w:eastAsia="Arial" w:hAnsi="Arial"/>
                <w:sz w:val="14"/>
                <w:szCs w:val="14"/>
                <w:b w:val="1"/>
                <w:bCs w:val="1"/>
                <w:color w:val="auto"/>
                <w:w w:val="97"/>
              </w:rPr>
              <w:t xml:space="preserve">INSTRUCTIONS: </w:t>
            </w:r>
            <w:r>
              <w:rPr>
                <w:rFonts w:ascii="Arial" w:cs="Arial" w:eastAsia="Arial" w:hAnsi="Arial"/>
                <w:sz w:val="14"/>
                <w:szCs w:val="14"/>
                <w:color w:val="auto"/>
                <w:w w:val="97"/>
              </w:rPr>
              <w:t>To withhold authority to vote for any individual</w:t>
            </w:r>
          </w:p>
        </w:tc>
        <w:tc>
          <w:tcPr>
            <w:tcW w:w="4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20" w:type="dxa"/>
            <w:vAlign w:val="bottom"/>
            <w:tcBorders>
              <w:right w:val="single" w:sz="8" w:color="auto"/>
            </w:tcBorders>
            <w:gridSpan w:val="6"/>
          </w:tcPr>
          <w:p>
            <w:pPr>
              <w:ind w:left="100"/>
              <w:spacing w:after="0" w:line="131" w:lineRule="exact"/>
              <w:rPr>
                <w:sz w:val="20"/>
                <w:szCs w:val="20"/>
                <w:color w:val="auto"/>
              </w:rPr>
            </w:pPr>
            <w:r>
              <w:rPr>
                <w:rFonts w:ascii="Arial" w:cs="Arial" w:eastAsia="Arial" w:hAnsi="Arial"/>
                <w:sz w:val="14"/>
                <w:szCs w:val="14"/>
                <w:color w:val="auto"/>
                <w:w w:val="99"/>
              </w:rPr>
              <w:t xml:space="preserve">nominee(s), mark </w:t>
            </w:r>
            <w:r>
              <w:rPr>
                <w:rFonts w:ascii="Arial" w:cs="Arial" w:eastAsia="Arial" w:hAnsi="Arial"/>
                <w:sz w:val="14"/>
                <w:szCs w:val="14"/>
                <w:b w:val="1"/>
                <w:bCs w:val="1"/>
                <w:color w:val="auto"/>
                <w:w w:val="99"/>
              </w:rPr>
              <w:t>“FOR ALL EXCEPT”</w:t>
            </w:r>
            <w:r>
              <w:rPr>
                <w:rFonts w:ascii="Arial" w:cs="Arial" w:eastAsia="Arial" w:hAnsi="Arial"/>
                <w:sz w:val="14"/>
                <w:szCs w:val="14"/>
                <w:color w:val="auto"/>
                <w:w w:val="99"/>
              </w:rPr>
              <w:t xml:space="preserve"> and fill in the</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20" w:type="dxa"/>
            <w:vAlign w:val="bottom"/>
            <w:tcBorders>
              <w:right w:val="single" w:sz="8" w:color="auto"/>
            </w:tcBorders>
            <w:gridSpan w:val="6"/>
          </w:tcPr>
          <w:p>
            <w:pPr>
              <w:ind w:left="100"/>
              <w:spacing w:after="0" w:line="149" w:lineRule="exact"/>
              <w:rPr>
                <w:sz w:val="20"/>
                <w:szCs w:val="20"/>
                <w:color w:val="auto"/>
              </w:rPr>
            </w:pPr>
            <w:r>
              <w:rPr>
                <w:rFonts w:ascii="Arial" w:cs="Arial" w:eastAsia="Arial" w:hAnsi="Arial"/>
                <w:sz w:val="14"/>
                <w:szCs w:val="14"/>
                <w:color w:val="auto"/>
              </w:rPr>
              <w:t>circle next to each nominee you wish to withhold, as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100"/>
              <w:spacing w:after="0" w:line="159" w:lineRule="exact"/>
              <w:rPr>
                <w:sz w:val="20"/>
                <w:szCs w:val="20"/>
                <w:color w:val="auto"/>
              </w:rPr>
            </w:pPr>
            <w:r>
              <w:rPr>
                <w:rFonts w:ascii="Arial" w:cs="Arial" w:eastAsia="Arial" w:hAnsi="Arial"/>
                <w:sz w:val="14"/>
                <w:szCs w:val="14"/>
                <w:color w:val="auto"/>
              </w:rPr>
              <w:t>shown here: l</w:t>
            </w: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80" w:type="dxa"/>
            <w:vAlign w:val="bottom"/>
            <w:gridSpan w:val="6"/>
          </w:tcPr>
          <w:p>
            <w:pPr>
              <w:spacing w:after="0" w:line="131" w:lineRule="exact"/>
              <w:rPr>
                <w:sz w:val="20"/>
                <w:szCs w:val="20"/>
                <w:color w:val="auto"/>
              </w:rPr>
            </w:pPr>
            <w:r>
              <w:rPr>
                <w:rFonts w:ascii="Arial" w:cs="Arial" w:eastAsia="Arial" w:hAnsi="Arial"/>
                <w:sz w:val="14"/>
                <w:szCs w:val="14"/>
                <w:color w:val="auto"/>
                <w:w w:val="88"/>
              </w:rPr>
              <w:t>To change the address on your account, please check the box at right</w:t>
            </w:r>
          </w:p>
        </w:tc>
        <w:tc>
          <w:tcPr>
            <w:tcW w:w="600" w:type="dxa"/>
            <w:vAlign w:val="bottom"/>
            <w:tcBorders>
              <w:right w:val="single" w:sz="8" w:color="auto"/>
            </w:tcBorders>
            <w:gridSpan w:val="2"/>
            <w:vMerge w:val="restart"/>
          </w:tcPr>
          <w:p>
            <w:pPr>
              <w:ind w:left="100"/>
              <w:spacing w:after="0" w:line="321" w:lineRule="exact"/>
              <w:rPr>
                <w:sz w:val="20"/>
                <w:szCs w:val="20"/>
                <w:color w:val="auto"/>
              </w:rPr>
            </w:pPr>
            <w:r>
              <w:rPr>
                <w:rFonts w:ascii="MS PGothic" w:cs="MS PGothic" w:eastAsia="MS PGothic" w:hAnsi="MS PGothic"/>
                <w:sz w:val="32"/>
                <w:szCs w:val="32"/>
                <w:color w:val="auto"/>
              </w:rPr>
              <w:t>☐</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gridSpan w:val="7"/>
          </w:tcPr>
          <w:p>
            <w:pPr>
              <w:spacing w:after="0" w:line="149" w:lineRule="exact"/>
              <w:rPr>
                <w:sz w:val="20"/>
                <w:szCs w:val="20"/>
                <w:color w:val="auto"/>
              </w:rPr>
            </w:pPr>
            <w:r>
              <w:rPr>
                <w:rFonts w:ascii="Arial" w:cs="Arial" w:eastAsia="Arial" w:hAnsi="Arial"/>
                <w:sz w:val="14"/>
                <w:szCs w:val="14"/>
                <w:color w:val="auto"/>
                <w:w w:val="92"/>
              </w:rPr>
              <w:t>and indicate your new address in the address space above. Please</w:t>
            </w:r>
          </w:p>
        </w:tc>
        <w:tc>
          <w:tcPr>
            <w:tcW w:w="60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7"/>
          </w:tcPr>
          <w:p>
            <w:pPr>
              <w:spacing w:after="0" w:line="149" w:lineRule="exact"/>
              <w:rPr>
                <w:sz w:val="20"/>
                <w:szCs w:val="20"/>
                <w:color w:val="auto"/>
              </w:rPr>
            </w:pPr>
            <w:r>
              <w:rPr>
                <w:rFonts w:ascii="Arial" w:cs="Arial" w:eastAsia="Arial" w:hAnsi="Arial"/>
                <w:sz w:val="14"/>
                <w:szCs w:val="14"/>
                <w:color w:val="auto"/>
                <w:w w:val="91"/>
              </w:rPr>
              <w:t>note that changes to the registered name(s) on the account may not</w:t>
            </w:r>
          </w:p>
        </w:tc>
        <w:tc>
          <w:tcPr>
            <w:tcW w:w="60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tcBorders>
              <w:bottom w:val="single" w:sz="8" w:color="auto"/>
            </w:tcBorders>
            <w:gridSpan w:val="5"/>
          </w:tcPr>
          <w:p>
            <w:pPr>
              <w:spacing w:after="0" w:line="159" w:lineRule="exact"/>
              <w:rPr>
                <w:sz w:val="20"/>
                <w:szCs w:val="20"/>
                <w:color w:val="auto"/>
              </w:rPr>
            </w:pPr>
            <w:r>
              <w:rPr>
                <w:rFonts w:ascii="Arial" w:cs="Arial" w:eastAsia="Arial" w:hAnsi="Arial"/>
                <w:sz w:val="14"/>
                <w:szCs w:val="14"/>
                <w:color w:val="auto"/>
              </w:rPr>
              <w:t>be submitted via this method.</w:t>
            </w: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700" w:type="dxa"/>
            <w:vAlign w:val="bottom"/>
            <w:gridSpan w:val="4"/>
            <w:vMerge w:val="restart"/>
          </w:tcPr>
          <w:p>
            <w:pPr>
              <w:spacing w:after="0"/>
              <w:rPr>
                <w:sz w:val="20"/>
                <w:szCs w:val="20"/>
                <w:color w:val="auto"/>
              </w:rPr>
            </w:pPr>
            <w:r>
              <w:rPr>
                <w:rFonts w:ascii="Arial" w:cs="Arial" w:eastAsia="Arial" w:hAnsi="Arial"/>
                <w:sz w:val="14"/>
                <w:szCs w:val="14"/>
                <w:color w:val="auto"/>
              </w:rPr>
              <w:t>Signature of Shareholder</w:t>
            </w:r>
          </w:p>
        </w:tc>
        <w:tc>
          <w:tcPr>
            <w:tcW w:w="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460" w:type="dxa"/>
            <w:vAlign w:val="bottom"/>
            <w:vMerge w:val="restart"/>
          </w:tcPr>
          <w:p>
            <w:pPr>
              <w:ind w:left="80"/>
              <w:spacing w:after="0"/>
              <w:rPr>
                <w:sz w:val="20"/>
                <w:szCs w:val="20"/>
                <w:color w:val="auto"/>
              </w:rPr>
            </w:pPr>
            <w:r>
              <w:rPr>
                <w:rFonts w:ascii="Arial" w:cs="Arial" w:eastAsia="Arial" w:hAnsi="Arial"/>
                <w:sz w:val="14"/>
                <w:szCs w:val="14"/>
                <w:color w:val="auto"/>
              </w:rPr>
              <w:t>Date:</w:t>
            </w:r>
          </w:p>
        </w:tc>
        <w:tc>
          <w:tcPr>
            <w:tcW w:w="380" w:type="dxa"/>
            <w:vAlign w:val="bottom"/>
            <w:tcBorders>
              <w:bottom w:val="single" w:sz="8" w:color="auto"/>
            </w:tcBorders>
            <w:gridSpan w:val="2"/>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60" w:type="dxa"/>
            <w:vAlign w:val="bottom"/>
            <w:vMerge w:val="restart"/>
          </w:tcPr>
          <w:p>
            <w:pPr>
              <w:ind w:left="80"/>
              <w:spacing w:after="0"/>
              <w:rPr>
                <w:sz w:val="20"/>
                <w:szCs w:val="20"/>
                <w:color w:val="auto"/>
              </w:rPr>
            </w:pPr>
            <w:r>
              <w:rPr>
                <w:rFonts w:ascii="Arial" w:cs="Arial" w:eastAsia="Arial" w:hAnsi="Arial"/>
                <w:sz w:val="14"/>
                <w:szCs w:val="14"/>
                <w:color w:val="auto"/>
                <w:w w:val="92"/>
              </w:rPr>
              <w:t>Signature of Shareholder</w:t>
            </w:r>
          </w:p>
        </w:tc>
        <w:tc>
          <w:tcPr>
            <w:tcW w:w="2400" w:type="dxa"/>
            <w:vAlign w:val="bottom"/>
            <w:tcBorders>
              <w:bottom w:val="single" w:sz="8" w:color="auto"/>
            </w:tcBorders>
          </w:tcPr>
          <w:p>
            <w:pPr>
              <w:spacing w:after="0"/>
              <w:rPr>
                <w:sz w:val="17"/>
                <w:szCs w:val="17"/>
                <w:color w:val="auto"/>
              </w:rPr>
            </w:pPr>
          </w:p>
        </w:tc>
        <w:tc>
          <w:tcPr>
            <w:tcW w:w="400" w:type="dxa"/>
            <w:vAlign w:val="bottom"/>
            <w:vMerge w:val="restart"/>
          </w:tcPr>
          <w:p>
            <w:pPr>
              <w:ind w:left="100"/>
              <w:spacing w:after="0"/>
              <w:rPr>
                <w:sz w:val="20"/>
                <w:szCs w:val="20"/>
                <w:color w:val="auto"/>
              </w:rPr>
            </w:pPr>
            <w:r>
              <w:rPr>
                <w:rFonts w:ascii="Arial" w:cs="Arial" w:eastAsia="Arial" w:hAnsi="Arial"/>
                <w:sz w:val="14"/>
                <w:szCs w:val="14"/>
                <w:color w:val="auto"/>
                <w:w w:val="83"/>
              </w:rPr>
              <w:t>Date:</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700" w:type="dxa"/>
            <w:vAlign w:val="bottom"/>
            <w:gridSpan w:val="4"/>
            <w:vMerge w:val="continue"/>
          </w:tcPr>
          <w:p>
            <w:pPr>
              <w:spacing w:after="0"/>
              <w:rPr>
                <w:sz w:val="24"/>
                <w:szCs w:val="24"/>
                <w:color w:val="auto"/>
              </w:rPr>
            </w:pPr>
          </w:p>
        </w:tc>
        <w:tc>
          <w:tcPr>
            <w:tcW w:w="4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460" w:type="dxa"/>
            <w:vAlign w:val="bottom"/>
            <w:vMerge w:val="continue"/>
          </w:tcPr>
          <w:p>
            <w:pPr>
              <w:spacing w:after="0"/>
              <w:rPr>
                <w:sz w:val="24"/>
                <w:szCs w:val="24"/>
                <w:color w:val="auto"/>
              </w:rPr>
            </w:pPr>
          </w:p>
        </w:tc>
        <w:tc>
          <w:tcPr>
            <w:tcW w:w="1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560" w:type="dxa"/>
            <w:vAlign w:val="bottom"/>
            <w:vMerge w:val="continue"/>
          </w:tcPr>
          <w:p>
            <w:pPr>
              <w:spacing w:after="0"/>
              <w:rPr>
                <w:sz w:val="24"/>
                <w:szCs w:val="24"/>
                <w:color w:val="auto"/>
              </w:rPr>
            </w:pPr>
          </w:p>
        </w:tc>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jc w:val="center"/>
        <w:ind w:left="380"/>
        <w:spacing w:after="0"/>
        <w:tabs>
          <w:tab w:leader="none" w:pos="140" w:val="left"/>
        </w:tabs>
        <w:rPr>
          <w:sz w:val="20"/>
          <w:szCs w:val="20"/>
          <w:color w:val="auto"/>
        </w:rPr>
      </w:pPr>
      <w:r>
        <w:rPr>
          <w:rFonts w:ascii="Arial" w:cs="Arial" w:eastAsia="Arial" w:hAnsi="Arial"/>
          <w:sz w:val="12"/>
          <w:szCs w:val="12"/>
          <w:b w:val="1"/>
          <w:bCs w:val="1"/>
          <w:color w:val="auto"/>
        </w:rPr>
        <w:t>Note:</w:t>
      </w:r>
      <w:r>
        <w:rPr>
          <w:sz w:val="20"/>
          <w:szCs w:val="20"/>
          <w:color w:val="auto"/>
        </w:rPr>
        <w:tab/>
      </w:r>
      <w:r>
        <w:rPr>
          <w:rFonts w:ascii="Arial" w:cs="Arial" w:eastAsia="Arial" w:hAnsi="Arial"/>
          <w:sz w:val="12"/>
          <w:szCs w:val="12"/>
          <w:color w:val="auto"/>
        </w:rPr>
        <w:t>Please sign exactly as your name or names appear on this Proxy. When shares are held jointly, each holder should sign. When signing as executor, administrator, attorney, trustee or guardian,</w:t>
      </w:r>
    </w:p>
    <w:p>
      <w:pPr>
        <w:spacing w:after="0" w:line="12" w:lineRule="exact"/>
        <w:rPr>
          <w:sz w:val="20"/>
          <w:szCs w:val="20"/>
          <w:color w:val="auto"/>
        </w:rPr>
      </w:pPr>
    </w:p>
    <w:p>
      <w:pPr>
        <w:ind w:left="840" w:right="840"/>
        <w:spacing w:after="0" w:line="216" w:lineRule="auto"/>
        <w:rPr>
          <w:sz w:val="20"/>
          <w:szCs w:val="20"/>
          <w:color w:val="auto"/>
        </w:rPr>
      </w:pPr>
      <w:r>
        <w:rPr>
          <w:rFonts w:ascii="Arial" w:cs="Arial" w:eastAsia="Arial" w:hAnsi="Arial"/>
          <w:sz w:val="14"/>
          <w:szCs w:val="14"/>
          <w:color w:val="auto"/>
        </w:rPr>
        <w:t>please give full title as such. If the signer is a corporation, please sign full corporate name by duly authorized officer, giving full title as such. If signer is a partnership, please sign in partnership name by authorized person.</w:t>
      </w:r>
    </w:p>
    <w:p>
      <w:pPr>
        <w:spacing w:after="0" w:line="1" w:lineRule="exact"/>
        <w:rPr>
          <w:sz w:val="20"/>
          <w:szCs w:val="20"/>
          <w:color w:val="auto"/>
        </w:rPr>
      </w:pPr>
    </w:p>
    <w:p>
      <w:pPr>
        <w:spacing w:after="0"/>
        <w:tabs>
          <w:tab w:leader="none" w:pos="11240" w:val="left"/>
        </w:tabs>
        <w:rPr>
          <w:sz w:val="20"/>
          <w:szCs w:val="20"/>
          <w:color w:val="auto"/>
        </w:rPr>
      </w:pPr>
      <w:r>
        <w:rPr>
          <w:rFonts w:ascii="Arial" w:cs="Arial" w:eastAsia="Arial" w:hAnsi="Arial"/>
          <w:sz w:val="32"/>
          <w:szCs w:val="32"/>
          <w:color w:val="auto"/>
        </w:rPr>
        <w:t>n</w:t>
      </w:r>
      <w:r>
        <w:rPr>
          <w:sz w:val="20"/>
          <w:szCs w:val="20"/>
          <w:color w:val="auto"/>
        </w:rPr>
        <w:tab/>
      </w:r>
      <w:r>
        <w:rPr>
          <w:rFonts w:ascii="Arial" w:cs="Arial" w:eastAsia="Arial" w:hAnsi="Arial"/>
          <w:sz w:val="32"/>
          <w:szCs w:val="32"/>
          <w:color w:val="auto"/>
        </w:rPr>
        <w:t>n</w:t>
      </w:r>
    </w:p>
    <w:p>
      <w:pPr>
        <w:sectPr>
          <w:pgSz w:w="11900" w:h="16838" w:orient="portrait"/>
          <w:cols w:equalWidth="0" w:num="1">
            <w:col w:w="11440"/>
          </w:cols>
          <w:pgMar w:left="240" w:top="274" w:right="21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1606550</wp:posOffset>
            </wp:positionH>
            <wp:positionV relativeFrom="page">
              <wp:posOffset>903605</wp:posOffset>
            </wp:positionV>
            <wp:extent cx="4356735" cy="20840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5673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9440"/>
        <w:spacing w:after="0"/>
        <w:tabs>
          <w:tab w:leader="none" w:pos="11240" w:val="left"/>
        </w:tabs>
        <w:rPr>
          <w:sz w:val="20"/>
          <w:szCs w:val="20"/>
          <w:color w:val="auto"/>
        </w:rPr>
      </w:pPr>
      <w:r>
        <w:rPr>
          <w:rFonts w:ascii="MS PGothic" w:cs="MS PGothic" w:eastAsia="MS PGothic" w:hAnsi="MS PGothic"/>
          <w:sz w:val="32"/>
          <w:szCs w:val="32"/>
          <w:color w:val="auto"/>
        </w:rPr>
        <w:t>☐</w:t>
      </w:r>
      <w:r>
        <w:rPr>
          <w:sz w:val="20"/>
          <w:szCs w:val="20"/>
          <w:color w:val="auto"/>
        </w:rPr>
        <w:tab/>
      </w:r>
      <w:r>
        <w:rPr>
          <w:rFonts w:ascii="Arial" w:cs="Arial" w:eastAsia="Arial" w:hAnsi="Arial"/>
          <w:sz w:val="32"/>
          <w:szCs w:val="32"/>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undersigned hereby appoints Robert A. Minicucci and Michael Bricker as Proxies, each with the power to appoint his substitute, and hereby authorizes them to represent and vote, as designated on the reverse side, all Ordinary Shares of Amdocs Limited (the “Company”) held of record by the undersigned on December 5, 2011, at the annual General Meeting of shareholders to be held on February 2, 2012 or any adjournment thereof.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5420" w:type="dxa"/>
            <w:vAlign w:val="bottom"/>
          </w:tcPr>
          <w:p>
            <w:pPr>
              <w:spacing w:after="0"/>
              <w:rPr>
                <w:sz w:val="20"/>
                <w:szCs w:val="20"/>
                <w:color w:val="auto"/>
              </w:rPr>
            </w:pPr>
            <w:r>
              <w:rPr>
                <w:rFonts w:ascii="Arial" w:cs="Arial" w:eastAsia="Arial" w:hAnsi="Arial"/>
                <w:sz w:val="32"/>
                <w:szCs w:val="32"/>
                <w:color w:val="auto"/>
              </w:rPr>
              <w:t>n</w:t>
            </w:r>
          </w:p>
        </w:tc>
        <w:tc>
          <w:tcPr>
            <w:tcW w:w="6000" w:type="dxa"/>
            <w:vAlign w:val="bottom"/>
          </w:tcPr>
          <w:p>
            <w:pPr>
              <w:ind w:left="5240"/>
              <w:spacing w:after="0"/>
              <w:rPr>
                <w:sz w:val="20"/>
                <w:szCs w:val="20"/>
                <w:color w:val="auto"/>
              </w:rPr>
            </w:pPr>
            <w:r>
              <w:rPr>
                <w:rFonts w:ascii="Arial" w:cs="Arial" w:eastAsia="Arial" w:hAnsi="Arial"/>
                <w:sz w:val="18"/>
                <w:szCs w:val="18"/>
                <w:color w:val="auto"/>
                <w:w w:val="95"/>
              </w:rPr>
              <w:t xml:space="preserve">14475  </w:t>
            </w:r>
            <w:r>
              <w:rPr>
                <w:rFonts w:ascii="Arial" w:cs="Arial" w:eastAsia="Arial" w:hAnsi="Arial"/>
                <w:sz w:val="32"/>
                <w:szCs w:val="32"/>
                <w:color w:val="auto"/>
                <w:w w:val="95"/>
              </w:rPr>
              <w:t>n</w:t>
            </w:r>
          </w:p>
        </w:tc>
      </w:tr>
    </w:tbl>
    <w:p>
      <w:pPr>
        <w:sectPr>
          <w:pgSz w:w="11900" w:h="16838" w:orient="portrait"/>
          <w:cols w:equalWidth="0" w:num="1">
            <w:col w:w="11420"/>
          </w:cols>
          <w:pgMar w:left="240" w:top="144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143510</wp:posOffset>
            </wp:positionV>
            <wp:extent cx="2487295"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87295" cy="222885"/>
                    </a:xfrm>
                    <a:prstGeom prst="rect">
                      <a:avLst/>
                    </a:prstGeom>
                    <a:noFill/>
                  </pic:spPr>
                </pic:pic>
              </a:graphicData>
            </a:graphic>
          </wp:anchor>
        </w:drawing>
      </w:r>
    </w:p>
    <w:p>
      <w:pPr>
        <w:spacing w:after="0" w:line="25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440"/>
          </w:cols>
          <w:pgMar w:left="240" w:top="274" w:right="219" w:bottom="1440" w:gutter="0" w:footer="0" w:header="0"/>
        </w:sectPr>
      </w:pP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u w:val="single" w:color="auto"/>
          <w:color w:val="auto"/>
        </w:rPr>
        <w:t>INTERNET</w:t>
      </w:r>
      <w:r>
        <w:rPr>
          <w:rFonts w:ascii="Arial" w:cs="Arial" w:eastAsia="Arial" w:hAnsi="Arial"/>
          <w:sz w:val="14"/>
          <w:szCs w:val="14"/>
          <w:b w:val="1"/>
          <w:bCs w:val="1"/>
          <w:color w:val="auto"/>
        </w:rPr>
        <w:t xml:space="preserve"> - </w:t>
      </w:r>
      <w:r>
        <w:rPr>
          <w:rFonts w:ascii="Arial" w:cs="Arial" w:eastAsia="Arial" w:hAnsi="Arial"/>
          <w:sz w:val="14"/>
          <w:szCs w:val="14"/>
          <w:color w:val="auto"/>
        </w:rPr>
        <w:t>Access “</w:t>
      </w:r>
      <w:r>
        <w:rPr>
          <w:rFonts w:ascii="Arial" w:cs="Arial" w:eastAsia="Arial" w:hAnsi="Arial"/>
          <w:sz w:val="14"/>
          <w:szCs w:val="14"/>
          <w:b w:val="1"/>
          <w:bCs w:val="1"/>
          <w:color w:val="auto"/>
        </w:rPr>
        <w:t>www.voteproxy.com</w:t>
      </w:r>
      <w:r>
        <w:rPr>
          <w:rFonts w:ascii="Arial" w:cs="Arial" w:eastAsia="Arial" w:hAnsi="Arial"/>
          <w:sz w:val="14"/>
          <w:szCs w:val="14"/>
          <w:color w:val="auto"/>
        </w:rPr>
        <w:t>” and follow the on-screen instructions. Have your proxy card available when you</w:t>
      </w:r>
      <w:r>
        <w:rPr>
          <w:rFonts w:ascii="Arial" w:cs="Arial" w:eastAsia="Arial" w:hAnsi="Arial"/>
          <w:sz w:val="14"/>
          <w:szCs w:val="14"/>
          <w:b w:val="1"/>
          <w:bCs w:val="1"/>
          <w:color w:val="auto"/>
        </w:rPr>
        <w:t xml:space="preserve"> </w:t>
      </w:r>
      <w:r>
        <w:rPr>
          <w:rFonts w:ascii="Arial" w:cs="Arial" w:eastAsia="Arial" w:hAnsi="Arial"/>
          <w:sz w:val="14"/>
          <w:szCs w:val="14"/>
          <w:color w:val="auto"/>
        </w:rPr>
        <w:t>access the web page.</w:t>
      </w:r>
    </w:p>
    <w:p>
      <w:pPr>
        <w:spacing w:after="0" w:line="109" w:lineRule="exact"/>
        <w:rPr>
          <w:sz w:val="20"/>
          <w:szCs w:val="20"/>
          <w:color w:val="auto"/>
        </w:rPr>
      </w:pPr>
    </w:p>
    <w:p>
      <w:pPr>
        <w:ind w:right="380"/>
        <w:spacing w:after="0" w:line="321" w:lineRule="auto"/>
        <w:rPr>
          <w:sz w:val="20"/>
          <w:szCs w:val="20"/>
          <w:color w:val="auto"/>
        </w:rPr>
      </w:pPr>
      <w:r>
        <w:rPr>
          <w:rFonts w:ascii="Arial" w:cs="Arial" w:eastAsia="Arial" w:hAnsi="Arial"/>
          <w:sz w:val="12"/>
          <w:szCs w:val="12"/>
          <w:b w:val="1"/>
          <w:bCs w:val="1"/>
          <w:u w:val="single" w:color="auto"/>
          <w:color w:val="auto"/>
        </w:rPr>
        <w:t>TELEPHONE</w:t>
      </w:r>
      <w:r>
        <w:rPr>
          <w:rFonts w:ascii="Arial" w:cs="Arial" w:eastAsia="Arial" w:hAnsi="Arial"/>
          <w:sz w:val="12"/>
          <w:szCs w:val="12"/>
          <w:b w:val="1"/>
          <w:bCs w:val="1"/>
          <w:color w:val="auto"/>
        </w:rPr>
        <w:t xml:space="preserve"> - </w:t>
      </w:r>
      <w:r>
        <w:rPr>
          <w:rFonts w:ascii="Arial" w:cs="Arial" w:eastAsia="Arial" w:hAnsi="Arial"/>
          <w:sz w:val="12"/>
          <w:szCs w:val="12"/>
          <w:color w:val="auto"/>
        </w:rPr>
        <w:t>Call toll-free</w:t>
      </w:r>
      <w:r>
        <w:rPr>
          <w:rFonts w:ascii="Arial" w:cs="Arial" w:eastAsia="Arial" w:hAnsi="Arial"/>
          <w:sz w:val="12"/>
          <w:szCs w:val="12"/>
          <w:b w:val="1"/>
          <w:bCs w:val="1"/>
          <w:color w:val="auto"/>
        </w:rPr>
        <w:t xml:space="preserve"> 1-800-PROXIES </w:t>
      </w:r>
      <w:r>
        <w:rPr>
          <w:rFonts w:ascii="Arial" w:cs="Arial" w:eastAsia="Arial" w:hAnsi="Arial"/>
          <w:sz w:val="12"/>
          <w:szCs w:val="12"/>
          <w:color w:val="auto"/>
        </w:rPr>
        <w:t>(1-800-776-9437) in the United States or</w:t>
      </w:r>
      <w:r>
        <w:rPr>
          <w:rFonts w:ascii="Arial" w:cs="Arial" w:eastAsia="Arial" w:hAnsi="Arial"/>
          <w:sz w:val="12"/>
          <w:szCs w:val="12"/>
          <w:b w:val="1"/>
          <w:bCs w:val="1"/>
          <w:color w:val="auto"/>
        </w:rPr>
        <w:t xml:space="preserve"> 1-718-921-8500 </w:t>
      </w:r>
      <w:r>
        <w:rPr>
          <w:rFonts w:ascii="Arial" w:cs="Arial" w:eastAsia="Arial" w:hAnsi="Arial"/>
          <w:sz w:val="12"/>
          <w:szCs w:val="12"/>
          <w:color w:val="auto"/>
        </w:rPr>
        <w:t>from foreign</w:t>
      </w:r>
      <w:r>
        <w:rPr>
          <w:rFonts w:ascii="Arial" w:cs="Arial" w:eastAsia="Arial" w:hAnsi="Arial"/>
          <w:sz w:val="12"/>
          <w:szCs w:val="12"/>
          <w:b w:val="1"/>
          <w:bCs w:val="1"/>
          <w:color w:val="auto"/>
        </w:rPr>
        <w:t xml:space="preserve"> </w:t>
      </w:r>
      <w:r>
        <w:rPr>
          <w:rFonts w:ascii="Arial" w:cs="Arial" w:eastAsia="Arial" w:hAnsi="Arial"/>
          <w:sz w:val="12"/>
          <w:szCs w:val="12"/>
          <w:color w:val="auto"/>
        </w:rPr>
        <w:t>countries from any touch-tone telephone and follow the instructions. Have your proxy card available when you call.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Vote online/phone until 11:59 PM EST the day before the meeting.</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MAIL</w:t>
      </w:r>
      <w:r>
        <w:rPr>
          <w:rFonts w:ascii="Arial" w:cs="Arial" w:eastAsia="Arial" w:hAnsi="Arial"/>
          <w:sz w:val="14"/>
          <w:szCs w:val="14"/>
          <w:b w:val="1"/>
          <w:bCs w:val="1"/>
          <w:color w:val="auto"/>
        </w:rPr>
        <w:t xml:space="preserve"> - </w:t>
      </w:r>
      <w:r>
        <w:rPr>
          <w:rFonts w:ascii="Arial" w:cs="Arial" w:eastAsia="Arial" w:hAnsi="Arial"/>
          <w:sz w:val="14"/>
          <w:szCs w:val="14"/>
          <w:color w:val="auto"/>
        </w:rPr>
        <w:t>Sign, date and mail your proxy card in the envelope provided as soon as possible.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PERSON</w:t>
      </w:r>
      <w:r>
        <w:rPr>
          <w:rFonts w:ascii="Arial" w:cs="Arial" w:eastAsia="Arial" w:hAnsi="Arial"/>
          <w:sz w:val="14"/>
          <w:szCs w:val="14"/>
          <w:b w:val="1"/>
          <w:bCs w:val="1"/>
          <w:color w:val="auto"/>
        </w:rPr>
        <w:t xml:space="preserve"> - </w:t>
      </w:r>
      <w:r>
        <w:rPr>
          <w:rFonts w:ascii="Arial" w:cs="Arial" w:eastAsia="Arial" w:hAnsi="Arial"/>
          <w:sz w:val="14"/>
          <w:szCs w:val="14"/>
          <w:color w:val="auto"/>
        </w:rPr>
        <w:t>You may vote your shares in person by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54875" cy="4972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-201295</wp:posOffset>
            </wp:positionV>
            <wp:extent cx="2761615" cy="1037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61615" cy="10375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 NUMBER</w:t>
      </w:r>
    </w:p>
    <w:p>
      <w:pPr>
        <w:spacing w:after="0" w:line="961" w:lineRule="exact"/>
        <w:rPr>
          <w:sz w:val="20"/>
          <w:szCs w:val="20"/>
          <w:color w:val="auto"/>
        </w:rPr>
      </w:pPr>
    </w:p>
    <w:p>
      <w:pPr>
        <w:sectPr>
          <w:pgSz w:w="11900" w:h="16838" w:orient="portrait"/>
          <w:cols w:equalWidth="0" w:num="2">
            <w:col w:w="6900" w:space="580"/>
            <w:col w:w="3960"/>
          </w:cols>
          <w:pgMar w:left="240" w:top="274" w:right="21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of Meeting, Proxy Statement, Proxy Card are available at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gridSpan w:val="3"/>
          </w:tcPr>
          <w:p>
            <w:pPr>
              <w:jc w:val="center"/>
              <w:ind w:right="2752"/>
              <w:spacing w:after="0"/>
              <w:rPr>
                <w:sz w:val="20"/>
                <w:szCs w:val="20"/>
                <w:color w:val="auto"/>
              </w:rPr>
            </w:pPr>
            <w:r>
              <w:rPr>
                <w:rFonts w:ascii="Arial" w:cs="Arial" w:eastAsia="Arial" w:hAnsi="Arial"/>
                <w:sz w:val="18"/>
                <w:szCs w:val="18"/>
                <w:color w:val="auto"/>
                <w:w w:val="90"/>
              </w:rPr>
              <w:t>www.amdocs.com/proxy</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3"/>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10500" w:type="dxa"/>
            <w:vAlign w:val="bottom"/>
            <w:gridSpan w:val="9"/>
          </w:tcPr>
          <w:p>
            <w:pPr>
              <w:jc w:val="center"/>
              <w:ind w:left="348"/>
              <w:spacing w:after="0"/>
              <w:rPr>
                <w:sz w:val="20"/>
                <w:szCs w:val="20"/>
                <w:color w:val="auto"/>
              </w:rPr>
            </w:pPr>
            <w:r>
              <w:rPr>
                <w:rFonts w:ascii="Arial" w:cs="Arial" w:eastAsia="Arial" w:hAnsi="Arial"/>
                <w:sz w:val="18"/>
                <w:szCs w:val="18"/>
                <w:color w:val="auto"/>
                <w:w w:val="89"/>
              </w:rPr>
              <w:t>i Please detach along perforated line and mail in the envelope provided IF you are not voting via telephone or the Internet. i</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21233300000000000000</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9</w:t>
            </w:r>
          </w:p>
        </w:tc>
        <w:tc>
          <w:tcPr>
            <w:tcW w:w="1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8"/>
                <w:szCs w:val="18"/>
                <w:color w:val="auto"/>
              </w:rPr>
              <w:t>020212</w:t>
            </w:r>
          </w:p>
        </w:tc>
        <w:tc>
          <w:tcPr>
            <w:tcW w:w="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9660" w:type="dxa"/>
            <w:vAlign w:val="bottom"/>
            <w:gridSpan w:val="8"/>
          </w:tcPr>
          <w:p>
            <w:pPr>
              <w:jc w:val="center"/>
              <w:ind w:left="1168"/>
              <w:spacing w:after="0" w:line="129" w:lineRule="exact"/>
              <w:rPr>
                <w:sz w:val="20"/>
                <w:szCs w:val="20"/>
                <w:color w:val="auto"/>
              </w:rPr>
            </w:pPr>
            <w:r>
              <w:rPr>
                <w:rFonts w:ascii="Arial" w:cs="Arial" w:eastAsia="Arial" w:hAnsi="Arial"/>
                <w:sz w:val="14"/>
                <w:szCs w:val="14"/>
                <w:b w:val="1"/>
                <w:bCs w:val="1"/>
                <w:color w:val="auto"/>
                <w:w w:val="97"/>
              </w:rPr>
              <w:t>AMDOCS’ BOARD OF DIRECTORS RECOMMENDS A VOTE “FOR” THE ELECTION OF EACH OF THE DIRECTOR NOMINEES</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620" w:type="dxa"/>
            <w:vAlign w:val="bottom"/>
            <w:gridSpan w:val="4"/>
          </w:tcPr>
          <w:p>
            <w:pPr>
              <w:jc w:val="center"/>
              <w:ind w:right="1932"/>
              <w:spacing w:after="0" w:line="135" w:lineRule="exact"/>
              <w:rPr>
                <w:sz w:val="20"/>
                <w:szCs w:val="20"/>
                <w:color w:val="auto"/>
              </w:rPr>
            </w:pPr>
            <w:r>
              <w:rPr>
                <w:rFonts w:ascii="Arial" w:cs="Arial" w:eastAsia="Arial" w:hAnsi="Arial"/>
                <w:sz w:val="14"/>
                <w:szCs w:val="14"/>
                <w:b w:val="1"/>
                <w:bCs w:val="1"/>
                <w:color w:val="auto"/>
                <w:w w:val="93"/>
              </w:rPr>
              <w:t>AND A VOTE “FOR” PROPOSALS 2, 3 AND 4.</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0" w:type="dxa"/>
            <w:vAlign w:val="bottom"/>
            <w:tcBorders>
              <w:bottom w:val="single" w:sz="8" w:color="auto"/>
            </w:tcBorders>
          </w:tcPr>
          <w:p>
            <w:pPr>
              <w:spacing w:after="0"/>
              <w:rPr>
                <w:sz w:val="16"/>
                <w:szCs w:val="16"/>
                <w:color w:val="auto"/>
              </w:rPr>
            </w:pPr>
          </w:p>
        </w:tc>
        <w:tc>
          <w:tcPr>
            <w:tcW w:w="10500" w:type="dxa"/>
            <w:vAlign w:val="bottom"/>
            <w:tcBorders>
              <w:bottom w:val="single" w:sz="8" w:color="auto"/>
            </w:tcBorders>
            <w:gridSpan w:val="9"/>
          </w:tcPr>
          <w:p>
            <w:pPr>
              <w:jc w:val="center"/>
              <w:ind w:left="328"/>
              <w:spacing w:after="0" w:line="161" w:lineRule="exact"/>
              <w:rPr>
                <w:sz w:val="20"/>
                <w:szCs w:val="20"/>
                <w:color w:val="auto"/>
              </w:rPr>
            </w:pPr>
            <w:r>
              <w:rPr>
                <w:rFonts w:ascii="Arial" w:cs="Arial" w:eastAsia="Arial" w:hAnsi="Arial"/>
                <w:sz w:val="14"/>
                <w:szCs w:val="14"/>
                <w:b w:val="1"/>
                <w:bCs w:val="1"/>
                <w:color w:val="auto"/>
                <w:w w:val="96"/>
              </w:rPr>
              <w:t xml:space="preserve">PLEASE SIGN, DATE AND RETURN PROMPTLY IN THE ENCLOSED ENVELOPE. PLEASE MARK YOUR VOTE IN BLUE OR BLACK INK AS SHOWN HERE </w:t>
            </w:r>
            <w:r>
              <w:rPr>
                <w:rFonts w:ascii="MS PGothic" w:cs="MS PGothic" w:eastAsia="MS PGothic" w:hAnsi="MS PGothic"/>
                <w:sz w:val="14"/>
                <w:szCs w:val="14"/>
                <w:color w:val="auto"/>
                <w:w w:val="96"/>
              </w:rPr>
              <w:t>☒</w:t>
            </w: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4"/>
              </w:rPr>
              <w:t>FOR</w:t>
            </w: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8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77"/>
        </w:trPr>
        <w:tc>
          <w:tcPr>
            <w:tcW w:w="2140" w:type="dxa"/>
            <w:vAlign w:val="bottom"/>
            <w:gridSpan w:val="2"/>
          </w:tcPr>
          <w:p>
            <w:pPr>
              <w:jc w:val="right"/>
              <w:ind w:right="248"/>
              <w:spacing w:after="0"/>
              <w:rPr>
                <w:sz w:val="20"/>
                <w:szCs w:val="20"/>
                <w:color w:val="auto"/>
              </w:rPr>
            </w:pPr>
            <w:r>
              <w:rPr>
                <w:rFonts w:ascii="Arial" w:cs="Arial" w:eastAsia="Arial" w:hAnsi="Arial"/>
                <w:sz w:val="14"/>
                <w:szCs w:val="14"/>
                <w:color w:val="auto"/>
                <w:w w:val="90"/>
              </w:rPr>
              <w:t>1. ELECTION OF DIRECTORS:</w:t>
            </w: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4800" w:type="dxa"/>
            <w:vAlign w:val="bottom"/>
            <w:gridSpan w:val="3"/>
          </w:tcPr>
          <w:p>
            <w:pPr>
              <w:ind w:left="60"/>
              <w:spacing w:after="0"/>
              <w:rPr>
                <w:sz w:val="20"/>
                <w:szCs w:val="20"/>
                <w:color w:val="auto"/>
              </w:rPr>
            </w:pPr>
            <w:r>
              <w:rPr>
                <w:rFonts w:ascii="Arial" w:cs="Arial" w:eastAsia="Arial" w:hAnsi="Arial"/>
                <w:sz w:val="14"/>
                <w:szCs w:val="14"/>
                <w:color w:val="auto"/>
              </w:rPr>
              <w:t>APPROVE  THE  AMENDMENT  TO  THE  1998  STOCK  OPTION  AND</w:t>
            </w:r>
          </w:p>
        </w:tc>
        <w:tc>
          <w:tcPr>
            <w:tcW w:w="380" w:type="dxa"/>
            <w:vAlign w:val="bottom"/>
          </w:tcPr>
          <w:p>
            <w:pPr>
              <w:jc w:val="right"/>
              <w:ind w:right="37"/>
              <w:spacing w:after="0" w:line="177" w:lineRule="exact"/>
              <w:rPr>
                <w:sz w:val="20"/>
                <w:szCs w:val="20"/>
                <w:color w:val="auto"/>
              </w:rPr>
            </w:pPr>
            <w:r>
              <w:rPr>
                <w:rFonts w:ascii="MS PGothic" w:cs="MS PGothic" w:eastAsia="MS PGothic" w:hAnsi="MS PGothic"/>
                <w:sz w:val="18"/>
                <w:szCs w:val="18"/>
                <w:color w:val="auto"/>
              </w:rPr>
              <w:t>☐</w:t>
            </w:r>
          </w:p>
        </w:tc>
        <w:tc>
          <w:tcPr>
            <w:tcW w:w="840" w:type="dxa"/>
            <w:vAlign w:val="bottom"/>
          </w:tcPr>
          <w:p>
            <w:pPr>
              <w:jc w:val="center"/>
              <w:spacing w:after="0" w:line="177" w:lineRule="exact"/>
              <w:rPr>
                <w:sz w:val="20"/>
                <w:szCs w:val="20"/>
                <w:color w:val="auto"/>
              </w:rPr>
            </w:pPr>
            <w:r>
              <w:rPr>
                <w:rFonts w:ascii="MS PGothic" w:cs="MS PGothic" w:eastAsia="MS PGothic" w:hAnsi="MS PGothic"/>
                <w:sz w:val="18"/>
                <w:szCs w:val="18"/>
                <w:color w:val="auto"/>
                <w:w w:val="88"/>
              </w:rPr>
              <w:t>☐</w:t>
            </w:r>
          </w:p>
        </w:tc>
        <w:tc>
          <w:tcPr>
            <w:tcW w:w="680" w:type="dxa"/>
            <w:vAlign w:val="bottom"/>
            <w:gridSpan w:val="2"/>
          </w:tcPr>
          <w:p>
            <w:pPr>
              <w:jc w:val="center"/>
              <w:ind w:right="40"/>
              <w:spacing w:after="0" w:line="177"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2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0" w:type="dxa"/>
            <w:vAlign w:val="bottom"/>
            <w:gridSpan w:val="3"/>
          </w:tcPr>
          <w:p>
            <w:pPr>
              <w:ind w:left="60"/>
              <w:spacing w:after="0" w:line="137" w:lineRule="exact"/>
              <w:rPr>
                <w:sz w:val="20"/>
                <w:szCs w:val="20"/>
                <w:color w:val="auto"/>
              </w:rPr>
            </w:pPr>
            <w:r>
              <w:rPr>
                <w:rFonts w:ascii="Arial" w:cs="Arial" w:eastAsia="Arial" w:hAnsi="Arial"/>
                <w:sz w:val="14"/>
                <w:szCs w:val="14"/>
                <w:color w:val="auto"/>
              </w:rPr>
              <w:t>INCENTIVE PLAN.</w:t>
            </w:r>
          </w:p>
        </w:tc>
        <w:tc>
          <w:tcPr>
            <w:tcW w:w="380" w:type="dxa"/>
            <w:vAlign w:val="bottom"/>
            <w:vMerge w:val="restart"/>
          </w:tcPr>
          <w:p>
            <w:pPr>
              <w:jc w:val="right"/>
              <w:ind w:right="37"/>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gridSpan w:val="2"/>
            <w:vMerge w:val="restart"/>
          </w:tcPr>
          <w:p>
            <w:pPr>
              <w:jc w:val="center"/>
              <w:ind w:right="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NOMINEES:</w:t>
            </w: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4800" w:type="dxa"/>
            <w:vAlign w:val="bottom"/>
            <w:gridSpan w:val="3"/>
          </w:tcPr>
          <w:p>
            <w:pPr>
              <w:ind w:left="60"/>
              <w:spacing w:after="0"/>
              <w:rPr>
                <w:sz w:val="20"/>
                <w:szCs w:val="20"/>
                <w:color w:val="auto"/>
              </w:rPr>
            </w:pPr>
            <w:r>
              <w:rPr>
                <w:rFonts w:ascii="Arial" w:cs="Arial" w:eastAsia="Arial" w:hAnsi="Arial"/>
                <w:sz w:val="14"/>
                <w:szCs w:val="14"/>
                <w:color w:val="auto"/>
              </w:rPr>
              <w:t>APPROVAL   OF   CONSOLIDATED   FINANCIAL   STATEMENTS   FOR</w:t>
            </w:r>
          </w:p>
        </w:tc>
        <w:tc>
          <w:tcPr>
            <w:tcW w:w="3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88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4800" w:type="dxa"/>
            <w:vAlign w:val="bottom"/>
            <w:gridSpan w:val="3"/>
          </w:tcPr>
          <w:p>
            <w:pPr>
              <w:ind w:left="60"/>
              <w:spacing w:after="0" w:line="137" w:lineRule="exact"/>
              <w:rPr>
                <w:sz w:val="20"/>
                <w:szCs w:val="20"/>
                <w:color w:val="auto"/>
              </w:rPr>
            </w:pPr>
            <w:r>
              <w:rPr>
                <w:rFonts w:ascii="Arial" w:cs="Arial" w:eastAsia="Arial" w:hAnsi="Arial"/>
                <w:sz w:val="14"/>
                <w:szCs w:val="14"/>
                <w:color w:val="auto"/>
              </w:rPr>
              <w:t>FISCALYEAR 2011.</w:t>
            </w:r>
          </w:p>
        </w:tc>
        <w:tc>
          <w:tcPr>
            <w:tcW w:w="380" w:type="dxa"/>
            <w:vAlign w:val="bottom"/>
            <w:vMerge w:val="restart"/>
          </w:tcPr>
          <w:p>
            <w:pPr>
              <w:jc w:val="right"/>
              <w:ind w:right="37"/>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gridSpan w:val="2"/>
            <w:vMerge w:val="restart"/>
          </w:tcPr>
          <w:p>
            <w:pPr>
              <w:jc w:val="center"/>
              <w:ind w:right="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3"/>
        </w:trPr>
        <w:tc>
          <w:tcPr>
            <w:tcW w:w="260" w:type="dxa"/>
            <w:vAlign w:val="bottom"/>
            <w:vMerge w:val="continue"/>
          </w:tcPr>
          <w:p>
            <w:pPr>
              <w:spacing w:after="0"/>
              <w:rPr>
                <w:sz w:val="15"/>
                <w:szCs w:val="15"/>
                <w:color w:val="auto"/>
              </w:rPr>
            </w:pPr>
          </w:p>
        </w:tc>
        <w:tc>
          <w:tcPr>
            <w:tcW w:w="1880" w:type="dxa"/>
            <w:vAlign w:val="bottom"/>
          </w:tcPr>
          <w:p>
            <w:pPr>
              <w:ind w:left="120"/>
              <w:spacing w:after="0"/>
              <w:rPr>
                <w:sz w:val="20"/>
                <w:szCs w:val="20"/>
                <w:color w:val="auto"/>
              </w:rPr>
            </w:pPr>
            <w:r>
              <w:rPr>
                <w:rFonts w:ascii="Arial" w:cs="Arial" w:eastAsia="Arial" w:hAnsi="Arial"/>
                <w:sz w:val="14"/>
                <w:szCs w:val="14"/>
                <w:b w:val="1"/>
                <w:bCs w:val="1"/>
                <w:color w:val="auto"/>
              </w:rPr>
              <w:t>FOR ALL NOMINEES</w:t>
            </w:r>
          </w:p>
        </w:tc>
        <w:tc>
          <w:tcPr>
            <w:tcW w:w="240" w:type="dxa"/>
            <w:vAlign w:val="bottom"/>
          </w:tcPr>
          <w:p>
            <w:pPr>
              <w:ind w:left="40"/>
              <w:spacing w:after="0"/>
              <w:rPr>
                <w:sz w:val="20"/>
                <w:szCs w:val="20"/>
                <w:color w:val="auto"/>
              </w:rPr>
            </w:pPr>
            <w:r>
              <w:rPr>
                <w:rFonts w:ascii="Arial" w:cs="Arial" w:eastAsia="Arial" w:hAnsi="Arial"/>
                <w:sz w:val="14"/>
                <w:szCs w:val="14"/>
                <w:color w:val="auto"/>
              </w:rPr>
              <w:t>O</w:t>
            </w:r>
          </w:p>
        </w:tc>
        <w:tc>
          <w:tcPr>
            <w:tcW w:w="1540" w:type="dxa"/>
            <w:vAlign w:val="bottom"/>
          </w:tcPr>
          <w:p>
            <w:pPr>
              <w:spacing w:after="0"/>
              <w:rPr>
                <w:sz w:val="20"/>
                <w:szCs w:val="20"/>
                <w:color w:val="auto"/>
              </w:rPr>
            </w:pPr>
            <w:r>
              <w:rPr>
                <w:rFonts w:ascii="Arial" w:cs="Arial" w:eastAsia="Arial" w:hAnsi="Arial"/>
                <w:sz w:val="14"/>
                <w:szCs w:val="14"/>
                <w:color w:val="auto"/>
              </w:rPr>
              <w:t>Robert A. Minicucci</w:t>
            </w: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4800" w:type="dxa"/>
            <w:vAlign w:val="bottom"/>
            <w:gridSpan w:val="3"/>
          </w:tcPr>
          <w:p>
            <w:pPr>
              <w:ind w:left="60"/>
              <w:spacing w:after="0"/>
              <w:rPr>
                <w:sz w:val="20"/>
                <w:szCs w:val="20"/>
                <w:color w:val="auto"/>
              </w:rPr>
            </w:pPr>
            <w:r>
              <w:rPr>
                <w:rFonts w:ascii="Arial" w:cs="Arial" w:eastAsia="Arial" w:hAnsi="Arial"/>
                <w:sz w:val="14"/>
                <w:szCs w:val="14"/>
                <w:color w:val="auto"/>
              </w:rPr>
              <w:t>RATIFICATION  AND  APPROVAL  OF  ERNST  &amp;  YOUNG  LLP  AND</w:t>
            </w:r>
          </w:p>
        </w:tc>
        <w:tc>
          <w:tcPr>
            <w:tcW w:w="3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40" w:type="dxa"/>
            <w:vAlign w:val="bottom"/>
          </w:tcPr>
          <w:p>
            <w:pPr>
              <w:ind w:left="40"/>
              <w:spacing w:after="0" w:line="125" w:lineRule="exact"/>
              <w:rPr>
                <w:sz w:val="20"/>
                <w:szCs w:val="20"/>
                <w:color w:val="auto"/>
              </w:rPr>
            </w:pPr>
            <w:r>
              <w:rPr>
                <w:rFonts w:ascii="Arial" w:cs="Arial" w:eastAsia="Arial" w:hAnsi="Arial"/>
                <w:sz w:val="14"/>
                <w:szCs w:val="14"/>
                <w:color w:val="auto"/>
              </w:rPr>
              <w:t>O</w:t>
            </w:r>
          </w:p>
        </w:tc>
        <w:tc>
          <w:tcPr>
            <w:tcW w:w="1540" w:type="dxa"/>
            <w:vAlign w:val="bottom"/>
          </w:tcPr>
          <w:p>
            <w:pPr>
              <w:spacing w:after="0" w:line="125" w:lineRule="exact"/>
              <w:rPr>
                <w:sz w:val="20"/>
                <w:szCs w:val="20"/>
                <w:color w:val="auto"/>
              </w:rPr>
            </w:pPr>
            <w:r>
              <w:rPr>
                <w:rFonts w:ascii="Arial" w:cs="Arial" w:eastAsia="Arial" w:hAnsi="Arial"/>
                <w:sz w:val="14"/>
                <w:szCs w:val="14"/>
                <w:color w:val="auto"/>
              </w:rPr>
              <w:t>Bruce K. Anderson</w:t>
            </w:r>
          </w:p>
        </w:tc>
        <w:tc>
          <w:tcPr>
            <w:tcW w:w="820" w:type="dxa"/>
            <w:vAlign w:val="bottom"/>
          </w:tcPr>
          <w:p>
            <w:pPr>
              <w:spacing w:after="0"/>
              <w:rPr>
                <w:sz w:val="10"/>
                <w:szCs w:val="10"/>
                <w:color w:val="auto"/>
              </w:rPr>
            </w:pPr>
          </w:p>
        </w:tc>
        <w:tc>
          <w:tcPr>
            <w:tcW w:w="4800" w:type="dxa"/>
            <w:vAlign w:val="bottom"/>
            <w:gridSpan w:val="3"/>
          </w:tcPr>
          <w:p>
            <w:pPr>
              <w:ind w:left="60"/>
              <w:spacing w:after="0" w:line="125" w:lineRule="exact"/>
              <w:rPr>
                <w:sz w:val="20"/>
                <w:szCs w:val="20"/>
                <w:color w:val="auto"/>
              </w:rPr>
            </w:pPr>
            <w:r>
              <w:rPr>
                <w:rFonts w:ascii="Arial" w:cs="Arial" w:eastAsia="Arial" w:hAnsi="Arial"/>
                <w:sz w:val="14"/>
                <w:szCs w:val="14"/>
                <w:color w:val="auto"/>
              </w:rPr>
              <w:t>AUTHORIZATION   OF   AUDIT   COMMITTEE   OF   BOARD   TO   FIX</w:t>
            </w: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88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O</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Adrian Gardner</w:t>
            </w:r>
          </w:p>
        </w:tc>
        <w:tc>
          <w:tcPr>
            <w:tcW w:w="820" w:type="dxa"/>
            <w:vAlign w:val="bottom"/>
          </w:tcPr>
          <w:p>
            <w:pPr>
              <w:spacing w:after="0"/>
              <w:rPr>
                <w:sz w:val="12"/>
                <w:szCs w:val="12"/>
                <w:color w:val="auto"/>
              </w:rPr>
            </w:pPr>
          </w:p>
        </w:tc>
        <w:tc>
          <w:tcPr>
            <w:tcW w:w="48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REMUNERATION.</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60" w:type="dxa"/>
            <w:vAlign w:val="bottom"/>
            <w:vMerge w:val="continue"/>
          </w:tcPr>
          <w:p>
            <w:pPr>
              <w:spacing w:after="0"/>
              <w:rPr>
                <w:sz w:val="16"/>
                <w:szCs w:val="16"/>
                <w:color w:val="auto"/>
              </w:rPr>
            </w:pPr>
          </w:p>
        </w:tc>
        <w:tc>
          <w:tcPr>
            <w:tcW w:w="1880" w:type="dxa"/>
            <w:vAlign w:val="bottom"/>
          </w:tcPr>
          <w:p>
            <w:pPr>
              <w:ind w:left="120"/>
              <w:spacing w:after="0"/>
              <w:rPr>
                <w:sz w:val="20"/>
                <w:szCs w:val="20"/>
                <w:color w:val="auto"/>
              </w:rPr>
            </w:pPr>
            <w:r>
              <w:rPr>
                <w:rFonts w:ascii="Arial" w:cs="Arial" w:eastAsia="Arial" w:hAnsi="Arial"/>
                <w:sz w:val="14"/>
                <w:szCs w:val="14"/>
                <w:b w:val="1"/>
                <w:bCs w:val="1"/>
                <w:color w:val="auto"/>
              </w:rPr>
              <w:t>WITHHOLD AUTHORITY</w:t>
            </w:r>
          </w:p>
        </w:tc>
        <w:tc>
          <w:tcPr>
            <w:tcW w:w="240" w:type="dxa"/>
            <w:vAlign w:val="bottom"/>
          </w:tcPr>
          <w:p>
            <w:pPr>
              <w:ind w:left="40"/>
              <w:spacing w:after="0"/>
              <w:rPr>
                <w:sz w:val="20"/>
                <w:szCs w:val="20"/>
                <w:color w:val="auto"/>
              </w:rPr>
            </w:pPr>
            <w:r>
              <w:rPr>
                <w:rFonts w:ascii="Arial" w:cs="Arial" w:eastAsia="Arial" w:hAnsi="Arial"/>
                <w:sz w:val="14"/>
                <w:szCs w:val="14"/>
                <w:color w:val="auto"/>
              </w:rPr>
              <w:t>O</w:t>
            </w:r>
          </w:p>
        </w:tc>
        <w:tc>
          <w:tcPr>
            <w:tcW w:w="1540" w:type="dxa"/>
            <w:vAlign w:val="bottom"/>
          </w:tcPr>
          <w:p>
            <w:pPr>
              <w:spacing w:after="0"/>
              <w:rPr>
                <w:sz w:val="20"/>
                <w:szCs w:val="20"/>
                <w:color w:val="auto"/>
              </w:rPr>
            </w:pPr>
            <w:r>
              <w:rPr>
                <w:rFonts w:ascii="Arial" w:cs="Arial" w:eastAsia="Arial" w:hAnsi="Arial"/>
                <w:sz w:val="14"/>
                <w:szCs w:val="14"/>
                <w:color w:val="auto"/>
              </w:rPr>
              <w:t>John T. McLennan</w:t>
            </w:r>
          </w:p>
        </w:tc>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60" w:type="dxa"/>
            <w:vAlign w:val="bottom"/>
          </w:tcPr>
          <w:p>
            <w:pPr>
              <w:spacing w:after="0"/>
              <w:rPr>
                <w:sz w:val="9"/>
                <w:szCs w:val="9"/>
                <w:color w:val="auto"/>
              </w:rPr>
            </w:pPr>
          </w:p>
        </w:tc>
        <w:tc>
          <w:tcPr>
            <w:tcW w:w="18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FOR ALL NOMINEES</w:t>
            </w:r>
          </w:p>
        </w:tc>
        <w:tc>
          <w:tcPr>
            <w:tcW w:w="240" w:type="dxa"/>
            <w:vAlign w:val="bottom"/>
          </w:tcPr>
          <w:p>
            <w:pPr>
              <w:ind w:left="40"/>
              <w:spacing w:after="0" w:line="111" w:lineRule="exact"/>
              <w:rPr>
                <w:sz w:val="20"/>
                <w:szCs w:val="20"/>
                <w:color w:val="auto"/>
              </w:rPr>
            </w:pPr>
            <w:r>
              <w:rPr>
                <w:rFonts w:ascii="Arial" w:cs="Arial" w:eastAsia="Arial" w:hAnsi="Arial"/>
                <w:sz w:val="12"/>
                <w:szCs w:val="12"/>
                <w:color w:val="auto"/>
              </w:rPr>
              <w:t>O</w:t>
            </w:r>
          </w:p>
        </w:tc>
        <w:tc>
          <w:tcPr>
            <w:tcW w:w="1540" w:type="dxa"/>
            <w:vAlign w:val="bottom"/>
          </w:tcPr>
          <w:p>
            <w:pPr>
              <w:spacing w:after="0" w:line="111" w:lineRule="exact"/>
              <w:rPr>
                <w:sz w:val="20"/>
                <w:szCs w:val="20"/>
                <w:color w:val="auto"/>
              </w:rPr>
            </w:pPr>
            <w:r>
              <w:rPr>
                <w:rFonts w:ascii="Arial" w:cs="Arial" w:eastAsia="Arial" w:hAnsi="Arial"/>
                <w:sz w:val="12"/>
                <w:szCs w:val="12"/>
                <w:color w:val="auto"/>
              </w:rPr>
              <w:t>Simon Olswang</w:t>
            </w:r>
          </w:p>
        </w:tc>
        <w:tc>
          <w:tcPr>
            <w:tcW w:w="8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880" w:type="dxa"/>
            <w:vAlign w:val="bottom"/>
            <w:vMerge w:val="continue"/>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O</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Zohar Zisapel</w:t>
            </w:r>
          </w:p>
        </w:tc>
        <w:tc>
          <w:tcPr>
            <w:tcW w:w="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60" w:type="dxa"/>
            <w:vAlign w:val="bottom"/>
            <w:vMerge w:val="continue"/>
          </w:tcPr>
          <w:p>
            <w:pPr>
              <w:spacing w:after="0"/>
              <w:rPr>
                <w:sz w:val="16"/>
                <w:szCs w:val="16"/>
                <w:color w:val="auto"/>
              </w:rPr>
            </w:pPr>
          </w:p>
        </w:tc>
        <w:tc>
          <w:tcPr>
            <w:tcW w:w="1880" w:type="dxa"/>
            <w:vAlign w:val="bottom"/>
          </w:tcPr>
          <w:p>
            <w:pPr>
              <w:ind w:left="120"/>
              <w:spacing w:after="0"/>
              <w:rPr>
                <w:sz w:val="20"/>
                <w:szCs w:val="20"/>
                <w:color w:val="auto"/>
              </w:rPr>
            </w:pPr>
            <w:r>
              <w:rPr>
                <w:rFonts w:ascii="Arial" w:cs="Arial" w:eastAsia="Arial" w:hAnsi="Arial"/>
                <w:sz w:val="14"/>
                <w:szCs w:val="14"/>
                <w:b w:val="1"/>
                <w:bCs w:val="1"/>
                <w:color w:val="auto"/>
              </w:rPr>
              <w:t>FOR ALL EXCEPT</w:t>
            </w:r>
          </w:p>
        </w:tc>
        <w:tc>
          <w:tcPr>
            <w:tcW w:w="240" w:type="dxa"/>
            <w:vAlign w:val="bottom"/>
          </w:tcPr>
          <w:p>
            <w:pPr>
              <w:ind w:left="40"/>
              <w:spacing w:after="0"/>
              <w:rPr>
                <w:sz w:val="20"/>
                <w:szCs w:val="20"/>
                <w:color w:val="auto"/>
              </w:rPr>
            </w:pPr>
            <w:r>
              <w:rPr>
                <w:rFonts w:ascii="Arial" w:cs="Arial" w:eastAsia="Arial" w:hAnsi="Arial"/>
                <w:sz w:val="14"/>
                <w:szCs w:val="14"/>
                <w:color w:val="auto"/>
              </w:rPr>
              <w:t>O</w:t>
            </w:r>
          </w:p>
        </w:tc>
        <w:tc>
          <w:tcPr>
            <w:tcW w:w="1540" w:type="dxa"/>
            <w:vAlign w:val="bottom"/>
          </w:tcPr>
          <w:p>
            <w:pPr>
              <w:spacing w:after="0"/>
              <w:rPr>
                <w:sz w:val="20"/>
                <w:szCs w:val="20"/>
                <w:color w:val="auto"/>
              </w:rPr>
            </w:pPr>
            <w:r>
              <w:rPr>
                <w:rFonts w:ascii="Arial" w:cs="Arial" w:eastAsia="Arial" w:hAnsi="Arial"/>
                <w:sz w:val="14"/>
                <w:szCs w:val="14"/>
                <w:color w:val="auto"/>
              </w:rPr>
              <w:t>Julian A. Brodsky</w:t>
            </w:r>
          </w:p>
        </w:tc>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60" w:type="dxa"/>
            <w:vAlign w:val="bottom"/>
          </w:tcPr>
          <w:p>
            <w:pPr>
              <w:spacing w:after="0"/>
              <w:rPr>
                <w:sz w:val="9"/>
                <w:szCs w:val="9"/>
                <w:color w:val="auto"/>
              </w:rPr>
            </w:pPr>
          </w:p>
        </w:tc>
        <w:tc>
          <w:tcPr>
            <w:tcW w:w="1880" w:type="dxa"/>
            <w:vAlign w:val="bottom"/>
            <w:vMerge w:val="restart"/>
          </w:tcPr>
          <w:p>
            <w:pPr>
              <w:ind w:left="180"/>
              <w:spacing w:after="0"/>
              <w:rPr>
                <w:sz w:val="20"/>
                <w:szCs w:val="20"/>
                <w:color w:val="auto"/>
              </w:rPr>
            </w:pPr>
            <w:r>
              <w:rPr>
                <w:rFonts w:ascii="Arial" w:cs="Arial" w:eastAsia="Arial" w:hAnsi="Arial"/>
                <w:sz w:val="14"/>
                <w:szCs w:val="14"/>
                <w:color w:val="auto"/>
              </w:rPr>
              <w:t>(See instructions below)</w:t>
            </w:r>
          </w:p>
        </w:tc>
        <w:tc>
          <w:tcPr>
            <w:tcW w:w="240" w:type="dxa"/>
            <w:vAlign w:val="bottom"/>
          </w:tcPr>
          <w:p>
            <w:pPr>
              <w:ind w:left="40"/>
              <w:spacing w:after="0" w:line="111" w:lineRule="exact"/>
              <w:rPr>
                <w:sz w:val="20"/>
                <w:szCs w:val="20"/>
                <w:color w:val="auto"/>
              </w:rPr>
            </w:pPr>
            <w:r>
              <w:rPr>
                <w:rFonts w:ascii="Arial" w:cs="Arial" w:eastAsia="Arial" w:hAnsi="Arial"/>
                <w:sz w:val="12"/>
                <w:szCs w:val="12"/>
                <w:color w:val="auto"/>
              </w:rPr>
              <w:t>O</w:t>
            </w:r>
          </w:p>
        </w:tc>
        <w:tc>
          <w:tcPr>
            <w:tcW w:w="1540" w:type="dxa"/>
            <w:vAlign w:val="bottom"/>
          </w:tcPr>
          <w:p>
            <w:pPr>
              <w:spacing w:after="0" w:line="111" w:lineRule="exact"/>
              <w:rPr>
                <w:sz w:val="20"/>
                <w:szCs w:val="20"/>
                <w:color w:val="auto"/>
              </w:rPr>
            </w:pPr>
            <w:r>
              <w:rPr>
                <w:rFonts w:ascii="Arial" w:cs="Arial" w:eastAsia="Arial" w:hAnsi="Arial"/>
                <w:sz w:val="12"/>
                <w:szCs w:val="12"/>
                <w:color w:val="auto"/>
              </w:rPr>
              <w:t>Eli Gelman</w:t>
            </w:r>
          </w:p>
        </w:tc>
        <w:tc>
          <w:tcPr>
            <w:tcW w:w="8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24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O</w:t>
            </w:r>
          </w:p>
        </w:tc>
        <w:tc>
          <w:tcPr>
            <w:tcW w:w="1540" w:type="dxa"/>
            <w:vAlign w:val="bottom"/>
            <w:vMerge w:val="restart"/>
          </w:tcPr>
          <w:p>
            <w:pPr>
              <w:spacing w:after="0" w:line="149" w:lineRule="exact"/>
              <w:rPr>
                <w:sz w:val="20"/>
                <w:szCs w:val="20"/>
                <w:color w:val="auto"/>
              </w:rPr>
            </w:pPr>
            <w:r>
              <w:rPr>
                <w:rFonts w:ascii="Arial" w:cs="Arial" w:eastAsia="Arial" w:hAnsi="Arial"/>
                <w:sz w:val="14"/>
                <w:szCs w:val="14"/>
                <w:color w:val="auto"/>
              </w:rPr>
              <w:t>James S. Kahan</w:t>
            </w:r>
          </w:p>
        </w:tc>
        <w:tc>
          <w:tcPr>
            <w:tcW w:w="8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O</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Richard T.C. LeFave</w:t>
            </w:r>
          </w:p>
        </w:tc>
        <w:tc>
          <w:tcPr>
            <w:tcW w:w="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O</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Nehemia Lemelbaum</w:t>
            </w:r>
          </w:p>
        </w:tc>
        <w:tc>
          <w:tcPr>
            <w:tcW w:w="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O</w:t>
            </w:r>
          </w:p>
        </w:tc>
        <w:tc>
          <w:tcPr>
            <w:tcW w:w="1540" w:type="dxa"/>
            <w:vAlign w:val="bottom"/>
          </w:tcPr>
          <w:p>
            <w:pPr>
              <w:spacing w:after="0"/>
              <w:rPr>
                <w:sz w:val="20"/>
                <w:szCs w:val="20"/>
                <w:color w:val="auto"/>
              </w:rPr>
            </w:pPr>
            <w:r>
              <w:rPr>
                <w:rFonts w:ascii="Arial" w:cs="Arial" w:eastAsia="Arial" w:hAnsi="Arial"/>
                <w:sz w:val="14"/>
                <w:szCs w:val="14"/>
                <w:color w:val="auto"/>
              </w:rPr>
              <w:t>Giora Yaron</w:t>
            </w: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-1610995</wp:posOffset>
            </wp:positionV>
            <wp:extent cx="2847340" cy="2950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47340" cy="295021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INSTRUCTIONS:</w:t>
      </w:r>
      <w:r>
        <w:rPr>
          <w:rFonts w:ascii="Arial" w:cs="Arial" w:eastAsia="Arial" w:hAnsi="Arial"/>
          <w:sz w:val="14"/>
          <w:szCs w:val="14"/>
          <w:b w:val="1"/>
          <w:bCs w:val="1"/>
          <w:color w:val="auto"/>
        </w:rPr>
        <w:t xml:space="preserve"> </w:t>
      </w:r>
      <w:r>
        <w:rPr>
          <w:rFonts w:ascii="Arial" w:cs="Arial" w:eastAsia="Arial" w:hAnsi="Arial"/>
          <w:sz w:val="14"/>
          <w:szCs w:val="14"/>
          <w:color w:val="auto"/>
        </w:rPr>
        <w:t>To withhold authority to vote for any individual</w:t>
      </w:r>
    </w:p>
    <w:p>
      <w:pPr>
        <w:ind w:left="1180"/>
        <w:spacing w:after="0" w:line="223" w:lineRule="auto"/>
        <w:rPr>
          <w:sz w:val="20"/>
          <w:szCs w:val="20"/>
          <w:color w:val="auto"/>
        </w:rPr>
      </w:pPr>
      <w:r>
        <w:rPr>
          <w:rFonts w:ascii="Arial" w:cs="Arial" w:eastAsia="Arial" w:hAnsi="Arial"/>
          <w:sz w:val="14"/>
          <w:szCs w:val="14"/>
          <w:color w:val="auto"/>
        </w:rPr>
        <w:t xml:space="preserve">nominee(s), mark </w:t>
      </w:r>
      <w:r>
        <w:rPr>
          <w:rFonts w:ascii="Arial" w:cs="Arial" w:eastAsia="Arial" w:hAnsi="Arial"/>
          <w:sz w:val="14"/>
          <w:szCs w:val="14"/>
          <w:b w:val="1"/>
          <w:bCs w:val="1"/>
          <w:color w:val="auto"/>
        </w:rPr>
        <w:t>“FOR ALL EXCEPT”</w:t>
      </w:r>
      <w:r>
        <w:rPr>
          <w:rFonts w:ascii="Arial" w:cs="Arial" w:eastAsia="Arial" w:hAnsi="Arial"/>
          <w:sz w:val="14"/>
          <w:szCs w:val="14"/>
          <w:color w:val="auto"/>
        </w:rPr>
        <w:t xml:space="preserve"> and fill in the</w:t>
      </w:r>
    </w:p>
    <w:p>
      <w:pPr>
        <w:ind w:left="1180"/>
        <w:spacing w:after="0" w:line="222" w:lineRule="auto"/>
        <w:rPr>
          <w:sz w:val="20"/>
          <w:szCs w:val="20"/>
          <w:color w:val="auto"/>
        </w:rPr>
      </w:pPr>
      <w:r>
        <w:rPr>
          <w:rFonts w:ascii="Arial" w:cs="Arial" w:eastAsia="Arial" w:hAnsi="Arial"/>
          <w:sz w:val="14"/>
          <w:szCs w:val="14"/>
          <w:color w:val="auto"/>
        </w:rPr>
        <w:t>circle next to each nominee you wish to withhold, as</w:t>
      </w:r>
    </w:p>
    <w:p>
      <w:pPr>
        <w:ind w:left="1180"/>
        <w:spacing w:after="0"/>
        <w:rPr>
          <w:sz w:val="20"/>
          <w:szCs w:val="20"/>
          <w:color w:val="auto"/>
        </w:rPr>
      </w:pPr>
      <w:r>
        <w:rPr>
          <w:rFonts w:ascii="Arial" w:cs="Arial" w:eastAsia="Arial" w:hAnsi="Arial"/>
          <w:sz w:val="14"/>
          <w:szCs w:val="14"/>
          <w:color w:val="auto"/>
        </w:rPr>
        <w:t>shown here: l</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gridSpan w:val="2"/>
          </w:tcPr>
          <w:p>
            <w:pPr>
              <w:spacing w:after="0"/>
              <w:rPr>
                <w:sz w:val="20"/>
                <w:szCs w:val="20"/>
                <w:color w:val="auto"/>
              </w:rPr>
            </w:pPr>
            <w:r>
              <w:rPr>
                <w:rFonts w:ascii="Arial" w:cs="Arial" w:eastAsia="Arial" w:hAnsi="Arial"/>
                <w:sz w:val="14"/>
                <w:szCs w:val="14"/>
                <w:color w:val="auto"/>
                <w:w w:val="89"/>
              </w:rPr>
              <w:t>To change the address on your account, please check the box at right</w:t>
            </w:r>
          </w:p>
        </w:tc>
        <w:tc>
          <w:tcPr>
            <w:tcW w:w="600" w:type="dxa"/>
            <w:vAlign w:val="bottom"/>
            <w:gridSpan w:val="2"/>
            <w:vMerge w:val="restart"/>
          </w:tcPr>
          <w:p>
            <w:pPr>
              <w:ind w:left="100"/>
              <w:spacing w:after="0" w:line="321" w:lineRule="exact"/>
              <w:rPr>
                <w:sz w:val="20"/>
                <w:szCs w:val="20"/>
                <w:color w:val="auto"/>
              </w:rPr>
            </w:pPr>
            <w:r>
              <w:rPr>
                <w:rFonts w:ascii="MS PGothic" w:cs="MS PGothic" w:eastAsia="MS PGothic" w:hAnsi="MS PGothic"/>
                <w:sz w:val="32"/>
                <w:szCs w:val="32"/>
                <w:color w:val="auto"/>
              </w:rPr>
              <w:t>☐</w:t>
            </w: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w w:val="92"/>
              </w:rPr>
              <w:t>and indicate your new address in the address space above. Please</w:t>
            </w:r>
          </w:p>
        </w:tc>
        <w:tc>
          <w:tcPr>
            <w:tcW w:w="6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w w:val="91"/>
              </w:rPr>
              <w:t>note that changes to the registered name(s) on the account may not</w:t>
            </w:r>
          </w:p>
        </w:tc>
        <w:tc>
          <w:tcPr>
            <w:tcW w:w="6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0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be submitted via this method.</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17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 Shareholder</w:t>
            </w:r>
          </w:p>
        </w:tc>
        <w:tc>
          <w:tcPr>
            <w:tcW w:w="2180" w:type="dxa"/>
            <w:vAlign w:val="bottom"/>
            <w:tcBorders>
              <w:top w:val="single" w:sz="8" w:color="auto"/>
              <w:bottom w:val="single" w:sz="8" w:color="auto"/>
              <w:right w:val="single" w:sz="8" w:color="auto"/>
            </w:tcBorders>
          </w:tcPr>
          <w:p>
            <w:pPr>
              <w:spacing w:after="0"/>
              <w:rPr>
                <w:sz w:val="24"/>
                <w:szCs w:val="24"/>
                <w:color w:val="auto"/>
              </w:rPr>
            </w:pPr>
          </w:p>
        </w:tc>
        <w:tc>
          <w:tcPr>
            <w:tcW w:w="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1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3"/>
              </w:rPr>
              <w:t>Signature of Shareholder</w:t>
            </w:r>
          </w:p>
        </w:tc>
        <w:tc>
          <w:tcPr>
            <w:tcW w:w="2380" w:type="dxa"/>
            <w:vAlign w:val="bottom"/>
            <w:tcBorders>
              <w:top w:val="single" w:sz="8" w:color="auto"/>
              <w:bottom w:val="single" w:sz="8" w:color="auto"/>
              <w:right w:val="single" w:sz="8" w:color="auto"/>
            </w:tcBorders>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w w:val="83"/>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6393815</wp:posOffset>
            </wp:positionH>
            <wp:positionV relativeFrom="paragraph">
              <wp:posOffset>-205105</wp:posOffset>
            </wp:positionV>
            <wp:extent cx="86614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6140" cy="205740"/>
                    </a:xfrm>
                    <a:prstGeom prst="rect">
                      <a:avLst/>
                    </a:prstGeom>
                    <a:noFill/>
                  </pic:spPr>
                </pic:pic>
              </a:graphicData>
            </a:graphic>
          </wp:anchor>
        </w:drawing>
      </w:r>
    </w:p>
    <w:p>
      <w:pPr>
        <w:spacing w:after="0" w:line="89" w:lineRule="exact"/>
        <w:rPr>
          <w:sz w:val="20"/>
          <w:szCs w:val="20"/>
          <w:color w:val="auto"/>
        </w:rPr>
      </w:pPr>
    </w:p>
    <w:p>
      <w:pPr>
        <w:jc w:val="center"/>
        <w:ind w:left="380"/>
        <w:spacing w:after="0"/>
        <w:tabs>
          <w:tab w:leader="none" w:pos="140" w:val="left"/>
        </w:tabs>
        <w:rPr>
          <w:sz w:val="20"/>
          <w:szCs w:val="20"/>
          <w:color w:val="auto"/>
        </w:rPr>
      </w:pPr>
      <w:r>
        <w:rPr>
          <w:rFonts w:ascii="Arial" w:cs="Arial" w:eastAsia="Arial" w:hAnsi="Arial"/>
          <w:sz w:val="12"/>
          <w:szCs w:val="12"/>
          <w:b w:val="1"/>
          <w:bCs w:val="1"/>
          <w:color w:val="auto"/>
        </w:rPr>
        <w:t>Note:</w:t>
      </w:r>
      <w:r>
        <w:rPr>
          <w:sz w:val="20"/>
          <w:szCs w:val="20"/>
          <w:color w:val="auto"/>
        </w:rPr>
        <w:tab/>
      </w:r>
      <w:r>
        <w:rPr>
          <w:rFonts w:ascii="Arial" w:cs="Arial" w:eastAsia="Arial" w:hAnsi="Arial"/>
          <w:sz w:val="12"/>
          <w:szCs w:val="12"/>
          <w:color w:val="auto"/>
        </w:rPr>
        <w:t>Please sign exactly as your name or names appear on this Proxy. When shares are held jointly, each holder should sign. When signing as executor, administrator, attorney, trustee or guardian,</w:t>
      </w:r>
    </w:p>
    <w:p>
      <w:pPr>
        <w:spacing w:after="0" w:line="25" w:lineRule="exact"/>
        <w:rPr>
          <w:sz w:val="20"/>
          <w:szCs w:val="20"/>
          <w:color w:val="auto"/>
        </w:rPr>
      </w:pPr>
    </w:p>
    <w:p>
      <w:pPr>
        <w:ind w:left="840" w:right="840"/>
        <w:spacing w:after="0" w:line="216" w:lineRule="auto"/>
        <w:rPr>
          <w:sz w:val="20"/>
          <w:szCs w:val="20"/>
          <w:color w:val="auto"/>
        </w:rPr>
      </w:pPr>
      <w:r>
        <w:rPr>
          <w:rFonts w:ascii="Arial" w:cs="Arial" w:eastAsia="Arial" w:hAnsi="Arial"/>
          <w:sz w:val="14"/>
          <w:szCs w:val="14"/>
          <w:color w:val="auto"/>
        </w:rPr>
        <w:t>please give full title as such. If the signer is a corporation, please sign full corporate name by duly authorized officer, giving full title as such. If signer is a partnership, please sign in partnership name by authorized person.</w:t>
      </w:r>
    </w:p>
    <w:p>
      <w:pPr>
        <w:spacing w:after="0" w:line="1" w:lineRule="exact"/>
        <w:rPr>
          <w:sz w:val="20"/>
          <w:szCs w:val="20"/>
          <w:color w:val="auto"/>
        </w:rPr>
      </w:pPr>
    </w:p>
    <w:p>
      <w:pPr>
        <w:spacing w:after="0"/>
        <w:tabs>
          <w:tab w:leader="none" w:pos="11240" w:val="left"/>
        </w:tabs>
        <w:rPr>
          <w:sz w:val="20"/>
          <w:szCs w:val="20"/>
          <w:color w:val="auto"/>
        </w:rPr>
      </w:pPr>
      <w:r>
        <w:rPr>
          <w:rFonts w:ascii="Arial" w:cs="Arial" w:eastAsia="Arial" w:hAnsi="Arial"/>
          <w:sz w:val="32"/>
          <w:szCs w:val="32"/>
          <w:color w:val="auto"/>
        </w:rPr>
        <w:t>n</w:t>
      </w:r>
      <w:r>
        <w:rPr>
          <w:sz w:val="20"/>
          <w:szCs w:val="20"/>
          <w:color w:val="auto"/>
        </w:rPr>
        <w:tab/>
      </w:r>
      <w:r>
        <w:rPr>
          <w:rFonts w:ascii="Arial" w:cs="Arial" w:eastAsia="Arial" w:hAnsi="Arial"/>
          <w:sz w:val="32"/>
          <w:szCs w:val="32"/>
          <w:color w:val="auto"/>
        </w:rPr>
        <w:t>n</w:t>
      </w:r>
    </w:p>
    <w:p>
      <w:pPr>
        <w:sectPr>
          <w:pgSz w:w="11900" w:h="16838" w:orient="portrait"/>
          <w:cols w:equalWidth="0" w:num="1">
            <w:col w:w="11440"/>
          </w:cols>
          <w:pgMar w:left="240" w:top="274" w:right="219" w:bottom="1440" w:gutter="0" w:footer="0" w:header="0"/>
          <w:type w:val="continuous"/>
        </w:sectPr>
      </w:pPr>
    </w:p>
    <w:bookmarkStart w:id="43" w:name="page44"/>
    <w:bookmarkEnd w:id="43"/>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G. O’Brien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U.S.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2011</w:t>
      </w:r>
    </w:p>
    <w:sectPr>
      <w:pgSz w:w="11900" w:h="16838" w:orient="portrait"/>
      <w:cols w:equalWidth="0" w:num="1">
        <w:col w:w="10500"/>
      </w:cols>
      <w:pgMar w:left="240" w:top="27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2"/>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59"/>
    </w:lvl>
  </w:abstractNum>
  <w:abstractNum w:abstractNumId="5">
    <w:nsid w:val="75A2A8D4"/>
    <w:multiLevelType w:val="hybridMultilevel"/>
    <w:lvl w:ilvl="0">
      <w:lvlJc w:val="left"/>
      <w:lvlText w:val="%1"/>
      <w:numFmt w:val="decimal"/>
      <w:start w:val="7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4"/>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upperLetter"/>
      <w:start w:val="1"/>
    </w:lvl>
  </w:abstractNum>
  <w:abstractNum w:abstractNumId="13">
    <w:nsid w:val="2CA88611"/>
    <w:multiLevelType w:val="hybridMultilevel"/>
    <w:lvl w:ilvl="0">
      <w:lvlJc w:val="left"/>
      <w:lvlText w:val="%1."/>
      <w:numFmt w:val="upperLetter"/>
      <w:start w:val="2"/>
    </w:lvl>
    <w:lvl w:ilvl="1">
      <w:lvlJc w:val="left"/>
      <w:lvlText w:val="%2."/>
      <w:numFmt w:val="decimal"/>
      <w:start w:val="1"/>
    </w:lvl>
  </w:abstractNum>
  <w:abstractNum w:abstractNumId="14">
    <w:nsid w:val="836C40E"/>
    <w:multiLevelType w:val="hybridMultilevel"/>
    <w:lvl w:ilvl="0">
      <w:lvlJc w:val="left"/>
      <w:lvlText w:val="%1"/>
      <w:numFmt w:val="upperLetter"/>
      <w:start w:val="1"/>
    </w:lvl>
    <w:lvl w:ilvl="1">
      <w:lvlJc w:val="left"/>
      <w:lvlText w:val="%2."/>
      <w:numFmt w:val="decimal"/>
      <w:start w:val="8"/>
    </w:lvl>
  </w:abstractNum>
  <w:abstractNum w:abstractNumId="15">
    <w:nsid w:val="2901D82"/>
    <w:multiLevelType w:val="hybridMultilevel"/>
    <w:lvl w:ilvl="0">
      <w:lvlJc w:val="left"/>
      <w:lvlText w:val="%1"/>
      <w:numFmt w:val="upperLetter"/>
      <w:start w:val="1"/>
    </w:lvl>
    <w:lvl w:ilvl="1">
      <w:lvlJc w:val="left"/>
      <w:lvlText w:val="%2."/>
      <w:numFmt w:val="decimal"/>
      <w:start w:val="1"/>
    </w:lvl>
  </w:abstractNum>
  <w:abstractNum w:abstractNumId="16">
    <w:nsid w:val="3A95F874"/>
    <w:multiLevelType w:val="hybridMultilevel"/>
    <w:lvl w:ilvl="0">
      <w:lvlJc w:val="left"/>
      <w:lvlText w:val="%1."/>
      <w:numFmt w:val="decimal"/>
      <w:start w:val="2"/>
    </w:lvl>
  </w:abstractNum>
  <w:abstractNum w:abstractNumId="17">
    <w:nsid w:val="8138641"/>
    <w:multiLevelType w:val="hybridMultilevel"/>
    <w:lvl w:ilvl="0">
      <w:lvlJc w:val="left"/>
      <w:lvlText w:val="•"/>
      <w:numFmt w:val="bullet"/>
      <w:start w:val="1"/>
    </w:lvl>
    <w:lvl w:ilvl="1">
      <w:lvlJc w:val="left"/>
      <w:lvlText w:val="%2."/>
      <w:numFmt w:val="lowerLetter"/>
      <w:start w:val="5"/>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3"/>
    </w:lvl>
  </w:abstractNum>
  <w:abstractNum w:abstractNumId="20">
    <w:nsid w:val="737B8DDC"/>
    <w:multiLevelType w:val="hybridMultilevel"/>
    <w:lvl w:ilvl="0">
      <w:lvlJc w:val="left"/>
      <w:lvlText w:val="%1."/>
      <w:numFmt w:val="decimal"/>
      <w:start w:val="4"/>
    </w:lvl>
  </w:abstractNum>
  <w:abstractNum w:abstractNumId="21">
    <w:nsid w:val="6CEAF087"/>
    <w:multiLevelType w:val="hybridMultilevel"/>
    <w:lvl w:ilvl="0">
      <w:lvlJc w:val="left"/>
      <w:lvlText w:val="%1."/>
      <w:numFmt w:val="decimal"/>
      <w:start w:val="5"/>
    </w:lvl>
  </w:abstractNum>
  <w:abstractNum w:abstractNumId="22">
    <w:nsid w:val="22221A70"/>
    <w:multiLevelType w:val="hybridMultilevel"/>
    <w:lvl w:ilvl="0">
      <w:lvlJc w:val="left"/>
      <w:lvlText w:val="%1."/>
      <w:numFmt w:val="decimal"/>
      <w:start w:val="6"/>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5">
    <w:nsid w:val="614FD4A1"/>
    <w:multiLevelType w:val="hybridMultilevel"/>
    <w:lvl w:ilvl="0">
      <w:lvlJc w:val="left"/>
      <w:lvlText w:val="%1"/>
      <w:numFmt w:val="decimal"/>
      <w:start w:val="1"/>
    </w:lvl>
    <w:lvl w:ilvl="1">
      <w:lvlJc w:val="left"/>
      <w:lvlText w:val="(%2)"/>
      <w:numFmt w:val="lowerLetter"/>
      <w:start w:val="7"/>
    </w:lvl>
  </w:abstractNum>
  <w:abstractNum w:abstractNumId="26">
    <w:nsid w:val="419AC241"/>
    <w:multiLevelType w:val="hybridMultilevel"/>
    <w:lvl w:ilvl="0">
      <w:lvlJc w:val="left"/>
      <w:lvlText w:val="%1."/>
      <w:numFmt w:val="decimal"/>
      <w:start w:val="3"/>
    </w:lvl>
    <w:lvl w:ilvl="1">
      <w:lvlJc w:val="left"/>
      <w:lvlText w:val="%2"/>
      <w:numFmt w:val="lowerLetter"/>
      <w:start w:val="1"/>
    </w:lvl>
  </w:abstractNum>
  <w:abstractNum w:abstractNumId="27">
    <w:nsid w:val="5577F8E1"/>
    <w:multiLevelType w:val="hybridMultilevel"/>
    <w:lvl w:ilvl="0">
      <w:lvlJc w:val="left"/>
      <w:lvlText w:val="%1."/>
      <w:numFmt w:val="decimal"/>
      <w:start w:val="6"/>
    </w:lvl>
    <w:lvl w:ilvl="1">
      <w:lvlJc w:val="left"/>
      <w:lvlText w:val="(%2)"/>
      <w:numFmt w:val="lowerLetter"/>
      <w:start w:val="1"/>
    </w:lvl>
  </w:abstractNum>
  <w:abstractNum w:abstractNumId="28">
    <w:nsid w:val="440BADFC"/>
    <w:multiLevelType w:val="hybridMultilevel"/>
    <w:lvl w:ilvl="0">
      <w:lvlJc w:val="left"/>
      <w:lvlText w:val="(%1)"/>
      <w:numFmt w:val="lowerLetter"/>
      <w:start w:val="6"/>
    </w:lvl>
  </w:abstractNum>
  <w:abstractNum w:abstractNumId="29">
    <w:nsid w:val="5072367"/>
    <w:multiLevelType w:val="hybridMultilevel"/>
    <w:lvl w:ilvl="0">
      <w:lvlJc w:val="left"/>
      <w:lvlText w:val="(%1)"/>
      <w:numFmt w:val="lowerLetter"/>
      <w:start w:val="7"/>
    </w:lvl>
  </w:abstractNum>
  <w:abstractNum w:abstractNumId="30">
    <w:nsid w:val="3804823E"/>
    <w:multiLevelType w:val="hybridMultilevel"/>
    <w:lvl w:ilvl="0">
      <w:lvlJc w:val="left"/>
      <w:lvlText w:val="%1."/>
      <w:numFmt w:val="decimal"/>
      <w:start w:val="7"/>
    </w:lvl>
  </w:abstractNum>
  <w:abstractNum w:abstractNumId="31">
    <w:nsid w:val="77465F0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32">
    <w:nsid w:val="7724C67E"/>
    <w:multiLevelType w:val="hybridMultilevel"/>
    <w:lvl w:ilvl="0">
      <w:lvlJc w:val="left"/>
      <w:lvlText w:val="(%1)"/>
      <w:numFmt w:val="lowerRoman"/>
      <w:start w:val="2"/>
    </w:lvl>
  </w:abstractNum>
  <w:abstractNum w:abstractNumId="33">
    <w:nsid w:val="5C482A97"/>
    <w:multiLevelType w:val="hybridMultilevel"/>
    <w:lvl w:ilvl="0">
      <w:lvlJc w:val="left"/>
      <w:lvlText w:val="(%1)"/>
      <w:numFmt w:val="lowerLetter"/>
      <w:start w:val="3"/>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Roman"/>
      <w:start w:val="1"/>
    </w:lvl>
  </w:abstractNum>
  <w:abstractNum w:abstractNumId="36">
    <w:nsid w:val="51EAD36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7">
    <w:nsid w:val="2D517796"/>
    <w:multiLevelType w:val="hybridMultilevel"/>
    <w:lvl w:ilvl="0">
      <w:lvlJc w:val="left"/>
      <w:lvlText w:val="(%1)"/>
      <w:numFmt w:val="lowerRoman"/>
      <w:start w:val="2"/>
    </w:lvl>
  </w:abstractNum>
  <w:abstractNum w:abstractNumId="38">
    <w:nsid w:val="580BD78F"/>
    <w:multiLevelType w:val="hybridMultilevel"/>
    <w:lvl w:ilvl="0">
      <w:lvlJc w:val="left"/>
      <w:lvlText w:val="%1"/>
      <w:numFmt w:val="decimal"/>
      <w:start w:val="1"/>
    </w:lvl>
    <w:lvl w:ilvl="1">
      <w:lvlJc w:val="left"/>
      <w:lvlText w:val="(%2)"/>
      <w:numFmt w:val="lowerLetter"/>
      <w:start w:val="3"/>
    </w:lvl>
  </w:abstractNum>
  <w:abstractNum w:abstractNumId="39">
    <w:nsid w:val="153EA438"/>
    <w:multiLevelType w:val="hybridMultilevel"/>
    <w:lvl w:ilvl="0">
      <w:lvlJc w:val="left"/>
      <w:lvlText w:val="%1."/>
      <w:numFmt w:val="decimal"/>
      <w:start w:val="11"/>
    </w:lvl>
    <w:lvl w:ilvl="1">
      <w:lvlJc w:val="left"/>
      <w:lvlText w:val="%2"/>
      <w:numFmt w:val="lowerLetter"/>
      <w:start w:val="1"/>
    </w:lvl>
  </w:abstractNum>
  <w:abstractNum w:abstractNumId="40">
    <w:nsid w:val="3855585C"/>
    <w:multiLevelType w:val="hybridMultilevel"/>
    <w:lvl w:ilvl="0">
      <w:lvlJc w:val="left"/>
      <w:lvlText w:val="%1."/>
      <w:numFmt w:val="decimal"/>
      <w:start w:val="14"/>
    </w:lvl>
  </w:abstractNum>
  <w:abstractNum w:abstractNumId="41">
    <w:nsid w:val="70A64E2A"/>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2019-12-10T18:24:30Z</dcterms:created>
  <dcterms:modified xsi:type="dcterms:W3CDTF">2019-12-10T18:24:30Z</dcterms:modified>
</cp:coreProperties>
</file>