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4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6-K</w:t>
      </w:r>
    </w:p>
    <w:p>
      <w:pPr>
        <w:spacing w:after="0" w:line="17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REPORT OF FOREIGN PRIVATE ISSUER</w:t>
      </w:r>
    </w:p>
    <w:p>
      <w:pPr>
        <w:spacing w:after="0" w:line="33"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PURSUANT TO RULE 13a-16 OR 15d-16 UNDER</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4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For the month of December 2004</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 1-14840</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3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14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Inc.</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14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338" w:lineRule="exact"/>
        <w:rPr>
          <w:sz w:val="24"/>
          <w:szCs w:val="24"/>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Indicate by check mark whether the registrant files or will file annual reports under cover of Form 20-F or Form 40-F.</w:t>
      </w:r>
    </w:p>
    <w:p>
      <w:pPr>
        <w:sectPr>
          <w:pgSz w:w="11900" w:h="16838" w:orient="portrait"/>
          <w:cols w:equalWidth="0" w:num="1">
            <w:col w:w="10239"/>
          </w:cols>
          <w:pgMar w:left="220" w:top="369" w:right="1440" w:bottom="1440" w:gutter="0" w:footer="0" w:header="0"/>
        </w:sectPr>
      </w:pPr>
    </w:p>
    <w:p>
      <w:pPr>
        <w:spacing w:after="0" w:line="1"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FORM 40-F</w:t>
      </w:r>
    </w:p>
    <w:p>
      <w:pPr>
        <w:spacing w:after="0" w:line="83" w:lineRule="exact"/>
        <w:rPr>
          <w:sz w:val="24"/>
          <w:szCs w:val="24"/>
          <w:color w:val="auto"/>
        </w:rPr>
      </w:pPr>
    </w:p>
    <w:p>
      <w:pPr>
        <w:sectPr>
          <w:pgSz w:w="11900" w:h="16838" w:orient="portrait"/>
          <w:cols w:equalWidth="0" w:num="3">
            <w:col w:w="2940" w:space="160"/>
            <w:col w:w="100" w:space="340"/>
            <w:col w:w="6699"/>
          </w:cols>
          <w:pgMar w:left="220" w:top="369" w:right="1440" w:bottom="1440" w:gutter="0" w:footer="0" w:header="0"/>
          <w:type w:val="continuous"/>
        </w:sect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7" w:lineRule="exact"/>
        <w:rPr>
          <w:sz w:val="24"/>
          <w:szCs w:val="24"/>
          <w:color w:val="auto"/>
        </w:rPr>
      </w:pPr>
    </w:p>
    <w:p>
      <w:pPr>
        <w:sectPr>
          <w:pgSz w:w="11900" w:h="16838" w:orient="portrait"/>
          <w:cols w:equalWidth="0" w:num="2">
            <w:col w:w="3680" w:space="720"/>
            <w:col w:w="5839"/>
          </w:cols>
          <w:pgMar w:left="220" w:top="369" w:right="1440" w:bottom="1440" w:gutter="0" w:footer="0" w:header="0"/>
          <w:type w:val="continuous"/>
        </w:sectPr>
      </w:pPr>
    </w:p>
    <w:p>
      <w:pPr>
        <w:ind w:right="3339"/>
        <w:spacing w:after="0" w:line="313"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39"/>
          </w:cols>
          <w:pgMar w:left="220" w:top="369" w:right="1440" w:bottom="1440" w:gutter="0" w:footer="0" w:header="0"/>
          <w:type w:val="continuous"/>
        </w:sectPr>
      </w:pPr>
    </w:p>
    <w:p>
      <w:pPr>
        <w:spacing w:after="0" w:line="42"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5839"/>
        <w:spacing w:after="0"/>
        <w:rPr>
          <w:sz w:val="20"/>
          <w:szCs w:val="20"/>
          <w:color w:val="auto"/>
        </w:rPr>
      </w:pPr>
      <w:r>
        <w:rPr>
          <w:rFonts w:ascii="Courier New" w:cs="Courier New" w:eastAsia="Courier New" w:hAnsi="Courier New"/>
          <w:sz w:val="14"/>
          <w:szCs w:val="14"/>
          <w:color w:val="auto"/>
        </w:rPr>
        <w:t>X</w:t>
      </w:r>
    </w:p>
    <w:p>
      <w:pPr>
        <w:spacing w:after="0" w:line="33" w:lineRule="exact"/>
        <w:rPr>
          <w:sz w:val="24"/>
          <w:szCs w:val="24"/>
          <w:color w:val="auto"/>
        </w:rPr>
      </w:pPr>
    </w:p>
    <w:p>
      <w:pPr>
        <w:jc w:val="center"/>
        <w:ind w:right="583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sectPr>
          <w:pgSz w:w="11900" w:h="16838" w:orient="portrait"/>
          <w:cols w:equalWidth="0" w:num="4">
            <w:col w:w="2760" w:space="100"/>
            <w:col w:w="300" w:space="720"/>
            <w:col w:w="180" w:space="80"/>
            <w:col w:w="6099"/>
          </w:cols>
          <w:pgMar w:left="220" w:top="3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69" w:right="1440"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(AMDOCS LOGO)</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NOTICE OF ANNUAL GENERAL MEETING OF SHAREHOLDERS</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BE HELD ON THURSDAY, JANUARY 20, 2005</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w:t>
      </w:r>
    </w:p>
    <w:p>
      <w:pPr>
        <w:spacing w:after="0" w:line="173" w:lineRule="exact"/>
        <w:rPr>
          <w:sz w:val="20"/>
          <w:szCs w:val="20"/>
          <w:color w:val="auto"/>
        </w:rPr>
      </w:pPr>
    </w:p>
    <w:p>
      <w:pPr>
        <w:ind w:right="3519" w:firstLine="431"/>
        <w:spacing w:after="0" w:line="292" w:lineRule="auto"/>
        <w:rPr>
          <w:sz w:val="20"/>
          <w:szCs w:val="20"/>
          <w:color w:val="auto"/>
        </w:rPr>
      </w:pPr>
      <w:r>
        <w:rPr>
          <w:rFonts w:ascii="Courier New" w:cs="Courier New" w:eastAsia="Courier New" w:hAnsi="Courier New"/>
          <w:sz w:val="14"/>
          <w:szCs w:val="14"/>
          <w:color w:val="auto"/>
        </w:rPr>
        <w:t>The annual General Meeting of Shareholders of Amdocs Limited will be held at 10:00 a.m., local time, on Thursday, January 20, 2005, at the office of Wilmer Cutler Pickering Hale and Dorr LLP, 399 Park Avenue, 31st floor, New York, New York 10022, for the following purposes:</w:t>
      </w:r>
    </w:p>
    <w:p>
      <w:pPr>
        <w:spacing w:after="0" w:line="56" w:lineRule="exact"/>
        <w:rPr>
          <w:sz w:val="20"/>
          <w:szCs w:val="20"/>
          <w:color w:val="auto"/>
        </w:rPr>
      </w:pPr>
    </w:p>
    <w:p>
      <w:pPr>
        <w:ind w:left="1040" w:right="3519" w:hanging="343"/>
        <w:spacing w:after="0" w:line="313" w:lineRule="auto"/>
        <w:tabs>
          <w:tab w:leader="none" w:pos="10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twelve (12) directors to serve until the next annual general meeting of shareholders or until their earlier resignation or removal or successors are elected and qualified.</w:t>
      </w:r>
    </w:p>
    <w:p>
      <w:pPr>
        <w:spacing w:after="0" w:line="42" w:lineRule="exact"/>
        <w:rPr>
          <w:rFonts w:ascii="Courier New" w:cs="Courier New" w:eastAsia="Courier New" w:hAnsi="Courier New"/>
          <w:sz w:val="14"/>
          <w:szCs w:val="14"/>
          <w:color w:val="auto"/>
        </w:rPr>
      </w:pPr>
    </w:p>
    <w:p>
      <w:pPr>
        <w:ind w:left="1040" w:right="3339" w:hanging="343"/>
        <w:spacing w:after="0" w:line="375" w:lineRule="auto"/>
        <w:tabs>
          <w:tab w:leader="none" w:pos="10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our Consolidated Financial Statements for the fiscal year ended September 30, 2004.</w:t>
      </w:r>
    </w:p>
    <w:p>
      <w:pPr>
        <w:spacing w:after="0" w:line="1" w:lineRule="exact"/>
        <w:rPr>
          <w:rFonts w:ascii="Courier New" w:cs="Courier New" w:eastAsia="Courier New" w:hAnsi="Courier New"/>
          <w:sz w:val="14"/>
          <w:szCs w:val="14"/>
          <w:color w:val="auto"/>
        </w:rPr>
      </w:pPr>
    </w:p>
    <w:p>
      <w:pPr>
        <w:ind w:left="1040" w:right="3339" w:hanging="343"/>
        <w:spacing w:after="0" w:line="275" w:lineRule="auto"/>
        <w:tabs>
          <w:tab w:leader="none" w:pos="10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and approve the appointment of Ernst &amp; Young LLP as our independent auditors for the fiscal year ending September 30, 2005, and until the next annual general meeting, and to authorize the Audit Committee of the Board of Directors to fix the remuneration of such independent auditors in accordance with the nature and extent of their services.</w:t>
      </w:r>
    </w:p>
    <w:p>
      <w:pPr>
        <w:spacing w:after="0" w:line="69" w:lineRule="exact"/>
        <w:rPr>
          <w:rFonts w:ascii="Courier New" w:cs="Courier New" w:eastAsia="Courier New" w:hAnsi="Courier New"/>
          <w:sz w:val="14"/>
          <w:szCs w:val="14"/>
          <w:color w:val="auto"/>
        </w:rPr>
      </w:pPr>
    </w:p>
    <w:p>
      <w:pPr>
        <w:ind w:left="1040" w:right="3779" w:hanging="343"/>
        <w:spacing w:after="0" w:line="375" w:lineRule="auto"/>
        <w:tabs>
          <w:tab w:leader="none" w:pos="10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General Meeting.</w:t>
      </w:r>
    </w:p>
    <w:p>
      <w:pPr>
        <w:spacing w:after="0" w:line="1"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The Board of Directors has fixed the close of business on November 24, 2004 as the record date for the determination of our shareholders entitled to notice of, and to vote on the matters proposed at, the General Meeting and any adjournments thereof.</w:t>
      </w:r>
    </w:p>
    <w:p>
      <w:pPr>
        <w:spacing w:after="0" w:line="5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YOUR VOTE IS IMPORTANT</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ALL SHAREHOLDERS OF AMDOCS (WHETHER THEY EXPECT TO ATTEND THE GENERAL MEETING OR NOT) ARE REQUESTED TO COMPLETE, SIGN, DATE AND RETURN PROMPTLY THE PROXY CARD ENCLOSED WITH THIS NOTICE. IF YOU EXECUTE A PROXY, YOU STILL MAY ATTEND THE GENERAL MEETING AND VOTE IN PERSON.</w:t>
      </w:r>
    </w:p>
    <w:p>
      <w:pPr>
        <w:spacing w:after="0" w:line="5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Thomas G. O'Brien</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THOMAS G. O'BRIEN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17, 2004</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 proxy card and the Annual Report for the</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fiscal year ended September 30, 2004 are enclosed.</w:t>
      </w:r>
    </w:p>
    <w:p>
      <w:pPr>
        <w:sectPr>
          <w:pgSz w:w="11900" w:h="16838" w:orient="portrait"/>
          <w:cols w:equalWidth="0" w:num="1">
            <w:col w:w="10239"/>
          </w:cols>
          <w:pgMar w:left="220" w:top="590"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GENERAL MEETING OF SHAREHOLDERS</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BE HELD ON THURSDAY, JANUARY 20, 2005</w:t>
      </w:r>
    </w:p>
    <w:p>
      <w:pPr>
        <w:spacing w:after="0" w:line="147" w:lineRule="exact"/>
        <w:rPr>
          <w:sz w:val="20"/>
          <w:szCs w:val="20"/>
          <w:color w:val="auto"/>
        </w:rPr>
      </w:pPr>
    </w:p>
    <w:p>
      <w:pPr>
        <w:ind w:right="3519" w:firstLine="431"/>
        <w:spacing w:after="0" w:line="313" w:lineRule="auto"/>
        <w:rPr>
          <w:sz w:val="20"/>
          <w:szCs w:val="20"/>
          <w:color w:val="auto"/>
        </w:rPr>
      </w:pPr>
      <w:r>
        <w:rPr>
          <w:rFonts w:ascii="Courier New" w:cs="Courier New" w:eastAsia="Courier New" w:hAnsi="Courier New"/>
          <w:sz w:val="14"/>
          <w:szCs w:val="14"/>
          <w:color w:val="auto"/>
        </w:rPr>
        <w:t>References in this Proxy Statement to "Amdocs", "we", "our", "us" and the "Company" refer to Amdocs Limited and its consolidated subsidiaries and their respective predecessors.</w:t>
      </w:r>
    </w:p>
    <w:p>
      <w:pPr>
        <w:spacing w:after="0" w:line="42"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This Proxy Statement and the accompanying proxy are being furnished to shareholders of Amdocs Limited, a corporation organized under the laws of the Island of Guernsey, in connection with the solicitation by its Board of Directors of proxies from holders of its outstanding ordinary shares, par value L0.01 per share ("Ordinary Shares"), for use at the annual general meeting of shareholders to be held at 10:00 a.m., local time, on Thursday, January 20, 2005, at the office of Wilmer Cutler Pickering Hale and Dorr LLP, 399 Park Avenue, 31st floor, New York, New York 10022, or at any adjournments thereof (the "General Meeting").</w:t>
      </w:r>
    </w:p>
    <w:p>
      <w:pPr>
        <w:spacing w:after="0" w:line="250" w:lineRule="exact"/>
        <w:rPr>
          <w:sz w:val="20"/>
          <w:szCs w:val="20"/>
          <w:color w:val="auto"/>
        </w:rPr>
      </w:pPr>
    </w:p>
    <w:p>
      <w:pPr>
        <w:jc w:val="both"/>
        <w:ind w:right="3599" w:firstLine="431"/>
        <w:spacing w:after="0" w:line="313" w:lineRule="auto"/>
        <w:rPr>
          <w:sz w:val="20"/>
          <w:szCs w:val="20"/>
          <w:color w:val="auto"/>
        </w:rPr>
      </w:pPr>
      <w:r>
        <w:rPr>
          <w:rFonts w:ascii="Courier New" w:cs="Courier New" w:eastAsia="Courier New" w:hAnsi="Courier New"/>
          <w:sz w:val="14"/>
          <w:szCs w:val="14"/>
          <w:color w:val="auto"/>
        </w:rPr>
        <w:t>This Proxy Statement and the accompanying proxy, together with a copy of our Annual Report to shareholders, are first being mailed or delivered to our shareholders on or about December 17, 2004.</w:t>
      </w:r>
    </w:p>
    <w:p>
      <w:pPr>
        <w:spacing w:after="0" w:line="42" w:lineRule="exact"/>
        <w:rPr>
          <w:sz w:val="20"/>
          <w:szCs w:val="20"/>
          <w:color w:val="auto"/>
        </w:rPr>
      </w:pPr>
    </w:p>
    <w:p>
      <w:pPr>
        <w:jc w:val="both"/>
        <w:ind w:right="3419" w:firstLine="431"/>
        <w:spacing w:after="0" w:line="313" w:lineRule="auto"/>
        <w:rPr>
          <w:sz w:val="20"/>
          <w:szCs w:val="20"/>
          <w:color w:val="auto"/>
        </w:rPr>
      </w:pPr>
      <w:r>
        <w:rPr>
          <w:rFonts w:ascii="Courier New" w:cs="Courier New" w:eastAsia="Courier New" w:hAnsi="Courier New"/>
          <w:sz w:val="14"/>
          <w:szCs w:val="14"/>
          <w:color w:val="auto"/>
        </w:rPr>
        <w:t>At the General Meeting, the holders of our Ordinary Shares as of the close of business on November 24, 2004 (the "Record Date") will be asked to take the following actions (each, an "Ordinary Resolution"):</w:t>
      </w:r>
    </w:p>
    <w:p>
      <w:pPr>
        <w:spacing w:after="0" w:line="42" w:lineRule="exact"/>
        <w:rPr>
          <w:sz w:val="20"/>
          <w:szCs w:val="20"/>
          <w:color w:val="auto"/>
        </w:rPr>
      </w:pPr>
    </w:p>
    <w:p>
      <w:pPr>
        <w:ind w:left="620" w:right="3419" w:hanging="181"/>
        <w:spacing w:after="0" w:line="313"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twelve (12) directors to serve until the next annual general meeting of shareholders or until their earlier resignation or removal or successors are elected and qualified (Proposal I);</w:t>
      </w:r>
    </w:p>
    <w:p>
      <w:pPr>
        <w:spacing w:after="0" w:line="42" w:lineRule="exact"/>
        <w:rPr>
          <w:rFonts w:ascii="Courier New" w:cs="Courier New" w:eastAsia="Courier New" w:hAnsi="Courier New"/>
          <w:sz w:val="14"/>
          <w:szCs w:val="14"/>
          <w:color w:val="auto"/>
        </w:rPr>
      </w:pPr>
    </w:p>
    <w:p>
      <w:pPr>
        <w:ind w:left="620" w:right="3519" w:hanging="181"/>
        <w:spacing w:after="0" w:line="375"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our Consolidated Financial Statements for the fiscal year ended September 30, 2004 (Proposal II); and</w:t>
      </w:r>
    </w:p>
    <w:p>
      <w:pPr>
        <w:spacing w:after="0" w:line="1" w:lineRule="exact"/>
        <w:rPr>
          <w:rFonts w:ascii="Courier New" w:cs="Courier New" w:eastAsia="Courier New" w:hAnsi="Courier New"/>
          <w:sz w:val="14"/>
          <w:szCs w:val="14"/>
          <w:color w:val="auto"/>
        </w:rPr>
      </w:pPr>
    </w:p>
    <w:p>
      <w:pPr>
        <w:ind w:left="620" w:right="3419" w:hanging="181"/>
        <w:spacing w:after="0" w:line="275"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Ratify and approve the appointment of Ernst &amp; Young LLP as our independent auditors for the fiscal year ending September 30, 2005, and until the next annual general meeting, and authorize the Audit Committee of the Board of Directors to fix the remuneration of such independent auditors in accordance with the nature and extent of their services (Proposal III).</w:t>
      </w:r>
    </w:p>
    <w:p>
      <w:pPr>
        <w:spacing w:after="0" w:line="69"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72"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As of the Record Date, Amdocs had outstanding 201,946,567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The holders of a majority of the outstanding Ordinary Shares present in person or represented by proxy shall constitute a quorum for purposes of the General Meeting.</w:t>
      </w:r>
    </w:p>
    <w:p>
      <w:pPr>
        <w:spacing w:after="0" w:line="252"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Approval of Proposals I, II and III requires the affirmative vote of a majority of the Ordinary Shares represented in person or by proxy at the General Meeting.</w:t>
      </w:r>
    </w:p>
    <w:p>
      <w:pPr>
        <w:spacing w:after="0" w:line="42"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The enclosed proxy provides that each shareholder may specify that his, her or its Ordinary Shares be voted "for", "against" or "abstain" from voting with respect to each of the proposals. If the enclosed proxy is properly executed, duly returned to us in time for the General Meeting and not revoked, your Ordinary Shares will be voted in accordance with the instructions contained thereon. Where a signed proxy is returned, but no specific instructions are indicated, your Ordinary Shares will be voted FOR each of the proposals.</w:t>
      </w:r>
    </w:p>
    <w:p>
      <w:pPr>
        <w:sectPr>
          <w:pgSz w:w="11900" w:h="16838" w:orient="portrait"/>
          <w:cols w:equalWidth="0" w:num="1">
            <w:col w:w="10239"/>
          </w:cols>
          <w:pgMar w:left="220" w:top="590" w:right="1440" w:bottom="1440" w:gutter="0" w:footer="0" w:header="0"/>
        </w:sectPr>
      </w:pPr>
    </w:p>
    <w:bookmarkStart w:id="3" w:name="page4"/>
    <w:bookmarkEnd w:id="3"/>
    <w:p>
      <w:pPr>
        <w:ind w:right="3339" w:firstLine="431"/>
        <w:spacing w:after="0" w:line="262" w:lineRule="auto"/>
        <w:rPr>
          <w:sz w:val="20"/>
          <w:szCs w:val="20"/>
          <w:color w:val="auto"/>
        </w:rPr>
      </w:pPr>
      <w:r>
        <w:rPr>
          <w:rFonts w:ascii="Courier New" w:cs="Courier New" w:eastAsia="Courier New" w:hAnsi="Courier New"/>
          <w:sz w:val="14"/>
          <w:szCs w:val="14"/>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Inc.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("Broker Non-Votes"), we will not count those votes in favor of such matter. Broker Non-Votes will be counted as Ordinary Shares that are present for purposes of determining whether a quorum is present.</w:t>
      </w:r>
    </w:p>
    <w:p>
      <w:pPr>
        <w:spacing w:after="0" w:line="249" w:lineRule="exact"/>
        <w:rPr>
          <w:sz w:val="20"/>
          <w:szCs w:val="20"/>
          <w:color w:val="auto"/>
        </w:rPr>
      </w:pPr>
    </w:p>
    <w:p>
      <w:pPr>
        <w:ind w:right="3859" w:firstLine="431"/>
        <w:spacing w:after="0" w:line="375" w:lineRule="auto"/>
        <w:rPr>
          <w:sz w:val="20"/>
          <w:szCs w:val="20"/>
          <w:color w:val="auto"/>
        </w:rPr>
      </w:pPr>
      <w:r>
        <w:rPr>
          <w:rFonts w:ascii="Courier New" w:cs="Courier New" w:eastAsia="Courier New" w:hAnsi="Courier New"/>
          <w:sz w:val="14"/>
          <w:szCs w:val="14"/>
          <w:color w:val="auto"/>
        </w:rPr>
        <w:t>Any shareholder giving a proxy may revoke it at any time before it is exercised at the General Meeting by:</w:t>
      </w:r>
    </w:p>
    <w:p>
      <w:pPr>
        <w:spacing w:after="0" w:line="1" w:lineRule="exact"/>
        <w:rPr>
          <w:sz w:val="20"/>
          <w:szCs w:val="20"/>
          <w:color w:val="auto"/>
        </w:rPr>
      </w:pPr>
    </w:p>
    <w:p>
      <w:pPr>
        <w:ind w:left="620" w:right="3339" w:hanging="181"/>
        <w:spacing w:after="0" w:line="271"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with our Secretary, in care of our principal United States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forty-eight (48) hours before the scheduled General Meeting or adjournment thereof, as the case may be; or</w:t>
      </w:r>
    </w:p>
    <w:p>
      <w:pPr>
        <w:spacing w:after="0" w:line="71" w:lineRule="exact"/>
        <w:rPr>
          <w:rFonts w:ascii="Courier New" w:cs="Courier New" w:eastAsia="Courier New" w:hAnsi="Courier New"/>
          <w:sz w:val="14"/>
          <w:szCs w:val="14"/>
          <w:color w:val="auto"/>
        </w:rPr>
      </w:pPr>
    </w:p>
    <w:p>
      <w:pPr>
        <w:ind w:left="620" w:right="3339" w:hanging="181"/>
        <w:spacing w:after="0" w:line="313"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Attending the General Meeting and voting in person (although attendance at the General Meeting will not in and of itself constitute revocation of a proxy).</w:t>
      </w:r>
    </w:p>
    <w:p>
      <w:pPr>
        <w:spacing w:after="0" w:line="4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IMPORTANT</w:t>
      </w:r>
    </w:p>
    <w:p>
      <w:pPr>
        <w:spacing w:after="0" w:line="173"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WHETHER OR NOT YOU ATTEND THE GENERAL MEETING, YOUR VOTE IS IMPORTANT. ACCORDINGLY, YOU ARE ASKED TO SIGN AND RETURN THE ACCOMPANYING PROXY REGARDLESS OF THE NUMBER OF ORDINARY SHARES YOU OWN. ORDINARY SHARES CAN BE VOTED AT THE GENERAL MEETING ONLY IF THE HOLDER IS PRESENT OR REPRESENTED BY PROXY.</w:t>
      </w:r>
    </w:p>
    <w:p>
      <w:pPr>
        <w:spacing w:after="0" w:line="5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0" w:right="1440" w:bottom="1440" w:gutter="0" w:footer="0" w:header="0"/>
        </w:sectPr>
      </w:pPr>
    </w:p>
    <w:bookmarkStart w:id="4" w:name="page5"/>
    <w:bookmarkEnd w:id="4"/>
    <w:p>
      <w:pPr>
        <w:spacing w:after="0" w:line="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PROPOSAL I</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ELECTION OF DIRECTORS</w:t>
      </w:r>
    </w:p>
    <w:p>
      <w:pPr>
        <w:spacing w:after="0" w:line="173" w:lineRule="exact"/>
        <w:rPr>
          <w:sz w:val="20"/>
          <w:szCs w:val="20"/>
          <w:color w:val="auto"/>
        </w:rPr>
      </w:pPr>
    </w:p>
    <w:p>
      <w:pPr>
        <w:ind w:right="3519" w:firstLine="431"/>
        <w:spacing w:after="0" w:line="263" w:lineRule="auto"/>
        <w:rPr>
          <w:sz w:val="20"/>
          <w:szCs w:val="20"/>
          <w:color w:val="auto"/>
        </w:rPr>
      </w:pPr>
      <w:r>
        <w:rPr>
          <w:rFonts w:ascii="Courier New" w:cs="Courier New" w:eastAsia="Courier New" w:hAnsi="Courier New"/>
          <w:sz w:val="14"/>
          <w:szCs w:val="14"/>
          <w:color w:val="auto"/>
        </w:rPr>
        <w:t>The entire Board of Directors of the Company is comprised of thirteen directors. Currently, twelve individuals are serving as directors, and we have one vacancy on our Board. As set forth below, the Board of Directors has nominated twelve individuals as nominees for election as directors at the General Meeting, eleven of whom are incumbent directors and one who was appointed by our Board in November 2004. As permitted by our Articles of Association, the remaining vacancy may be filled by the Board following the General Meeting. Each director elected at the General Meeting, and any new director appointed by the Board to fill a vacancy, will serve until the next annual general meeting of shareholders or until his earlier resignation or removal or a successor is elected and qualified.</w:t>
      </w:r>
    </w:p>
    <w:p>
      <w:pPr>
        <w:spacing w:after="0" w:line="76"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Ordinary Shares represented by proxies returned duly executed will be voted, unless otherwise specified, in favor of the twelve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72" w:lineRule="exact"/>
        <w:rPr>
          <w:sz w:val="20"/>
          <w:szCs w:val="20"/>
          <w:color w:val="auto"/>
        </w:rPr>
      </w:pPr>
    </w:p>
    <w:p>
      <w:pPr>
        <w:ind w:right="3519" w:firstLine="431"/>
        <w:spacing w:after="0" w:line="313" w:lineRule="auto"/>
        <w:rPr>
          <w:sz w:val="20"/>
          <w:szCs w:val="20"/>
          <w:color w:val="auto"/>
        </w:rPr>
      </w:pPr>
      <w:r>
        <w:rPr>
          <w:rFonts w:ascii="Courier New" w:cs="Courier New" w:eastAsia="Courier New" w:hAnsi="Courier New"/>
          <w:sz w:val="14"/>
          <w:szCs w:val="14"/>
          <w:color w:val="auto"/>
        </w:rPr>
        <w:t>Set forth below are the names and ages of the nominees for director, the principal occupations of each nominee currently and for at least the past five years, and the year in which he became a director of Amdocs.</w:t>
      </w:r>
    </w:p>
    <w:p>
      <w:pPr>
        <w:spacing w:after="0" w:line="42"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NAME AGE - ---- ---</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Bruce K. Anderson 64</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Mr. Anderson has been</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of Directors of Amdocs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since September 1997.</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Since August 1978, Mr.</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Anderson has been a</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general partner of</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Welsh, Carson, Anderson</w:t>
      </w:r>
    </w:p>
    <w:p>
      <w:pPr>
        <w:spacing w:after="0" w:line="7" w:lineRule="exact"/>
        <w:rPr>
          <w:sz w:val="20"/>
          <w:szCs w:val="20"/>
          <w:color w:val="auto"/>
        </w:rPr>
      </w:pPr>
    </w:p>
    <w:p>
      <w:pPr>
        <w:ind w:left="140" w:right="8299" w:firstLine="39"/>
        <w:spacing w:after="0" w:line="250" w:lineRule="auto"/>
        <w:tabs>
          <w:tab w:leader="none" w:pos="35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Stowe ("WCAS"), an investment firm that specializes in the acquisition of companies in the information services, communications and</w:t>
      </w:r>
    </w:p>
    <w:p>
      <w:pPr>
        <w:spacing w:after="0" w:line="3"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health care industries.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Until September 2003,</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investment partnerships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affiliated with WCAS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had been among our</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largest shareholders.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Mr. Anderson served for</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nine years with</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Automated Data</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Processing, Inc.</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("ADP") until his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resignation as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Executive Vice</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President and a</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director of ADP, and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President of ADP</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effective August 1978.</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Mr. Anderson serves on</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the board of Alliance</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Data Systems, Inc., a</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publicly held company</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that provides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transaction, credit and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marketing services to</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large consumer based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businesses, and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Headstrong, Inc., a</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global consultancy</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firm. Adrian Gardner 42</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Mr. Gardner has been a</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director of Amdocs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since April 1998 and is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Chairman of the Audit</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Committee. Mr. Gardner</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is the Chief Financial</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Officer and a director</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of ProStrakan Group,</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Ltd., a pharmaceuticals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company based in the</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United Kingdom, which</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he joined in April</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2002. Prior to joining</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ProStrakan, he was a</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Managing Director of</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Lazard LLC, based in</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London, where he worked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with technology- and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telecommunications-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related companies.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Prior to joining Lazard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in 1989, Mr. Gardner</w:t>
      </w:r>
    </w:p>
    <w:p>
      <w:pPr>
        <w:sectPr>
          <w:pgSz w:w="11900" w:h="16877" w:orient="portrait"/>
          <w:cols w:equalWidth="0" w:num="1">
            <w:col w:w="10239"/>
          </w:cols>
          <w:pgMar w:left="220" w:top="590" w:right="1440" w:bottom="0" w:gutter="0" w:footer="0" w:header="0"/>
        </w:sectPr>
      </w:pPr>
    </w:p>
    <w:bookmarkStart w:id="5" w:name="page6"/>
    <w:bookmarkEnd w:id="5"/>
    <w:p>
      <w:pPr>
        <w:jc w:val="center"/>
        <w:ind w:right="8159"/>
        <w:spacing w:after="0"/>
        <w:rPr>
          <w:sz w:val="20"/>
          <w:szCs w:val="20"/>
          <w:color w:val="auto"/>
        </w:rPr>
      </w:pPr>
      <w:r>
        <w:rPr>
          <w:rFonts w:ascii="Courier New" w:cs="Courier New" w:eastAsia="Courier New" w:hAnsi="Courier New"/>
          <w:sz w:val="14"/>
          <w:szCs w:val="14"/>
          <w:color w:val="auto"/>
        </w:rPr>
        <w:t>qualified as a</w:t>
      </w:r>
    </w:p>
    <w:p>
      <w:pPr>
        <w:spacing w:after="0" w:line="33"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chartered accountant</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with Price Waterhouse</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(now</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PricewaterhouseCoopers).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Mr. Gardner is a member</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of the Institute of</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Chartered Accountants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in England &amp; Wales. Dov</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Baharav 54 Mr. Baharav</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has been a director of</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Amdocs and the</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President and Chief</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Executive Officer of</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Amdocs Management</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Limited, our wholly</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owned subsidiary, since</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July 2002. Mr. Baharav</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has overall</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coordination</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responsibilities for</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the operations and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activities of our</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operating subsidiaries.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In 1991, Mr. Baharav</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joined Amdocs Inc., our</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principal wholly owned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U.S. subsidiary,</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serving as its Vice</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President and then</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President in St. Louis,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Missouri until 1995.</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From 1995 until July</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2002, Mr. Baharav was a</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and the Chief Financial</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Officer of Amdocs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Management Limited.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Prior to joining</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Amdocs, Mr. Baharav</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served as Chief</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Operating Officer of</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Optrotech Ltd., a</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publicly held company</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that develops,</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manufactures and</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markets electro-optical</w:t>
      </w:r>
    </w:p>
    <w:p>
      <w:pPr>
        <w:spacing w:after="0" w:line="7"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4"/>
          <w:szCs w:val="14"/>
          <w:color w:val="auto"/>
        </w:rPr>
        <w:t>devices.</w:t>
      </w:r>
    </w:p>
    <w:p>
      <w:pPr>
        <w:spacing w:after="0" w:line="312"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115" w:right="1440" w:bottom="1440" w:gutter="0" w:footer="0" w:header="0"/>
        </w:sectPr>
      </w:pPr>
    </w:p>
    <w:bookmarkStart w:id="6" w:name="page7"/>
    <w:bookmarkEnd w:id="6"/>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AGE - ---- -</w:t>
      </w:r>
    </w:p>
    <w:p>
      <w:pPr>
        <w:spacing w:after="0" w:line="33" w:lineRule="exact"/>
        <w:rPr>
          <w:sz w:val="20"/>
          <w:szCs w:val="20"/>
          <w:color w:val="auto"/>
        </w:rPr>
      </w:pPr>
    </w:p>
    <w:p>
      <w:pPr>
        <w:ind w:left="140" w:right="8859" w:firstLine="85"/>
        <w:spacing w:after="0" w:line="250" w:lineRule="auto"/>
        <w:tabs>
          <w:tab w:leader="none" w:pos="48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Julian A. Brodsky 71 Mr.</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Brodsky has been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 director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Amdocs since July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2003. Mr. Brodsky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has served as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 and as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Vice Chairman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Comcast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Corporation for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more than five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years. Prior to</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November 2002, 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served as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 and Vice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Chairman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Comcast Holdings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for more than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five years. For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five years prior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to May 2004, Mr.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Brodsky was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Chairman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Comcast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Interactive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Capital, LP,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venture fund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affiliated with</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Comcast. He is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also a director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of RBB Fund, Inc.</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and Grey Global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Group. Charles 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Foster 68 Mr.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Foster has been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Amdocs since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December 2001. 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was Chairman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the Board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Prodigy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Communications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Corporation from</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June until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November 2001.</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From April 1997</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until June 2001,</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Mr. Foster served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as Group</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President of SBC</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Communications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Inc. ("SBC"),</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where he was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responsible, at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various times,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for engineering,</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network,</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centralized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services,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marketing and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operations,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information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systems,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procurement,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treasury,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operations,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wireless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services, merger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integration, real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estate, yellow</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pages and cable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TV operations.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SBC</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Inc. ("SBCI"),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wholly owned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subsidiary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SBC, is one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our largest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SBC, together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with its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affiliates, is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significant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customer of ours.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Mr. Foster is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member of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Texas Society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Professional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Engineers and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Storage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Technology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Corporation, a</w:t>
      </w:r>
    </w:p>
    <w:p>
      <w:pPr>
        <w:sectPr>
          <w:pgSz w:w="11900" w:h="16877" w:orient="portrait"/>
          <w:cols w:equalWidth="0" w:num="1">
            <w:col w:w="10199"/>
          </w:cols>
          <w:pgMar w:left="260" w:top="590" w:right="1440" w:bottom="0" w:gutter="0" w:footer="0" w:header="0"/>
        </w:sectPr>
      </w:pPr>
    </w:p>
    <w:bookmarkStart w:id="7" w:name="page8"/>
    <w:bookmarkEnd w:id="7"/>
    <w:p>
      <w:pPr>
        <w:spacing w:after="0" w:line="128"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publicly-traded</w:t>
      </w:r>
    </w:p>
    <w:p>
      <w:pPr>
        <w:spacing w:after="0" w:line="3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company engaged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in the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manufacture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products for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storing digital</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data. Eli Gelman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46 Mr. Gelman has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been a director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 Amdocs and the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Executive Vice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President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Amdocs Management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Limited since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July 2002. Mr.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Gelman has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responsibility</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for sales,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strategic</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alliances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corporate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business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development. 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has more than 27</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years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experience in the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software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industry,</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including the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last 16 years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with Amdocs.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Prior to his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current position,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he was a division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president, where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he headed our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sales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marketing</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operations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helped spearhead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our entry into</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the Customer Care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Billing</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Systems ("CC&amp;B</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Systems") market.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Before that, Mr.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Gelman was an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account manager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for our major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European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North American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installations,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has led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several major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software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development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projects. Before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joining Amdocs,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Mr. Gelman was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involved in the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development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real-time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software systems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communications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networks. James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 Kahan 57 Mr.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Kahan has been a</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director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Amdocs since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April 1998. 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has worked at SBC</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since 1983,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currently serves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as a Senior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Executive Vice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President, a</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position he has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held since 1992.</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SBCI, a wholly</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owned subsidiary</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 SBC, is one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our largest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SBC, together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with its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subsidiaries, is</w:t>
      </w:r>
    </w:p>
    <w:p>
      <w:pPr>
        <w:spacing w:after="0" w:line="7" w:lineRule="exact"/>
        <w:rPr>
          <w:sz w:val="20"/>
          <w:szCs w:val="20"/>
          <w:color w:val="auto"/>
        </w:rPr>
      </w:pPr>
    </w:p>
    <w:p>
      <w:pPr>
        <w:ind w:left="40" w:right="8719" w:firstLine="181"/>
        <w:spacing w:after="0" w:line="250" w:lineRule="auto"/>
        <w:tabs>
          <w:tab w:leader="none" w:pos="38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customer of ours. Prior to joining</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SBC, Mr. Kahan</w:t>
      </w:r>
    </w:p>
    <w:p>
      <w:pPr>
        <w:spacing w:after="0" w:line="7" w:lineRule="exact"/>
        <w:rPr>
          <w:rFonts w:ascii="Courier New" w:cs="Courier New" w:eastAsia="Courier New" w:hAnsi="Courier New"/>
          <w:sz w:val="14"/>
          <w:szCs w:val="14"/>
          <w:color w:val="auto"/>
        </w:rPr>
      </w:pPr>
    </w:p>
    <w:p>
      <w:pPr>
        <w:jc w:val="center"/>
        <w:ind w:right="8679" w:firstLine="256"/>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held various positions at several telecommunications companies, including Western Electric, Bell Laboratories,</w:t>
      </w:r>
    </w:p>
    <w:p>
      <w:pPr>
        <w:sectPr>
          <w:pgSz w:w="11900" w:h="16966" w:orient="portrait"/>
          <w:cols w:equalWidth="0" w:num="1">
            <w:col w:w="10239"/>
          </w:cols>
          <w:pgMar w:left="220" w:top="115" w:right="1440" w:bottom="0" w:gutter="0" w:footer="0" w:header="0"/>
        </w:sectPr>
      </w:pPr>
    </w:p>
    <w:bookmarkStart w:id="8" w:name="page9"/>
    <w:bookmarkEnd w:id="8"/>
    <w:p>
      <w:pPr>
        <w:ind w:left="180"/>
        <w:spacing w:after="0"/>
        <w:rPr>
          <w:sz w:val="20"/>
          <w:szCs w:val="20"/>
          <w:color w:val="auto"/>
        </w:rPr>
      </w:pPr>
      <w:r>
        <w:rPr>
          <w:rFonts w:ascii="Courier New" w:cs="Courier New" w:eastAsia="Courier New" w:hAnsi="Courier New"/>
          <w:sz w:val="14"/>
          <w:szCs w:val="14"/>
          <w:color w:val="auto"/>
        </w:rPr>
        <w:t>South Central</w:t>
      </w:r>
    </w:p>
    <w:p>
      <w:pPr>
        <w:spacing w:after="0" w:line="3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Bell and AT&amp;T.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Nehemia Lemelbaum</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62 Mr. Lemelbaum</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has been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Amdocs since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December 2001 and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 Senior Vice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President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Amdocs Management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Limited since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1985. He joined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Amdocs in 1985,</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with initial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responsibility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for U.S.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operations. Mr.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Lemelbaum led our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development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graphic products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for the yellow</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pages industry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and later led our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development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CC&amp;B Systems, as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well as our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penetration into</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the CC&amp;B Systems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market. Prior to</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joining Amdocs,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he served for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nine years with</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Contahal Ltd.,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leading Israeli</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software company,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first as a senior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consultant, and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later as Managing</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 From</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1967 to 1976, Mr.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Lemelbaum was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employed by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Ministry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Communications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Israel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organization that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predated Bezeq,</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the Israel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Telecommunication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Corp. Ltd.), with</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responsibility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for computer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technology in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area of business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data processing.</w:t>
      </w:r>
    </w:p>
    <w:p>
      <w:pPr>
        <w:spacing w:after="0" w:line="312"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99"/>
          </w:cols>
          <w:pgMar w:left="260" w:top="115" w:right="1440" w:bottom="1440" w:gutter="0" w:footer="0" w:header="0"/>
        </w:sectPr>
      </w:pPr>
    </w:p>
    <w:bookmarkStart w:id="9" w:name="page10"/>
    <w:bookmarkEnd w:id="9"/>
    <w:p>
      <w:pPr>
        <w:spacing w:after="0" w:line="3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NAME AGE - ---- -</w:t>
      </w:r>
    </w:p>
    <w:p>
      <w:pPr>
        <w:spacing w:after="0" w:line="33" w:lineRule="exact"/>
        <w:rPr>
          <w:sz w:val="20"/>
          <w:szCs w:val="20"/>
          <w:color w:val="auto"/>
        </w:rPr>
      </w:pPr>
    </w:p>
    <w:p>
      <w:pPr>
        <w:ind w:left="600" w:hanging="249"/>
        <w:spacing w:after="0"/>
        <w:tabs>
          <w:tab w:leader="none" w:pos="6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McLennan 59 Mr.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McLennan has been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 director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Amdocs since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November 1999.</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From May 2000</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until June 2004,</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he served as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Vice-Chair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Chief Executive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Officer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Allstream</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(formerly AT&amp;T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Canada). Mr.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McLennan founded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was the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President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Jenmark</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Consulting Inc.</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from 1997 until</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May 2000. From</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1993 to 1997, Mr.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McLennan served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as the President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Chief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Executive Officer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 Bell Canada.</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Prior to that, 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held various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positions at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several</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telecommunications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companies,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including BCE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Mobile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Communications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Cantel Inc.</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Mr. McLennan is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also a director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 Manitoba</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Telephone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Systems, Air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Canada</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Enterprises,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Hummingbird Ltd.,</w:t>
      </w:r>
    </w:p>
    <w:p>
      <w:pPr>
        <w:spacing w:after="0" w:line="7" w:lineRule="exact"/>
        <w:rPr>
          <w:sz w:val="20"/>
          <w:szCs w:val="20"/>
          <w:color w:val="auto"/>
        </w:rPr>
      </w:pPr>
    </w:p>
    <w:p>
      <w:pPr>
        <w:ind w:left="220" w:right="8899" w:firstLine="131"/>
        <w:spacing w:after="0" w:line="250" w:lineRule="auto"/>
        <w:tabs>
          <w:tab w:leader="none" w:pos="52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Canadian publicly held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company engaged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in the production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 enterprise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management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software, and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several other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private software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communication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companies. Robert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 Minicucci 52</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Mr. Minicucci has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been a director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 Amdocs since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September 1997.</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He has been a</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general partner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 WCAS since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1993. From 1992</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to 1993, Mr.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Minicucci served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as Senior Vice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President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Chief Financial</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Officer of First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Data Corporation,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 provider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information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processing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related services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for credit card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other payment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transactions.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From 1991 to</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1992, he served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as Senior Vice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President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Treasurer of the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American Express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Company. 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served for twelve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years with Lehman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Brothers (and its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predecessors)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until his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resignation as a</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Managing Director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in 1991. Mr.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Minicucci is also</w:t>
      </w:r>
    </w:p>
    <w:p>
      <w:pPr>
        <w:sectPr>
          <w:pgSz w:w="11900" w:h="16877" w:orient="portrait"/>
          <w:cols w:equalWidth="0" w:num="1">
            <w:col w:w="10239"/>
          </w:cols>
          <w:pgMar w:left="220" w:top="590" w:right="1440" w:bottom="0" w:gutter="0" w:footer="0" w:header="0"/>
        </w:sectPr>
      </w:pPr>
    </w:p>
    <w:bookmarkStart w:id="10" w:name="page11"/>
    <w:bookmarkEnd w:id="10"/>
    <w:p>
      <w:pPr>
        <w:spacing w:after="0" w:line="6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 director of</w:t>
      </w:r>
    </w:p>
    <w:p>
      <w:pPr>
        <w:spacing w:after="0" w:line="3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Alliance Data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Systems, Inc.,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publicly held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company, and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several private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companies. Simon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Olswang 61 Mr.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Olswang has been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 director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Amdocs since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November 2004. 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recently retired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as Chairman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Olswang, a United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Kingdom law firm</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he founded in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1981. In 1995 Mr.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Olswang co-</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founded Informed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Sources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Ltd, a strategic</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media industry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consultancy in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Europe and North</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America. Mr.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Olswang is a co-</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founder and non-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executive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LongAcre Partners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Ltd,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specialized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mergers and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acquisitions and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advisory firm</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focusing on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media and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entertainment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industries. He is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 member of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Board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Directors of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British Library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and of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British Screen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Advisory Council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and has served as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 non-executive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 of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companies and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organizations,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including Aegis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Group plc,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Press Association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and the British</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Film Institute.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Mr. Olswang</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serves as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Chairman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Governors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Langdon College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of Further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(Special)</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Education in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Salford, of which</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he is a co-</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founder and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trustee. Mario</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Segal 57 Mr.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Segal has been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Amdocs since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December 2001 and</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served as a</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Senior Vice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President and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Chief Operating</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Officer of Amdocs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Management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Limited from 1995</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until July 2002.</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He joined Amdocs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in 1984 as Senior</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and was a leading</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member of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team that</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developed the ADS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(NG)/Family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Products</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directory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automation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systems and the</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Amdocs CC&amp;B</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Systems platform.</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Prior to joining</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Amdocs, Mr. Segal</w:t>
      </w:r>
    </w:p>
    <w:p>
      <w:pPr>
        <w:sectPr>
          <w:pgSz w:w="11900" w:h="16899" w:orient="portrait"/>
          <w:cols w:equalWidth="0" w:num="1">
            <w:col w:w="10199"/>
          </w:cols>
          <w:pgMar w:left="260" w:top="115" w:right="1440" w:bottom="0" w:gutter="0" w:footer="0" w:header="0"/>
        </w:sectPr>
      </w:pPr>
    </w:p>
    <w:bookmarkStart w:id="11" w:name="page12"/>
    <w:bookmarkEnd w:id="11"/>
    <w:p>
      <w:pPr>
        <w:jc w:val="center"/>
        <w:ind w:right="8679"/>
        <w:spacing w:after="0"/>
        <w:rPr>
          <w:sz w:val="20"/>
          <w:szCs w:val="20"/>
          <w:color w:val="auto"/>
        </w:rPr>
      </w:pPr>
      <w:r>
        <w:rPr>
          <w:rFonts w:ascii="Courier New" w:cs="Courier New" w:eastAsia="Courier New" w:hAnsi="Courier New"/>
          <w:sz w:val="14"/>
          <w:szCs w:val="14"/>
          <w:color w:val="auto"/>
        </w:rPr>
        <w:t>was an account</w:t>
      </w:r>
    </w:p>
    <w:p>
      <w:pPr>
        <w:spacing w:after="0" w:line="3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manager for a</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major North</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American yellow</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pages publisher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prior thereto</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managed the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computer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department of a</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major Israeli</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insurance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company, leading</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large-scale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software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development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projects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strategic</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planning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automation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systems.</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COMMITTEES</w:t>
      </w:r>
    </w:p>
    <w:p>
      <w:pPr>
        <w:spacing w:after="0" w:line="173" w:lineRule="exact"/>
        <w:rPr>
          <w:sz w:val="20"/>
          <w:szCs w:val="20"/>
          <w:color w:val="auto"/>
        </w:rPr>
      </w:pPr>
    </w:p>
    <w:p>
      <w:pPr>
        <w:ind w:right="3419" w:firstLine="431"/>
        <w:spacing w:after="0" w:line="375" w:lineRule="auto"/>
        <w:rPr>
          <w:sz w:val="20"/>
          <w:szCs w:val="20"/>
          <w:color w:val="auto"/>
        </w:rPr>
      </w:pPr>
      <w:r>
        <w:rPr>
          <w:rFonts w:ascii="Courier New" w:cs="Courier New" w:eastAsia="Courier New" w:hAnsi="Courier New"/>
          <w:sz w:val="14"/>
          <w:szCs w:val="14"/>
          <w:color w:val="auto"/>
        </w:rPr>
        <w:t>Our Board of Directors has formed four committees set forth below. Members of each committee are appointed by the Board of Directors.</w:t>
      </w:r>
    </w:p>
    <w:p>
      <w:pPr>
        <w:spacing w:after="0" w:line="1"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Audit Committee. The Audit Committee reviews, acts on and reports to the Board of Directors with respect to various auditing and accounting matters, including the selection of our auditors, the scope of the annual audits, fees to be paid to the auditors, the performance of our independent auditors, and assists with the</w:t>
      </w:r>
    </w:p>
    <w:p>
      <w:pPr>
        <w:spacing w:after="0" w:line="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115" w:right="1440" w:bottom="1440" w:gutter="0" w:footer="0" w:header="0"/>
        </w:sectPr>
      </w:pPr>
    </w:p>
    <w:bookmarkStart w:id="12" w:name="page13"/>
    <w:bookmarkEnd w:id="12"/>
    <w:p>
      <w:pPr>
        <w:ind w:right="3339"/>
        <w:spacing w:after="0" w:line="264" w:lineRule="auto"/>
        <w:rPr>
          <w:sz w:val="20"/>
          <w:szCs w:val="20"/>
          <w:color w:val="auto"/>
        </w:rPr>
      </w:pPr>
      <w:r>
        <w:rPr>
          <w:rFonts w:ascii="Courier New" w:cs="Courier New" w:eastAsia="Courier New" w:hAnsi="Courier New"/>
          <w:sz w:val="14"/>
          <w:szCs w:val="14"/>
          <w:color w:val="auto"/>
        </w:rPr>
        <w:t>Board of Directors' oversight of our accounting practices, financial statement integrity and compliance with legal and regulatory requirements. The current members of our Audit Committee are Messrs. Gardner (Chair), Foster and McLennan, all of whom are independent directors, as defined by the rules of the NYSE, and pursuant to the categorical director independence standards adopted by our Board of Directors. The Board of Directors has determined that Mr. Gardner is an "audit committee financial expert" as defined by rules promulgated by the U.S. Securities and Exchange Commission ("SEC"). The Audit Committee written charter is attached to this proxy statement as Appendix A, and it is available on our website at www.amdocs.com.</w:t>
      </w:r>
    </w:p>
    <w:p>
      <w:pPr>
        <w:spacing w:after="0" w:line="77"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Compensation Committee. 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Anderson, Kahan and Minicucci, all of whom are independent directors, as defined by the rules of the NYSE, and pursuant to the categorical director independence standards adopted by our Board of Directors. The Compensation Committee written charter is available on our website at www.amdocs.com.</w:t>
      </w:r>
    </w:p>
    <w:p>
      <w:pPr>
        <w:spacing w:after="0" w:line="74"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Nominating and Corporate Governance Committee. 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Kahan, Brodsky, Gardner and Foster, all of whom are independent directors, as required by the NYSE listing standards, and pursuant to the categorical director independence standards adopted by our Board of Directors. The Nominating and Corporate Governance Committee written charter is available on our website at www.amdocs.com. Additionally, the Nominating and Corporate Governance Committee, which was established in November 2004, is in the process of approving corporate governance guidelines that it expects to recommend for approval by our Board of Directors at its upcoming meetings. Upon such approval by our Board, we intend to make the corporate governance guidelines available on our website at www.amdocs.com.</w:t>
      </w:r>
    </w:p>
    <w:p>
      <w:pPr>
        <w:spacing w:after="0" w:line="249"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Executive Committee. The Executive Committee has such responsibilities as may be delegated to it from time to time by the Board of Directors. The current members of our Executive Committee are Messrs. Anderson, Baharav, Kahan, Lemelbaum and Minicucci.</w:t>
      </w:r>
    </w:p>
    <w:p>
      <w:pPr>
        <w:spacing w:after="0" w:line="56"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Our independent directors receive no compensation from the Company, except in connection with their membership on the Board of Directors and its committees as described below regarding Non-Employee Directors under "-- Compensation of Directors".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AND COMMITTEE MEETINGS</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During the past fiscal year, the Board of Directors held nine meetings and took numerous other actions by unanimous written consent in lieu of formal meetings. In addition, the Audit Committee held ten meetings, the Compensation Committee held four meetings and the Executive Committee held eight meetings in the 2004 fiscal year. Because the Nominating and Corporate Governance Committee was established in November 2004, it did not meet in fiscal 2004. During fiscal 2004, each director attended at least 75% of the aggregate of the number of Board of Directors meetings and the number of meetings held by all committees on which he then served.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COMMUNICATING WITH THE INDEPENDENT DIRECTORS</w:t>
      </w:r>
    </w:p>
    <w:p>
      <w:pPr>
        <w:spacing w:after="0" w:line="173" w:lineRule="exact"/>
        <w:rPr>
          <w:sz w:val="20"/>
          <w:szCs w:val="20"/>
          <w:color w:val="auto"/>
        </w:rPr>
      </w:pPr>
    </w:p>
    <w:p>
      <w:pPr>
        <w:ind w:right="3419" w:firstLine="431"/>
        <w:spacing w:after="0" w:line="257" w:lineRule="auto"/>
        <w:rPr>
          <w:sz w:val="20"/>
          <w:szCs w:val="20"/>
          <w:color w:val="auto"/>
        </w:rPr>
      </w:pPr>
      <w:r>
        <w:rPr>
          <w:rFonts w:ascii="Courier New" w:cs="Courier New" w:eastAsia="Courier New" w:hAnsi="Courier New"/>
          <w:sz w:val="14"/>
          <w:szCs w:val="14"/>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13" w:name="page14"/>
    <w:bookmarkEnd w:id="13"/>
    <w:p>
      <w:pPr>
        <w:ind w:right="3339" w:firstLine="431"/>
        <w:spacing w:after="0" w:line="271" w:lineRule="auto"/>
        <w:rPr>
          <w:sz w:val="20"/>
          <w:szCs w:val="20"/>
          <w:color w:val="auto"/>
        </w:rPr>
      </w:pPr>
      <w:r>
        <w:rPr>
          <w:rFonts w:ascii="Courier New" w:cs="Courier New" w:eastAsia="Courier New" w:hAnsi="Courier New"/>
          <w:sz w:val="14"/>
          <w:szCs w:val="14"/>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the Company tends to receive repetitive or duplicative communications.</w:t>
      </w:r>
    </w:p>
    <w:p>
      <w:pPr>
        <w:spacing w:after="0" w:line="72" w:lineRule="exact"/>
        <w:rPr>
          <w:sz w:val="20"/>
          <w:szCs w:val="20"/>
          <w:color w:val="auto"/>
        </w:rPr>
      </w:pPr>
    </w:p>
    <w:p>
      <w:pPr>
        <w:ind w:right="3519" w:firstLine="431"/>
        <w:spacing w:after="0" w:line="292" w:lineRule="auto"/>
        <w:rPr>
          <w:sz w:val="20"/>
          <w:szCs w:val="20"/>
          <w:color w:val="auto"/>
        </w:rPr>
      </w:pPr>
      <w:r>
        <w:rPr>
          <w:rFonts w:ascii="Courier New" w:cs="Courier New" w:eastAsia="Courier New" w:hAnsi="Courier New"/>
          <w:sz w:val="14"/>
          <w:szCs w:val="14"/>
          <w:color w:val="auto"/>
        </w:rPr>
        <w:t>Shareholders who wish to send communications on any topic to the Board of Directors or to the Company's independent directors should address such communications c/o Corporate Secretary, Amdocs Inc., 1390 Timberlake Manor Parkway, Chesterfield, Missouri 63017.</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QUALIFICATION STANDARDS</w:t>
      </w:r>
    </w:p>
    <w:p>
      <w:pPr>
        <w:spacing w:after="0" w:line="173" w:lineRule="exact"/>
        <w:rPr>
          <w:sz w:val="20"/>
          <w:szCs w:val="20"/>
          <w:color w:val="auto"/>
        </w:rPr>
      </w:pPr>
    </w:p>
    <w:p>
      <w:pPr>
        <w:ind w:right="3339" w:firstLine="431"/>
        <w:spacing w:after="0" w:line="375" w:lineRule="auto"/>
        <w:rPr>
          <w:sz w:val="20"/>
          <w:szCs w:val="20"/>
          <w:color w:val="auto"/>
        </w:rPr>
      </w:pPr>
      <w:r>
        <w:rPr>
          <w:rFonts w:ascii="Courier New" w:cs="Courier New" w:eastAsia="Courier New" w:hAnsi="Courier New"/>
          <w:sz w:val="14"/>
          <w:szCs w:val="14"/>
          <w:color w:val="auto"/>
        </w:rPr>
        <w:t>Our Board of Directors has adopted a formal set of categorical independence standards with respect to the determination of director independence.</w:t>
      </w:r>
    </w:p>
    <w:p>
      <w:pPr>
        <w:spacing w:after="0" w:line="1"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In accordance with these standards and the rules of the NYSE, our Board of Directors has determined that each of the following eight of our twelve directors has no material relationship with the Company and is therefore independent: Messrs. Anderson, Gardner, Brodsky, Foster, Kahan, McLennan, Minicucci and Olswang.</w:t>
      </w:r>
    </w:p>
    <w:p>
      <w:pPr>
        <w:spacing w:after="0" w:line="62" w:lineRule="exact"/>
        <w:rPr>
          <w:sz w:val="20"/>
          <w:szCs w:val="20"/>
          <w:color w:val="auto"/>
        </w:rPr>
      </w:pPr>
    </w:p>
    <w:p>
      <w:pPr>
        <w:ind w:right="3939" w:firstLine="431"/>
        <w:spacing w:after="0" w:line="375" w:lineRule="auto"/>
        <w:rPr>
          <w:sz w:val="20"/>
          <w:szCs w:val="20"/>
          <w:color w:val="auto"/>
        </w:rPr>
      </w:pPr>
      <w:r>
        <w:rPr>
          <w:rFonts w:ascii="Courier New" w:cs="Courier New" w:eastAsia="Courier New" w:hAnsi="Courier New"/>
          <w:sz w:val="14"/>
          <w:szCs w:val="14"/>
          <w:color w:val="auto"/>
        </w:rPr>
        <w:t>The full text of our categorical standards is attached to this proxy statement as Appendix 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 OF ETHICS AND BUSINESS CONDUCT</w:t>
      </w:r>
    </w:p>
    <w:p>
      <w:pPr>
        <w:spacing w:after="0" w:line="173"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Our Board of Directors has adopted a Code of Ethics and Business Conduct that sets forth legal and ethical standards of conduct for directors and employees, including executive officers, of the Company, our subsidiaries and other business entities controlled by us worldwide. The code is available on our website at www.amdocs.com. We intend to post on our website all disclosures that are required by law or NYSE rules concerning any amendments to, or waivers from, any provision of the code.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339" w:firstLine="431"/>
        <w:spacing w:after="0" w:line="257" w:lineRule="auto"/>
        <w:rPr>
          <w:sz w:val="20"/>
          <w:szCs w:val="20"/>
          <w:color w:val="auto"/>
        </w:rPr>
      </w:pPr>
      <w:r>
        <w:rPr>
          <w:rFonts w:ascii="Courier New" w:cs="Courier New" w:eastAsia="Courier New" w:hAnsi="Courier New"/>
          <w:sz w:val="14"/>
          <w:szCs w:val="14"/>
          <w:color w:val="auto"/>
        </w:rPr>
        <w:t>As of November 3, 2004, our directors who are not employees of the Company ("Non-Employee Directors") receive compensation for their services as directors in the form of cash and options to purchase ordinary shares. Our compensation policy provides that each Non-Employee Director receives an annual cash payment of $30,000. Each of our Non-Employee Directors also receives an initial option grant for the purchase of 12,000 ordinary shares. Thereafter, Non-Employee Directors receive an annual option grant for the purchase of 7,500 ordinary shares, except for Non-Employee Directors who are members of our Audit Committee or Executive Committee, who receive an annual option grant for the purchase of 8,500 ordinary shares. All option grants to our Non-Employee Directors vest as to one-quarter of the shares immediately, with the remainder vesting annually in three equal installments. The exercise price of all options granted to our Non-Employee Directors is the market price of our shares on the last trading day preceding the grant date. Each Non-Employee Director receives $1,500 per meeting of the Board of Directors and $1,000 per meeting of a committee of the Board of Directors, except for Non-Employee Directors who are members of our Audit Committee or Executive Committee, who receive $2,000 per meeting. We reimburse all of our directors for their reasonable travel expenses incurred in connection with attending Board or committee meetings.</w:t>
      </w:r>
    </w:p>
    <w:p>
      <w:pPr>
        <w:spacing w:after="0" w:line="86"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During the 2004 fiscal year, we granted options to nine Non-Employee Directors options to purchase an aggregate of 48,000 Ordinary Shares at a weighted average price of $21.20 per share, with vesting over three year terms.</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 is proposed that the following Ordinary Resolution be adopted at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Meeting:</w:t>
      </w:r>
    </w:p>
    <w:p>
      <w:pPr>
        <w:spacing w:after="0" w:line="147"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"RESOLVED, that Bruce K. Anderson, Adrian Gardner, Dov Baharav, Julian A. Brodsky, Charles E. Foster, Eli Gelman, James S. Kahan, Nehemia Lemelbaum, John T. McLennan, Robert A. Minicucci, Simon Olswang and Mario Segal be, and each hereby is, elected to serve as a director of the Company until</w:t>
      </w:r>
    </w:p>
    <w:p>
      <w:pPr>
        <w:spacing w:after="0" w:line="5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14" w:name="page15"/>
    <w:bookmarkEnd w:id="14"/>
    <w:p>
      <w:pPr>
        <w:ind w:right="3339"/>
        <w:spacing w:after="0" w:line="375" w:lineRule="auto"/>
        <w:rPr>
          <w:sz w:val="20"/>
          <w:szCs w:val="20"/>
          <w:color w:val="auto"/>
        </w:rPr>
      </w:pPr>
      <w:r>
        <w:rPr>
          <w:rFonts w:ascii="Courier New" w:cs="Courier New" w:eastAsia="Courier New" w:hAnsi="Courier New"/>
          <w:sz w:val="14"/>
          <w:szCs w:val="14"/>
          <w:color w:val="auto"/>
        </w:rPr>
        <w:t>the next annual general meeting of shareholders or until his earlier resignation or removal or until his respective successor is elected and qualified."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AFFIRMATIVE VOTE</w:t>
      </w:r>
    </w:p>
    <w:p>
      <w:pPr>
        <w:spacing w:after="0" w:line="173" w:lineRule="exact"/>
        <w:rPr>
          <w:sz w:val="20"/>
          <w:szCs w:val="20"/>
          <w:color w:val="auto"/>
        </w:rPr>
      </w:pPr>
    </w:p>
    <w:p>
      <w:pPr>
        <w:ind w:right="3599" w:firstLine="431"/>
        <w:spacing w:after="0" w:line="313" w:lineRule="auto"/>
        <w:rPr>
          <w:sz w:val="20"/>
          <w:szCs w:val="20"/>
          <w:color w:val="auto"/>
        </w:rPr>
      </w:pPr>
      <w:r>
        <w:rPr>
          <w:rFonts w:ascii="Courier New" w:cs="Courier New" w:eastAsia="Courier New" w:hAnsi="Courier New"/>
          <w:sz w:val="14"/>
          <w:szCs w:val="14"/>
          <w:color w:val="auto"/>
        </w:rPr>
        <w:t>The affirmative vote of holders of a majority of the Ordinary Shares represented in person or by proxy at the General Meeting is necessary for the approval of the Ordinary Resolution to elect the nominees named above.</w:t>
      </w:r>
    </w:p>
    <w:p>
      <w:pPr>
        <w:spacing w:after="0" w:line="42" w:lineRule="exact"/>
        <w:rPr>
          <w:sz w:val="20"/>
          <w:szCs w:val="20"/>
          <w:color w:val="auto"/>
        </w:rPr>
      </w:pPr>
    </w:p>
    <w:p>
      <w:pPr>
        <w:ind w:right="3779" w:firstLine="431"/>
        <w:spacing w:after="0" w:line="375" w:lineRule="auto"/>
        <w:rPr>
          <w:sz w:val="20"/>
          <w:szCs w:val="20"/>
          <w:color w:val="auto"/>
        </w:rPr>
      </w:pPr>
      <w:r>
        <w:rPr>
          <w:rFonts w:ascii="Courier New" w:cs="Courier New" w:eastAsia="Courier New" w:hAnsi="Courier New"/>
          <w:sz w:val="14"/>
          <w:szCs w:val="14"/>
          <w:color w:val="auto"/>
        </w:rPr>
        <w:t>THE BOARD OF DIRECTORS RECOMMENDS THAT THE SHAREHOLDERS VOTE "FOR" THE DIRECTOR NOMINEES NAMED ABOVE.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15" w:name="page16"/>
    <w:bookmarkEnd w:id="15"/>
    <w:p>
      <w:pPr>
        <w:ind w:left="2160"/>
        <w:spacing w:after="0"/>
        <w:rPr>
          <w:sz w:val="20"/>
          <w:szCs w:val="20"/>
          <w:color w:val="auto"/>
        </w:rPr>
      </w:pPr>
      <w:r>
        <w:rPr>
          <w:rFonts w:ascii="Courier New" w:cs="Courier New" w:eastAsia="Courier New" w:hAnsi="Courier New"/>
          <w:sz w:val="14"/>
          <w:szCs w:val="14"/>
          <w:color w:val="auto"/>
        </w:rPr>
        <w:t>SECURITY OWNERSHIP OF CERTAIN</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BENEFICIAL OWNERS AND MANAGEMENT</w:t>
      </w:r>
    </w:p>
    <w:p>
      <w:pPr>
        <w:spacing w:after="0" w:line="147"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The following table sets forth specified information with respect to the beneficial ownership of the Ordinary Shares as of November 24, 2004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All percentages are based on 201,946,567 Ordinary Shares outstanding as of November 24, 2004. Except as noted below, each holder has sole voting and investment power with respect to all shares listed as owned by that holder. As of November 24, 2004, other than Mr. Kahan, none of our directors or senior managers beneficially own 1% or more of our outstanding ordinary shares. As described below, Mr. Kahan may be deemed to beneficially own 12,747,698 ordinary shares, or approximately 6.3% of our ordinary shares outstanding as of November 24, 2004.</w:t>
      </w:r>
    </w:p>
    <w:p>
      <w:pPr>
        <w:spacing w:after="0" w:line="79"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SHARES BENEFICIALLY PERCENTAGE NAME AND ADDRESS</w:t>
      </w:r>
    </w:p>
    <w:p>
      <w:pPr>
        <w:spacing w:after="0" w:line="3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OWNED OWNERSHIP - ---------------- ------------</w:t>
      </w:r>
    </w:p>
    <w:tbl>
      <w:tblPr>
        <w:tblLayout w:type="fixed"/>
        <w:tblInd w:w="140" w:type="dxa"/>
        <w:tblCellMar>
          <w:top w:w="0" w:type="dxa"/>
          <w:left w:w="0" w:type="dxa"/>
          <w:bottom w:w="0" w:type="dxa"/>
          <w:right w:w="0" w:type="dxa"/>
        </w:tblCellMar>
      </w:tblPr>
      <w:tr>
        <w:trPr>
          <w:trHeight w:val="147"/>
        </w:trPr>
        <w:tc>
          <w:tcPr>
            <w:tcW w:w="1760" w:type="dxa"/>
            <w:vAlign w:val="bottom"/>
            <w:vMerge w:val="restart"/>
          </w:tcPr>
          <w:p>
            <w:pPr>
              <w:spacing w:after="0"/>
              <w:rPr>
                <w:sz w:val="20"/>
                <w:szCs w:val="20"/>
                <w:color w:val="auto"/>
              </w:rPr>
            </w:pPr>
            <w:r>
              <w:rPr>
                <w:rFonts w:ascii="Courier New" w:cs="Courier New" w:eastAsia="Courier New" w:hAnsi="Courier New"/>
                <w:sz w:val="11"/>
                <w:szCs w:val="11"/>
                <w:color w:val="auto"/>
                <w:w w:val="70"/>
              </w:rPr>
              <w:t>Services</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 xml:space="preserve"> Company(1)</w:t>
            </w:r>
            <w:r>
              <w:rPr>
                <w:rFonts w:ascii="Courier New" w:cs="Courier New" w:eastAsia="Courier New" w:hAnsi="Courier New"/>
                <w:sz w:val="18"/>
                <w:szCs w:val="18"/>
                <w:color w:val="auto"/>
                <w:w w:val="70"/>
                <w:vertAlign w:val="superscript"/>
              </w:rPr>
              <w:t>----------</w:t>
            </w:r>
          </w:p>
        </w:tc>
        <w:tc>
          <w:tcPr>
            <w:tcW w:w="2120" w:type="dxa"/>
            <w:vAlign w:val="bottom"/>
          </w:tcPr>
          <w:p>
            <w:pPr>
              <w:jc w:val="right"/>
              <w:ind w:right="68"/>
              <w:spacing w:after="0" w:line="147" w:lineRule="exact"/>
              <w:rPr>
                <w:sz w:val="20"/>
                <w:szCs w:val="20"/>
                <w:color w:val="auto"/>
              </w:rPr>
            </w:pPr>
            <w:r>
              <w:rPr>
                <w:rFonts w:ascii="Courier New" w:cs="Courier New" w:eastAsia="Courier New" w:hAnsi="Courier New"/>
                <w:sz w:val="14"/>
                <w:szCs w:val="14"/>
                <w:color w:val="auto"/>
              </w:rPr>
              <w:t>Massachusetts Financial</w:t>
            </w:r>
          </w:p>
        </w:tc>
        <w:tc>
          <w:tcPr>
            <w:tcW w:w="0" w:type="dxa"/>
            <w:vAlign w:val="bottom"/>
          </w:tcPr>
          <w:p>
            <w:pPr>
              <w:spacing w:after="0"/>
              <w:rPr>
                <w:sz w:val="1"/>
                <w:szCs w:val="1"/>
                <w:color w:val="auto"/>
              </w:rPr>
            </w:pPr>
          </w:p>
        </w:tc>
      </w:tr>
      <w:tr>
        <w:trPr>
          <w:trHeight w:val="166"/>
        </w:trPr>
        <w:tc>
          <w:tcPr>
            <w:tcW w:w="1760" w:type="dxa"/>
            <w:vAlign w:val="bottom"/>
            <w:vMerge w:val="continue"/>
          </w:tcPr>
          <w:p>
            <w:pPr>
              <w:jc w:val="right"/>
              <w:spacing w:after="0" w:line="146" w:lineRule="exact"/>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19,406,163</w:t>
            </w:r>
          </w:p>
        </w:tc>
        <w:tc>
          <w:tcPr>
            <w:tcW w:w="0" w:type="dxa"/>
            <w:vAlign w:val="bottom"/>
          </w:tcPr>
          <w:p>
            <w:pPr>
              <w:spacing w:after="0"/>
              <w:rPr>
                <w:sz w:val="1"/>
                <w:szCs w:val="1"/>
                <w:color w:val="auto"/>
              </w:rPr>
            </w:pPr>
          </w:p>
        </w:tc>
      </w:tr>
      <w:tr>
        <w:trPr>
          <w:trHeight w:val="166"/>
        </w:trPr>
        <w:tc>
          <w:tcPr>
            <w:tcW w:w="38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9.6% SBC Communications, Inc.</w:t>
            </w:r>
          </w:p>
        </w:tc>
        <w:tc>
          <w:tcPr>
            <w:tcW w:w="0" w:type="dxa"/>
            <w:vAlign w:val="bottom"/>
          </w:tcPr>
          <w:p>
            <w:pPr>
              <w:spacing w:after="0"/>
              <w:rPr>
                <w:sz w:val="1"/>
                <w:szCs w:val="1"/>
                <w:color w:val="auto"/>
              </w:rPr>
            </w:pPr>
          </w:p>
        </w:tc>
      </w:tr>
      <w:tr>
        <w:trPr>
          <w:trHeight w:val="192"/>
        </w:trPr>
        <w:tc>
          <w:tcPr>
            <w:tcW w:w="1760" w:type="dxa"/>
            <w:vAlign w:val="bottom"/>
          </w:tcPr>
          <w:p>
            <w:pPr>
              <w:spacing w:after="0"/>
              <w:rPr>
                <w:sz w:val="20"/>
                <w:szCs w:val="20"/>
                <w:color w:val="auto"/>
              </w:rPr>
            </w:pPr>
            <w:r>
              <w:rPr>
                <w:rFonts w:ascii="Courier New" w:cs="Courier New" w:eastAsia="Courier New" w:hAnsi="Courier New"/>
                <w:sz w:val="12"/>
                <w:szCs w:val="12"/>
                <w:color w:val="auto"/>
                <w:w w:val="71"/>
              </w:rPr>
              <w:t>(2)...............................</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12,747,698</w:t>
            </w:r>
          </w:p>
        </w:tc>
        <w:tc>
          <w:tcPr>
            <w:tcW w:w="0" w:type="dxa"/>
            <w:vAlign w:val="bottom"/>
          </w:tcPr>
          <w:p>
            <w:pPr>
              <w:spacing w:after="0"/>
              <w:rPr>
                <w:sz w:val="1"/>
                <w:szCs w:val="1"/>
                <w:color w:val="auto"/>
              </w:rPr>
            </w:pPr>
          </w:p>
        </w:tc>
      </w:tr>
    </w:tbl>
    <w:p>
      <w:pPr>
        <w:jc w:val="center"/>
        <w:ind w:right="6099"/>
        <w:spacing w:after="0"/>
        <w:rPr>
          <w:sz w:val="20"/>
          <w:szCs w:val="20"/>
          <w:color w:val="auto"/>
        </w:rPr>
      </w:pPr>
      <w:r>
        <w:rPr>
          <w:rFonts w:ascii="Courier New" w:cs="Courier New" w:eastAsia="Courier New" w:hAnsi="Courier New"/>
          <w:sz w:val="14"/>
          <w:szCs w:val="14"/>
          <w:color w:val="auto"/>
        </w:rPr>
        <w:t>6.3% All directors and executive officers as a</w:t>
      </w:r>
    </w:p>
    <w:p>
      <w:pPr>
        <w:spacing w:after="0" w:line="7"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4"/>
          <w:szCs w:val="14"/>
          <w:color w:val="auto"/>
        </w:rPr>
        <w:t>group (18 persons)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20,636,098 10.2%</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339" w:hanging="352"/>
        <w:spacing w:after="0" w:line="275"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Massachusetts Financial Services Company ("MFS") is 500 Boylston Street, Boston, Massachusetts 02116. Based on a Form 13F filed by MFS with the SEC on November 10, 2004, as of September 30, 2004, MFS has sole voting power over 19,088,913 of our Ordinary Shares and no voting power over 317,250 Ordinary Shares. The Form 13F indicates that MFS has sole investment discretion over 19,406,163 Ordinary Shares.</w:t>
      </w:r>
    </w:p>
    <w:p>
      <w:pPr>
        <w:spacing w:after="0" w:line="69" w:lineRule="exact"/>
        <w:rPr>
          <w:rFonts w:ascii="Courier New" w:cs="Courier New" w:eastAsia="Courier New" w:hAnsi="Courier New"/>
          <w:sz w:val="14"/>
          <w:szCs w:val="14"/>
          <w:color w:val="auto"/>
        </w:rPr>
      </w:pPr>
    </w:p>
    <w:p>
      <w:pPr>
        <w:ind w:left="360" w:right="3339" w:hanging="352"/>
        <w:spacing w:after="0" w:line="275"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SBC Communications, Inc. is 175 East Houston, San Antonio, Texas 78205. Based upon information provided to us by SBC, as of November 24, 2004, SBCI, a wholly owned subsidiary of SBC, holds 7,551,875 of our Ordinary Shares, and SBC Option Delivery LLC, a majority-owned subsidiary of SBCI holds 5,195,823 of our Ordinary Shares. James S. Kahan, Senior Executive Vice President of SBC, serves on our Board of Directors.</w:t>
      </w:r>
    </w:p>
    <w:p>
      <w:pPr>
        <w:spacing w:after="0" w:line="69" w:lineRule="exact"/>
        <w:rPr>
          <w:rFonts w:ascii="Courier New" w:cs="Courier New" w:eastAsia="Courier New" w:hAnsi="Courier New"/>
          <w:sz w:val="14"/>
          <w:szCs w:val="14"/>
          <w:color w:val="auto"/>
        </w:rPr>
      </w:pPr>
    </w:p>
    <w:p>
      <w:pPr>
        <w:ind w:left="360" w:right="3419" w:hanging="352"/>
        <w:spacing w:after="0" w:line="271"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Ordinary Shares held by SBC. See footnote 2 above. Mr. Kahan, Senior Executive Vice President of SBC, serves on the Company's Board of Directors and, accordingly, may be deemed to be the beneficial owner of the Ordinary Shares held by SBC. Mr. Kahan disclaims beneficial ownership of such shares. Also includes options granted to such directors and executive officers of the Company, which are exercisable within 60 days of November 24, 2004.</w:t>
      </w:r>
    </w:p>
    <w:p>
      <w:pPr>
        <w:spacing w:after="0" w:line="7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AUDIT COMMITTEE MATTERS</w:t>
      </w:r>
    </w:p>
    <w:p>
      <w:pPr>
        <w:spacing w:after="0" w:line="173"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The Company's management is responsible for the preparation of the Company's financial statements and for maintaining an adequate system of disclosure controls and procedures and internal control over financial reporting for that purpose. The Company's independent auditors are responsible for conducting an independent audit of the Company's annual financial statements in accordance with generally accepted accounting principles and issuing a report on the results of their audit. The Audit Committee is responsible for providing independent, objective oversight of these processes.</w:t>
      </w:r>
    </w:p>
    <w:p>
      <w:pPr>
        <w:spacing w:after="0" w:line="74"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The Audit Committee has reviewed the Company's audited financial statements for the fiscal year ended September 30, 2004 and has discussed these financial statements with the Company's management and the Company's independent auditors.</w:t>
      </w:r>
    </w:p>
    <w:p>
      <w:pPr>
        <w:spacing w:after="0" w:line="42"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The Audit Committee has also discussed with the Company's independent auditors the matters required to be discussed by Statement on Auditing Standards 61 (Communication with Audit Committees).</w:t>
      </w:r>
    </w:p>
    <w:p>
      <w:pPr>
        <w:spacing w:after="0" w:line="4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0" w:right="1440" w:bottom="1440" w:gutter="0" w:footer="0" w:header="0"/>
        </w:sectPr>
      </w:pPr>
    </w:p>
    <w:bookmarkStart w:id="16" w:name="page17"/>
    <w:bookmarkEnd w:id="16"/>
    <w:p>
      <w:pPr>
        <w:ind w:right="3419"/>
        <w:spacing w:after="0" w:line="313" w:lineRule="auto"/>
        <w:rPr>
          <w:sz w:val="20"/>
          <w:szCs w:val="20"/>
          <w:color w:val="auto"/>
        </w:rPr>
      </w:pPr>
      <w:r>
        <w:rPr>
          <w:rFonts w:ascii="Courier New" w:cs="Courier New" w:eastAsia="Courier New" w:hAnsi="Courier New"/>
          <w:sz w:val="14"/>
          <w:szCs w:val="14"/>
          <w:color w:val="auto"/>
        </w:rPr>
        <w:t>SAS 61 (as codified in AU Section 380 of the Codification of Statements on Auditing Standards) requires the Company's independent auditors to discuss with the Company's Audit Committee, among other things, the following:</w:t>
      </w:r>
    </w:p>
    <w:p>
      <w:pPr>
        <w:spacing w:after="0" w:line="42" w:lineRule="exact"/>
        <w:rPr>
          <w:sz w:val="20"/>
          <w:szCs w:val="20"/>
          <w:color w:val="auto"/>
        </w:rPr>
      </w:pPr>
    </w:p>
    <w:p>
      <w:pPr>
        <w:ind w:left="620" w:hanging="181"/>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to account for significant unusual transactions;</w:t>
      </w:r>
    </w:p>
    <w:p>
      <w:pPr>
        <w:spacing w:after="0" w:line="172" w:lineRule="exact"/>
        <w:rPr>
          <w:rFonts w:ascii="Courier New" w:cs="Courier New" w:eastAsia="Courier New" w:hAnsi="Courier New"/>
          <w:sz w:val="14"/>
          <w:szCs w:val="14"/>
          <w:color w:val="auto"/>
        </w:rPr>
      </w:pPr>
    </w:p>
    <w:p>
      <w:pPr>
        <w:ind w:left="620" w:right="3679" w:hanging="181"/>
        <w:spacing w:after="0" w:line="313"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significant accounting policies in controversial or emerging areas for which there is a lack of authoritative guidance or consensus;</w:t>
      </w:r>
    </w:p>
    <w:p>
      <w:pPr>
        <w:spacing w:after="0" w:line="42" w:lineRule="exact"/>
        <w:rPr>
          <w:rFonts w:ascii="Courier New" w:cs="Courier New" w:eastAsia="Courier New" w:hAnsi="Courier New"/>
          <w:sz w:val="14"/>
          <w:szCs w:val="14"/>
          <w:color w:val="auto"/>
        </w:rPr>
      </w:pPr>
    </w:p>
    <w:p>
      <w:pPr>
        <w:ind w:left="620" w:right="3779" w:hanging="181"/>
        <w:spacing w:after="0" w:line="313"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process used by management in formulating particularly sensitive accounting estimates and the basis for the auditors' conclusions regarding the reasonableness of those estimates; and</w:t>
      </w:r>
    </w:p>
    <w:p>
      <w:pPr>
        <w:spacing w:after="0" w:line="42" w:lineRule="exact"/>
        <w:rPr>
          <w:rFonts w:ascii="Courier New" w:cs="Courier New" w:eastAsia="Courier New" w:hAnsi="Courier New"/>
          <w:sz w:val="14"/>
          <w:szCs w:val="14"/>
          <w:color w:val="auto"/>
        </w:rPr>
      </w:pPr>
    </w:p>
    <w:p>
      <w:pPr>
        <w:ind w:left="620" w:right="3859" w:hanging="181"/>
        <w:spacing w:after="0" w:line="313"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disagreements with management over the application of accounting principles, the basis for management's accounting estimates and the disclosures in the financial statements.</w:t>
      </w:r>
    </w:p>
    <w:p>
      <w:pPr>
        <w:spacing w:after="0" w:line="42"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The Company's independent auditors also provided the Audit Committee with the written disclosures and the letter required by Independence Standards Board Standard No. 1 (Independence Discussions with Audit Committees). Independence Standards Board Standard No. 1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auditors their independence from the Company.</w:t>
      </w:r>
    </w:p>
    <w:p>
      <w:pPr>
        <w:spacing w:after="0" w:line="74"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Based on its discussions with management and the independent auditors, and its review of the representations and information provided by management and the independent auditors, the Audit Committee recommended to the Board of Directors that the audited financial statements be included in the Company's Annual Report on Form 20-F for the fiscal year ended September 30, 2004.</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PRE-APPROVAL POLICIES AND PROCEDURES</w:t>
      </w:r>
    </w:p>
    <w:p>
      <w:pPr>
        <w:spacing w:after="0" w:line="173" w:lineRule="exact"/>
        <w:rPr>
          <w:sz w:val="20"/>
          <w:szCs w:val="20"/>
          <w:color w:val="auto"/>
        </w:rPr>
      </w:pPr>
    </w:p>
    <w:p>
      <w:pPr>
        <w:ind w:right="3599" w:firstLine="431"/>
        <w:spacing w:after="0" w:line="271" w:lineRule="auto"/>
        <w:rPr>
          <w:sz w:val="20"/>
          <w:szCs w:val="20"/>
          <w:color w:val="auto"/>
        </w:rPr>
      </w:pPr>
      <w:r>
        <w:rPr>
          <w:rFonts w:ascii="Courier New" w:cs="Courier New" w:eastAsia="Courier New" w:hAnsi="Courier New"/>
          <w:sz w:val="14"/>
          <w:szCs w:val="14"/>
          <w:color w:val="auto"/>
        </w:rPr>
        <w:t>The Audit Committee has adopted policies and procedures relating to the approval of all audit and non-audit services that are to be performed by the Company's independent auditors. These policies generally provide that the Company will not engage its independent auditors to render audit or non-audit services unless the service is specifically approved in advance by the Audit Committee or the engagement is entered into pursuant to the pre-approval procedure described below.</w:t>
      </w:r>
    </w:p>
    <w:p>
      <w:pPr>
        <w:spacing w:after="0" w:line="72"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From time to time, the Audit Committee may pre-approve specified types of services that are expected to be provided to the Company by its independent auditors during the next 12 months. Any such pre-approval is detailed as to the particular service or type of services to be provided and is also generally subject to a maximum dollar amount.</w:t>
      </w:r>
    </w:p>
    <w:p>
      <w:pPr>
        <w:spacing w:after="0" w:line="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0" w:right="1440" w:bottom="1440" w:gutter="0" w:footer="0" w:header="0"/>
        </w:sectPr>
      </w:pPr>
    </w:p>
    <w:bookmarkStart w:id="17" w:name="page18"/>
    <w:bookmarkEnd w:id="17"/>
    <w:p>
      <w:pPr>
        <w:jc w:val="center"/>
        <w:ind w:right="3419"/>
        <w:spacing w:after="0"/>
        <w:rPr>
          <w:sz w:val="20"/>
          <w:szCs w:val="20"/>
          <w:color w:val="auto"/>
        </w:rPr>
      </w:pPr>
      <w:r>
        <w:rPr>
          <w:rFonts w:ascii="Courier New" w:cs="Courier New" w:eastAsia="Courier New" w:hAnsi="Courier New"/>
          <w:sz w:val="14"/>
          <w:szCs w:val="14"/>
          <w:color w:val="auto"/>
        </w:rPr>
        <w:t>PROPOSAL II</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APPROVAL OF OUR CONSOLIDATED FINANCIAL STATEMENTS</w:t>
      </w:r>
    </w:p>
    <w:p>
      <w:pPr>
        <w:spacing w:after="0" w:line="3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FISCAL YEAR ENDED SEPTEMBER 30, 2004</w:t>
      </w:r>
    </w:p>
    <w:p>
      <w:pPr>
        <w:spacing w:after="0" w:line="147"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Our Annual Report for the fiscal year ended September 30, 2004 is being mailed to our shareholders together with this Proxy Statement. Our Consolidated Financial Statements for the fiscal year ended September 30, 2004 are included in such report. At the General Meeting, we will review the Operating and Financial Review and Prospects section of our Annual Report and will answer appropriate questions related thereto.</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 is proposed that the following Ordinary Resolution be adopted at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Meeting:</w:t>
      </w:r>
    </w:p>
    <w:p>
      <w:pPr>
        <w:spacing w:after="0" w:line="147" w:lineRule="exact"/>
        <w:rPr>
          <w:sz w:val="20"/>
          <w:szCs w:val="20"/>
          <w:color w:val="auto"/>
        </w:rPr>
      </w:pPr>
    </w:p>
    <w:p>
      <w:pPr>
        <w:ind w:right="3339" w:firstLine="431"/>
        <w:spacing w:after="0" w:line="375" w:lineRule="auto"/>
        <w:rPr>
          <w:sz w:val="20"/>
          <w:szCs w:val="20"/>
          <w:color w:val="auto"/>
        </w:rPr>
      </w:pPr>
      <w:r>
        <w:rPr>
          <w:rFonts w:ascii="Courier New" w:cs="Courier New" w:eastAsia="Courier New" w:hAnsi="Courier New"/>
          <w:sz w:val="14"/>
          <w:szCs w:val="14"/>
          <w:color w:val="auto"/>
        </w:rPr>
        <w:t>"RESOLVED, that the Consolidated Financial Statements of the Company for the fiscal year ended September 30, 2004 be, and the same hereby are, approved."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AFFIRMATIVE VOTE</w:t>
      </w:r>
    </w:p>
    <w:p>
      <w:pPr>
        <w:spacing w:after="0" w:line="173" w:lineRule="exact"/>
        <w:rPr>
          <w:sz w:val="20"/>
          <w:szCs w:val="20"/>
          <w:color w:val="auto"/>
        </w:rPr>
      </w:pPr>
    </w:p>
    <w:p>
      <w:pPr>
        <w:ind w:right="3599" w:firstLine="431"/>
        <w:spacing w:after="0" w:line="292" w:lineRule="auto"/>
        <w:rPr>
          <w:sz w:val="20"/>
          <w:szCs w:val="20"/>
          <w:color w:val="auto"/>
        </w:rPr>
      </w:pPr>
      <w:r>
        <w:rPr>
          <w:rFonts w:ascii="Courier New" w:cs="Courier New" w:eastAsia="Courier New" w:hAnsi="Courier New"/>
          <w:sz w:val="14"/>
          <w:szCs w:val="14"/>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56" w:lineRule="exact"/>
        <w:rPr>
          <w:sz w:val="20"/>
          <w:szCs w:val="20"/>
          <w:color w:val="auto"/>
        </w:rPr>
      </w:pPr>
    </w:p>
    <w:p>
      <w:pPr>
        <w:ind w:right="3779" w:firstLine="431"/>
        <w:spacing w:after="0" w:line="375" w:lineRule="auto"/>
        <w:rPr>
          <w:sz w:val="20"/>
          <w:szCs w:val="20"/>
          <w:color w:val="auto"/>
        </w:rPr>
      </w:pPr>
      <w:r>
        <w:rPr>
          <w:rFonts w:ascii="Courier New" w:cs="Courier New" w:eastAsia="Courier New" w:hAnsi="Courier New"/>
          <w:sz w:val="14"/>
          <w:szCs w:val="14"/>
          <w:color w:val="auto"/>
        </w:rPr>
        <w:t>THE BOARD OF DIRECTORS RECOMMENDS THAT THE SHAREHOLDERS VOTE "FOR" THE APPROVAL OF OUR CONSOLIDATED FINANCIAL STATEMENTS.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0" w:right="1440" w:bottom="1440" w:gutter="0" w:footer="0" w:header="0"/>
        </w:sectPr>
      </w:pPr>
    </w:p>
    <w:bookmarkStart w:id="18" w:name="page19"/>
    <w:bookmarkEnd w:id="18"/>
    <w:p>
      <w:pPr>
        <w:jc w:val="center"/>
        <w:ind w:right="3339"/>
        <w:spacing w:after="0"/>
        <w:rPr>
          <w:sz w:val="20"/>
          <w:szCs w:val="20"/>
          <w:color w:val="auto"/>
        </w:rPr>
      </w:pPr>
      <w:r>
        <w:rPr>
          <w:rFonts w:ascii="Courier New" w:cs="Courier New" w:eastAsia="Courier New" w:hAnsi="Courier New"/>
          <w:sz w:val="14"/>
          <w:szCs w:val="14"/>
          <w:color w:val="auto"/>
        </w:rPr>
        <w:t>PROPOSAL III</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RATIFICATION AND APPROVAL OF INDEPENDENT AUDITORS</w:t>
      </w:r>
    </w:p>
    <w:p>
      <w:pPr>
        <w:spacing w:after="0" w:line="173"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The Audit Committee of the Board of Directors has selected the firm of Ernst &amp; Young LLP to continue to serve as our independent auditors for the fiscal year ending September 30, 2005 and until the next annual general meeting, and the Audit Committee recommends to the shareholders that they (i) ratify and approve such selection, and (ii) authorize the Audit Committee of the Board of Directors to fix the remuneration of such auditors. Ernst &amp; Young LLP audited Amdocs' books and accounts for the fiscal year ended September 30, 2004 and has served as our independent auditor since 1996. One or more representatives of Ernst &amp; Young LLP are expected to be present at the General Meeting, will have an opportunity to make a statement if he or she so desires and will be available to respond to appropriate questions.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ACCOUNTANT FEES AND OTHER MATTERS</w:t>
      </w:r>
    </w:p>
    <w:p>
      <w:pPr>
        <w:spacing w:after="0" w:line="173"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The following table summarizes the fees of Ernst &amp; Young LLP, our independent registered public accountants, billed to us for each of the last two fiscal years for audit services and billed to us in each of the last two fiscal years for other services:</w:t>
      </w:r>
    </w:p>
    <w:p>
      <w:pPr>
        <w:spacing w:after="0" w:line="56"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FEE CATEGORY 2004 2003 - ------------ ---------- ------</w:t>
      </w:r>
    </w:p>
    <w:p>
      <w:pPr>
        <w:spacing w:after="0" w:line="3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 Audit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Fees(1)...............................................</w:t>
      </w:r>
    </w:p>
    <w:p>
      <w:pPr>
        <w:spacing w:after="0" w:line="7"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$2,600,000 $1,850,000 Audit-Related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Fees(2).......................................</w:t>
      </w:r>
    </w:p>
    <w:tbl>
      <w:tblPr>
        <w:tblLayout w:type="fixed"/>
        <w:tblInd w:w="0" w:type="dxa"/>
        <w:tblCellMar>
          <w:top w:w="0" w:type="dxa"/>
          <w:left w:w="0" w:type="dxa"/>
          <w:bottom w:w="0" w:type="dxa"/>
          <w:right w:w="0" w:type="dxa"/>
        </w:tblCellMar>
      </w:tblPr>
      <w:tr>
        <w:trPr>
          <w:trHeight w:val="147"/>
        </w:trPr>
        <w:tc>
          <w:tcPr>
            <w:tcW w:w="4520" w:type="dxa"/>
            <w:vAlign w:val="bottom"/>
          </w:tcPr>
          <w:p>
            <w:pPr>
              <w:jc w:val="center"/>
              <w:ind w:left="248"/>
              <w:spacing w:after="0" w:line="147" w:lineRule="exact"/>
              <w:rPr>
                <w:sz w:val="20"/>
                <w:szCs w:val="20"/>
                <w:color w:val="auto"/>
              </w:rPr>
            </w:pPr>
            <w:r>
              <w:rPr>
                <w:rFonts w:ascii="Courier New" w:cs="Courier New" w:eastAsia="Courier New" w:hAnsi="Courier New"/>
                <w:sz w:val="14"/>
                <w:szCs w:val="14"/>
                <w:color w:val="auto"/>
              </w:rPr>
              <w:t>1,200,000 800,000 Tax</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7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Fees(3).................................................</w:t>
            </w:r>
          </w:p>
        </w:tc>
        <w:tc>
          <w:tcPr>
            <w:tcW w:w="0" w:type="dxa"/>
            <w:vAlign w:val="bottom"/>
          </w:tcPr>
          <w:p>
            <w:pPr>
              <w:spacing w:after="0"/>
              <w:rPr>
                <w:sz w:val="1"/>
                <w:szCs w:val="1"/>
                <w:color w:val="auto"/>
              </w:rPr>
            </w:pPr>
          </w:p>
        </w:tc>
      </w:tr>
      <w:tr>
        <w:trPr>
          <w:trHeight w:val="166"/>
        </w:trPr>
        <w:tc>
          <w:tcPr>
            <w:tcW w:w="45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1,800,000 1,300,000 All Other</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0" w:type="dxa"/>
            <w:vAlign w:val="bottom"/>
          </w:tcPr>
          <w:p>
            <w:pPr>
              <w:spacing w:after="0"/>
              <w:rPr>
                <w:sz w:val="1"/>
                <w:szCs w:val="1"/>
                <w:color w:val="auto"/>
              </w:rPr>
            </w:pPr>
          </w:p>
        </w:tc>
      </w:tr>
      <w:tr>
        <w:trPr>
          <w:trHeight w:val="166"/>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Fees(4)...........................................</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52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100,000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4520" w:type="dxa"/>
            <w:vAlign w:val="bottom"/>
          </w:tcPr>
          <w:p>
            <w:pPr>
              <w:jc w:val="right"/>
              <w:ind w:right="2968"/>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3519" w:hanging="352"/>
        <w:spacing w:after="0" w:line="313"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fees consist of fees associated with the annual audit and reviews of our quarterly financial results furnished on Form 6-K, consultations on various accounting issues and performance of local statutory audits.</w:t>
      </w:r>
    </w:p>
    <w:p>
      <w:pPr>
        <w:spacing w:after="0" w:line="42" w:lineRule="exact"/>
        <w:rPr>
          <w:rFonts w:ascii="Courier New" w:cs="Courier New" w:eastAsia="Courier New" w:hAnsi="Courier New"/>
          <w:sz w:val="14"/>
          <w:szCs w:val="14"/>
          <w:color w:val="auto"/>
        </w:rPr>
      </w:pPr>
    </w:p>
    <w:p>
      <w:pPr>
        <w:ind w:left="360" w:right="3419" w:hanging="352"/>
        <w:spacing w:after="0" w:line="282"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Audit-related services principally include due diligence examinations, SAS 70 report issuances, assistance with the requirements of the Sarbanes-Oxley Act of 2002 and related SEC regulations, attestation services that are not required by statute or regulation and consultations concerning financial accounting and reporting standards.</w:t>
      </w:r>
    </w:p>
    <w:p>
      <w:pPr>
        <w:spacing w:after="0" w:line="62" w:lineRule="exact"/>
        <w:rPr>
          <w:rFonts w:ascii="Courier New" w:cs="Courier New" w:eastAsia="Courier New" w:hAnsi="Courier New"/>
          <w:sz w:val="14"/>
          <w:szCs w:val="14"/>
          <w:color w:val="auto"/>
        </w:rPr>
      </w:pPr>
    </w:p>
    <w:p>
      <w:pPr>
        <w:ind w:left="360" w:right="3679" w:hanging="352"/>
        <w:spacing w:after="0" w:line="375"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fees consist of fees for tax compliance, tax advice and tax planning services.</w:t>
      </w:r>
    </w:p>
    <w:p>
      <w:pPr>
        <w:spacing w:after="0" w:line="1" w:lineRule="exact"/>
        <w:rPr>
          <w:rFonts w:ascii="Courier New" w:cs="Courier New" w:eastAsia="Courier New" w:hAnsi="Courier New"/>
          <w:sz w:val="14"/>
          <w:szCs w:val="14"/>
          <w:color w:val="auto"/>
        </w:rPr>
      </w:pPr>
    </w:p>
    <w:p>
      <w:pPr>
        <w:ind w:left="360" w:right="3519" w:hanging="352"/>
        <w:spacing w:after="0" w:line="313"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fees include services other than Audit Fees, Audit-Related Fees and Tax Fees described above. In fiscal 2003, such other services included human resource consulting.</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 is proposed that the following Ordinary Resolution be adopted at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Meeting:</w:t>
      </w:r>
    </w:p>
    <w:p>
      <w:pPr>
        <w:spacing w:after="0" w:line="147"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"RESOLVED, that (i) the appointment of Ernst &amp; Young LLP as the Company's independent auditors for the fiscal year ending September 30, 2005 and until the Company's next annual general meeting be, and it hereby is, ratified and approved, and (ii) the Audit Committee of the Board of Directors be, and it hereby is, authorized to fix the remuneration of such independent auditors in accordance with the nature and extent of their services."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AFFIRMATIVE VOTE</w:t>
      </w:r>
    </w:p>
    <w:p>
      <w:pPr>
        <w:spacing w:after="0" w:line="173" w:lineRule="exact"/>
        <w:rPr>
          <w:sz w:val="20"/>
          <w:szCs w:val="20"/>
          <w:color w:val="auto"/>
        </w:rPr>
      </w:pPr>
    </w:p>
    <w:p>
      <w:pPr>
        <w:ind w:right="3519" w:firstLine="431"/>
        <w:spacing w:after="0" w:line="282" w:lineRule="auto"/>
        <w:rPr>
          <w:sz w:val="20"/>
          <w:szCs w:val="20"/>
          <w:color w:val="auto"/>
        </w:rPr>
      </w:pPr>
      <w:r>
        <w:rPr>
          <w:rFonts w:ascii="Courier New" w:cs="Courier New" w:eastAsia="Courier New" w:hAnsi="Courier New"/>
          <w:sz w:val="14"/>
          <w:szCs w:val="14"/>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their remuneration.</w:t>
      </w:r>
    </w:p>
    <w:p>
      <w:pPr>
        <w:spacing w:after="0" w:line="62"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THE AUDIT COMMITTEE OF THE BOARD OF DIRECTORS AND THE BOARD OF DIRECTORS RECOMMEND THAT THE SHAREHOLDERS VOTE "FOR" THE RATIFICATION AND APPROVAL OF THE APPOINTMENT OF ERNST &amp; YOUNG LLP AS THE COMPANY'S INDE-</w:t>
      </w:r>
    </w:p>
    <w:p>
      <w:pPr>
        <w:spacing w:after="0" w:line="4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19" w:name="page20"/>
    <w:bookmarkEnd w:id="19"/>
    <w:p>
      <w:pPr>
        <w:ind w:right="4019"/>
        <w:spacing w:after="0" w:line="375" w:lineRule="auto"/>
        <w:rPr>
          <w:sz w:val="20"/>
          <w:szCs w:val="20"/>
          <w:color w:val="auto"/>
        </w:rPr>
      </w:pPr>
      <w:r>
        <w:rPr>
          <w:rFonts w:ascii="Courier New" w:cs="Courier New" w:eastAsia="Courier New" w:hAnsi="Courier New"/>
          <w:sz w:val="14"/>
          <w:szCs w:val="14"/>
          <w:color w:val="auto"/>
        </w:rPr>
        <w:t>PENDENT AUDITORS AND THE AUTHORIZATION OF THE AUDIT COMMITTEE TO FIX THE REMUNERATION OF ERNST &amp; YOUNG LLP.</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Management of the Company knows of no other business to be transacted at the General Meeting; but, if any other matters are properly presented to the General Meeting, the persons named in the enclosed form of proxy will vote upon such matters in accordance with their best judgment.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TO SHAREHOLDERS</w:t>
      </w:r>
    </w:p>
    <w:p>
      <w:pPr>
        <w:spacing w:after="0" w:line="173" w:lineRule="exact"/>
        <w:rPr>
          <w:sz w:val="20"/>
          <w:szCs w:val="20"/>
          <w:color w:val="auto"/>
        </w:rPr>
      </w:pPr>
    </w:p>
    <w:p>
      <w:pPr>
        <w:ind w:right="3519" w:firstLine="431"/>
        <w:spacing w:after="0" w:line="375" w:lineRule="auto"/>
        <w:rPr>
          <w:sz w:val="20"/>
          <w:szCs w:val="20"/>
          <w:color w:val="auto"/>
        </w:rPr>
      </w:pPr>
      <w:r>
        <w:rPr>
          <w:rFonts w:ascii="Courier New" w:cs="Courier New" w:eastAsia="Courier New" w:hAnsi="Courier New"/>
          <w:sz w:val="14"/>
          <w:szCs w:val="14"/>
          <w:color w:val="auto"/>
        </w:rPr>
        <w:t>Our Annual Report for the fiscal year ended September 30, 2004, including audited financial statements, accompanies this Proxy Statement.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ON FORM 20-F</w:t>
      </w:r>
    </w:p>
    <w:p>
      <w:pPr>
        <w:spacing w:after="0" w:line="173" w:lineRule="exact"/>
        <w:rPr>
          <w:sz w:val="20"/>
          <w:szCs w:val="20"/>
          <w:color w:val="auto"/>
        </w:rPr>
      </w:pPr>
    </w:p>
    <w:p>
      <w:pPr>
        <w:ind w:right="3419" w:firstLine="431"/>
        <w:spacing w:after="0" w:line="269" w:lineRule="auto"/>
        <w:rPr>
          <w:sz w:val="20"/>
          <w:szCs w:val="20"/>
          <w:color w:val="auto"/>
        </w:rPr>
      </w:pPr>
      <w:r>
        <w:rPr>
          <w:rFonts w:ascii="Courier New" w:cs="Courier New" w:eastAsia="Courier New" w:hAnsi="Courier New"/>
          <w:sz w:val="14"/>
          <w:szCs w:val="14"/>
          <w:color w:val="auto"/>
        </w:rPr>
        <w:t>Once filed with the SEC, we will provide without charge, at the written request of any beneficial shareholder as of the Record Date, a copy of our Annual Report on Form 20-F, including the financial statements, financial statement schedules and exhibits, as filed with the SEC. Our Annual Report on Form 20-F will also be accessible to the general public via the Internet at the SEC's web site located at http://www.sec.gov. Requests for copies of our Annual Report on Form 20-F should be mailed to our principal United States subsidiary at:</w:t>
      </w:r>
    </w:p>
    <w:p>
      <w:pPr>
        <w:spacing w:after="0" w:line="24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Amdocs, Inc.</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1390 Timberlake Manor Parkway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Chesterfield, Missouri 63017</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Fax: (314) 212-8358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E-mail: info@amdocs.com</w:t>
      </w:r>
    </w:p>
    <w:p>
      <w:pPr>
        <w:spacing w:after="0" w:line="147"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Attention:</w:t>
        <w:tab/>
        <w:t>Mr. Thomas G. O'Brien</w:t>
      </w:r>
    </w:p>
    <w:p>
      <w:pPr>
        <w:spacing w:after="0" w:line="3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Secretary and Treasurer of Amdocs Limited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OF SOLICITATION</w:t>
      </w:r>
    </w:p>
    <w:p>
      <w:pPr>
        <w:spacing w:after="0" w:line="173"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may solicit the return of proxies by telephone,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7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Thomas G. O'Brien</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THOMAS G. O'BRIEN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17, 2004</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sectPr>
      </w:pPr>
    </w:p>
    <w:bookmarkStart w:id="20" w:name="page21"/>
    <w:bookmarkEnd w:id="20"/>
    <w:p>
      <w:pPr>
        <w:jc w:val="right"/>
        <w:ind w:right="3339"/>
        <w:spacing w:after="0"/>
        <w:rPr>
          <w:sz w:val="20"/>
          <w:szCs w:val="20"/>
          <w:color w:val="auto"/>
        </w:rPr>
      </w:pPr>
      <w:r>
        <w:rPr>
          <w:rFonts w:ascii="Courier New" w:cs="Courier New" w:eastAsia="Courier New" w:hAnsi="Courier New"/>
          <w:sz w:val="14"/>
          <w:szCs w:val="14"/>
          <w:color w:val="auto"/>
        </w:rPr>
        <w:t>APPENDIX A</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AUDIT COMMITTEE CHARTER</w:t>
      </w:r>
    </w:p>
    <w:p>
      <w:pPr>
        <w:spacing w:after="0" w:line="173" w:lineRule="exact"/>
        <w:rPr>
          <w:sz w:val="20"/>
          <w:szCs w:val="20"/>
          <w:color w:val="auto"/>
        </w:rPr>
      </w:pPr>
    </w:p>
    <w:p>
      <w:pPr>
        <w:ind w:left="360" w:hanging="352"/>
        <w:spacing w:after="0"/>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419" w:firstLine="431"/>
        <w:spacing w:after="0" w:line="272" w:lineRule="auto"/>
        <w:rPr>
          <w:sz w:val="20"/>
          <w:szCs w:val="20"/>
          <w:color w:val="auto"/>
        </w:rPr>
      </w:pPr>
      <w:r>
        <w:rPr>
          <w:rFonts w:ascii="Courier New" w:cs="Courier New" w:eastAsia="Courier New" w:hAnsi="Courier New"/>
          <w:sz w:val="14"/>
          <w:szCs w:val="14"/>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independent auditor's qualifications, independence, and performance; and the internal audit function.</w:t>
      </w:r>
    </w:p>
    <w:p>
      <w:pPr>
        <w:spacing w:after="0" w:line="247" w:lineRule="exact"/>
        <w:rPr>
          <w:sz w:val="20"/>
          <w:szCs w:val="20"/>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MEMBERSHIP, STRUCTURE AND ADMINISTRATION</w:t>
      </w:r>
    </w:p>
    <w:p>
      <w:pPr>
        <w:spacing w:after="0" w:line="172" w:lineRule="exact"/>
        <w:rPr>
          <w:rFonts w:ascii="Courier New" w:cs="Courier New" w:eastAsia="Courier New" w:hAnsi="Courier New"/>
          <w:sz w:val="14"/>
          <w:szCs w:val="14"/>
          <w:color w:val="auto"/>
        </w:rPr>
      </w:pPr>
    </w:p>
    <w:p>
      <w:pPr>
        <w:ind w:right="3419" w:firstLine="439"/>
        <w:spacing w:after="0" w:line="263"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SIZE AND MEMBER QUALIFICATIONS -- The Audit Committee shall consist of at least three members of the Board of Directors, all of whom shall be independent of management and the Company and shall satisfy the independence requirements as defined, by the applicable rules of the New York Stock Exchange (NYSE) and Rule 10A-3(b)(1) of the Securities Exchange Act of 1934.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75" w:lineRule="exact"/>
        <w:rPr>
          <w:rFonts w:ascii="Courier New" w:cs="Courier New" w:eastAsia="Courier New" w:hAnsi="Courier New"/>
          <w:sz w:val="14"/>
          <w:szCs w:val="14"/>
          <w:color w:val="auto"/>
        </w:rPr>
      </w:pPr>
    </w:p>
    <w:p>
      <w:pPr>
        <w:ind w:right="3419" w:firstLine="439"/>
        <w:spacing w:after="0" w:line="275"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AUTHORITY -- Members of the Audit Committee shall be appointed by the Board of Directors. The Audit Committee shall report 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69" w:lineRule="exact"/>
        <w:rPr>
          <w:rFonts w:ascii="Courier New" w:cs="Courier New" w:eastAsia="Courier New" w:hAnsi="Courier New"/>
          <w:sz w:val="14"/>
          <w:szCs w:val="14"/>
          <w:color w:val="auto"/>
        </w:rPr>
      </w:pPr>
    </w:p>
    <w:p>
      <w:pPr>
        <w:ind w:right="3859" w:firstLine="439"/>
        <w:spacing w:after="0" w:line="375"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CHAIR -- Unless the Board of Directors elects a Chair of the Audit Committee, the Audit Committee shall elect one by majority vote.</w:t>
      </w:r>
    </w:p>
    <w:p>
      <w:pPr>
        <w:spacing w:after="0" w:line="1" w:lineRule="exact"/>
        <w:rPr>
          <w:rFonts w:ascii="Courier New" w:cs="Courier New" w:eastAsia="Courier New" w:hAnsi="Courier New"/>
          <w:sz w:val="14"/>
          <w:szCs w:val="14"/>
          <w:color w:val="auto"/>
        </w:rPr>
      </w:pPr>
    </w:p>
    <w:p>
      <w:pPr>
        <w:ind w:right="3339" w:firstLine="439"/>
        <w:spacing w:after="0" w:line="282"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 The compensation of the Audit Committee members shall be as determined by the Board of Directors. No member of the Audit Committee may receive, directly or indirectly, any compensation from the Company other than director's fees (in cash and/or company shares or options or in-kind consideration).</w:t>
      </w:r>
    </w:p>
    <w:p>
      <w:pPr>
        <w:spacing w:after="0" w:line="62" w:lineRule="exact"/>
        <w:rPr>
          <w:rFonts w:ascii="Courier New" w:cs="Courier New" w:eastAsia="Courier New" w:hAnsi="Courier New"/>
          <w:sz w:val="14"/>
          <w:szCs w:val="14"/>
          <w:color w:val="auto"/>
        </w:rPr>
      </w:pPr>
    </w:p>
    <w:p>
      <w:pPr>
        <w:ind w:right="3339" w:firstLine="439"/>
        <w:spacing w:after="0" w:line="269"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 The Audit Committee shall meet on a schedule and in a manner the Audit Committee shall establish. The Audit Committee may also act by 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246" w:lineRule="exact"/>
        <w:rPr>
          <w:rFonts w:ascii="Courier New" w:cs="Courier New" w:eastAsia="Courier New" w:hAnsi="Courier New"/>
          <w:sz w:val="14"/>
          <w:szCs w:val="14"/>
          <w:color w:val="auto"/>
        </w:rPr>
      </w:pPr>
    </w:p>
    <w:p>
      <w:pPr>
        <w:ind w:right="3419" w:firstLine="439"/>
        <w:spacing w:after="0" w:line="313"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SUBCOMMITTEES -- The Audit Committee may form and delegate authority to one or more subcommittees as it deems appropriate from time to time under the circumstances.</w:t>
      </w:r>
    </w:p>
    <w:p>
      <w:pPr>
        <w:spacing w:after="0" w:line="42" w:lineRule="exact"/>
        <w:rPr>
          <w:rFonts w:ascii="Courier New" w:cs="Courier New" w:eastAsia="Courier New" w:hAnsi="Courier New"/>
          <w:sz w:val="14"/>
          <w:szCs w:val="14"/>
          <w:color w:val="auto"/>
        </w:rPr>
      </w:pPr>
    </w:p>
    <w:p>
      <w:pPr>
        <w:ind w:right="3519" w:firstLine="439"/>
        <w:spacing w:after="0" w:line="255"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 The Audit Committee shall maintain unrestricted communication with the independent auditors, the Company's internal audit function personnel, counsel and financial management to assure that each understands and accepts its responsibilities for direct communication with the Audit Committee as appropriate. The Audit Committee shall have full access to the books and records of the Company, as well as, full access to interview employees, if necessary. The Chairman of the Audit Committee shall have the authority to direct the Company's internal audit function to carry out such special audit projects as, in the Chairman's judgment, are warranted.</w:t>
      </w:r>
    </w:p>
    <w:p>
      <w:pPr>
        <w:ind w:left="336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590" w:right="1440" w:bottom="1440" w:gutter="0" w:footer="0" w:header="0"/>
        </w:sectPr>
      </w:pPr>
    </w:p>
    <w:bookmarkStart w:id="21" w:name="page22"/>
    <w:bookmarkEnd w:id="21"/>
    <w:p>
      <w:pPr>
        <w:ind w:right="3339" w:firstLine="439"/>
        <w:spacing w:after="0" w:line="292" w:lineRule="auto"/>
        <w:tabs>
          <w:tab w:leader="none" w:pos="689"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AND CHARTER EVALUATIONS -- The Audit Committee shall maintain this Audit Committee Charter and obtain the approval of the Board of Directors for all revisions or changes to the Charter. The Audit Committee shall review and reassess the Charter as conditions dictate or at least annually.</w:t>
      </w:r>
    </w:p>
    <w:p>
      <w:pPr>
        <w:spacing w:after="0" w:line="5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  RESPONSIBILITIES AND DUTIES</w:t>
      </w:r>
    </w:p>
    <w:p>
      <w:pPr>
        <w:spacing w:after="0" w:line="172" w:lineRule="exact"/>
        <w:rPr>
          <w:rFonts w:ascii="Courier New" w:cs="Courier New" w:eastAsia="Courier New" w:hAnsi="Courier New"/>
          <w:sz w:val="14"/>
          <w:szCs w:val="14"/>
          <w:color w:val="auto"/>
        </w:rPr>
      </w:pPr>
    </w:p>
    <w:p>
      <w:pPr>
        <w:ind w:right="3339" w:firstLine="439"/>
        <w:spacing w:after="0" w:line="260" w:lineRule="auto"/>
        <w:tabs>
          <w:tab w:leader="none" w:pos="689"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 The Audit Committee shall discharge its responsibilities and shall assess the information provided by the Company's management, the internal auditor and the independent auditors, in accordance with its business judgment. Management is responsible for the preparation, presentation, and integrity of the Company's financial statements and for the appropriateness of the accounting principles and the reporting policies that are used by the Company. The independent auditors are responsible for auditing the Company's financial statements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251"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OVERSIGHT OF INDEPENDENT AUDITORS</w:t>
      </w:r>
    </w:p>
    <w:p>
      <w:pPr>
        <w:spacing w:after="0" w:line="173" w:lineRule="exact"/>
        <w:rPr>
          <w:sz w:val="20"/>
          <w:szCs w:val="20"/>
          <w:color w:val="auto"/>
        </w:rPr>
      </w:pPr>
    </w:p>
    <w:p>
      <w:pPr>
        <w:ind w:right="3519" w:firstLine="431"/>
        <w:spacing w:after="0" w:line="275" w:lineRule="auto"/>
        <w:rPr>
          <w:sz w:val="20"/>
          <w:szCs w:val="20"/>
          <w:color w:val="auto"/>
        </w:rPr>
      </w:pPr>
      <w:r>
        <w:rPr>
          <w:rFonts w:ascii="Courier New" w:cs="Courier New" w:eastAsia="Courier New" w:hAnsi="Courier New"/>
          <w:sz w:val="14"/>
          <w:szCs w:val="14"/>
          <w:color w:val="auto"/>
        </w:rPr>
        <w:t>a. Selection and Reporting -- The Audit Committee shall be directly responsible for appointing, evaluating and, when necessary, terminating the independent auditors. The Audit Committee is also directly responsible for the resolution of disagreements between Company management and the independent auditors regarding financial reporting. The independent auditors shall report directly to the Audit Committee.</w:t>
      </w:r>
    </w:p>
    <w:p>
      <w:pPr>
        <w:spacing w:after="0" w:line="69"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b. Compensation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62"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c. Independence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Independence Standards Board's Standard No. 1.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74" w:lineRule="exact"/>
        <w:rPr>
          <w:sz w:val="20"/>
          <w:szCs w:val="20"/>
          <w:color w:val="auto"/>
        </w:rPr>
      </w:pPr>
    </w:p>
    <w:p>
      <w:pPr>
        <w:ind w:right="3519" w:firstLine="431"/>
        <w:spacing w:after="0" w:line="375" w:lineRule="auto"/>
        <w:rPr>
          <w:sz w:val="20"/>
          <w:szCs w:val="20"/>
          <w:color w:val="auto"/>
        </w:rPr>
      </w:pPr>
      <w:r>
        <w:rPr>
          <w:rFonts w:ascii="Courier New" w:cs="Courier New" w:eastAsia="Courier New" w:hAnsi="Courier New"/>
          <w:sz w:val="14"/>
          <w:szCs w:val="14"/>
          <w:color w:val="auto"/>
        </w:rPr>
        <w:t>d. Quality-Control Report -- At least annually, the Audit Committee shall obtain and review a report by the independent auditors describing:</w:t>
      </w:r>
    </w:p>
    <w:p>
      <w:pPr>
        <w:spacing w:after="0" w:line="1" w:lineRule="exact"/>
        <w:rPr>
          <w:sz w:val="20"/>
          <w:szCs w:val="20"/>
          <w:color w:val="auto"/>
        </w:rPr>
      </w:pPr>
    </w:p>
    <w:p>
      <w:pPr>
        <w:ind w:left="620" w:hanging="181"/>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quality-control procedures at the independent auditor's; and</w:t>
      </w:r>
    </w:p>
    <w:p>
      <w:pPr>
        <w:spacing w:after="0" w:line="172" w:lineRule="exact"/>
        <w:rPr>
          <w:rFonts w:ascii="Courier New" w:cs="Courier New" w:eastAsia="Courier New" w:hAnsi="Courier New"/>
          <w:sz w:val="14"/>
          <w:szCs w:val="14"/>
          <w:color w:val="auto"/>
        </w:rPr>
      </w:pPr>
    </w:p>
    <w:p>
      <w:pPr>
        <w:ind w:left="620" w:right="3339" w:hanging="181"/>
        <w:spacing w:after="0" w:line="275"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69"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e. Preapproval of Services -- The Audit Committee shall preapprove all audit and non-audit services to be provided to the Company by the independent auditors; provided however, that de minimus non-audit services may instead be approved in accordance with applicable NYSE and SEC rules. The Audit Committee shall cause the Company to disclose in its SEC periodic reports, to the extent necessary or appropriate, the approval by the Audit Committee of any non-audit services to be performed by the independent auditor. Any decision of a subcommittee to preapprove audit or non-audit services shall be presented to the full Audit Committee at its next scheduled meeting.</w:t>
      </w:r>
    </w:p>
    <w:p>
      <w:pPr>
        <w:spacing w:after="0" w:line="74"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f. Review Scope of Services -- The Audit Committee shall meet with the independent auditors and financial management of the Company to review the scope of the proposed audit and timely quarterly reviews</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590" w:right="1440" w:bottom="1440" w:gutter="0" w:footer="0" w:header="0"/>
        </w:sectPr>
      </w:pPr>
    </w:p>
    <w:bookmarkStart w:id="22" w:name="page23"/>
    <w:bookmarkEnd w:id="22"/>
    <w:p>
      <w:pPr>
        <w:ind w:right="3859"/>
        <w:spacing w:after="0" w:line="313" w:lineRule="auto"/>
        <w:rPr>
          <w:sz w:val="20"/>
          <w:szCs w:val="20"/>
          <w:color w:val="auto"/>
        </w:rPr>
      </w:pPr>
      <w:r>
        <w:rPr>
          <w:rFonts w:ascii="Courier New" w:cs="Courier New" w:eastAsia="Courier New" w:hAnsi="Courier New"/>
          <w:sz w:val="14"/>
          <w:szCs w:val="14"/>
          <w:color w:val="auto"/>
        </w:rPr>
        <w:t>for the current year and the procedures to be utilized. This review should include an evaluation of the adequacy of the auditor's staffing and compensation.</w:t>
      </w:r>
    </w:p>
    <w:p>
      <w:pPr>
        <w:spacing w:after="0" w:line="42"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g. Discussion of Independent Auditors' Comments and Recommendations -- The Audit Committee shall meet with the independent auditors to review their comments and recommendations with respect to:</w:t>
      </w:r>
    </w:p>
    <w:p>
      <w:pPr>
        <w:spacing w:after="0" w:line="42" w:lineRule="exact"/>
        <w:rPr>
          <w:sz w:val="20"/>
          <w:szCs w:val="20"/>
          <w:color w:val="auto"/>
        </w:rPr>
      </w:pPr>
    </w:p>
    <w:p>
      <w:pPr>
        <w:ind w:left="620" w:hanging="181"/>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accounting controls;</w:t>
      </w:r>
    </w:p>
    <w:p>
      <w:pPr>
        <w:spacing w:after="0" w:line="172" w:lineRule="exact"/>
        <w:rPr>
          <w:rFonts w:ascii="Courier New" w:cs="Courier New" w:eastAsia="Courier New" w:hAnsi="Courier New"/>
          <w:sz w:val="14"/>
          <w:szCs w:val="14"/>
          <w:color w:val="auto"/>
        </w:rPr>
      </w:pPr>
    </w:p>
    <w:p>
      <w:pPr>
        <w:ind w:left="620" w:right="3599" w:hanging="181"/>
        <w:spacing w:after="0" w:line="313"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difficulties, including restrictions on the scope of the independent auditors' activities or access to requested information or significant disagreements with management;</w:t>
      </w:r>
    </w:p>
    <w:p>
      <w:pPr>
        <w:spacing w:after="0" w:line="42" w:lineRule="exact"/>
        <w:rPr>
          <w:rFonts w:ascii="Courier New" w:cs="Courier New" w:eastAsia="Courier New" w:hAnsi="Courier New"/>
          <w:sz w:val="14"/>
          <w:szCs w:val="14"/>
          <w:color w:val="auto"/>
        </w:rPr>
      </w:pPr>
    </w:p>
    <w:p>
      <w:pPr>
        <w:ind w:left="620" w:right="3599" w:hanging="181"/>
        <w:spacing w:after="0" w:line="292"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56" w:lineRule="exact"/>
        <w:rPr>
          <w:rFonts w:ascii="Courier New" w:cs="Courier New" w:eastAsia="Courier New" w:hAnsi="Courier New"/>
          <w:sz w:val="14"/>
          <w:szCs w:val="14"/>
          <w:color w:val="auto"/>
        </w:rPr>
      </w:pPr>
    </w:p>
    <w:p>
      <w:pPr>
        <w:ind w:left="620" w:right="3859" w:hanging="181"/>
        <w:spacing w:after="0" w:line="375"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regulatory and accounting initiatives, as well as off balance sheet structures; and</w:t>
      </w:r>
    </w:p>
    <w:p>
      <w:pPr>
        <w:spacing w:after="0" w:line="1" w:lineRule="exact"/>
        <w:rPr>
          <w:rFonts w:ascii="Courier New" w:cs="Courier New" w:eastAsia="Courier New" w:hAnsi="Courier New"/>
          <w:sz w:val="14"/>
          <w:szCs w:val="14"/>
          <w:color w:val="auto"/>
        </w:rPr>
      </w:pPr>
    </w:p>
    <w:p>
      <w:pPr>
        <w:ind w:left="620" w:right="3599" w:hanging="181"/>
        <w:spacing w:after="0" w:line="375"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matters relating to the accounting procedures and records of the Company.</w:t>
      </w:r>
    </w:p>
    <w:p>
      <w:pPr>
        <w:spacing w:after="0" w:line="1" w:lineRule="exact"/>
        <w:rPr>
          <w:sz w:val="20"/>
          <w:szCs w:val="20"/>
          <w:color w:val="auto"/>
        </w:rPr>
      </w:pPr>
    </w:p>
    <w:p>
      <w:pPr>
        <w:jc w:val="both"/>
        <w:ind w:right="3679" w:firstLine="431"/>
        <w:spacing w:after="0" w:line="313" w:lineRule="auto"/>
        <w:rPr>
          <w:sz w:val="20"/>
          <w:szCs w:val="20"/>
          <w:color w:val="auto"/>
        </w:rPr>
      </w:pPr>
      <w:r>
        <w:rPr>
          <w:rFonts w:ascii="Courier New" w:cs="Courier New" w:eastAsia="Courier New" w:hAnsi="Courier New"/>
          <w:sz w:val="14"/>
          <w:szCs w:val="14"/>
          <w:color w:val="auto"/>
        </w:rPr>
        <w:t>The Audit Committee shall also review with the independent auditors the consideration given by management to such and any corrective action taken by management with respect thereto.</w:t>
      </w:r>
    </w:p>
    <w:p>
      <w:pPr>
        <w:spacing w:after="0" w:line="42"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h. Interim Financial Information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 REVIEW OF FINANCIAL DATA AND DISCLOSURES</w:t>
      </w:r>
    </w:p>
    <w:p>
      <w:pPr>
        <w:spacing w:after="0" w:line="173" w:lineRule="exact"/>
        <w:rPr>
          <w:sz w:val="20"/>
          <w:szCs w:val="20"/>
          <w:color w:val="auto"/>
        </w:rPr>
      </w:pPr>
    </w:p>
    <w:p>
      <w:pPr>
        <w:ind w:right="3419" w:firstLine="431"/>
        <w:spacing w:after="0" w:line="268" w:lineRule="auto"/>
        <w:rPr>
          <w:sz w:val="20"/>
          <w:szCs w:val="20"/>
          <w:color w:val="auto"/>
        </w:rPr>
      </w:pPr>
      <w:r>
        <w:rPr>
          <w:rFonts w:ascii="Courier New" w:cs="Courier New" w:eastAsia="Courier New" w:hAnsi="Courier New"/>
          <w:sz w:val="14"/>
          <w:szCs w:val="14"/>
          <w:color w:val="auto"/>
        </w:rPr>
        <w:t>a. Review of Quarterly Reviewed and Annual Audited Financial Data -- The Audit Committee shall review and discuss the financial data in the quarterly financial statements and annual report, including the Company's disclosures under "Operating and Financial Review and Prospects"; any accompanying opinions of the independent auditors; and matters required to be discussed by applicable auditing standards with financial management and the independent auditors and report thereon to the Board of Directors prior to the release, by public filing or other public disclosure, of earnings.</w:t>
      </w:r>
    </w:p>
    <w:p>
      <w:pPr>
        <w:spacing w:after="0" w:line="74"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b. Review of Auditor Reports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74"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c. Review of Earnings Release and Other Financial Information -- The Audit Committee shall discuss generally the types of information to be disclosed in the Company's earnings press releases, as well as in financial information and earnings guidance provided to analysts, rating agencies and others.</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 REVIEW OF INTERNAL REPORTS AND PROCESSES</w:t>
      </w:r>
    </w:p>
    <w:p>
      <w:pPr>
        <w:spacing w:after="0" w:line="173"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a. Review of Internal Audit Function -- The Audit Committee shall review and evaluate the activities and recommendations of the Company's internal audit function and the responses of the Company to such recommendations, including the independence and authority of the function. The Audit Committee is responsible to review the scope of the internal audit function, as well as, its staffing and compensation.</w:t>
      </w:r>
    </w:p>
    <w:p>
      <w:pPr>
        <w:spacing w:after="0" w:line="69"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b. Oversight of Company's Internal Control Processes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590" w:right="1440" w:bottom="1440" w:gutter="0" w:footer="0" w:header="0"/>
        </w:sectPr>
      </w:pPr>
    </w:p>
    <w:bookmarkStart w:id="23" w:name="page24"/>
    <w:bookmarkEnd w:id="23"/>
    <w:p>
      <w:pPr>
        <w:ind w:right="3519" w:firstLine="431"/>
        <w:spacing w:after="0" w:line="313" w:lineRule="auto"/>
        <w:rPr>
          <w:sz w:val="20"/>
          <w:szCs w:val="20"/>
          <w:color w:val="auto"/>
        </w:rPr>
      </w:pPr>
      <w:r>
        <w:rPr>
          <w:rFonts w:ascii="Courier New" w:cs="Courier New" w:eastAsia="Courier New" w:hAnsi="Courier New"/>
          <w:sz w:val="14"/>
          <w:szCs w:val="14"/>
          <w:color w:val="auto"/>
        </w:rPr>
        <w:t>c. Succession Planning Process -- The Audit Committee shall review and evaluate the performance and the succession planning process for the Company's finance and accounting personnel.</w:t>
      </w:r>
    </w:p>
    <w:p>
      <w:pPr>
        <w:spacing w:after="0" w:line="42" w:lineRule="exact"/>
        <w:rPr>
          <w:sz w:val="20"/>
          <w:szCs w:val="20"/>
          <w:color w:val="auto"/>
        </w:rPr>
      </w:pPr>
    </w:p>
    <w:p>
      <w:pPr>
        <w:ind w:right="3339" w:firstLine="431"/>
        <w:spacing w:after="0" w:line="269" w:lineRule="auto"/>
        <w:rPr>
          <w:sz w:val="20"/>
          <w:szCs w:val="20"/>
          <w:color w:val="auto"/>
        </w:rPr>
      </w:pPr>
      <w:r>
        <w:rPr>
          <w:rFonts w:ascii="Courier New" w:cs="Courier New" w:eastAsia="Courier New" w:hAnsi="Courier New"/>
          <w:sz w:val="14"/>
          <w:szCs w:val="14"/>
          <w:color w:val="auto"/>
        </w:rPr>
        <w:t>d. Procedure for Complaints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 (ii) the confidential, anonymous submission by employees of the Company of concerns regarding such matters. The Audit Committee shall establish procedures for the reporting of such matters, when significant, to the Board of Directors.</w:t>
      </w:r>
    </w:p>
    <w:p>
      <w:pPr>
        <w:spacing w:after="0" w:line="246"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e. Discussion with Company Counsel -- The Audit Committee shall review periodically legal, environmental, code of ethics, and related matters with the Company's counsel.</w:t>
      </w:r>
    </w:p>
    <w:p>
      <w:pPr>
        <w:spacing w:after="0" w:line="42" w:lineRule="exact"/>
        <w:rPr>
          <w:sz w:val="20"/>
          <w:szCs w:val="20"/>
          <w:color w:val="auto"/>
        </w:rPr>
      </w:pPr>
    </w:p>
    <w:p>
      <w:pPr>
        <w:ind w:right="4119" w:firstLine="431"/>
        <w:spacing w:after="0" w:line="313" w:lineRule="auto"/>
        <w:rPr>
          <w:sz w:val="20"/>
          <w:szCs w:val="20"/>
          <w:color w:val="auto"/>
        </w:rPr>
      </w:pPr>
      <w:r>
        <w:rPr>
          <w:rFonts w:ascii="Courier New" w:cs="Courier New" w:eastAsia="Courier New" w:hAnsi="Courier New"/>
          <w:sz w:val="14"/>
          <w:szCs w:val="14"/>
          <w:color w:val="auto"/>
        </w:rPr>
        <w:t>f. Hiring Policies -- The Audit Committee shall establish policies regarding the hiring of employees or former employees of the Company's independent auditors.</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 ADMINISTRATION</w:t>
      </w:r>
    </w:p>
    <w:p>
      <w:pPr>
        <w:spacing w:after="0" w:line="173"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a. Audit Committee Independence -- Periodically, the Audit Committee shall make inquiry of each member of the Audit Committee to confirm compliance with independence requirements as defined by Section 301 of the Sarbanes-Oxley Act of 2002 to the extent applicable to the Company.</w:t>
      </w:r>
    </w:p>
    <w:p>
      <w:pPr>
        <w:spacing w:after="0" w:line="56" w:lineRule="exact"/>
        <w:rPr>
          <w:sz w:val="20"/>
          <w:szCs w:val="20"/>
          <w:color w:val="auto"/>
        </w:rPr>
      </w:pPr>
    </w:p>
    <w:p>
      <w:pPr>
        <w:jc w:val="both"/>
        <w:ind w:right="3679" w:firstLine="431"/>
        <w:spacing w:after="0" w:line="292" w:lineRule="auto"/>
        <w:rPr>
          <w:sz w:val="20"/>
          <w:szCs w:val="20"/>
          <w:color w:val="auto"/>
        </w:rPr>
      </w:pPr>
      <w:r>
        <w:rPr>
          <w:rFonts w:ascii="Courier New" w:cs="Courier New" w:eastAsia="Courier New" w:hAnsi="Courier New"/>
          <w:sz w:val="14"/>
          <w:szCs w:val="14"/>
          <w:color w:val="auto"/>
        </w:rPr>
        <w:t>b. Outside Consultants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56" w:lineRule="exact"/>
        <w:rPr>
          <w:sz w:val="20"/>
          <w:szCs w:val="20"/>
          <w:color w:val="auto"/>
        </w:rPr>
      </w:pPr>
    </w:p>
    <w:p>
      <w:pPr>
        <w:ind w:right="3599" w:firstLine="431"/>
        <w:spacing w:after="0" w:line="292" w:lineRule="auto"/>
        <w:rPr>
          <w:sz w:val="20"/>
          <w:szCs w:val="20"/>
          <w:color w:val="auto"/>
        </w:rPr>
      </w:pPr>
      <w:r>
        <w:rPr>
          <w:rFonts w:ascii="Courier New" w:cs="Courier New" w:eastAsia="Courier New" w:hAnsi="Courier New"/>
          <w:sz w:val="14"/>
          <w:szCs w:val="14"/>
          <w:color w:val="auto"/>
        </w:rPr>
        <w:t>c. Administrative Expenses -- The Audit Committee is empowered, without further action by the Board of Directors, to cause the Company to pay the ordinary administrative expenses of the Audit Committee that are necessary or appropriate to carry out its duties.</w:t>
      </w:r>
    </w:p>
    <w:p>
      <w:pPr>
        <w:spacing w:after="0" w:line="56" w:lineRule="exact"/>
        <w:rPr>
          <w:sz w:val="20"/>
          <w:szCs w:val="20"/>
          <w:color w:val="auto"/>
        </w:rPr>
      </w:pPr>
    </w:p>
    <w:p>
      <w:pPr>
        <w:ind w:right="3599" w:firstLine="431"/>
        <w:spacing w:after="0" w:line="282" w:lineRule="auto"/>
        <w:rPr>
          <w:sz w:val="20"/>
          <w:szCs w:val="20"/>
          <w:color w:val="auto"/>
        </w:rPr>
      </w:pPr>
      <w:r>
        <w:rPr>
          <w:rFonts w:ascii="Courier New" w:cs="Courier New" w:eastAsia="Courier New" w:hAnsi="Courier New"/>
          <w:sz w:val="14"/>
          <w:szCs w:val="14"/>
          <w:color w:val="auto"/>
        </w:rPr>
        <w:t>d. Report to Board of Directors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62"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e. Audit Committee Report -- The Audit Committee shall prepare an annual committee report as necessary or appropriate under the rules and regulations of the SEC.</w:t>
      </w:r>
    </w:p>
    <w:p>
      <w:pPr>
        <w:spacing w:after="0" w:line="42"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f. Written Affirmation to the NYSE -- On an annual basis, no later than one month after the Annual Meeting of Stockholders, and after each change in the composition of the Audit Committee, the Audit Committee shall direct the Company to prepare and provide to the NYSE such written confirmations regarding the membership and operation of the Audit Committee as the NYSE rules require.</w:t>
      </w:r>
    </w:p>
    <w:p>
      <w:pPr>
        <w:spacing w:after="0" w:line="62" w:lineRule="exact"/>
        <w:rPr>
          <w:sz w:val="20"/>
          <w:szCs w:val="20"/>
          <w:color w:val="auto"/>
        </w:rPr>
      </w:pPr>
    </w:p>
    <w:p>
      <w:pPr>
        <w:ind w:right="3519" w:firstLine="431"/>
        <w:spacing w:after="0" w:line="375" w:lineRule="auto"/>
        <w:rPr>
          <w:sz w:val="20"/>
          <w:szCs w:val="20"/>
          <w:color w:val="auto"/>
        </w:rPr>
      </w:pPr>
      <w:r>
        <w:rPr>
          <w:rFonts w:ascii="Courier New" w:cs="Courier New" w:eastAsia="Courier New" w:hAnsi="Courier New"/>
          <w:sz w:val="14"/>
          <w:szCs w:val="14"/>
          <w:color w:val="auto"/>
        </w:rPr>
        <w:t>g. Annual Self-Evaluation -- At least annually, the Audit Committee shall evaluate its own performance.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 OTHER RESPONSIBILITIES</w:t>
      </w:r>
    </w:p>
    <w:p>
      <w:pPr>
        <w:spacing w:after="0" w:line="173" w:lineRule="exact"/>
        <w:rPr>
          <w:sz w:val="20"/>
          <w:szCs w:val="20"/>
          <w:color w:val="auto"/>
        </w:rPr>
      </w:pPr>
    </w:p>
    <w:p>
      <w:pPr>
        <w:ind w:right="3599" w:firstLine="431"/>
        <w:spacing w:after="0" w:line="282" w:lineRule="auto"/>
        <w:rPr>
          <w:sz w:val="20"/>
          <w:szCs w:val="20"/>
          <w:color w:val="auto"/>
        </w:rPr>
      </w:pPr>
      <w:r>
        <w:rPr>
          <w:rFonts w:ascii="Courier New" w:cs="Courier New" w:eastAsia="Courier New" w:hAnsi="Courier New"/>
          <w:sz w:val="14"/>
          <w:szCs w:val="14"/>
          <w:color w:val="auto"/>
        </w:rPr>
        <w:t>a. Review of Other Outside Reports -- The Audit Committee shall review reports received from regulators and other legal and regulatory matters that have been brought to the attention of the Audit Committee and that may have a material effect on the financial statements or related company compliance policies.</w:t>
      </w:r>
    </w:p>
    <w:p>
      <w:pPr>
        <w:spacing w:after="0" w:line="62"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b. Other investigations -- The Audit Committee shall conduct or authorize investigations into any matter brought to the Audit Committee's attention within the scope of its duties, including anything as may be referred to the Audit Committee by the Board of Directors.</w:t>
      </w:r>
    </w:p>
    <w:p>
      <w:pPr>
        <w:spacing w:after="0" w:line="56" w:lineRule="exact"/>
        <w:rPr>
          <w:sz w:val="20"/>
          <w:szCs w:val="20"/>
          <w:color w:val="auto"/>
        </w:rPr>
      </w:pPr>
    </w:p>
    <w:p>
      <w:pPr>
        <w:jc w:val="both"/>
        <w:ind w:right="3419" w:firstLine="431"/>
        <w:spacing w:after="0" w:line="313" w:lineRule="auto"/>
        <w:rPr>
          <w:sz w:val="20"/>
          <w:szCs w:val="20"/>
          <w:color w:val="auto"/>
        </w:rPr>
      </w:pPr>
      <w:r>
        <w:rPr>
          <w:rFonts w:ascii="Courier New" w:cs="Courier New" w:eastAsia="Courier New" w:hAnsi="Courier New"/>
          <w:sz w:val="14"/>
          <w:szCs w:val="14"/>
          <w:color w:val="auto"/>
        </w:rPr>
        <w:t>c. Other Matters -- The Audit Committee shall consider such other matters in relation to the financial affairs of the Company as the Audit Committee may, in its discretion, determine to be advisable.</w:t>
      </w:r>
    </w:p>
    <w:p>
      <w:pPr>
        <w:spacing w:after="0" w:line="42" w:lineRule="exact"/>
        <w:rPr>
          <w:sz w:val="20"/>
          <w:szCs w:val="20"/>
          <w:color w:val="auto"/>
        </w:rPr>
      </w:pPr>
    </w:p>
    <w:p>
      <w:pPr>
        <w:ind w:right="3339" w:firstLine="431"/>
        <w:spacing w:after="0" w:line="375" w:lineRule="auto"/>
        <w:rPr>
          <w:sz w:val="20"/>
          <w:szCs w:val="20"/>
          <w:color w:val="auto"/>
        </w:rPr>
      </w:pPr>
      <w:r>
        <w:rPr>
          <w:rFonts w:ascii="Courier New" w:cs="Courier New" w:eastAsia="Courier New" w:hAnsi="Courier New"/>
          <w:sz w:val="14"/>
          <w:szCs w:val="14"/>
          <w:color w:val="auto"/>
        </w:rPr>
        <w:t>d. Additional Powers -- The Audit Committee shall have such other duties as may be delegated from time to time by the Board of Directors.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590" w:right="1440" w:bottom="1440" w:gutter="0" w:footer="0" w:header="0"/>
        </w:sectPr>
      </w:pPr>
    </w:p>
    <w:bookmarkStart w:id="24" w:name="page25"/>
    <w:bookmarkEnd w:id="24"/>
    <w:p>
      <w:pPr>
        <w:jc w:val="right"/>
        <w:ind w:right="3339"/>
        <w:spacing w:after="0"/>
        <w:rPr>
          <w:sz w:val="20"/>
          <w:szCs w:val="20"/>
          <w:color w:val="auto"/>
        </w:rPr>
      </w:pPr>
      <w:r>
        <w:rPr>
          <w:rFonts w:ascii="Courier New" w:cs="Courier New" w:eastAsia="Courier New" w:hAnsi="Courier New"/>
          <w:sz w:val="14"/>
          <w:szCs w:val="14"/>
          <w:color w:val="auto"/>
        </w:rPr>
        <w:t>APPENDIX B</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CATEGORICAL STANDARDS</w:t>
      </w:r>
    </w:p>
    <w:p>
      <w:pPr>
        <w:spacing w:after="0" w:line="173" w:lineRule="exact"/>
        <w:rPr>
          <w:sz w:val="20"/>
          <w:szCs w:val="20"/>
          <w:color w:val="auto"/>
        </w:rPr>
      </w:pPr>
    </w:p>
    <w:p>
      <w:pPr>
        <w:ind w:right="3599" w:firstLine="431"/>
        <w:spacing w:after="0" w:line="282" w:lineRule="auto"/>
        <w:rPr>
          <w:sz w:val="20"/>
          <w:szCs w:val="20"/>
          <w:color w:val="auto"/>
        </w:rPr>
      </w:pPr>
      <w:r>
        <w:rPr>
          <w:rFonts w:ascii="Courier New" w:cs="Courier New" w:eastAsia="Courier New" w:hAnsi="Courier New"/>
          <w:sz w:val="14"/>
          <w:szCs w:val="14"/>
          <w:color w:val="auto"/>
        </w:rPr>
        <w:t>In addition to applying the requirements under the NYSE rules, the Board has adopted guidelines to assist it in determining whether a director has a "material relationship" with the Company. Under these guidelines, a director will be considered to have a material relationship with the Company if during the last three years prior to the independency determination date:</w:t>
      </w:r>
    </w:p>
    <w:p>
      <w:pPr>
        <w:spacing w:after="0" w:line="62" w:lineRule="exact"/>
        <w:rPr>
          <w:sz w:val="20"/>
          <w:szCs w:val="20"/>
          <w:color w:val="auto"/>
        </w:rPr>
      </w:pPr>
    </w:p>
    <w:p>
      <w:pPr>
        <w:ind w:left="620" w:right="3339" w:hanging="181"/>
        <w:spacing w:after="0" w:line="275"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Charitable Contributions. The director, or an immediate family member of the director, has served as an executive officer of a charitable organization that receives payments from the Company in an amount which, in any single fiscal year since the determination date, exceeds the greater of $1,000,000, or 2% of such charitable organization consolidated gross revenues as reported in its last completed fiscal year;</w:t>
      </w:r>
    </w:p>
    <w:p>
      <w:pPr>
        <w:spacing w:after="0" w:line="69" w:lineRule="exact"/>
        <w:rPr>
          <w:rFonts w:ascii="Courier New" w:cs="Courier New" w:eastAsia="Courier New" w:hAnsi="Courier New"/>
          <w:sz w:val="14"/>
          <w:szCs w:val="14"/>
          <w:color w:val="auto"/>
        </w:rPr>
      </w:pPr>
    </w:p>
    <w:p>
      <w:pPr>
        <w:ind w:left="620" w:right="3339" w:hanging="181"/>
        <w:spacing w:after="0" w:line="269"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The director or an immediate family member of the director has served, as an executive officer of another 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consolidated gross revenues as reported in its last completed fiscal year;</w:t>
      </w:r>
    </w:p>
    <w:p>
      <w:pPr>
        <w:spacing w:after="0" w:line="246"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siblings, mothers and fathers-in-law, sons and daughters-in-law, brothers and sisters-in-law, and anyone (other than domestic employees) who shares such person's home, other than individuals who are no longer immediate family members as a result of legal separation or divorce, or those who have died or become incapacitated.</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590" w:right="1440" w:bottom="1440" w:gutter="0" w:footer="0" w:header="0"/>
        </w:sectPr>
      </w:pPr>
    </w:p>
    <w:bookmarkStart w:id="25" w:name="page26"/>
    <w:bookmarkEnd w:id="25"/>
    <w:p>
      <w:pPr>
        <w:jc w:val="center"/>
        <w:ind w:right="4720"/>
        <w:spacing w:after="0"/>
        <w:rPr>
          <w:sz w:val="20"/>
          <w:szCs w:val="20"/>
          <w:color w:val="auto"/>
        </w:rPr>
      </w:pPr>
      <w:r>
        <w:rPr>
          <w:rFonts w:ascii="Courier New" w:cs="Courier New" w:eastAsia="Courier New" w:hAnsi="Courier New"/>
          <w:sz w:val="14"/>
          <w:szCs w:val="14"/>
          <w:color w:val="auto"/>
        </w:rPr>
        <w:t>ANNUAL GENERAL MEETING OF SHAREHOLDERS OF</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JANUARY 20, 2005</w:t>
      </w:r>
    </w:p>
    <w:p>
      <w:pPr>
        <w:spacing w:after="0" w:line="338"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Please date, sign and mail</w:t>
      </w:r>
    </w:p>
    <w:p>
      <w:pPr>
        <w:spacing w:after="0" w:line="3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your proxy card in the</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envelope provided as soon</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as possible.</w:t>
      </w:r>
    </w:p>
    <w:p>
      <w:pPr>
        <w:spacing w:after="0" w:line="3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Please detach along perforated line and mail in the envelope provided.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spacing w:after="0"/>
        <w:tabs>
          <w:tab w:leader="none" w:pos="11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7" w:lineRule="exact"/>
        <w:rPr>
          <w:sz w:val="20"/>
          <w:szCs w:val="20"/>
          <w:color w:val="auto"/>
        </w:rPr>
      </w:pPr>
    </w:p>
    <w:p>
      <w:pPr>
        <w:spacing w:after="0"/>
        <w:tabs>
          <w:tab w:leader="none" w:pos="5680" w:val="left"/>
          <w:tab w:leader="none" w:pos="10660" w:val="left"/>
          <w:tab w:leader="none" w:pos="11280" w:val="left"/>
        </w:tabs>
        <w:rPr>
          <w:sz w:val="20"/>
          <w:szCs w:val="20"/>
          <w:color w:val="auto"/>
        </w:rPr>
      </w:pPr>
      <w:r>
        <w:rPr>
          <w:rFonts w:ascii="Courier New" w:cs="Courier New" w:eastAsia="Courier New" w:hAnsi="Courier New"/>
          <w:sz w:val="14"/>
          <w:szCs w:val="14"/>
          <w:color w:val="auto"/>
        </w:rPr>
        <w:t>|PLEASE SIGN, DATE AND RETURN PROMPTLY IN THE ENCLOSED ENVELOPE.</w:t>
        <w:tab/>
        <w:t>PLEASE MARK YOUR VOTE IN BLUE OR BLACK INK AS SHOWN HERE</w:t>
        <w:tab/>
        <w:t>[X]</w:t>
      </w:r>
      <w:r>
        <w:rPr>
          <w:sz w:val="20"/>
          <w:szCs w:val="20"/>
          <w:color w:val="auto"/>
        </w:rPr>
        <w:tab/>
      </w:r>
      <w:r>
        <w:rPr>
          <w:rFonts w:ascii="Courier New" w:cs="Courier New" w:eastAsia="Courier New" w:hAnsi="Courier New"/>
          <w:sz w:val="13"/>
          <w:szCs w:val="13"/>
          <w:color w:val="auto"/>
        </w:rPr>
        <w: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FOR</w:t>
            </w: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ABSTAIN</w:t>
            </w: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0"/>
                <w:szCs w:val="20"/>
                <w:color w:val="auto"/>
              </w:rPr>
            </w:pPr>
            <w:r>
              <w:rPr>
                <w:rFonts w:ascii="Courier New" w:cs="Courier New" w:eastAsia="Courier New" w:hAnsi="Courier New"/>
                <w:sz w:val="14"/>
                <w:szCs w:val="14"/>
                <w:color w:val="auto"/>
              </w:rPr>
              <w:t>1. Election of Directors:</w:t>
            </w:r>
          </w:p>
        </w:tc>
        <w:tc>
          <w:tcPr>
            <w:tcW w:w="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5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 APPROVAL OF CONSOLIDATED FINANCIAL STATEMENTS  [ ]</w:t>
            </w: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1900" w:type="dxa"/>
            <w:vAlign w:val="bottom"/>
            <w:gridSpan w:val="2"/>
            <w:vMerge w:val="restart"/>
          </w:tcPr>
          <w:p>
            <w:pPr>
              <w:ind w:left="60"/>
              <w:spacing w:after="0"/>
              <w:rPr>
                <w:sz w:val="20"/>
                <w:szCs w:val="20"/>
                <w:color w:val="auto"/>
              </w:rPr>
            </w:pPr>
            <w:r>
              <w:rPr>
                <w:rFonts w:ascii="Courier New" w:cs="Courier New" w:eastAsia="Courier New" w:hAnsi="Courier New"/>
                <w:sz w:val="14"/>
                <w:szCs w:val="14"/>
                <w:color w:val="auto"/>
              </w:rPr>
              <w:t>NOMINEES:</w:t>
            </w:r>
          </w:p>
        </w:tc>
        <w:tc>
          <w:tcPr>
            <w:tcW w:w="54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FOR FISCAL YEAR 2004.</w:t>
            </w: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540" w:type="dxa"/>
            <w:vAlign w:val="bottom"/>
            <w:vMerge w:val="restart"/>
          </w:tcPr>
          <w:p>
            <w:pPr>
              <w:spacing w:after="0"/>
              <w:rPr>
                <w:sz w:val="20"/>
                <w:szCs w:val="20"/>
                <w:color w:val="auto"/>
              </w:rPr>
            </w:pPr>
            <w:r>
              <w:rPr>
                <w:rFonts w:ascii="Courier New" w:cs="Courier New" w:eastAsia="Courier New" w:hAnsi="Courier New"/>
                <w:sz w:val="14"/>
                <w:szCs w:val="14"/>
                <w:color w:val="auto"/>
              </w:rPr>
              <w:t>[ ]FOR ALL NOMINEES</w:t>
            </w:r>
          </w:p>
        </w:tc>
        <w:tc>
          <w:tcPr>
            <w:tcW w:w="190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3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540" w:type="dxa"/>
            <w:vAlign w:val="bottom"/>
            <w:vMerge w:val="continue"/>
          </w:tcPr>
          <w:p>
            <w:pPr>
              <w:spacing w:after="0"/>
              <w:rPr>
                <w:sz w:val="14"/>
                <w:szCs w:val="14"/>
                <w:color w:val="auto"/>
              </w:rPr>
            </w:pP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Bruce K. Anderson</w:t>
            </w:r>
          </w:p>
        </w:tc>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Adrian Gardner</w:t>
            </w:r>
          </w:p>
        </w:tc>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vMerge w:val="restart"/>
          </w:tcPr>
          <w:p>
            <w:pPr>
              <w:spacing w:after="0"/>
              <w:rPr>
                <w:sz w:val="20"/>
                <w:szCs w:val="20"/>
                <w:color w:val="auto"/>
              </w:rPr>
            </w:pPr>
            <w:r>
              <w:rPr>
                <w:rFonts w:ascii="Courier New" w:cs="Courier New" w:eastAsia="Courier New" w:hAnsi="Courier New"/>
                <w:sz w:val="14"/>
                <w:szCs w:val="14"/>
                <w:color w:val="auto"/>
              </w:rPr>
              <w:t>[ ]WITHHOLD AUTHORITY</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Dov Baharav</w:t>
            </w:r>
          </w:p>
        </w:tc>
        <w:tc>
          <w:tcPr>
            <w:tcW w:w="544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3. RATIFICATION AND APPROVAL OF ERNST &amp; YOUNG LLP [ ]</w:t>
            </w:r>
          </w:p>
        </w:tc>
        <w:tc>
          <w:tcPr>
            <w:tcW w:w="8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 ]</w:t>
            </w:r>
          </w:p>
        </w:tc>
        <w:tc>
          <w:tcPr>
            <w:tcW w:w="7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6"/>
        </w:trPr>
        <w:tc>
          <w:tcPr>
            <w:tcW w:w="2540" w:type="dxa"/>
            <w:vAlign w:val="bottom"/>
            <w:vMerge w:val="continue"/>
          </w:tcPr>
          <w:p>
            <w:pPr>
              <w:spacing w:after="0"/>
              <w:rPr>
                <w:sz w:val="14"/>
                <w:szCs w:val="14"/>
                <w:color w:val="auto"/>
              </w:rPr>
            </w:pP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Julian A. Brodsky</w:t>
            </w:r>
          </w:p>
        </w:tc>
        <w:tc>
          <w:tcPr>
            <w:tcW w:w="54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FOR ALL NOMINEES</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Charles E. Foster</w:t>
            </w:r>
          </w:p>
        </w:tc>
        <w:tc>
          <w:tcPr>
            <w:tcW w:w="54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AND AUTHORIZATION OF AUDIT COMMITTEE OF BOARD</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vMerge w:val="restart"/>
          </w:tcPr>
          <w:p>
            <w:pPr>
              <w:spacing w:after="0"/>
              <w:rPr>
                <w:sz w:val="20"/>
                <w:szCs w:val="20"/>
                <w:color w:val="auto"/>
              </w:rPr>
            </w:pPr>
            <w:r>
              <w:rPr>
                <w:rFonts w:ascii="Courier New" w:cs="Courier New" w:eastAsia="Courier New" w:hAnsi="Courier New"/>
                <w:sz w:val="14"/>
                <w:szCs w:val="14"/>
                <w:color w:val="auto"/>
              </w:rPr>
              <w:t>[ ]FOR ALL EXCEPT</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Eli Gelman</w:t>
            </w:r>
          </w:p>
        </w:tc>
        <w:tc>
          <w:tcPr>
            <w:tcW w:w="54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TO FIX REMUNERATION.</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vMerge w:val="continue"/>
          </w:tcPr>
          <w:p>
            <w:pPr>
              <w:spacing w:after="0"/>
              <w:rPr>
                <w:sz w:val="14"/>
                <w:szCs w:val="14"/>
                <w:color w:val="auto"/>
              </w:rPr>
            </w:pP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James S. Kahan</w:t>
            </w:r>
          </w:p>
        </w:tc>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(See instructions below)</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Nehemia Lemelbaum</w:t>
            </w:r>
          </w:p>
        </w:tc>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John T. McLennan</w:t>
            </w:r>
          </w:p>
        </w:tc>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Robert A. Minicucci</w:t>
            </w:r>
          </w:p>
        </w:tc>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Simon Olswang</w:t>
            </w:r>
          </w:p>
        </w:tc>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Mario Segal</w:t>
            </w:r>
          </w:p>
        </w:tc>
        <w:tc>
          <w:tcPr>
            <w:tcW w:w="1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9880" w:type="dxa"/>
            <w:vAlign w:val="bottom"/>
            <w:gridSpan w:val="5"/>
          </w:tcPr>
          <w:p>
            <w:pPr>
              <w:spacing w:after="0"/>
              <w:rPr>
                <w:sz w:val="20"/>
                <w:szCs w:val="20"/>
                <w:color w:val="auto"/>
              </w:rPr>
            </w:pPr>
            <w:r>
              <w:rPr>
                <w:rFonts w:ascii="Courier New" w:cs="Courier New" w:eastAsia="Courier New" w:hAnsi="Courier New"/>
                <w:sz w:val="14"/>
                <w:szCs w:val="14"/>
                <w:color w:val="auto"/>
              </w:rPr>
              <w:t>INSTRUCTION: To withhold authority to vote for any individual nominee(s), mark</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1120"/>
              <w:spacing w:after="0"/>
              <w:rPr>
                <w:sz w:val="20"/>
                <w:szCs w:val="20"/>
                <w:color w:val="auto"/>
              </w:rPr>
            </w:pPr>
            <w:r>
              <w:rPr>
                <w:rFonts w:ascii="Courier New" w:cs="Courier New" w:eastAsia="Courier New" w:hAnsi="Courier New"/>
                <w:sz w:val="14"/>
                <w:szCs w:val="14"/>
                <w:color w:val="auto"/>
              </w:rPr>
              <w:t>"FOR ALL EXCEPT"</w:t>
            </w:r>
          </w:p>
        </w:tc>
        <w:tc>
          <w:tcPr>
            <w:tcW w:w="734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and fill in the circle next to each nominee you</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wish to withhold, as shown here:</w:t>
            </w:r>
          </w:p>
        </w:tc>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88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 change the address on your</w:t>
            </w:r>
          </w:p>
        </w:tc>
        <w:tc>
          <w:tcPr>
            <w:tcW w:w="734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account, please check the box at right and</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40" w:type="dxa"/>
            <w:vAlign w:val="bottom"/>
            <w:gridSpan w:val="4"/>
          </w:tcPr>
          <w:p>
            <w:pPr>
              <w:spacing w:after="0"/>
              <w:rPr>
                <w:sz w:val="20"/>
                <w:szCs w:val="20"/>
                <w:color w:val="auto"/>
              </w:rPr>
            </w:pPr>
            <w:r>
              <w:rPr>
                <w:rFonts w:ascii="Courier New" w:cs="Courier New" w:eastAsia="Courier New" w:hAnsi="Courier New"/>
                <w:sz w:val="14"/>
                <w:szCs w:val="14"/>
                <w:color w:val="auto"/>
              </w:rPr>
              <w:t>indicate your new address in the address space above. Please note that</w:t>
            </w:r>
          </w:p>
        </w:tc>
        <w:tc>
          <w:tcPr>
            <w:tcW w:w="3840" w:type="dxa"/>
            <w:vAlign w:val="bottom"/>
          </w:tcPr>
          <w:p>
            <w:pPr>
              <w:jc w:val="right"/>
              <w:ind w:right="2908"/>
              <w:spacing w:after="0"/>
              <w:rPr>
                <w:sz w:val="20"/>
                <w:szCs w:val="20"/>
                <w:color w:val="auto"/>
              </w:rPr>
            </w:pPr>
            <w:r>
              <w:rPr>
                <w:rFonts w:ascii="Courier New" w:cs="Courier New" w:eastAsia="Courier New" w:hAnsi="Courier New"/>
                <w:sz w:val="14"/>
                <w:szCs w:val="14"/>
                <w:color w:val="auto"/>
              </w:rPr>
              <w:t>[  ]</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880" w:type="dxa"/>
            <w:vAlign w:val="bottom"/>
            <w:gridSpan w:val="5"/>
          </w:tcPr>
          <w:p>
            <w:pPr>
              <w:spacing w:after="0"/>
              <w:rPr>
                <w:sz w:val="20"/>
                <w:szCs w:val="20"/>
                <w:color w:val="auto"/>
              </w:rPr>
            </w:pPr>
            <w:r>
              <w:rPr>
                <w:rFonts w:ascii="Courier New" w:cs="Courier New" w:eastAsia="Courier New" w:hAnsi="Courier New"/>
                <w:sz w:val="14"/>
                <w:szCs w:val="14"/>
                <w:color w:val="auto"/>
              </w:rPr>
              <w:t>changes to the registered name(s) on the account may not be submitted via</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this method.</w:t>
            </w: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88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3"/>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Signature of Shareholder _________________________</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Date: __________</w:t>
            </w: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Signature of Shareholder _______________________ Date: _______</w:t>
            </w:r>
          </w:p>
        </w:tc>
        <w:tc>
          <w:tcPr>
            <w:tcW w:w="0" w:type="dxa"/>
            <w:vAlign w:val="bottom"/>
          </w:tcPr>
          <w:p>
            <w:pPr>
              <w:spacing w:after="0"/>
              <w:rPr>
                <w:sz w:val="1"/>
                <w:szCs w:val="1"/>
                <w:color w:val="auto"/>
              </w:rPr>
            </w:pPr>
          </w:p>
        </w:tc>
      </w:tr>
      <w:tr>
        <w:trPr>
          <w:trHeight w:val="421"/>
        </w:trPr>
        <w:tc>
          <w:tcPr>
            <w:tcW w:w="2540" w:type="dxa"/>
            <w:vAlign w:val="bottom"/>
          </w:tcPr>
          <w:p>
            <w:pPr>
              <w:ind w:left="360"/>
              <w:spacing w:after="0"/>
              <w:rPr>
                <w:sz w:val="20"/>
                <w:szCs w:val="20"/>
                <w:color w:val="auto"/>
              </w:rPr>
            </w:pPr>
            <w:r>
              <w:rPr>
                <w:rFonts w:ascii="Courier New" w:cs="Courier New" w:eastAsia="Courier New" w:hAnsi="Courier New"/>
                <w:sz w:val="14"/>
                <w:szCs w:val="14"/>
                <w:color w:val="auto"/>
              </w:rPr>
              <w:t>NOTE: Please sign exactly</w:t>
            </w:r>
          </w:p>
        </w:tc>
        <w:tc>
          <w:tcPr>
            <w:tcW w:w="734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as your name or names appear on this Proxy. When</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880" w:type="dxa"/>
            <w:vAlign w:val="bottom"/>
            <w:gridSpan w:val="5"/>
          </w:tcPr>
          <w:p>
            <w:pPr>
              <w:ind w:left="360"/>
              <w:spacing w:after="0"/>
              <w:rPr>
                <w:sz w:val="20"/>
                <w:szCs w:val="20"/>
                <w:color w:val="auto"/>
              </w:rPr>
            </w:pPr>
            <w:r>
              <w:rPr>
                <w:rFonts w:ascii="Courier New" w:cs="Courier New" w:eastAsia="Courier New" w:hAnsi="Courier New"/>
                <w:sz w:val="14"/>
                <w:szCs w:val="14"/>
                <w:color w:val="auto"/>
              </w:rPr>
              <w:t>shares are held jointly, each holder should sign. When signing as executor,</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880" w:type="dxa"/>
            <w:vAlign w:val="bottom"/>
            <w:gridSpan w:val="5"/>
          </w:tcPr>
          <w:p>
            <w:pPr>
              <w:ind w:left="360"/>
              <w:spacing w:after="0"/>
              <w:rPr>
                <w:sz w:val="20"/>
                <w:szCs w:val="20"/>
                <w:color w:val="auto"/>
              </w:rPr>
            </w:pPr>
            <w:r>
              <w:rPr>
                <w:rFonts w:ascii="Courier New" w:cs="Courier New" w:eastAsia="Courier New" w:hAnsi="Courier New"/>
                <w:sz w:val="14"/>
                <w:szCs w:val="14"/>
                <w:color w:val="auto"/>
              </w:rPr>
              <w:t>administrator, attorney, trustee or guardian, please give full title as</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880" w:type="dxa"/>
            <w:vAlign w:val="bottom"/>
            <w:gridSpan w:val="5"/>
          </w:tcPr>
          <w:p>
            <w:pPr>
              <w:ind w:left="360"/>
              <w:spacing w:after="0"/>
              <w:rPr>
                <w:sz w:val="20"/>
                <w:szCs w:val="20"/>
                <w:color w:val="auto"/>
              </w:rPr>
            </w:pPr>
            <w:r>
              <w:rPr>
                <w:rFonts w:ascii="Courier New" w:cs="Courier New" w:eastAsia="Courier New" w:hAnsi="Courier New"/>
                <w:sz w:val="14"/>
                <w:szCs w:val="14"/>
                <w:color w:val="auto"/>
              </w:rPr>
              <w:t>such. If the signer is a corporation, please sign full corporate name by</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duly authorized officer, giving full title as such. If signer is a</w:t>
            </w: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partnership, please sign in</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partnership name by authorized person.</w:t>
            </w:r>
          </w:p>
        </w:tc>
        <w:tc>
          <w:tcPr>
            <w:tcW w:w="3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540"/>
          </w:cols>
          <w:pgMar w:left="220" w:top="425" w:right="139" w:bottom="1440" w:gutter="0" w:footer="0" w:header="0"/>
        </w:sectPr>
      </w:pPr>
    </w:p>
    <w:bookmarkStart w:id="26" w:name="page27"/>
    <w:bookmarkEnd w:id="26"/>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47" w:lineRule="exact"/>
        <w:rPr>
          <w:sz w:val="20"/>
          <w:szCs w:val="20"/>
          <w:color w:val="auto"/>
        </w:rPr>
      </w:pPr>
    </w:p>
    <w:p>
      <w:pPr>
        <w:ind w:right="3339" w:firstLine="603"/>
        <w:spacing w:after="0" w:line="275" w:lineRule="auto"/>
        <w:rPr>
          <w:sz w:val="20"/>
          <w:szCs w:val="20"/>
          <w:color w:val="auto"/>
        </w:rPr>
      </w:pPr>
      <w:r>
        <w:rPr>
          <w:rFonts w:ascii="Courier New" w:cs="Courier New" w:eastAsia="Courier New" w:hAnsi="Courier New"/>
          <w:sz w:val="14"/>
          <w:szCs w:val="14"/>
          <w:color w:val="auto"/>
        </w:rPr>
        <w:t>The undersigned hereby appoints Bruce K. Anderson and Thomas G. O'Brien as Proxies, each with the power to appoint his substitute, and hereby authorizes them to represent and vote, as designated on the reverse side, all Ordinary Shares of Amdocs Limited (the "Company") held of record by the undersigned on November 24, 2004, at the annual General Meeting of shareholders to be held on January 20, 2005 or any adjournment thereof.</w:t>
      </w:r>
    </w:p>
    <w:p>
      <w:pPr>
        <w:spacing w:after="0" w:line="69"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(CONTINUED AND TO BE SIGNED ON THE REVERSE SIDE)</w:t>
      </w:r>
    </w:p>
    <w:p>
      <w:pPr>
        <w:sectPr>
          <w:pgSz w:w="11900" w:h="16838" w:orient="portrait"/>
          <w:cols w:equalWidth="0" w:num="1">
            <w:col w:w="10239"/>
          </w:cols>
          <w:pgMar w:left="220" w:top="921" w:right="1440" w:bottom="1440" w:gutter="0" w:footer="0" w:header="0"/>
        </w:sectPr>
      </w:pPr>
    </w:p>
    <w:bookmarkStart w:id="27" w:name="page28"/>
    <w:bookmarkEnd w:id="27"/>
    <w:p>
      <w:pPr>
        <w:jc w:val="center"/>
        <w:ind w:right="323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599" w:firstLine="431"/>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42"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 Thomas G. O'Brien</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Thomas G. O'Brien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Treasurer and Secretary</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Authorized U. S. Representative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December 20, 2004</w:t>
      </w:r>
    </w:p>
    <w:sectPr>
      <w:pgSz w:w="11900" w:h="16838" w:orient="portrait"/>
      <w:cols w:equalWidth="0" w:num="1">
        <w:col w:w="10239"/>
      </w:cols>
      <w:pgMar w:left="220" w:top="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amp;"/>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a"/>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a"/>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upperLetter"/>
      <w:start w:val="1"/>
    </w:lvl>
  </w:abstractNum>
  <w:abstractNum w:abstractNumId="12">
    <w:nsid w:val="41A7C4C9"/>
    <w:multiLevelType w:val="hybridMultilevel"/>
    <w:lvl w:ilvl="0">
      <w:lvlJc w:val="left"/>
      <w:lvlText w:val="%1."/>
      <w:numFmt w:val="upperLetter"/>
      <w:start w:val="2"/>
    </w:lvl>
    <w:lvl w:ilvl="1">
      <w:lvlJc w:val="left"/>
      <w:lvlText w:val="%2."/>
      <w:numFmt w:val="decimal"/>
      <w:start w:val="1"/>
    </w:lvl>
  </w:abstractNum>
  <w:abstractNum w:abstractNumId="13">
    <w:nsid w:val="6B68079A"/>
    <w:multiLevelType w:val="hybridMultilevel"/>
    <w:lvl w:ilvl="0">
      <w:lvlJc w:val="left"/>
      <w:lvlText w:val="%1"/>
      <w:numFmt w:val="upperLetter"/>
      <w:start w:val="1"/>
    </w:lvl>
    <w:lvl w:ilvl="1">
      <w:lvlJc w:val="left"/>
      <w:lvlText w:val="%2."/>
      <w:numFmt w:val="decimal"/>
      <w:start w:val="8"/>
    </w:lvl>
  </w:abstractNum>
  <w:abstractNum w:abstractNumId="14">
    <w:nsid w:val="4E6AFB66"/>
    <w:multiLevelType w:val="hybridMultilevel"/>
    <w:lvl w:ilvl="0">
      <w:lvlJc w:val="left"/>
      <w:lvlText w:val="%1"/>
      <w:numFmt w:val="upperLetter"/>
      <w:start w:val="1"/>
    </w:lvl>
    <w:lvl w:ilvl="1">
      <w:lvlJc w:val="left"/>
      <w:lvlText w:val="%2."/>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2019-12-14T21:18:37Z</dcterms:created>
  <dcterms:modified xsi:type="dcterms:W3CDTF">2019-12-14T21:18:37Z</dcterms:modified>
</cp:coreProperties>
</file>