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12, 2018</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UNDER</w:t>
      </w: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Island of Guernsey</w:t>
            </w:r>
          </w:p>
        </w:tc>
        <w:tc>
          <w:tcPr>
            <w:tcW w:w="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320" w:type="dxa"/>
            <w:vAlign w:val="bottom"/>
          </w:tcPr>
          <w:p>
            <w:pPr>
              <w:jc w:val="center"/>
              <w:ind w:left="1102"/>
              <w:spacing w:after="0"/>
              <w:rPr>
                <w:sz w:val="20"/>
                <w:szCs w:val="20"/>
                <w:color w:val="auto"/>
              </w:rPr>
            </w:pPr>
            <w:r>
              <w:rPr>
                <w:rFonts w:ascii="Arial" w:cs="Arial" w:eastAsia="Arial" w:hAnsi="Arial"/>
                <w:sz w:val="18"/>
                <w:szCs w:val="18"/>
                <w:b w:val="1"/>
                <w:bCs w:val="1"/>
                <w:color w:val="auto"/>
                <w:w w:val="90"/>
              </w:rPr>
              <w:t>Not Applicable</w:t>
            </w:r>
          </w:p>
        </w:tc>
      </w:tr>
      <w:tr>
        <w:trPr>
          <w:trHeight w:val="149"/>
        </w:trPr>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6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20" w:type="dxa"/>
            <w:vAlign w:val="bottom"/>
          </w:tcPr>
          <w:p>
            <w:pPr>
              <w:jc w:val="center"/>
              <w:ind w:left="11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6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320" w:type="dxa"/>
            <w:vAlign w:val="bottom"/>
          </w:tcPr>
          <w:p>
            <w:pPr>
              <w:jc w:val="center"/>
              <w:ind w:left="1102"/>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1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00" w:type="dxa"/>
            <w:vAlign w:val="bottom"/>
            <w:gridSpan w:val="2"/>
          </w:tcPr>
          <w:p>
            <w:pPr>
              <w:jc w:val="center"/>
              <w:ind w:right="2242"/>
              <w:spacing w:after="0"/>
              <w:rPr>
                <w:sz w:val="20"/>
                <w:szCs w:val="20"/>
                <w:color w:val="auto"/>
              </w:rPr>
            </w:pPr>
            <w:r>
              <w:rPr>
                <w:rFonts w:ascii="Arial" w:cs="Arial" w:eastAsia="Arial" w:hAnsi="Arial"/>
                <w:sz w:val="18"/>
                <w:szCs w:val="18"/>
                <w:b w:val="1"/>
                <w:bCs w:val="1"/>
                <w:color w:val="auto"/>
                <w:w w:val="91"/>
              </w:rPr>
              <w:t>Hirzel House, Smith Street,</w:t>
            </w:r>
          </w:p>
        </w:tc>
      </w:tr>
      <w:tr>
        <w:trPr>
          <w:trHeight w:val="216"/>
        </w:trPr>
        <w:tc>
          <w:tcPr>
            <w:tcW w:w="1960" w:type="dxa"/>
            <w:vAlign w:val="bottom"/>
          </w:tcPr>
          <w:p>
            <w:pPr>
              <w:spacing w:after="0"/>
              <w:rPr>
                <w:sz w:val="18"/>
                <w:szCs w:val="18"/>
                <w:color w:val="auto"/>
              </w:rPr>
            </w:pPr>
          </w:p>
        </w:tc>
        <w:tc>
          <w:tcPr>
            <w:tcW w:w="5340" w:type="dxa"/>
            <w:vAlign w:val="bottom"/>
            <w:gridSpan w:val="3"/>
          </w:tcPr>
          <w:p>
            <w:pPr>
              <w:jc w:val="center"/>
              <w:ind w:right="1602"/>
              <w:spacing w:after="0"/>
              <w:rPr>
                <w:sz w:val="20"/>
                <w:szCs w:val="20"/>
                <w:color w:val="auto"/>
              </w:rPr>
            </w:pPr>
            <w:r>
              <w:rPr>
                <w:rFonts w:ascii="Arial" w:cs="Arial" w:eastAsia="Arial" w:hAnsi="Arial"/>
                <w:sz w:val="18"/>
                <w:szCs w:val="18"/>
                <w:b w:val="1"/>
                <w:bCs w:val="1"/>
                <w:color w:val="auto"/>
                <w:w w:val="89"/>
              </w:rPr>
              <w:t>St. Peter Port, Island of Guernsey,</w:t>
            </w:r>
          </w:p>
        </w:tc>
      </w:tr>
      <w:tr>
        <w:trPr>
          <w:trHeight w:val="212"/>
        </w:trPr>
        <w:tc>
          <w:tcPr>
            <w:tcW w:w="1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00" w:type="dxa"/>
            <w:vAlign w:val="bottom"/>
            <w:gridSpan w:val="2"/>
          </w:tcPr>
          <w:p>
            <w:pPr>
              <w:jc w:val="center"/>
              <w:ind w:right="2222"/>
              <w:spacing w:after="0"/>
              <w:rPr>
                <w:sz w:val="20"/>
                <w:szCs w:val="20"/>
                <w:color w:val="auto"/>
              </w:rPr>
            </w:pPr>
            <w:r>
              <w:rPr>
                <w:rFonts w:ascii="Arial" w:cs="Arial" w:eastAsia="Arial" w:hAnsi="Arial"/>
                <w:sz w:val="18"/>
                <w:szCs w:val="18"/>
                <w:b w:val="1"/>
                <w:bCs w:val="1"/>
                <w:color w:val="auto"/>
                <w:w w:val="97"/>
              </w:rPr>
              <w:t>GY1 2NG</w:t>
            </w:r>
          </w:p>
        </w:tc>
      </w:tr>
      <w:tr>
        <w:trPr>
          <w:trHeight w:val="186"/>
        </w:trPr>
        <w:tc>
          <w:tcPr>
            <w:tcW w:w="1960" w:type="dxa"/>
            <w:vAlign w:val="bottom"/>
          </w:tcPr>
          <w:p>
            <w:pPr>
              <w:spacing w:after="0"/>
              <w:rPr>
                <w:sz w:val="16"/>
                <w:szCs w:val="16"/>
                <w:color w:val="auto"/>
              </w:rPr>
            </w:pPr>
          </w:p>
        </w:tc>
        <w:tc>
          <w:tcPr>
            <w:tcW w:w="5340" w:type="dxa"/>
            <w:vAlign w:val="bottom"/>
            <w:gridSpan w:val="3"/>
          </w:tcPr>
          <w:p>
            <w:pPr>
              <w:jc w:val="center"/>
              <w:ind w:right="1602"/>
              <w:spacing w:after="0"/>
              <w:rPr>
                <w:sz w:val="20"/>
                <w:szCs w:val="20"/>
                <w:color w:val="auto"/>
              </w:rPr>
            </w:pPr>
            <w:r>
              <w:rPr>
                <w:rFonts w:ascii="Arial" w:cs="Arial" w:eastAsia="Arial" w:hAnsi="Arial"/>
                <w:sz w:val="14"/>
                <w:szCs w:val="14"/>
                <w:b w:val="1"/>
                <w:bCs w:val="1"/>
                <w:color w:val="auto"/>
                <w:w w:val="92"/>
              </w:rPr>
              <w:t>(Address including zip code of Principal Executive Officer)</w:t>
            </w:r>
          </w:p>
        </w:tc>
      </w:tr>
      <w:tr>
        <w:trPr>
          <w:trHeight w:val="350"/>
        </w:trPr>
        <w:tc>
          <w:tcPr>
            <w:tcW w:w="1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407"/>
        </w:trPr>
        <w:tc>
          <w:tcPr>
            <w:tcW w:w="1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00" w:type="dxa"/>
            <w:vAlign w:val="bottom"/>
            <w:gridSpan w:val="2"/>
          </w:tcPr>
          <w:p>
            <w:pPr>
              <w:jc w:val="center"/>
              <w:ind w:right="2242"/>
              <w:spacing w:after="0"/>
              <w:rPr>
                <w:sz w:val="20"/>
                <w:szCs w:val="20"/>
                <w:color w:val="auto"/>
              </w:rPr>
            </w:pPr>
            <w:r>
              <w:rPr>
                <w:rFonts w:ascii="Arial" w:cs="Arial" w:eastAsia="Arial" w:hAnsi="Arial"/>
                <w:sz w:val="18"/>
                <w:szCs w:val="18"/>
                <w:b w:val="1"/>
                <w:bCs w:val="1"/>
                <w:color w:val="auto"/>
                <w:w w:val="98"/>
              </w:rPr>
              <w:t>1998 STOCK OPTION AND</w:t>
            </w:r>
          </w:p>
        </w:tc>
      </w:tr>
      <w:tr>
        <w:trPr>
          <w:trHeight w:val="212"/>
        </w:trPr>
        <w:tc>
          <w:tcPr>
            <w:tcW w:w="1960" w:type="dxa"/>
            <w:vAlign w:val="bottom"/>
          </w:tcPr>
          <w:p>
            <w:pPr>
              <w:spacing w:after="0"/>
              <w:rPr>
                <w:sz w:val="18"/>
                <w:szCs w:val="18"/>
                <w:color w:val="auto"/>
              </w:rPr>
            </w:pPr>
          </w:p>
        </w:tc>
        <w:tc>
          <w:tcPr>
            <w:tcW w:w="5340" w:type="dxa"/>
            <w:vAlign w:val="bottom"/>
            <w:gridSpan w:val="3"/>
          </w:tcPr>
          <w:p>
            <w:pPr>
              <w:jc w:val="center"/>
              <w:ind w:right="1602"/>
              <w:spacing w:after="0"/>
              <w:rPr>
                <w:sz w:val="20"/>
                <w:szCs w:val="20"/>
                <w:color w:val="auto"/>
              </w:rPr>
            </w:pPr>
            <w:r>
              <w:rPr>
                <w:rFonts w:ascii="Arial" w:cs="Arial" w:eastAsia="Arial" w:hAnsi="Arial"/>
                <w:sz w:val="18"/>
                <w:szCs w:val="18"/>
                <w:b w:val="1"/>
                <w:bCs w:val="1"/>
                <w:color w:val="auto"/>
              </w:rPr>
              <w:t>INCENTIVE PLAN, AS AMENDED</w:t>
            </w:r>
          </w:p>
        </w:tc>
      </w:tr>
      <w:tr>
        <w:trPr>
          <w:trHeight w:val="186"/>
        </w:trPr>
        <w:tc>
          <w:tcPr>
            <w:tcW w:w="1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700" w:type="dxa"/>
            <w:vAlign w:val="bottom"/>
            <w:gridSpan w:val="2"/>
          </w:tcPr>
          <w:p>
            <w:pPr>
              <w:jc w:val="center"/>
              <w:ind w:right="2222"/>
              <w:spacing w:after="0"/>
              <w:rPr>
                <w:sz w:val="20"/>
                <w:szCs w:val="20"/>
                <w:color w:val="auto"/>
              </w:rPr>
            </w:pPr>
            <w:r>
              <w:rPr>
                <w:rFonts w:ascii="Arial" w:cs="Arial" w:eastAsia="Arial" w:hAnsi="Arial"/>
                <w:sz w:val="14"/>
                <w:szCs w:val="14"/>
                <w:b w:val="1"/>
                <w:bCs w:val="1"/>
                <w:color w:val="auto"/>
                <w:w w:val="95"/>
              </w:rPr>
              <w:t>(Full Title of the Plan)</w:t>
            </w:r>
          </w:p>
        </w:tc>
      </w:tr>
      <w:tr>
        <w:trPr>
          <w:trHeight w:val="336"/>
        </w:trPr>
        <w:tc>
          <w:tcPr>
            <w:tcW w:w="1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407"/>
        </w:trPr>
        <w:tc>
          <w:tcPr>
            <w:tcW w:w="1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00" w:type="dxa"/>
            <w:vAlign w:val="bottom"/>
            <w:gridSpan w:val="2"/>
          </w:tcPr>
          <w:p>
            <w:pPr>
              <w:jc w:val="center"/>
              <w:ind w:right="2222"/>
              <w:spacing w:after="0"/>
              <w:rPr>
                <w:sz w:val="20"/>
                <w:szCs w:val="20"/>
                <w:color w:val="auto"/>
              </w:rPr>
            </w:pPr>
            <w:r>
              <w:rPr>
                <w:rFonts w:ascii="Arial" w:cs="Arial" w:eastAsia="Arial" w:hAnsi="Arial"/>
                <w:sz w:val="18"/>
                <w:szCs w:val="18"/>
                <w:b w:val="1"/>
                <w:bCs w:val="1"/>
                <w:color w:val="auto"/>
                <w:w w:val="89"/>
              </w:rPr>
              <w:t>Amdocs, Inc.</w:t>
            </w:r>
          </w:p>
        </w:tc>
      </w:tr>
      <w:tr>
        <w:trPr>
          <w:trHeight w:val="216"/>
        </w:trPr>
        <w:tc>
          <w:tcPr>
            <w:tcW w:w="1960" w:type="dxa"/>
            <w:vAlign w:val="bottom"/>
          </w:tcPr>
          <w:p>
            <w:pPr>
              <w:spacing w:after="0"/>
              <w:rPr>
                <w:sz w:val="18"/>
                <w:szCs w:val="18"/>
                <w:color w:val="auto"/>
              </w:rPr>
            </w:pPr>
          </w:p>
        </w:tc>
        <w:tc>
          <w:tcPr>
            <w:tcW w:w="5340" w:type="dxa"/>
            <w:vAlign w:val="bottom"/>
            <w:gridSpan w:val="3"/>
          </w:tcPr>
          <w:p>
            <w:pPr>
              <w:jc w:val="center"/>
              <w:ind w:right="1582"/>
              <w:spacing w:after="0"/>
              <w:rPr>
                <w:sz w:val="20"/>
                <w:szCs w:val="20"/>
                <w:color w:val="auto"/>
              </w:rPr>
            </w:pPr>
            <w:r>
              <w:rPr>
                <w:rFonts w:ascii="Arial" w:cs="Arial" w:eastAsia="Arial" w:hAnsi="Arial"/>
                <w:sz w:val="18"/>
                <w:szCs w:val="18"/>
                <w:b w:val="1"/>
                <w:bCs w:val="1"/>
                <w:color w:val="auto"/>
                <w:w w:val="93"/>
              </w:rPr>
              <w:t>1390 Timberlake Manor Parkway,</w:t>
            </w:r>
          </w:p>
        </w:tc>
      </w:tr>
      <w:tr>
        <w:trPr>
          <w:trHeight w:val="216"/>
        </w:trPr>
        <w:tc>
          <w:tcPr>
            <w:tcW w:w="1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00" w:type="dxa"/>
            <w:vAlign w:val="bottom"/>
            <w:gridSpan w:val="2"/>
          </w:tcPr>
          <w:p>
            <w:pPr>
              <w:jc w:val="center"/>
              <w:ind w:right="2222"/>
              <w:spacing w:after="0"/>
              <w:rPr>
                <w:sz w:val="20"/>
                <w:szCs w:val="20"/>
                <w:color w:val="auto"/>
              </w:rPr>
            </w:pPr>
            <w:r>
              <w:rPr>
                <w:rFonts w:ascii="Arial" w:cs="Arial" w:eastAsia="Arial" w:hAnsi="Arial"/>
                <w:sz w:val="18"/>
                <w:szCs w:val="18"/>
                <w:b w:val="1"/>
                <w:bCs w:val="1"/>
                <w:color w:val="auto"/>
                <w:w w:val="90"/>
              </w:rPr>
              <w:t>Chesterfield, Missouri 63017</w:t>
            </w:r>
          </w:p>
        </w:tc>
      </w:tr>
      <w:tr>
        <w:trPr>
          <w:trHeight w:val="212"/>
        </w:trPr>
        <w:tc>
          <w:tcPr>
            <w:tcW w:w="1960" w:type="dxa"/>
            <w:vAlign w:val="bottom"/>
          </w:tcPr>
          <w:p>
            <w:pPr>
              <w:spacing w:after="0"/>
              <w:rPr>
                <w:sz w:val="18"/>
                <w:szCs w:val="18"/>
                <w:color w:val="auto"/>
              </w:rPr>
            </w:pPr>
          </w:p>
        </w:tc>
        <w:tc>
          <w:tcPr>
            <w:tcW w:w="5340" w:type="dxa"/>
            <w:vAlign w:val="bottom"/>
            <w:gridSpan w:val="3"/>
          </w:tcPr>
          <w:p>
            <w:pPr>
              <w:jc w:val="center"/>
              <w:ind w:right="1602"/>
              <w:spacing w:after="0"/>
              <w:rPr>
                <w:sz w:val="20"/>
                <w:szCs w:val="20"/>
                <w:color w:val="auto"/>
              </w:rPr>
            </w:pPr>
            <w:r>
              <w:rPr>
                <w:rFonts w:ascii="Arial" w:cs="Arial" w:eastAsia="Arial" w:hAnsi="Arial"/>
                <w:sz w:val="18"/>
                <w:szCs w:val="18"/>
                <w:b w:val="1"/>
                <w:bCs w:val="1"/>
                <w:color w:val="auto"/>
                <w:w w:val="92"/>
              </w:rPr>
              <w:t>Attention: Matthew E. Smith, Secretary</w:t>
            </w:r>
          </w:p>
        </w:tc>
      </w:tr>
      <w:tr>
        <w:trPr>
          <w:trHeight w:val="186"/>
        </w:trPr>
        <w:tc>
          <w:tcPr>
            <w:tcW w:w="1960" w:type="dxa"/>
            <w:vAlign w:val="bottom"/>
          </w:tcPr>
          <w:p>
            <w:pPr>
              <w:spacing w:after="0"/>
              <w:rPr>
                <w:sz w:val="16"/>
                <w:szCs w:val="16"/>
                <w:color w:val="auto"/>
              </w:rPr>
            </w:pPr>
          </w:p>
        </w:tc>
        <w:tc>
          <w:tcPr>
            <w:tcW w:w="5340" w:type="dxa"/>
            <w:vAlign w:val="bottom"/>
            <w:gridSpan w:val="3"/>
          </w:tcPr>
          <w:p>
            <w:pPr>
              <w:jc w:val="center"/>
              <w:ind w:right="1582"/>
              <w:spacing w:after="0"/>
              <w:rPr>
                <w:sz w:val="20"/>
                <w:szCs w:val="20"/>
                <w:color w:val="auto"/>
              </w:rPr>
            </w:pPr>
            <w:r>
              <w:rPr>
                <w:rFonts w:ascii="Arial" w:cs="Arial" w:eastAsia="Arial" w:hAnsi="Arial"/>
                <w:sz w:val="14"/>
                <w:szCs w:val="14"/>
                <w:b w:val="1"/>
                <w:bCs w:val="1"/>
                <w:color w:val="auto"/>
                <w:w w:val="92"/>
              </w:rPr>
              <w:t>(Name and Address of Agent for Service)</w:t>
            </w:r>
          </w:p>
        </w:tc>
      </w:tr>
      <w:tr>
        <w:trPr>
          <w:trHeight w:val="302"/>
        </w:trPr>
        <w:tc>
          <w:tcPr>
            <w:tcW w:w="1960" w:type="dxa"/>
            <w:vAlign w:val="bottom"/>
          </w:tcPr>
          <w:p>
            <w:pPr>
              <w:spacing w:after="0"/>
              <w:rPr>
                <w:sz w:val="24"/>
                <w:szCs w:val="24"/>
                <w:color w:val="auto"/>
              </w:rPr>
            </w:pPr>
          </w:p>
        </w:tc>
        <w:tc>
          <w:tcPr>
            <w:tcW w:w="3020" w:type="dxa"/>
            <w:vAlign w:val="bottom"/>
            <w:gridSpan w:val="2"/>
          </w:tcPr>
          <w:p>
            <w:pPr>
              <w:jc w:val="right"/>
              <w:ind w:right="533"/>
              <w:spacing w:after="0"/>
              <w:rPr>
                <w:sz w:val="20"/>
                <w:szCs w:val="20"/>
                <w:color w:val="auto"/>
              </w:rPr>
            </w:pPr>
            <w:r>
              <w:rPr>
                <w:rFonts w:ascii="Arial" w:cs="Arial" w:eastAsia="Arial" w:hAnsi="Arial"/>
                <w:sz w:val="18"/>
                <w:szCs w:val="18"/>
                <w:b w:val="1"/>
                <w:bCs w:val="1"/>
                <w:color w:val="auto"/>
              </w:rPr>
              <w:t>(314) 212-8328</w:t>
            </w:r>
          </w:p>
        </w:tc>
        <w:tc>
          <w:tcPr>
            <w:tcW w:w="232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commission is requested to send copies of all communications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Michael Kaplan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450-4000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 as amended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gridSpan w:val="2"/>
          </w:tcPr>
          <w:p>
            <w:pPr>
              <w:spacing w:after="0"/>
              <w:rPr>
                <w:sz w:val="20"/>
                <w:szCs w:val="20"/>
                <w:color w:val="auto"/>
              </w:rPr>
            </w:pPr>
            <w:r>
              <w:rPr>
                <w:rFonts w:ascii="Arial" w:cs="Arial" w:eastAsia="Arial" w:hAnsi="Arial"/>
                <w:sz w:val="18"/>
                <w:szCs w:val="18"/>
                <w:color w:val="auto"/>
                <w:w w:val="98"/>
              </w:rPr>
              <w:t>Large accelerated filer</w:t>
            </w:r>
          </w:p>
        </w:tc>
        <w:tc>
          <w:tcPr>
            <w:tcW w:w="17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gridSpan w:val="2"/>
          </w:tcPr>
          <w:p>
            <w:pPr>
              <w:ind w:left="600"/>
              <w:spacing w:after="0"/>
              <w:rPr>
                <w:sz w:val="20"/>
                <w:szCs w:val="20"/>
                <w:color w:val="auto"/>
              </w:rPr>
            </w:pPr>
            <w:r>
              <w:rPr>
                <w:rFonts w:ascii="Arial" w:cs="Arial" w:eastAsia="Arial" w:hAnsi="Arial"/>
                <w:sz w:val="18"/>
                <w:szCs w:val="18"/>
                <w:color w:val="auto"/>
                <w:w w:val="92"/>
              </w:rPr>
              <w:t>Accelerated filer</w:t>
            </w:r>
          </w:p>
        </w:tc>
        <w:tc>
          <w:tcPr>
            <w:tcW w:w="1100" w:type="dxa"/>
            <w:vAlign w:val="bottom"/>
          </w:tcPr>
          <w:p>
            <w:pPr>
              <w:spacing w:after="0"/>
              <w:rPr>
                <w:sz w:val="24"/>
                <w:szCs w:val="24"/>
                <w:color w:val="auto"/>
              </w:rPr>
            </w:pP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78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5120" w:type="dxa"/>
            <w:vAlign w:val="bottom"/>
            <w:gridSpan w:val="5"/>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60" w:type="dxa"/>
            <w:vAlign w:val="bottom"/>
          </w:tcPr>
          <w:p>
            <w:pPr>
              <w:spacing w:after="0"/>
              <w:rPr>
                <w:sz w:val="24"/>
                <w:szCs w:val="24"/>
                <w:color w:val="auto"/>
              </w:rPr>
            </w:pPr>
          </w:p>
        </w:tc>
        <w:tc>
          <w:tcPr>
            <w:tcW w:w="292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5"/>
          </w:tcPr>
          <w:p>
            <w:pPr>
              <w:ind w:left="44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9"/>
                <w:szCs w:val="9"/>
                <w:color w:val="auto"/>
              </w:rPr>
            </w:pPr>
          </w:p>
        </w:tc>
        <w:tc>
          <w:tcPr>
            <w:tcW w:w="1360" w:type="dxa"/>
            <w:vAlign w:val="bottom"/>
            <w:tcBorders>
              <w:right w:val="single" w:sz="8" w:color="auto"/>
            </w:tcBorders>
          </w:tcPr>
          <w:p>
            <w:pPr>
              <w:jc w:val="center"/>
              <w:ind w:right="6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2"/>
              <w:spacing w:after="0" w:line="106" w:lineRule="exact"/>
              <w:rPr>
                <w:sz w:val="20"/>
                <w:szCs w:val="20"/>
                <w:color w:val="auto"/>
              </w:rPr>
            </w:pPr>
            <w:r>
              <w:rPr>
                <w:rFonts w:ascii="Arial" w:cs="Arial" w:eastAsia="Arial" w:hAnsi="Arial"/>
                <w:sz w:val="12"/>
                <w:szCs w:val="12"/>
                <w:b w:val="1"/>
                <w:bCs w:val="1"/>
                <w:color w:val="auto"/>
              </w:rPr>
              <w:t>Proposed</w:t>
            </w: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86"/>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2"/>
              <w:spacing w:after="0" w:line="149" w:lineRule="exact"/>
              <w:rPr>
                <w:sz w:val="20"/>
                <w:szCs w:val="20"/>
                <w:color w:val="auto"/>
              </w:rPr>
            </w:pPr>
            <w:r>
              <w:rPr>
                <w:rFonts w:ascii="Arial" w:cs="Arial" w:eastAsia="Arial" w:hAnsi="Arial"/>
                <w:sz w:val="14"/>
                <w:szCs w:val="14"/>
                <w:b w:val="1"/>
                <w:bCs w:val="1"/>
                <w:color w:val="auto"/>
                <w:w w:val="99"/>
              </w:rPr>
              <w:t>Maximum</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760" w:type="dxa"/>
            <w:vAlign w:val="bottom"/>
          </w:tcPr>
          <w:p>
            <w:pPr>
              <w:jc w:val="center"/>
              <w:ind w:right="199"/>
              <w:spacing w:after="0" w:line="158" w:lineRule="exact"/>
              <w:rPr>
                <w:sz w:val="20"/>
                <w:szCs w:val="20"/>
                <w:color w:val="auto"/>
              </w:rPr>
            </w:pPr>
            <w:r>
              <w:rPr>
                <w:rFonts w:ascii="Arial" w:cs="Arial" w:eastAsia="Arial" w:hAnsi="Arial"/>
                <w:sz w:val="14"/>
                <w:szCs w:val="14"/>
                <w:b w:val="1"/>
                <w:bCs w:val="1"/>
                <w:color w:val="auto"/>
                <w:w w:val="94"/>
              </w:rPr>
              <w:t>Title Of Securities</w:t>
            </w:r>
          </w:p>
        </w:tc>
        <w:tc>
          <w:tcPr>
            <w:tcW w:w="98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To Be</w:t>
            </w:r>
          </w:p>
        </w:tc>
        <w:tc>
          <w:tcPr>
            <w:tcW w:w="240" w:type="dxa"/>
            <w:vAlign w:val="bottom"/>
          </w:tcPr>
          <w:p>
            <w:pPr>
              <w:spacing w:after="0"/>
              <w:rPr>
                <w:sz w:val="13"/>
                <w:szCs w:val="13"/>
                <w:color w:val="auto"/>
              </w:rPr>
            </w:pPr>
          </w:p>
        </w:tc>
        <w:tc>
          <w:tcPr>
            <w:tcW w:w="1360" w:type="dxa"/>
            <w:vAlign w:val="bottom"/>
            <w:tcBorders>
              <w:right w:val="single" w:sz="8" w:color="auto"/>
            </w:tcBorders>
          </w:tcPr>
          <w:p>
            <w:pPr>
              <w:jc w:val="center"/>
              <w:ind w:right="86"/>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2"/>
              <w:spacing w:after="0" w:line="158"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3"/>
                <w:szCs w:val="13"/>
                <w:color w:val="auto"/>
              </w:rPr>
            </w:pPr>
          </w:p>
        </w:tc>
        <w:tc>
          <w:tcPr>
            <w:tcW w:w="1100" w:type="dxa"/>
            <w:vAlign w:val="bottom"/>
          </w:tcPr>
          <w:p>
            <w:pPr>
              <w:jc w:val="center"/>
              <w:ind w:left="42"/>
              <w:spacing w:after="0" w:line="158" w:lineRule="exact"/>
              <w:rPr>
                <w:sz w:val="20"/>
                <w:szCs w:val="20"/>
                <w:color w:val="auto"/>
              </w:rPr>
            </w:pPr>
            <w:r>
              <w:rPr>
                <w:rFonts w:ascii="Arial" w:cs="Arial" w:eastAsia="Arial" w:hAnsi="Arial"/>
                <w:sz w:val="14"/>
                <w:szCs w:val="14"/>
                <w:b w:val="1"/>
                <w:bCs w:val="1"/>
                <w:color w:val="auto"/>
                <w:w w:val="96"/>
              </w:rPr>
              <w:t>Amount Of</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0"/>
              </w:rPr>
              <w:t>To Be Registered</w:t>
            </w: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2"/>
              </w:rPr>
              <w:t>Per Share (2)</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5"/>
              </w:rPr>
              <w:t>Offering Price (2)</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b w:val="1"/>
                <w:bCs w:val="1"/>
                <w:color w:val="auto"/>
                <w:w w:val="93"/>
              </w:rPr>
              <w:t>Registration Fee (3)</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Ordinary Shares, £0.01 par value</w:t>
            </w:r>
          </w:p>
        </w:tc>
        <w:tc>
          <w:tcPr>
            <w:tcW w:w="1520" w:type="dxa"/>
            <w:vAlign w:val="bottom"/>
            <w:tcBorders>
              <w:bottom w:val="single" w:sz="8" w:color="auto"/>
              <w:right w:val="single" w:sz="8" w:color="auto"/>
            </w:tcBorders>
            <w:gridSpan w:val="2"/>
          </w:tcPr>
          <w:p>
            <w:pPr>
              <w:spacing w:after="0"/>
              <w:rPr>
                <w:sz w:val="18"/>
                <w:szCs w:val="18"/>
                <w:color w:val="auto"/>
              </w:rPr>
            </w:pP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89"/>
              </w:rPr>
              <w:t>5,250,000</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66"/>
              <w:spacing w:after="0"/>
              <w:rPr>
                <w:sz w:val="20"/>
                <w:szCs w:val="20"/>
                <w:color w:val="auto"/>
              </w:rPr>
            </w:pPr>
            <w:r>
              <w:rPr>
                <w:rFonts w:ascii="Arial" w:cs="Arial" w:eastAsia="Arial" w:hAnsi="Arial"/>
                <w:sz w:val="18"/>
                <w:szCs w:val="18"/>
                <w:color w:val="auto"/>
                <w:w w:val="90"/>
              </w:rPr>
              <w:t>$63.89</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90"/>
              </w:rPr>
              <w:t>$335,422,500</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22"/>
              <w:spacing w:after="0"/>
              <w:rPr>
                <w:sz w:val="20"/>
                <w:szCs w:val="20"/>
                <w:color w:val="auto"/>
              </w:rPr>
            </w:pPr>
            <w:r>
              <w:rPr>
                <w:rFonts w:ascii="Arial" w:cs="Arial" w:eastAsia="Arial" w:hAnsi="Arial"/>
                <w:sz w:val="18"/>
                <w:szCs w:val="18"/>
                <w:color w:val="auto"/>
                <w:w w:val="88"/>
              </w:rPr>
              <w:t>$41,760.10</w:t>
            </w: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29" w:right="239" w:bottom="0" w:gutter="0" w:footer="0" w:header="0"/>
        </w:sectPr>
      </w:pPr>
    </w:p>
    <w:bookmarkStart w:id="1" w:name="page2"/>
    <w:bookmarkEnd w:id="1"/>
    <w:p>
      <w:pPr>
        <w:ind w:left="460" w:hanging="452"/>
        <w:spacing w:after="0" w:line="25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of the Securities Act, this Form S-8 registration statement (this “Registration Statement”) shall also cover any additional Ordinary Shares that become issuable under the Plan being registered pursuant to this Registration Statement by reason of any stock dividend, stock split, recapitalization or any other similar transaction effected without the receipt of consideration that results in an increase in the number of the Registrant’s outstanding Ordinary Shares.</w:t>
      </w:r>
    </w:p>
    <w:p>
      <w:pPr>
        <w:spacing w:after="0" w:line="2" w:lineRule="exact"/>
        <w:rPr>
          <w:rFonts w:ascii="Arial" w:cs="Arial" w:eastAsia="Arial" w:hAnsi="Arial"/>
          <w:sz w:val="18"/>
          <w:szCs w:val="18"/>
          <w:color w:val="auto"/>
        </w:rPr>
      </w:pPr>
    </w:p>
    <w:p>
      <w:pPr>
        <w:jc w:val="both"/>
        <w:ind w:left="460" w:right="12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Rules 457(c) and 457(h) of the Securities Act of 1933, as amended, and based upon the average of the high and low prices of the Registrant’s Ordinary Shares as reported on the Nasdaq Global Select Market on February 9, 2018.</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Rounded up to the nearest penny.</w:t>
      </w:r>
    </w:p>
    <w:p>
      <w:pPr>
        <w:spacing w:after="0" w:line="207"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b w:val="1"/>
          <w:bCs w:val="1"/>
          <w:color w:val="auto"/>
        </w:rPr>
        <w:t>The prospectus included in this Registration Statement is a combined prospectus which also relates to an aggregate of 62,300,000 Ordinary Shares previously registered under the Company’s registration statements on Form S-8 filed on January 30, 2014 (File No. 333-193659), May 12, 2009 (File No. 333-159163), April 4, 2006 (File No. 333-132968), March 31, 2004 (File No. 333-114077), April 6, 2001 (File No. 333-58454), March 2, 2000 (File No. 333-31506) and December 14, 1999 (File No. 333-92705).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39"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This Registration Statement on Form S-8 is being filed for the purpose of registering 5,250,000 ordinary shares, par value £0.01 per share (“Ordinary Shares”), of Amdocs Limited (the “Company”) authorized for issuance pursuant to the Company’s 1998 Stock Option and Incentive Plan, as amended (the “Plan”). These additional shares were authorized for issuance as a result of the adoption of amendments to the Plan approved by the Company’s Board of Directors in November 2016 and shareholders in January 2017.</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 PLAN INFORMATION.</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information required by Item 1 is included in documents sent or provided to participants in the Plan covered by this Registration Statement pursuant to Rule 428(b)(1) of the Securities Act of 1933, as amended (the “Securities Act”).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460" w:right="2900" w:firstLine="2453"/>
        <w:spacing w:after="0" w:line="407" w:lineRule="auto"/>
        <w:rPr>
          <w:sz w:val="20"/>
          <w:szCs w:val="20"/>
          <w:color w:val="auto"/>
        </w:rPr>
      </w:pPr>
      <w:r>
        <w:rPr>
          <w:rFonts w:ascii="Arial" w:cs="Arial" w:eastAsia="Arial" w:hAnsi="Arial"/>
          <w:sz w:val="18"/>
          <w:szCs w:val="18"/>
          <w:b w:val="1"/>
          <w:bCs w:val="1"/>
          <w:color w:val="auto"/>
        </w:rPr>
        <w:t>INFORMATION REQUIRED IN THE REGISTRATION STATEMENT Item 3. INCORPORATION BY REFERENCE.</w:t>
      </w:r>
    </w:p>
    <w:p>
      <w:pPr>
        <w:spacing w:after="0" w:line="58"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The Registrant is subject to the informational and reporting requirements of Sections 13(a), 14, and 15(d) of the Exchange Act, and in accordance therewith files reports and other information with the Securities and Exchange Commission (the “Commission”). The following documents, which are on file with the Commission, are incorporated in this Registration Statement by reference:</w:t>
      </w:r>
    </w:p>
    <w:p>
      <w:pPr>
        <w:spacing w:after="0" w:line="181" w:lineRule="exact"/>
        <w:rPr>
          <w:sz w:val="20"/>
          <w:szCs w:val="20"/>
          <w:color w:val="auto"/>
        </w:rPr>
      </w:pPr>
    </w:p>
    <w:p>
      <w:pPr>
        <w:ind w:right="240" w:firstLine="464"/>
        <w:spacing w:after="0" w:line="286" w:lineRule="auto"/>
        <w:tabs>
          <w:tab w:leader="none" w:pos="701" w:val="left"/>
        </w:tabs>
        <w:numPr>
          <w:ilvl w:val="1"/>
          <w:numId w:val="2"/>
        </w:numPr>
        <w:rPr>
          <w:rFonts w:ascii="Arial" w:cs="Arial" w:eastAsia="Arial" w:hAnsi="Arial"/>
          <w:sz w:val="17"/>
          <w:szCs w:val="17"/>
          <w:color w:val="auto"/>
        </w:rPr>
      </w:pPr>
      <w:r>
        <w:rPr>
          <w:rFonts w:ascii="Arial" w:cs="Arial" w:eastAsia="Arial" w:hAnsi="Arial"/>
          <w:sz w:val="17"/>
          <w:szCs w:val="17"/>
          <w:color w:val="auto"/>
        </w:rPr>
        <w:t>Pursuant to General Instruction E to Form S-8, the contents of seven registration statements on Form S-8 (File Nos. 333-193659, 333-159163, 333-132968, 333-114077, 333-58454, 333-31506 and 333-92705) previously filed by the Company with respect to Ordinary Shares offered pursuant to the Plan are hereby incorporated by reference herein, and the opinions and consents listed below are filed herewith.</w:t>
      </w:r>
    </w:p>
    <w:p>
      <w:pPr>
        <w:spacing w:after="0" w:line="165" w:lineRule="exact"/>
        <w:rPr>
          <w:rFonts w:ascii="Arial" w:cs="Arial" w:eastAsia="Arial" w:hAnsi="Arial"/>
          <w:sz w:val="17"/>
          <w:szCs w:val="17"/>
          <w:color w:val="auto"/>
        </w:rPr>
      </w:pPr>
    </w:p>
    <w:p>
      <w:pPr>
        <w:ind w:left="720" w:hanging="256"/>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20-F for the fiscal year ended September 30, 2017.</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All other reports filed pursuant to Section 13(a) or 15(d) of the Exchange Act since the end of the fiscal year covered by the document referred to in</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above.</w:t>
      </w:r>
    </w:p>
    <w:p>
      <w:pPr>
        <w:spacing w:after="0" w:line="210" w:lineRule="exact"/>
        <w:rPr>
          <w:rFonts w:ascii="Arial" w:cs="Arial" w:eastAsia="Arial" w:hAnsi="Arial"/>
          <w:sz w:val="18"/>
          <w:szCs w:val="18"/>
          <w:color w:val="auto"/>
        </w:rPr>
      </w:pPr>
    </w:p>
    <w:p>
      <w:pPr>
        <w:ind w:right="60" w:firstLine="464"/>
        <w:spacing w:after="0" w:line="277" w:lineRule="auto"/>
        <w:tabs>
          <w:tab w:leader="none" w:pos="711"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description of the Registrant’s Ordinary Shares contained in the Registrant’s Registration Statement on Form 8-A as filed with the Commission on December 19, 2013, including any amendment or report filed for updating such description.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8.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5220" w:type="dxa"/>
            <w:vAlign w:val="bottom"/>
            <w:gridSpan w:val="6"/>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52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2"/>
                <w:szCs w:val="22"/>
                <w:color w:val="auto"/>
              </w:rPr>
            </w:pPr>
          </w:p>
        </w:tc>
        <w:tc>
          <w:tcPr>
            <w:tcW w:w="5940" w:type="dxa"/>
            <w:vAlign w:val="bottom"/>
            <w:gridSpan w:val="7"/>
          </w:tcPr>
          <w:p>
            <w:pPr>
              <w:spacing w:after="0"/>
              <w:rPr>
                <w:sz w:val="20"/>
                <w:szCs w:val="20"/>
                <w:color w:val="auto"/>
              </w:rPr>
            </w:pPr>
            <w:r>
              <w:rPr>
                <w:rFonts w:ascii="Arial" w:cs="Arial" w:eastAsia="Arial" w:hAnsi="Arial"/>
                <w:sz w:val="18"/>
                <w:szCs w:val="18"/>
                <w:color w:val="0000EE"/>
              </w:rPr>
              <w:t>Opinion of Carey Olsen.</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35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Consent of Carey Olsen (included in Exhibit 5.1).</w:t>
            </w:r>
          </w:p>
        </w:tc>
        <w:tc>
          <w:tcPr>
            <w:tcW w:w="23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24"/>
                <w:szCs w:val="24"/>
                <w:color w:val="auto"/>
              </w:rPr>
            </w:pPr>
          </w:p>
        </w:tc>
        <w:tc>
          <w:tcPr>
            <w:tcW w:w="23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Consent of Ernst &amp; Young LLP.</w:t>
            </w:r>
          </w:p>
        </w:tc>
        <w:tc>
          <w:tcPr>
            <w:tcW w:w="36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4"/>
                <w:szCs w:val="24"/>
                <w:color w:val="auto"/>
              </w:rPr>
            </w:pPr>
          </w:p>
        </w:tc>
        <w:tc>
          <w:tcPr>
            <w:tcW w:w="5940" w:type="dxa"/>
            <w:vAlign w:val="bottom"/>
            <w:gridSpan w:val="7"/>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Power of Attorney (included on the signature page of this Registration Statement)</w:t>
              </w:r>
            </w:hyperlink>
            <w:r>
              <w:rPr>
                <w:rFonts w:ascii="Arial" w:cs="Arial" w:eastAsia="Arial" w:hAnsi="Arial"/>
                <w:sz w:val="18"/>
                <w:szCs w:val="18"/>
                <w:color w:val="000000"/>
                <w:w w:val="90"/>
              </w:rPr>
              <w:t>.</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518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0"/>
              </w:rPr>
              <w:t>1998 Stock Option and Incentive Plan of Amdocs Limited, as amended.</w:t>
            </w:r>
          </w:p>
        </w:tc>
        <w:tc>
          <w:tcPr>
            <w:tcW w:w="7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12</w:t>
      </w:r>
      <w:r>
        <w:rPr>
          <w:rFonts w:ascii="Arial" w:cs="Arial" w:eastAsia="Arial" w:hAnsi="Arial"/>
          <w:sz w:val="15"/>
          <w:szCs w:val="15"/>
          <w:color w:val="auto"/>
        </w:rPr>
        <w:t>th</w:t>
      </w:r>
      <w:r>
        <w:rPr>
          <w:rFonts w:ascii="Arial" w:cs="Arial" w:eastAsia="Arial" w:hAnsi="Arial"/>
          <w:sz w:val="18"/>
          <w:szCs w:val="18"/>
          <w:color w:val="auto"/>
        </w:rPr>
        <w:t xml:space="preserve"> day of February 2018.</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Matthew E. Smith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Secretary and Authorized Signatory</w:t>
      </w:r>
    </w:p>
    <w:p>
      <w:pPr>
        <w:sectPr>
          <w:pgSz w:w="11900" w:h="16838" w:orient="portrait"/>
          <w:cols w:equalWidth="0" w:num="1">
            <w:col w:w="11320"/>
          </w:cols>
          <w:pgMar w:left="240" w:top="270"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 AND SIGNATURES</w:t>
      </w:r>
    </w:p>
    <w:p>
      <w:pPr>
        <w:spacing w:after="0" w:line="22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the undersigned officers and directors of Amdocs Limited, hereby severally constitute Robert A. Minicucci and Matthew E. Smith,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behalf in our capacities as officers and directors to enable Amdocs Limited to comply with all requirements of the Securities and Exchange Commission, hereby ratifying and confirming our signatures as they may be signed by said attorneys, or any of them, to said Registration Statement and any and all amendments thereto.</w:t>
      </w:r>
    </w:p>
    <w:p>
      <w:pPr>
        <w:spacing w:after="0" w:line="19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11400"/>
          </w:cols>
          <w:pgMar w:left="240" w:top="270" w:right="259" w:bottom="1440" w:gutter="0" w:footer="0" w:header="0"/>
        </w:sectPr>
      </w:pPr>
    </w:p>
    <w:p>
      <w:pPr>
        <w:spacing w:after="0" w:line="189" w:lineRule="exact"/>
        <w:rPr>
          <w:sz w:val="20"/>
          <w:szCs w:val="20"/>
          <w:color w:val="auto"/>
        </w:rPr>
      </w:pPr>
    </w:p>
    <w:p>
      <w:pPr>
        <w:jc w:val="center"/>
        <w:ind w:left="600"/>
        <w:spacing w:after="0"/>
        <w:rPr>
          <w:sz w:val="20"/>
          <w:szCs w:val="20"/>
          <w:color w:val="auto"/>
        </w:rPr>
      </w:pPr>
      <w:r>
        <w:rPr>
          <w:rFonts w:ascii="Arial" w:cs="Arial" w:eastAsia="Arial" w:hAnsi="Arial"/>
          <w:sz w:val="13"/>
          <w:szCs w:val="13"/>
          <w:b w:val="1"/>
          <w:bCs w:val="1"/>
          <w:u w:val="single" w:color="auto"/>
          <w:color w:val="auto"/>
        </w:rPr>
        <w:t>Signature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Eli Gelman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Eli Gelman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Tamar Rapaport-Dagim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A. Minicucci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A. Minicucci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5387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Julian A.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5387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Rafael de la Vega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5387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Ariane de Rothschild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Adrian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Adrian Gardner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S. Kahan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S. Kahan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Richard T.C. LeFave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Richard T.C. LeFave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T. McLennan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T. McLennan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Giora Yaron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Giora Yaron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5387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Zohar Zisapel</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90"/>
              </w:rPr>
              <w:t>Title</w:t>
            </w:r>
          </w:p>
        </w:tc>
        <w:tc>
          <w:tcPr>
            <w:tcW w:w="2280" w:type="dxa"/>
            <w:vAlign w:val="bottom"/>
          </w:tcPr>
          <w:p>
            <w:pPr>
              <w:spacing w:after="0"/>
              <w:rPr>
                <w:sz w:val="14"/>
                <w:szCs w:val="14"/>
                <w:color w:val="auto"/>
              </w:rPr>
            </w:pPr>
          </w:p>
        </w:tc>
        <w:tc>
          <w:tcPr>
            <w:tcW w:w="1940" w:type="dxa"/>
            <w:vAlign w:val="bottom"/>
            <w:gridSpan w:val="3"/>
          </w:tcPr>
          <w:p>
            <w:pPr>
              <w:jc w:val="center"/>
              <w:ind w:left="531"/>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98"/>
        </w:trPr>
        <w:tc>
          <w:tcPr>
            <w:tcW w:w="4260" w:type="dxa"/>
            <w:vAlign w:val="bottom"/>
            <w:gridSpan w:val="3"/>
          </w:tcPr>
          <w:p>
            <w:pPr>
              <w:spacing w:after="0"/>
              <w:rPr>
                <w:sz w:val="20"/>
                <w:szCs w:val="20"/>
                <w:color w:val="auto"/>
              </w:rPr>
            </w:pPr>
            <w:r>
              <w:rPr>
                <w:rFonts w:ascii="Arial" w:cs="Arial" w:eastAsia="Arial" w:hAnsi="Arial"/>
                <w:sz w:val="18"/>
                <w:szCs w:val="18"/>
                <w:color w:val="auto"/>
              </w:rPr>
              <w:t>Director and Chief Executive Officer (Principal</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0"/>
        </w:trPr>
        <w:tc>
          <w:tcPr>
            <w:tcW w:w="4260" w:type="dxa"/>
            <w:vAlign w:val="bottom"/>
            <w:gridSpan w:val="3"/>
          </w:tcPr>
          <w:p>
            <w:pPr>
              <w:spacing w:after="0"/>
              <w:rPr>
                <w:sz w:val="20"/>
                <w:szCs w:val="20"/>
                <w:color w:val="auto"/>
              </w:rPr>
            </w:pPr>
            <w:r>
              <w:rPr>
                <w:rFonts w:ascii="Arial" w:cs="Arial" w:eastAsia="Arial" w:hAnsi="Arial"/>
                <w:sz w:val="18"/>
                <w:szCs w:val="18"/>
                <w:color w:val="auto"/>
              </w:rPr>
              <w:t>Executive Officer)</w:t>
            </w:r>
          </w:p>
        </w:tc>
        <w:tc>
          <w:tcPr>
            <w:tcW w:w="1940" w:type="dxa"/>
            <w:vAlign w:val="bottom"/>
            <w:gridSpan w:val="3"/>
          </w:tcPr>
          <w:p>
            <w:pPr>
              <w:jc w:val="center"/>
              <w:ind w:left="531"/>
              <w:spacing w:after="0"/>
              <w:rPr>
                <w:sz w:val="20"/>
                <w:szCs w:val="20"/>
                <w:color w:val="auto"/>
              </w:rPr>
            </w:pPr>
            <w:r>
              <w:rPr>
                <w:rFonts w:ascii="Arial" w:cs="Arial" w:eastAsia="Arial" w:hAnsi="Arial"/>
                <w:sz w:val="18"/>
                <w:szCs w:val="18"/>
                <w:color w:val="auto"/>
                <w:w w:val="89"/>
              </w:rPr>
              <w:t>February 12, 2018</w:t>
            </w:r>
          </w:p>
        </w:tc>
      </w:tr>
      <w:tr>
        <w:trPr>
          <w:trHeight w:val="634"/>
        </w:trPr>
        <w:tc>
          <w:tcPr>
            <w:tcW w:w="4260" w:type="dxa"/>
            <w:vAlign w:val="bottom"/>
            <w:gridSpan w:val="3"/>
          </w:tcPr>
          <w:p>
            <w:pPr>
              <w:spacing w:after="0"/>
              <w:rPr>
                <w:sz w:val="20"/>
                <w:szCs w:val="20"/>
                <w:color w:val="auto"/>
              </w:rPr>
            </w:pPr>
            <w:r>
              <w:rPr>
                <w:rFonts w:ascii="Arial" w:cs="Arial" w:eastAsia="Arial" w:hAnsi="Arial"/>
                <w:sz w:val="18"/>
                <w:szCs w:val="18"/>
                <w:color w:val="auto"/>
              </w:rPr>
              <w:t>Chief Financial and Accounting Officer (Principal</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4260" w:type="dxa"/>
            <w:vAlign w:val="bottom"/>
            <w:gridSpan w:val="3"/>
          </w:tcPr>
          <w:p>
            <w:pPr>
              <w:spacing w:after="0"/>
              <w:rPr>
                <w:sz w:val="20"/>
                <w:szCs w:val="20"/>
                <w:color w:val="auto"/>
              </w:rPr>
            </w:pPr>
            <w:r>
              <w:rPr>
                <w:rFonts w:ascii="Arial" w:cs="Arial" w:eastAsia="Arial" w:hAnsi="Arial"/>
                <w:sz w:val="18"/>
                <w:szCs w:val="18"/>
                <w:color w:val="auto"/>
              </w:rPr>
              <w:t>Financial Officer and Principal Accounting</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0"/>
        </w:trPr>
        <w:tc>
          <w:tcPr>
            <w:tcW w:w="4260" w:type="dxa"/>
            <w:vAlign w:val="bottom"/>
            <w:gridSpan w:val="3"/>
          </w:tcPr>
          <w:p>
            <w:pPr>
              <w:spacing w:after="0"/>
              <w:rPr>
                <w:sz w:val="20"/>
                <w:szCs w:val="20"/>
                <w:color w:val="auto"/>
              </w:rPr>
            </w:pPr>
            <w:r>
              <w:rPr>
                <w:rFonts w:ascii="Arial" w:cs="Arial" w:eastAsia="Arial" w:hAnsi="Arial"/>
                <w:sz w:val="18"/>
                <w:szCs w:val="18"/>
                <w:color w:val="auto"/>
              </w:rPr>
              <w:t>Officer)</w:t>
            </w:r>
          </w:p>
        </w:tc>
        <w:tc>
          <w:tcPr>
            <w:tcW w:w="1940" w:type="dxa"/>
            <w:vAlign w:val="bottom"/>
            <w:gridSpan w:val="3"/>
          </w:tcPr>
          <w:p>
            <w:pPr>
              <w:jc w:val="center"/>
              <w:ind w:left="531"/>
              <w:spacing w:after="0"/>
              <w:rPr>
                <w:sz w:val="20"/>
                <w:szCs w:val="20"/>
                <w:color w:val="auto"/>
              </w:rPr>
            </w:pPr>
            <w:r>
              <w:rPr>
                <w:rFonts w:ascii="Arial" w:cs="Arial" w:eastAsia="Arial" w:hAnsi="Arial"/>
                <w:sz w:val="18"/>
                <w:szCs w:val="18"/>
                <w:color w:val="auto"/>
                <w:w w:val="89"/>
              </w:rPr>
              <w:t>February 12, 2018</w:t>
            </w:r>
          </w:p>
        </w:tc>
      </w:tr>
      <w:tr>
        <w:trPr>
          <w:trHeight w:val="675"/>
        </w:trPr>
        <w:tc>
          <w:tcPr>
            <w:tcW w:w="4260" w:type="dxa"/>
            <w:vAlign w:val="bottom"/>
            <w:gridSpan w:val="3"/>
          </w:tcPr>
          <w:p>
            <w:pPr>
              <w:spacing w:after="0"/>
              <w:rPr>
                <w:sz w:val="20"/>
                <w:szCs w:val="20"/>
                <w:color w:val="auto"/>
              </w:rPr>
            </w:pPr>
            <w:r>
              <w:rPr>
                <w:rFonts w:ascii="Arial" w:cs="Arial" w:eastAsia="Arial" w:hAnsi="Arial"/>
                <w:sz w:val="18"/>
                <w:szCs w:val="18"/>
                <w:color w:val="auto"/>
              </w:rPr>
              <w:t>Chairman of the Board</w:t>
            </w:r>
          </w:p>
        </w:tc>
        <w:tc>
          <w:tcPr>
            <w:tcW w:w="1940" w:type="dxa"/>
            <w:vAlign w:val="bottom"/>
            <w:gridSpan w:val="3"/>
          </w:tcPr>
          <w:p>
            <w:pPr>
              <w:jc w:val="center"/>
              <w:ind w:left="531"/>
              <w:spacing w:after="0"/>
              <w:rPr>
                <w:sz w:val="20"/>
                <w:szCs w:val="20"/>
                <w:color w:val="auto"/>
              </w:rPr>
            </w:pPr>
            <w:r>
              <w:rPr>
                <w:rFonts w:ascii="Arial" w:cs="Arial" w:eastAsia="Arial" w:hAnsi="Arial"/>
                <w:sz w:val="18"/>
                <w:szCs w:val="18"/>
                <w:color w:val="auto"/>
                <w:w w:val="90"/>
              </w:rPr>
              <w:t>February 7, 2018</w:t>
            </w:r>
          </w:p>
        </w:tc>
      </w:tr>
      <w:tr>
        <w:trPr>
          <w:trHeight w:val="675"/>
        </w:trPr>
        <w:tc>
          <w:tcPr>
            <w:tcW w:w="42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531"/>
              <w:spacing w:after="0"/>
              <w:rPr>
                <w:sz w:val="20"/>
                <w:szCs w:val="20"/>
                <w:color w:val="auto"/>
              </w:rPr>
            </w:pPr>
            <w:r>
              <w:rPr>
                <w:rFonts w:ascii="Arial" w:cs="Arial" w:eastAsia="Arial" w:hAnsi="Arial"/>
                <w:sz w:val="18"/>
                <w:szCs w:val="18"/>
                <w:color w:val="auto"/>
                <w:w w:val="90"/>
              </w:rPr>
              <w:t>February 7, 2018</w:t>
            </w:r>
          </w:p>
        </w:tc>
      </w:tr>
      <w:tr>
        <w:trPr>
          <w:trHeight w:val="675"/>
        </w:trPr>
        <w:tc>
          <w:tcPr>
            <w:tcW w:w="42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531"/>
              <w:spacing w:after="0"/>
              <w:rPr>
                <w:sz w:val="20"/>
                <w:szCs w:val="20"/>
                <w:color w:val="auto"/>
              </w:rPr>
            </w:pPr>
            <w:r>
              <w:rPr>
                <w:rFonts w:ascii="Arial" w:cs="Arial" w:eastAsia="Arial" w:hAnsi="Arial"/>
                <w:sz w:val="18"/>
                <w:szCs w:val="18"/>
                <w:color w:val="auto"/>
                <w:w w:val="90"/>
              </w:rPr>
              <w:t>February 7, 2018</w:t>
            </w:r>
          </w:p>
        </w:tc>
      </w:tr>
      <w:tr>
        <w:trPr>
          <w:trHeight w:val="675"/>
        </w:trPr>
        <w:tc>
          <w:tcPr>
            <w:tcW w:w="42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531"/>
              <w:spacing w:after="0"/>
              <w:rPr>
                <w:sz w:val="20"/>
                <w:szCs w:val="20"/>
                <w:color w:val="auto"/>
              </w:rPr>
            </w:pPr>
            <w:r>
              <w:rPr>
                <w:rFonts w:ascii="Arial" w:cs="Arial" w:eastAsia="Arial" w:hAnsi="Arial"/>
                <w:sz w:val="18"/>
                <w:szCs w:val="18"/>
                <w:color w:val="auto"/>
                <w:w w:val="90"/>
              </w:rPr>
              <w:t>February 7, 2018</w:t>
            </w:r>
          </w:p>
        </w:tc>
      </w:tr>
      <w:tr>
        <w:trPr>
          <w:trHeight w:val="675"/>
        </w:trPr>
        <w:tc>
          <w:tcPr>
            <w:tcW w:w="42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531"/>
              <w:spacing w:after="0"/>
              <w:rPr>
                <w:sz w:val="20"/>
                <w:szCs w:val="20"/>
                <w:color w:val="auto"/>
              </w:rPr>
            </w:pPr>
            <w:r>
              <w:rPr>
                <w:rFonts w:ascii="Arial" w:cs="Arial" w:eastAsia="Arial" w:hAnsi="Arial"/>
                <w:sz w:val="18"/>
                <w:szCs w:val="18"/>
                <w:color w:val="auto"/>
                <w:w w:val="90"/>
              </w:rPr>
              <w:t>February 7, 2018</w:t>
            </w:r>
          </w:p>
        </w:tc>
      </w:tr>
      <w:tr>
        <w:trPr>
          <w:trHeight w:val="675"/>
        </w:trPr>
        <w:tc>
          <w:tcPr>
            <w:tcW w:w="42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531"/>
              <w:spacing w:after="0"/>
              <w:rPr>
                <w:sz w:val="20"/>
                <w:szCs w:val="20"/>
                <w:color w:val="auto"/>
              </w:rPr>
            </w:pPr>
            <w:r>
              <w:rPr>
                <w:rFonts w:ascii="Arial" w:cs="Arial" w:eastAsia="Arial" w:hAnsi="Arial"/>
                <w:sz w:val="18"/>
                <w:szCs w:val="18"/>
                <w:color w:val="auto"/>
                <w:w w:val="90"/>
              </w:rPr>
              <w:t>February 7, 2018</w:t>
            </w:r>
          </w:p>
        </w:tc>
      </w:tr>
      <w:tr>
        <w:trPr>
          <w:trHeight w:val="675"/>
        </w:trPr>
        <w:tc>
          <w:tcPr>
            <w:tcW w:w="42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531"/>
              <w:spacing w:after="0"/>
              <w:rPr>
                <w:sz w:val="20"/>
                <w:szCs w:val="20"/>
                <w:color w:val="auto"/>
              </w:rPr>
            </w:pPr>
            <w:r>
              <w:rPr>
                <w:rFonts w:ascii="Arial" w:cs="Arial" w:eastAsia="Arial" w:hAnsi="Arial"/>
                <w:sz w:val="18"/>
                <w:szCs w:val="18"/>
                <w:color w:val="auto"/>
                <w:w w:val="90"/>
              </w:rPr>
              <w:t>February 7, 2018</w:t>
            </w:r>
          </w:p>
        </w:tc>
      </w:tr>
      <w:tr>
        <w:trPr>
          <w:trHeight w:val="675"/>
        </w:trPr>
        <w:tc>
          <w:tcPr>
            <w:tcW w:w="42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531"/>
              <w:spacing w:after="0"/>
              <w:rPr>
                <w:sz w:val="20"/>
                <w:szCs w:val="20"/>
                <w:color w:val="auto"/>
              </w:rPr>
            </w:pPr>
            <w:r>
              <w:rPr>
                <w:rFonts w:ascii="Arial" w:cs="Arial" w:eastAsia="Arial" w:hAnsi="Arial"/>
                <w:sz w:val="18"/>
                <w:szCs w:val="18"/>
                <w:color w:val="auto"/>
                <w:w w:val="90"/>
              </w:rPr>
              <w:t>February 7, 2018</w:t>
            </w:r>
          </w:p>
        </w:tc>
      </w:tr>
      <w:tr>
        <w:trPr>
          <w:trHeight w:val="675"/>
        </w:trPr>
        <w:tc>
          <w:tcPr>
            <w:tcW w:w="42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531"/>
              <w:spacing w:after="0"/>
              <w:rPr>
                <w:sz w:val="20"/>
                <w:szCs w:val="20"/>
                <w:color w:val="auto"/>
              </w:rPr>
            </w:pPr>
            <w:r>
              <w:rPr>
                <w:rFonts w:ascii="Arial" w:cs="Arial" w:eastAsia="Arial" w:hAnsi="Arial"/>
                <w:sz w:val="18"/>
                <w:szCs w:val="18"/>
                <w:color w:val="auto"/>
                <w:w w:val="90"/>
              </w:rPr>
              <w:t>February 7, 2018</w:t>
            </w:r>
          </w:p>
        </w:tc>
      </w:tr>
      <w:tr>
        <w:trPr>
          <w:trHeight w:val="675"/>
        </w:trPr>
        <w:tc>
          <w:tcPr>
            <w:tcW w:w="426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531"/>
              <w:spacing w:after="0"/>
              <w:rPr>
                <w:sz w:val="20"/>
                <w:szCs w:val="20"/>
                <w:color w:val="auto"/>
              </w:rPr>
            </w:pPr>
            <w:r>
              <w:rPr>
                <w:rFonts w:ascii="Arial" w:cs="Arial" w:eastAsia="Arial" w:hAnsi="Arial"/>
                <w:sz w:val="18"/>
                <w:szCs w:val="18"/>
                <w:color w:val="auto"/>
                <w:w w:val="90"/>
              </w:rPr>
              <w:t>February 7, 2018</w:t>
            </w:r>
          </w:p>
        </w:tc>
      </w:tr>
    </w:tbl>
    <w:p>
      <w:pPr>
        <w:sectPr>
          <w:pgSz w:w="11900" w:h="16838" w:orient="portrait"/>
          <w:cols w:equalWidth="0" w:num="2">
            <w:col w:w="3400" w:space="720"/>
            <w:col w:w="7280"/>
          </w:cols>
          <w:pgMar w:left="240" w:top="270" w:right="259" w:bottom="1440" w:gutter="0" w:footer="0" w:header="0"/>
          <w:type w:val="continuous"/>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20" w:type="dxa"/>
            <w:vAlign w:val="bottom"/>
          </w:tcPr>
          <w:p>
            <w:pPr>
              <w:ind w:left="33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52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5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Opinion of Carey Olsen.</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Consent of Carey Olsen (included in Exhibit 5.1).</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w w:val="90"/>
              </w:rPr>
              <w:t>Power of Attorney (included on the signature page of this Registration Statement).</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1998 Stock Option and Incentive Plan of Amdocs Limited, as amended.</w:t>
            </w:r>
          </w:p>
        </w:tc>
        <w:tc>
          <w:tcPr>
            <w:tcW w:w="0" w:type="dxa"/>
            <w:vAlign w:val="bottom"/>
          </w:tcPr>
          <w:p>
            <w:pPr>
              <w:spacing w:after="0"/>
              <w:rPr>
                <w:sz w:val="1"/>
                <w:szCs w:val="1"/>
                <w:color w:val="auto"/>
              </w:rPr>
            </w:pPr>
          </w:p>
        </w:tc>
      </w:tr>
    </w:tbl>
    <w:p>
      <w:pPr>
        <w:sectPr>
          <w:pgSz w:w="11900" w:h="16838" w:orient="portrait"/>
          <w:cols w:equalWidth="0" w:num="1">
            <w:col w:w="10219"/>
          </w:cols>
          <w:pgMar w:left="240" w:top="270"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4760" w:type="dxa"/>
            <w:vAlign w:val="bottom"/>
          </w:tcPr>
          <w:p>
            <w:pPr>
              <w:ind w:left="3920"/>
              <w:spacing w:after="0"/>
              <w:rPr>
                <w:sz w:val="20"/>
                <w:szCs w:val="20"/>
                <w:color w:val="auto"/>
              </w:rPr>
            </w:pPr>
            <w:r>
              <w:rPr>
                <w:rFonts w:ascii="Arial" w:cs="Arial" w:eastAsia="Arial" w:hAnsi="Arial"/>
                <w:sz w:val="18"/>
                <w:szCs w:val="18"/>
                <w:b w:val="1"/>
                <w:bCs w:val="1"/>
                <w:color w:val="auto"/>
                <w:w w:val="91"/>
              </w:rPr>
              <w:t>Exhibit 5.1</w:t>
            </w:r>
          </w:p>
        </w:tc>
      </w:tr>
      <w:tr>
        <w:trPr>
          <w:trHeight w:val="445"/>
        </w:trPr>
        <w:tc>
          <w:tcPr>
            <w:tcW w:w="10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4760" w:type="dxa"/>
            <w:vAlign w:val="bottom"/>
          </w:tcPr>
          <w:p>
            <w:pPr>
              <w:ind w:left="2360"/>
              <w:spacing w:after="0"/>
              <w:rPr>
                <w:sz w:val="20"/>
                <w:szCs w:val="20"/>
                <w:color w:val="auto"/>
              </w:rPr>
            </w:pPr>
            <w:r>
              <w:rPr>
                <w:rFonts w:ascii="Arial" w:cs="Arial" w:eastAsia="Arial" w:hAnsi="Arial"/>
                <w:sz w:val="18"/>
                <w:szCs w:val="18"/>
                <w:color w:val="auto"/>
              </w:rPr>
              <w:t>PO Box 98</w:t>
            </w:r>
          </w:p>
        </w:tc>
      </w:tr>
      <w:tr>
        <w:trPr>
          <w:trHeight w:val="216"/>
        </w:trPr>
        <w:tc>
          <w:tcPr>
            <w:tcW w:w="10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4760" w:type="dxa"/>
            <w:vAlign w:val="bottom"/>
          </w:tcPr>
          <w:p>
            <w:pPr>
              <w:ind w:left="2360"/>
              <w:spacing w:after="0"/>
              <w:rPr>
                <w:sz w:val="20"/>
                <w:szCs w:val="20"/>
                <w:color w:val="auto"/>
              </w:rPr>
            </w:pPr>
            <w:r>
              <w:rPr>
                <w:rFonts w:ascii="Arial" w:cs="Arial" w:eastAsia="Arial" w:hAnsi="Arial"/>
                <w:sz w:val="18"/>
                <w:szCs w:val="18"/>
                <w:color w:val="auto"/>
              </w:rPr>
              <w:t>Carey House</w:t>
            </w:r>
          </w:p>
        </w:tc>
      </w:tr>
      <w:tr>
        <w:trPr>
          <w:trHeight w:val="216"/>
        </w:trPr>
        <w:tc>
          <w:tcPr>
            <w:tcW w:w="10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4760" w:type="dxa"/>
            <w:vAlign w:val="bottom"/>
          </w:tcPr>
          <w:p>
            <w:pPr>
              <w:ind w:left="2360"/>
              <w:spacing w:after="0"/>
              <w:rPr>
                <w:sz w:val="20"/>
                <w:szCs w:val="20"/>
                <w:color w:val="auto"/>
              </w:rPr>
            </w:pPr>
            <w:r>
              <w:rPr>
                <w:rFonts w:ascii="Arial" w:cs="Arial" w:eastAsia="Arial" w:hAnsi="Arial"/>
                <w:sz w:val="18"/>
                <w:szCs w:val="18"/>
                <w:color w:val="auto"/>
              </w:rPr>
              <w:t>Les Banques</w:t>
            </w:r>
          </w:p>
        </w:tc>
      </w:tr>
      <w:tr>
        <w:trPr>
          <w:trHeight w:val="216"/>
        </w:trPr>
        <w:tc>
          <w:tcPr>
            <w:tcW w:w="10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4760" w:type="dxa"/>
            <w:vAlign w:val="bottom"/>
          </w:tcPr>
          <w:p>
            <w:pPr>
              <w:ind w:left="2360"/>
              <w:spacing w:after="0"/>
              <w:rPr>
                <w:sz w:val="20"/>
                <w:szCs w:val="20"/>
                <w:color w:val="auto"/>
              </w:rPr>
            </w:pPr>
            <w:r>
              <w:rPr>
                <w:rFonts w:ascii="Arial" w:cs="Arial" w:eastAsia="Arial" w:hAnsi="Arial"/>
                <w:sz w:val="18"/>
                <w:szCs w:val="18"/>
                <w:color w:val="auto"/>
              </w:rPr>
              <w:t>St Peter Port</w:t>
            </w:r>
          </w:p>
        </w:tc>
      </w:tr>
      <w:tr>
        <w:trPr>
          <w:trHeight w:val="216"/>
        </w:trPr>
        <w:tc>
          <w:tcPr>
            <w:tcW w:w="10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4760" w:type="dxa"/>
            <w:vAlign w:val="bottom"/>
          </w:tcPr>
          <w:p>
            <w:pPr>
              <w:ind w:left="2360"/>
              <w:spacing w:after="0"/>
              <w:rPr>
                <w:sz w:val="20"/>
                <w:szCs w:val="20"/>
                <w:color w:val="auto"/>
              </w:rPr>
            </w:pPr>
            <w:r>
              <w:rPr>
                <w:rFonts w:ascii="Arial" w:cs="Arial" w:eastAsia="Arial" w:hAnsi="Arial"/>
                <w:sz w:val="18"/>
                <w:szCs w:val="18"/>
                <w:color w:val="auto"/>
              </w:rPr>
              <w:t>Guernsey GY1 4BZ</w:t>
            </w:r>
          </w:p>
        </w:tc>
      </w:tr>
      <w:tr>
        <w:trPr>
          <w:trHeight w:val="230"/>
        </w:trPr>
        <w:tc>
          <w:tcPr>
            <w:tcW w:w="100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4760" w:type="dxa"/>
            <w:vAlign w:val="bottom"/>
          </w:tcPr>
          <w:p>
            <w:pPr>
              <w:ind w:left="2360"/>
              <w:spacing w:after="0"/>
              <w:rPr>
                <w:sz w:val="20"/>
                <w:szCs w:val="20"/>
                <w:color w:val="auto"/>
              </w:rPr>
            </w:pPr>
            <w:r>
              <w:rPr>
                <w:rFonts w:ascii="Arial" w:cs="Arial" w:eastAsia="Arial" w:hAnsi="Arial"/>
                <w:sz w:val="18"/>
                <w:szCs w:val="18"/>
                <w:color w:val="auto"/>
              </w:rPr>
              <w:t>Channel Islands</w:t>
            </w:r>
          </w:p>
        </w:tc>
      </w:tr>
      <w:tr>
        <w:trPr>
          <w:trHeight w:val="323"/>
        </w:trPr>
        <w:tc>
          <w:tcPr>
            <w:tcW w:w="10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4760" w:type="dxa"/>
            <w:vAlign w:val="bottom"/>
          </w:tcPr>
          <w:p>
            <w:pPr>
              <w:ind w:left="2360"/>
              <w:spacing w:after="0"/>
              <w:rPr>
                <w:sz w:val="20"/>
                <w:szCs w:val="20"/>
                <w:color w:val="auto"/>
              </w:rPr>
            </w:pPr>
            <w:r>
              <w:rPr>
                <w:rFonts w:ascii="Arial" w:cs="Arial" w:eastAsia="Arial" w:hAnsi="Arial"/>
                <w:sz w:val="18"/>
                <w:szCs w:val="18"/>
                <w:color w:val="auto"/>
              </w:rPr>
              <w:t>T +44 (0)1481 727272</w:t>
            </w:r>
          </w:p>
        </w:tc>
      </w:tr>
      <w:tr>
        <w:trPr>
          <w:trHeight w:val="216"/>
        </w:trPr>
        <w:tc>
          <w:tcPr>
            <w:tcW w:w="10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4760" w:type="dxa"/>
            <w:vAlign w:val="bottom"/>
          </w:tcPr>
          <w:p>
            <w:pPr>
              <w:ind w:left="2360"/>
              <w:spacing w:after="0"/>
              <w:rPr>
                <w:sz w:val="20"/>
                <w:szCs w:val="20"/>
                <w:color w:val="auto"/>
              </w:rPr>
            </w:pPr>
            <w:r>
              <w:rPr>
                <w:rFonts w:ascii="Arial" w:cs="Arial" w:eastAsia="Arial" w:hAnsi="Arial"/>
                <w:sz w:val="18"/>
                <w:szCs w:val="18"/>
                <w:color w:val="auto"/>
              </w:rPr>
              <w:t>F +44 (0)1481 711052</w:t>
            </w:r>
          </w:p>
        </w:tc>
      </w:tr>
      <w:tr>
        <w:trPr>
          <w:trHeight w:val="244"/>
        </w:trPr>
        <w:tc>
          <w:tcPr>
            <w:tcW w:w="1000" w:type="dxa"/>
            <w:vAlign w:val="bottom"/>
          </w:tcPr>
          <w:p>
            <w:pPr>
              <w:spacing w:after="0"/>
              <w:rPr>
                <w:sz w:val="20"/>
                <w:szCs w:val="20"/>
                <w:color w:val="auto"/>
              </w:rPr>
            </w:pPr>
            <w:r>
              <w:rPr>
                <w:rFonts w:ascii="Arial" w:cs="Arial" w:eastAsia="Arial" w:hAnsi="Arial"/>
                <w:sz w:val="18"/>
                <w:szCs w:val="18"/>
                <w:color w:val="auto"/>
              </w:rPr>
              <w:t>Our Ref:</w:t>
            </w:r>
          </w:p>
        </w:tc>
        <w:tc>
          <w:tcPr>
            <w:tcW w:w="5660" w:type="dxa"/>
            <w:vAlign w:val="bottom"/>
          </w:tcPr>
          <w:p>
            <w:pPr>
              <w:ind w:left="360"/>
              <w:spacing w:after="0"/>
              <w:rPr>
                <w:sz w:val="20"/>
                <w:szCs w:val="20"/>
                <w:color w:val="auto"/>
              </w:rPr>
            </w:pPr>
            <w:r>
              <w:rPr>
                <w:rFonts w:ascii="Arial" w:cs="Arial" w:eastAsia="Arial" w:hAnsi="Arial"/>
                <w:sz w:val="18"/>
                <w:szCs w:val="18"/>
                <w:color w:val="auto"/>
              </w:rPr>
              <w:t>TC/RDLH/1000662/0096/G9414988v11</w:t>
            </w:r>
          </w:p>
        </w:tc>
        <w:tc>
          <w:tcPr>
            <w:tcW w:w="4760" w:type="dxa"/>
            <w:vAlign w:val="bottom"/>
          </w:tcPr>
          <w:p>
            <w:pPr>
              <w:ind w:left="2360"/>
              <w:spacing w:after="0"/>
              <w:rPr>
                <w:sz w:val="20"/>
                <w:szCs w:val="20"/>
                <w:color w:val="auto"/>
              </w:rPr>
            </w:pPr>
            <w:r>
              <w:rPr>
                <w:rFonts w:ascii="Arial" w:cs="Arial" w:eastAsia="Arial" w:hAnsi="Arial"/>
                <w:sz w:val="18"/>
                <w:szCs w:val="18"/>
                <w:color w:val="auto"/>
              </w:rPr>
              <w:t>E guernsey@careyolsen.com</w:t>
            </w:r>
          </w:p>
        </w:tc>
      </w:tr>
      <w:tr>
        <w:trPr>
          <w:trHeight w:val="432"/>
        </w:trPr>
        <w:tc>
          <w:tcPr>
            <w:tcW w:w="10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4760" w:type="dxa"/>
            <w:vAlign w:val="bottom"/>
          </w:tcPr>
          <w:p>
            <w:pPr>
              <w:ind w:left="2360"/>
              <w:spacing w:after="0"/>
              <w:rPr>
                <w:sz w:val="20"/>
                <w:szCs w:val="20"/>
                <w:color w:val="auto"/>
              </w:rPr>
            </w:pPr>
            <w:r>
              <w:rPr>
                <w:rFonts w:ascii="Arial" w:cs="Arial" w:eastAsia="Arial" w:hAnsi="Arial"/>
                <w:sz w:val="18"/>
                <w:szCs w:val="18"/>
                <w:color w:val="auto"/>
              </w:rPr>
              <w:t>12 February 2018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Hirzel House, Smith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Peter 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Guernsey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GY1 2NG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Recipient</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2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135" w:lineRule="exact"/>
        <w:rPr>
          <w:sz w:val="20"/>
          <w:szCs w:val="20"/>
          <w:color w:val="auto"/>
        </w:rPr>
      </w:pPr>
    </w:p>
    <w:p>
      <w:pPr>
        <w:ind w:left="460" w:right="140" w:hanging="445"/>
        <w:spacing w:after="0" w:line="272" w:lineRule="auto"/>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You have asked for our legal opinion on matters of Guernsey law in connection with the registration with the United States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of 5,250,000 ordinary shares of £0.01 each in the Company (the “</w:t>
      </w:r>
      <w:r>
        <w:rPr>
          <w:rFonts w:ascii="Arial" w:cs="Arial" w:eastAsia="Arial" w:hAnsi="Arial"/>
          <w:sz w:val="17"/>
          <w:szCs w:val="17"/>
          <w:b w:val="1"/>
          <w:bCs w:val="1"/>
          <w:color w:val="auto"/>
        </w:rPr>
        <w:t>Shares</w:t>
      </w:r>
      <w:r>
        <w:rPr>
          <w:rFonts w:ascii="Arial" w:cs="Arial" w:eastAsia="Arial" w:hAnsi="Arial"/>
          <w:sz w:val="17"/>
          <w:szCs w:val="17"/>
          <w:color w:val="auto"/>
        </w:rPr>
        <w:t>”) authorized for issuance pursuant to the Company’s 1998 Stock Option and Incentive Plan as amended on 2 February 2012 and as further amended on 27 January 2017 (the “</w:t>
      </w:r>
      <w:r>
        <w:rPr>
          <w:rFonts w:ascii="Arial" w:cs="Arial" w:eastAsia="Arial" w:hAnsi="Arial"/>
          <w:sz w:val="17"/>
          <w:szCs w:val="17"/>
          <w:b w:val="1"/>
          <w:bCs w:val="1"/>
          <w:color w:val="auto"/>
        </w:rPr>
        <w:t>Option Plan</w:t>
      </w:r>
      <w:r>
        <w:rPr>
          <w:rFonts w:ascii="Arial" w:cs="Arial" w:eastAsia="Arial" w:hAnsi="Arial"/>
          <w:sz w:val="17"/>
          <w:szCs w:val="17"/>
          <w:color w:val="auto"/>
        </w:rPr>
        <w:t>”) and the Company executing and filing with the SEC a Form S-8 (registration statement) dated 12 February 2018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The Option Plan provides that officers, directors, employees and consultants of the Company (amongst other persons) (“</w:t>
      </w:r>
      <w:r>
        <w:rPr>
          <w:rFonts w:ascii="Arial" w:cs="Arial" w:eastAsia="Arial" w:hAnsi="Arial"/>
          <w:sz w:val="17"/>
          <w:szCs w:val="17"/>
          <w:b w:val="1"/>
          <w:bCs w:val="1"/>
          <w:color w:val="auto"/>
        </w:rPr>
        <w:t>Optionholders</w:t>
      </w:r>
      <w:r>
        <w:rPr>
          <w:rFonts w:ascii="Arial" w:cs="Arial" w:eastAsia="Arial" w:hAnsi="Arial"/>
          <w:sz w:val="17"/>
          <w:szCs w:val="17"/>
          <w:color w:val="auto"/>
        </w:rPr>
        <w:t>”) may be granted stock options, restricted stock awards and other stock-based awards (the “</w:t>
      </w:r>
      <w:r>
        <w:rPr>
          <w:rFonts w:ascii="Arial" w:cs="Arial" w:eastAsia="Arial" w:hAnsi="Arial"/>
          <w:sz w:val="17"/>
          <w:szCs w:val="17"/>
          <w:b w:val="1"/>
          <w:bCs w:val="1"/>
          <w:color w:val="auto"/>
        </w:rPr>
        <w:t>Awards</w:t>
      </w:r>
      <w:r>
        <w:rPr>
          <w:rFonts w:ascii="Arial" w:cs="Arial" w:eastAsia="Arial" w:hAnsi="Arial"/>
          <w:sz w:val="17"/>
          <w:szCs w:val="17"/>
          <w:color w:val="auto"/>
        </w:rPr>
        <w:t>”) pursuant to the terms of the Option Plan and award agreements governing the terms of such Awards (“</w:t>
      </w:r>
      <w:r>
        <w:rPr>
          <w:rFonts w:ascii="Arial" w:cs="Arial" w:eastAsia="Arial" w:hAnsi="Arial"/>
          <w:sz w:val="17"/>
          <w:szCs w:val="17"/>
          <w:b w:val="1"/>
          <w:bCs w:val="1"/>
          <w:color w:val="auto"/>
        </w:rPr>
        <w:t>Award Grant Agreement</w:t>
      </w:r>
      <w:r>
        <w:rPr>
          <w:rFonts w:ascii="Arial" w:cs="Arial" w:eastAsia="Arial" w:hAnsi="Arial"/>
          <w:sz w:val="17"/>
          <w:szCs w:val="17"/>
          <w:color w:val="auto"/>
        </w:rPr>
        <w:t>”).</w:t>
      </w:r>
    </w:p>
    <w:p>
      <w:pPr>
        <w:spacing w:after="0" w:line="7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Option Plan and the Registration Statement are in this opinion together referred to as the “</w:t>
      </w:r>
      <w:r>
        <w:rPr>
          <w:rFonts w:ascii="Arial" w:cs="Arial" w:eastAsia="Arial" w:hAnsi="Arial"/>
          <w:sz w:val="16"/>
          <w:szCs w:val="16"/>
          <w:b w:val="1"/>
          <w:bCs w:val="1"/>
          <w:color w:val="auto"/>
        </w:rPr>
        <w:t>Plan Documents</w:t>
      </w:r>
      <w:r>
        <w:rPr>
          <w:rFonts w:ascii="Arial" w:cs="Arial" w:eastAsia="Arial" w:hAnsi="Arial"/>
          <w:sz w:val="16"/>
          <w:szCs w:val="16"/>
          <w:color w:val="auto"/>
        </w:rPr>
        <w:t>”.</w:t>
      </w:r>
    </w:p>
    <w:p>
      <w:pPr>
        <w:spacing w:after="0" w:line="135" w:lineRule="exact"/>
        <w:rPr>
          <w:sz w:val="20"/>
          <w:szCs w:val="20"/>
          <w:color w:val="auto"/>
        </w:rPr>
      </w:pPr>
    </w:p>
    <w:p>
      <w:pPr>
        <w:ind w:left="460" w:right="100" w:hanging="445"/>
        <w:spacing w:after="0" w:line="277" w:lineRule="auto"/>
        <w:tabs>
          <w:tab w:leader="none" w:pos="440" w:val="left"/>
        </w:tabs>
        <w:rPr>
          <w:sz w:val="20"/>
          <w:szCs w:val="20"/>
          <w:color w:val="auto"/>
        </w:rPr>
      </w:pPr>
      <w:r>
        <w:rPr>
          <w:rFonts w:ascii="Arial" w:cs="Arial" w:eastAsia="Arial" w:hAnsi="Arial"/>
          <w:sz w:val="18"/>
          <w:szCs w:val="18"/>
          <w:color w:val="auto"/>
        </w:rPr>
        <w:t>1.3</w:t>
        <w:tab/>
        <w:t>Except as expressly referred to in this opinion we have not seen or examined, and give no opinion on, any underlying or other documents referred to in the Plan Documents.</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We are lawyers qualified to practice law in and to advise on the laws of the Island of Guernsey.</w:t>
      </w:r>
    </w:p>
    <w:p>
      <w:pPr>
        <w:spacing w:after="0" w:line="12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INSPECTION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examining the Plan Documents, for the purpose of giving this opinion we have examined the following documents: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PARTNERS: </w:t>
      </w:r>
      <w:r>
        <w:rPr>
          <w:rFonts w:ascii="Arial" w:cs="Arial" w:eastAsia="Arial" w:hAnsi="Arial"/>
          <w:sz w:val="14"/>
          <w:szCs w:val="14"/>
          <w:color w:val="auto"/>
        </w:rPr>
        <w:t>A Alexander C Anderson A Boyce T Carey R Clark T Corfield D Crosland M Dunster K Friedlaender E Gray</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J Greenfield N Kapp T Lane K Le Cras D Le Marquand B Morgan J Morgan </w:t>
      </w:r>
      <w:r>
        <w:rPr>
          <w:rFonts w:ascii="Arial" w:cs="Arial" w:eastAsia="Arial" w:hAnsi="Arial"/>
          <w:sz w:val="14"/>
          <w:szCs w:val="14"/>
          <w:b w:val="1"/>
          <w:bCs w:val="1"/>
          <w:color w:val="auto"/>
        </w:rPr>
        <w:t>CONSULTANTS:</w:t>
      </w:r>
      <w:r>
        <w:rPr>
          <w:rFonts w:ascii="Arial" w:cs="Arial" w:eastAsia="Arial" w:hAnsi="Arial"/>
          <w:sz w:val="14"/>
          <w:szCs w:val="14"/>
          <w:color w:val="auto"/>
        </w:rPr>
        <w:t xml:space="preserve"> N Carey M Eades G Hall</w:t>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 February 2018</w:t>
      </w:r>
    </w:p>
    <w:p>
      <w:pPr>
        <w:spacing w:after="0" w:line="2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 copy of the certificate of incorporation of the Company as filed at the registry of companies in Guernsey (the “</w:t>
      </w:r>
      <w:r>
        <w:rPr>
          <w:rFonts w:ascii="Arial" w:cs="Arial" w:eastAsia="Arial" w:hAnsi="Arial"/>
          <w:sz w:val="16"/>
          <w:szCs w:val="16"/>
          <w:b w:val="1"/>
          <w:bCs w:val="1"/>
          <w:color w:val="auto"/>
        </w:rPr>
        <w:t>Registry</w:t>
      </w:r>
      <w:r>
        <w:rPr>
          <w:rFonts w:ascii="Arial" w:cs="Arial" w:eastAsia="Arial" w:hAnsi="Arial"/>
          <w:sz w:val="16"/>
          <w:szCs w:val="16"/>
          <w:color w:val="auto"/>
        </w:rPr>
        <w:t>”);</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a copy of the Memorandum and Articles of Incorporation of the Company as filed at the Registry at the date hereof (together the “</w:t>
      </w:r>
      <w:r>
        <w:rPr>
          <w:rFonts w:ascii="Arial" w:cs="Arial" w:eastAsia="Arial" w:hAnsi="Arial"/>
          <w:sz w:val="16"/>
          <w:szCs w:val="16"/>
          <w:b w:val="1"/>
          <w:bCs w:val="1"/>
          <w:color w:val="auto"/>
        </w:rPr>
        <w:t>Articles</w:t>
      </w:r>
      <w:r>
        <w:rPr>
          <w:rFonts w:ascii="Arial" w:cs="Arial" w:eastAsia="Arial" w:hAnsi="Arial"/>
          <w:sz w:val="16"/>
          <w:szCs w:val="16"/>
          <w:color w:val="auto"/>
        </w:rPr>
        <w:t>”);</w:t>
      </w:r>
    </w:p>
    <w:p>
      <w:pPr>
        <w:spacing w:after="0" w:line="135" w:lineRule="exact"/>
        <w:rPr>
          <w:sz w:val="20"/>
          <w:szCs w:val="20"/>
          <w:color w:val="auto"/>
        </w:rPr>
      </w:pPr>
    </w:p>
    <w:p>
      <w:pPr>
        <w:ind w:left="460" w:right="120" w:hanging="445"/>
        <w:spacing w:after="0" w:line="277" w:lineRule="auto"/>
        <w:tabs>
          <w:tab w:leader="none" w:pos="440" w:val="left"/>
        </w:tabs>
        <w:rPr>
          <w:sz w:val="20"/>
          <w:szCs w:val="20"/>
          <w:color w:val="auto"/>
        </w:rPr>
      </w:pPr>
      <w:r>
        <w:rPr>
          <w:rFonts w:ascii="Arial" w:cs="Arial" w:eastAsia="Arial" w:hAnsi="Arial"/>
          <w:sz w:val="18"/>
          <w:szCs w:val="18"/>
          <w:color w:val="auto"/>
        </w:rPr>
        <w:t>2.3</w:t>
        <w:tab/>
        <w:t>copies of the minutes of the meetings of the board of directors of the Company dated 8 November 2011 and 8 November 2016 signed by the chairman of the respective meetings at which the director’s authorized the amendments to the Option Plan (the “</w:t>
      </w:r>
      <w:r>
        <w:rPr>
          <w:rFonts w:ascii="Arial" w:cs="Arial" w:eastAsia="Arial" w:hAnsi="Arial"/>
          <w:sz w:val="18"/>
          <w:szCs w:val="18"/>
          <w:b w:val="1"/>
          <w:bCs w:val="1"/>
          <w:color w:val="auto"/>
        </w:rPr>
        <w:t>Minutes</w:t>
      </w:r>
      <w:r>
        <w:rPr>
          <w:rFonts w:ascii="Arial" w:cs="Arial" w:eastAsia="Arial" w:hAnsi="Arial"/>
          <w:sz w:val="18"/>
          <w:szCs w:val="18"/>
          <w:color w:val="auto"/>
        </w:rPr>
        <w:t>”);</w:t>
      </w:r>
    </w:p>
    <w:p>
      <w:pPr>
        <w:spacing w:after="0" w:line="72" w:lineRule="exact"/>
        <w:rPr>
          <w:sz w:val="20"/>
          <w:szCs w:val="20"/>
          <w:color w:val="auto"/>
        </w:rPr>
      </w:pPr>
    </w:p>
    <w:p>
      <w:pPr>
        <w:jc w:val="both"/>
        <w:ind w:left="460" w:right="180" w:hanging="445"/>
        <w:spacing w:after="0" w:line="266" w:lineRule="auto"/>
        <w:tabs>
          <w:tab w:leader="none" w:pos="440" w:val="left"/>
        </w:tabs>
        <w:rPr>
          <w:sz w:val="20"/>
          <w:szCs w:val="20"/>
          <w:color w:val="auto"/>
        </w:rPr>
      </w:pPr>
      <w:r>
        <w:rPr>
          <w:rFonts w:ascii="Arial" w:cs="Arial" w:eastAsia="Arial" w:hAnsi="Arial"/>
          <w:sz w:val="18"/>
          <w:szCs w:val="18"/>
          <w:color w:val="auto"/>
        </w:rPr>
        <w:t>2.4</w:t>
        <w:tab/>
        <w:t>copies of (i) the proxy ballot in respect of the annual general meeting of shareholders held on 2 February 2012 (the “</w:t>
      </w:r>
      <w:r>
        <w:rPr>
          <w:rFonts w:ascii="Arial" w:cs="Arial" w:eastAsia="Arial" w:hAnsi="Arial"/>
          <w:sz w:val="18"/>
          <w:szCs w:val="18"/>
          <w:b w:val="1"/>
          <w:bCs w:val="1"/>
          <w:color w:val="auto"/>
        </w:rPr>
        <w:t>Proxy Ballot</w:t>
      </w:r>
      <w:r>
        <w:rPr>
          <w:rFonts w:ascii="Arial" w:cs="Arial" w:eastAsia="Arial" w:hAnsi="Arial"/>
          <w:sz w:val="18"/>
          <w:szCs w:val="18"/>
          <w:color w:val="auto"/>
        </w:rPr>
        <w:t>”) and (ii) the Form 6-K filed with the SEC for the month of January 2017 confirming, amongst other things, the shareholders’ approval to the amendment of the Option Plan (the “</w:t>
      </w:r>
      <w:r>
        <w:rPr>
          <w:rFonts w:ascii="Arial" w:cs="Arial" w:eastAsia="Arial" w:hAnsi="Arial"/>
          <w:sz w:val="18"/>
          <w:szCs w:val="18"/>
          <w:b w:val="1"/>
          <w:bCs w:val="1"/>
          <w:color w:val="auto"/>
        </w:rPr>
        <w:t>Form 6-K</w:t>
      </w:r>
      <w:r>
        <w:rPr>
          <w:rFonts w:ascii="Arial" w:cs="Arial" w:eastAsia="Arial" w:hAnsi="Arial"/>
          <w:sz w:val="18"/>
          <w:szCs w:val="18"/>
          <w:color w:val="auto"/>
        </w:rPr>
        <w:t>”);</w:t>
      </w:r>
    </w:p>
    <w:p>
      <w:pPr>
        <w:spacing w:after="0" w:line="86" w:lineRule="exact"/>
        <w:rPr>
          <w:sz w:val="20"/>
          <w:szCs w:val="20"/>
          <w:color w:val="auto"/>
        </w:rPr>
      </w:pPr>
    </w:p>
    <w:p>
      <w:pPr>
        <w:ind w:left="460" w:right="220" w:hanging="445"/>
        <w:spacing w:after="0" w:line="259" w:lineRule="auto"/>
        <w:tabs>
          <w:tab w:leader="none" w:pos="440" w:val="left"/>
        </w:tabs>
        <w:rPr>
          <w:sz w:val="20"/>
          <w:szCs w:val="20"/>
          <w:color w:val="auto"/>
        </w:rPr>
      </w:pPr>
      <w:r>
        <w:rPr>
          <w:rFonts w:ascii="Arial" w:cs="Arial" w:eastAsia="Arial" w:hAnsi="Arial"/>
          <w:sz w:val="18"/>
          <w:szCs w:val="18"/>
          <w:color w:val="auto"/>
        </w:rPr>
        <w:t>2.5</w:t>
        <w:tab/>
        <w:t>the public records of the Company on file and available for the purposes of public inspection at the Registry on 12 February 2018 and a search of the computerized records of matters raised in the Royal Court of Guernsey (the “</w:t>
      </w:r>
      <w:r>
        <w:rPr>
          <w:rFonts w:ascii="Arial" w:cs="Arial" w:eastAsia="Arial" w:hAnsi="Arial"/>
          <w:sz w:val="18"/>
          <w:szCs w:val="18"/>
          <w:b w:val="1"/>
          <w:bCs w:val="1"/>
          <w:color w:val="auto"/>
        </w:rPr>
        <w:t>Royal Court</w:t>
      </w:r>
      <w:r>
        <w:rPr>
          <w:rFonts w:ascii="Arial" w:cs="Arial" w:eastAsia="Arial" w:hAnsi="Arial"/>
          <w:sz w:val="18"/>
          <w:szCs w:val="18"/>
          <w:color w:val="auto"/>
        </w:rPr>
        <w:t>” which definition shall include any court in the Island of Guernsey where the context so requires) available for inspection at the Greffe (the registry of the Royal Court in Guernsey) on 12 February 2018 (together the “</w:t>
      </w:r>
      <w:r>
        <w:rPr>
          <w:rFonts w:ascii="Arial" w:cs="Arial" w:eastAsia="Arial" w:hAnsi="Arial"/>
          <w:sz w:val="18"/>
          <w:szCs w:val="18"/>
          <w:b w:val="1"/>
          <w:bCs w:val="1"/>
          <w:color w:val="auto"/>
        </w:rPr>
        <w:t>Public Records</w:t>
      </w:r>
      <w:r>
        <w:rPr>
          <w:rFonts w:ascii="Arial" w:cs="Arial" w:eastAsia="Arial" w:hAnsi="Arial"/>
          <w:sz w:val="18"/>
          <w:szCs w:val="18"/>
          <w:color w:val="auto"/>
        </w:rPr>
        <w:t>”);</w:t>
      </w:r>
    </w:p>
    <w:p>
      <w:pPr>
        <w:spacing w:after="0" w:line="92" w:lineRule="exact"/>
        <w:rPr>
          <w:sz w:val="20"/>
          <w:szCs w:val="20"/>
          <w:color w:val="auto"/>
        </w:rPr>
      </w:pPr>
    </w:p>
    <w:p>
      <w:pPr>
        <w:ind w:left="460" w:right="260" w:hanging="445"/>
        <w:spacing w:after="0" w:line="277" w:lineRule="auto"/>
        <w:tabs>
          <w:tab w:leader="none" w:pos="440" w:val="left"/>
        </w:tabs>
        <w:rPr>
          <w:sz w:val="20"/>
          <w:szCs w:val="20"/>
          <w:color w:val="auto"/>
        </w:rPr>
      </w:pPr>
      <w:r>
        <w:rPr>
          <w:rFonts w:ascii="Arial" w:cs="Arial" w:eastAsia="Arial" w:hAnsi="Arial"/>
          <w:sz w:val="18"/>
          <w:szCs w:val="18"/>
          <w:color w:val="auto"/>
        </w:rPr>
        <w:t>2.6</w:t>
        <w:tab/>
        <w:t>a copy of the register of directors of the Company dated 6 December 2017 and a copy of the register of secretaries of the Company dated 23 January 2018; and</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a certificate provided to us by the secretary of the Company dated 12 February 2018 (the “</w:t>
      </w:r>
      <w:r>
        <w:rPr>
          <w:rFonts w:ascii="Arial" w:cs="Arial" w:eastAsia="Arial" w:hAnsi="Arial"/>
          <w:sz w:val="16"/>
          <w:szCs w:val="16"/>
          <w:b w:val="1"/>
          <w:bCs w:val="1"/>
          <w:color w:val="auto"/>
        </w:rPr>
        <w:t>Certificate</w:t>
      </w:r>
      <w:r>
        <w:rPr>
          <w:rFonts w:ascii="Arial" w:cs="Arial" w:eastAsia="Arial" w:hAnsi="Arial"/>
          <w:sz w:val="16"/>
          <w:szCs w:val="16"/>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13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ASSUMPTIONS</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For the purpose of this opinion, we have made and relied upon the assumptions set out below without making any investigation thereof:</w:t>
      </w:r>
    </w:p>
    <w:p>
      <w:pPr>
        <w:spacing w:after="0" w:line="131" w:lineRule="exact"/>
        <w:rPr>
          <w:sz w:val="20"/>
          <w:szCs w:val="20"/>
          <w:color w:val="auto"/>
        </w:rPr>
      </w:pPr>
    </w:p>
    <w:p>
      <w:pPr>
        <w:ind w:left="1380" w:hanging="796"/>
        <w:spacing w:after="0" w:line="342" w:lineRule="auto"/>
        <w:tabs>
          <w:tab w:leader="none" w:pos="13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the conformity to the originals of all documents supplied to us as certified, photocopied, conformed or facsimile copies and the authenticity and completeness of the originals of such documents, and the authenticity and completeness of all documents supplied to us as originals;</w:t>
      </w:r>
    </w:p>
    <w:p>
      <w:pPr>
        <w:spacing w:after="0" w:line="29" w:lineRule="exact"/>
        <w:rPr>
          <w:sz w:val="20"/>
          <w:szCs w:val="20"/>
          <w:color w:val="auto"/>
        </w:rPr>
      </w:pPr>
    </w:p>
    <w:p>
      <w:pPr>
        <w:jc w:val="both"/>
        <w:ind w:left="1380" w:right="180" w:hanging="796"/>
        <w:spacing w:after="0" w:line="264" w:lineRule="auto"/>
        <w:tabs>
          <w:tab w:leader="none" w:pos="13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the genuineness of all signatures and seals on the documents and instruments submitted to us for the purposes of this letter and where we have been provided with only signature pages of documents, that the original signed versions of such documents will not differ from the last version of the full documents provided to us;</w:t>
      </w:r>
    </w:p>
    <w:p>
      <w:pPr>
        <w:spacing w:after="0" w:line="87" w:lineRule="exact"/>
        <w:rPr>
          <w:sz w:val="20"/>
          <w:szCs w:val="20"/>
          <w:color w:val="auto"/>
        </w:rPr>
      </w:pPr>
    </w:p>
    <w:p>
      <w:pPr>
        <w:jc w:val="both"/>
        <w:ind w:left="1380" w:hanging="796"/>
        <w:spacing w:after="0" w:line="286" w:lineRule="auto"/>
        <w:tabs>
          <w:tab w:leader="none" w:pos="13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that there are no provisions of the laws of any jurisdiction outside Guernsey which would have any implication for the opinions we express and that, insofar as the laws of any jurisdiction outside Guernsey may be relevant, such laws have been or will be complied with (including without limitation, the obtaining of all necessary consents, licenses, registrations, approvals and filings);</w:t>
      </w:r>
    </w:p>
    <w:p>
      <w:pPr>
        <w:sectPr>
          <w:pgSz w:w="11900" w:h="16838" w:orient="portrait"/>
          <w:cols w:equalWidth="0" w:num="1">
            <w:col w:w="11400"/>
          </w:cols>
          <w:pgMar w:left="240" w:top="27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 February 2018</w:t>
      </w:r>
    </w:p>
    <w:p>
      <w:pPr>
        <w:spacing w:after="0" w:line="238" w:lineRule="exact"/>
        <w:rPr>
          <w:sz w:val="20"/>
          <w:szCs w:val="20"/>
          <w:color w:val="auto"/>
        </w:rPr>
      </w:pPr>
    </w:p>
    <w:p>
      <w:pPr>
        <w:ind w:left="1380" w:right="20" w:hanging="796"/>
        <w:spacing w:after="0" w:line="264" w:lineRule="auto"/>
        <w:tabs>
          <w:tab w:leader="none" w:pos="136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that the choice of governing law for the Plan Documents was bona fide (for example not made with any intention of avoiding provisions of the law with which the transactions under the Plan Documents have the closest and most real connection) and legal and there is no reason for avoiding that choice of law on grounds of public policy or otherwise;</w:t>
      </w:r>
    </w:p>
    <w:p>
      <w:pPr>
        <w:spacing w:after="0" w:line="87" w:lineRule="exact"/>
        <w:rPr>
          <w:sz w:val="20"/>
          <w:szCs w:val="20"/>
          <w:color w:val="auto"/>
        </w:rPr>
      </w:pPr>
    </w:p>
    <w:p>
      <w:pPr>
        <w:jc w:val="both"/>
        <w:ind w:left="1380" w:right="80" w:hanging="796"/>
        <w:spacing w:after="0" w:line="259" w:lineRule="auto"/>
        <w:tabs>
          <w:tab w:leader="none" w:pos="136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that the information and documents disclosed by our searches of the Public Records referred to in paragraph 2.4 are accurate as at the date hereof and there is no information or document which had been delivered for registration, or which is required by the laws of Guernsey to be delivered for registration, or which has been passed or made but not yet delivered for registration, which was not included in the Public Records;</w:t>
      </w:r>
    </w:p>
    <w:p>
      <w:pPr>
        <w:spacing w:after="0" w:line="92" w:lineRule="exact"/>
        <w:rPr>
          <w:sz w:val="20"/>
          <w:szCs w:val="20"/>
          <w:color w:val="auto"/>
        </w:rPr>
      </w:pPr>
    </w:p>
    <w:p>
      <w:pPr>
        <w:ind w:left="1380" w:right="180" w:hanging="796"/>
        <w:spacing w:after="0" w:line="279" w:lineRule="auto"/>
        <w:tabs>
          <w:tab w:leader="none" w:pos="136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7"/>
          <w:szCs w:val="17"/>
          <w:color w:val="auto"/>
        </w:rPr>
        <w:t>that the Certificate is complete and accurate as at the date hereof and that the proceedings described in the Minutes remained quorate throughout and were duly conducted as so described and that the resolutions passed thereat were duly adopted, have not been revoked, superseded or varied and remain in full force and effect as confirmed by the Certificate and the continuing accuracy and completeness of all statements as to matters of fact contained in the Documents as at the date hereof;</w:t>
      </w:r>
    </w:p>
    <w:p>
      <w:pPr>
        <w:spacing w:after="0" w:line="77"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color w:val="auto"/>
        </w:rPr>
        <w:t>that there are no documents or information which we have not been provided with which could affect the accuracy of this opinion;</w:t>
      </w:r>
    </w:p>
    <w:p>
      <w:pPr>
        <w:spacing w:after="0" w:line="131" w:lineRule="exact"/>
        <w:rPr>
          <w:sz w:val="20"/>
          <w:szCs w:val="20"/>
          <w:color w:val="auto"/>
        </w:rPr>
      </w:pPr>
    </w:p>
    <w:p>
      <w:pPr>
        <w:ind w:left="1380" w:right="240" w:hanging="796"/>
        <w:spacing w:after="0" w:line="259" w:lineRule="auto"/>
        <w:tabs>
          <w:tab w:leader="none" w:pos="136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8"/>
          <w:szCs w:val="18"/>
          <w:color w:val="auto"/>
        </w:rPr>
        <w:t>that the directors of the Company have acted prudently for the commercial benefit of the Company and in good faith for the purposes of carrying on its business on arm’s length commercial terms, and further that they have disclosed all personal interests in the transactions contemplated in the Plan Documents in accordance with the requirements of the Companies (Guernsey) law, 2008 (as amended) (the “</w:t>
      </w:r>
      <w:r>
        <w:rPr>
          <w:rFonts w:ascii="Arial" w:cs="Arial" w:eastAsia="Arial" w:hAnsi="Arial"/>
          <w:sz w:val="18"/>
          <w:szCs w:val="18"/>
          <w:b w:val="1"/>
          <w:bCs w:val="1"/>
          <w:color w:val="auto"/>
        </w:rPr>
        <w:t>Companies Law</w:t>
      </w:r>
      <w:r>
        <w:rPr>
          <w:rFonts w:ascii="Arial" w:cs="Arial" w:eastAsia="Arial" w:hAnsi="Arial"/>
          <w:sz w:val="18"/>
          <w:szCs w:val="18"/>
          <w:color w:val="auto"/>
        </w:rPr>
        <w:t>”) and the Articles;</w:t>
      </w:r>
    </w:p>
    <w:p>
      <w:pPr>
        <w:spacing w:after="0" w:line="92" w:lineRule="exact"/>
        <w:rPr>
          <w:sz w:val="20"/>
          <w:szCs w:val="20"/>
          <w:color w:val="auto"/>
        </w:rPr>
      </w:pPr>
    </w:p>
    <w:p>
      <w:pPr>
        <w:ind w:left="1380" w:hanging="796"/>
        <w:spacing w:after="0" w:line="277" w:lineRule="auto"/>
        <w:tabs>
          <w:tab w:leader="none" w:pos="136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8"/>
          <w:szCs w:val="18"/>
          <w:color w:val="auto"/>
        </w:rPr>
        <w:t>that the Company is not insolvent or unable to pay its debts as they fall due and will not become insolvent or unable to pay its debts as they fall due as a result of it entering into the Plan Documents;</w:t>
      </w:r>
    </w:p>
    <w:p>
      <w:pPr>
        <w:spacing w:after="0" w:line="76" w:lineRule="exact"/>
        <w:rPr>
          <w:sz w:val="20"/>
          <w:szCs w:val="20"/>
          <w:color w:val="auto"/>
        </w:rPr>
      </w:pPr>
    </w:p>
    <w:p>
      <w:pPr>
        <w:ind w:left="1380" w:right="80" w:hanging="796"/>
        <w:spacing w:after="0" w:line="257" w:lineRule="auto"/>
        <w:tabs>
          <w:tab w:leader="none" w:pos="1360" w:val="left"/>
        </w:tabs>
        <w:rPr>
          <w:sz w:val="20"/>
          <w:szCs w:val="20"/>
          <w:color w:val="auto"/>
        </w:rPr>
      </w:pPr>
      <w:r>
        <w:rPr>
          <w:rFonts w:ascii="Arial" w:cs="Arial" w:eastAsia="Arial" w:hAnsi="Arial"/>
          <w:sz w:val="18"/>
          <w:szCs w:val="18"/>
          <w:color w:val="auto"/>
        </w:rPr>
        <w:t>3.1.10</w:t>
      </w:r>
      <w:r>
        <w:rPr>
          <w:sz w:val="20"/>
          <w:szCs w:val="20"/>
          <w:color w:val="auto"/>
        </w:rPr>
        <w:tab/>
      </w:r>
      <w:r>
        <w:rPr>
          <w:rFonts w:ascii="Arial" w:cs="Arial" w:eastAsia="Arial" w:hAnsi="Arial"/>
          <w:sz w:val="18"/>
          <w:szCs w:val="18"/>
          <w:color w:val="auto"/>
        </w:rPr>
        <w:t>that all consents, exemptions, licenses, registrations, approvals or authorizations of any person required in relation to the transaction contemplated or entered into under or pursuant to the Plan Documents, the execution and delivery of the Plan Documents and the performance and observance of the terms thereof by the parties thereto (other than such consents, exemptions, licenses, registrations, approvals or authorizations required of the Company under the laws and regulations of Guernsey) have been obtained and are in full force and effect at the date of this opinion;</w:t>
      </w:r>
    </w:p>
    <w:p>
      <w:pPr>
        <w:spacing w:after="0" w:line="94" w:lineRule="exact"/>
        <w:rPr>
          <w:sz w:val="20"/>
          <w:szCs w:val="20"/>
          <w:color w:val="auto"/>
        </w:rPr>
      </w:pPr>
    </w:p>
    <w:p>
      <w:pPr>
        <w:ind w:left="1380" w:right="40" w:hanging="796"/>
        <w:spacing w:after="0" w:line="277" w:lineRule="auto"/>
        <w:tabs>
          <w:tab w:leader="none" w:pos="1360" w:val="left"/>
        </w:tabs>
        <w:rPr>
          <w:sz w:val="20"/>
          <w:szCs w:val="20"/>
          <w:color w:val="auto"/>
        </w:rPr>
      </w:pPr>
      <w:r>
        <w:rPr>
          <w:rFonts w:ascii="Arial" w:cs="Arial" w:eastAsia="Arial" w:hAnsi="Arial"/>
          <w:sz w:val="18"/>
          <w:szCs w:val="18"/>
          <w:color w:val="auto"/>
        </w:rPr>
        <w:t>3.1.11</w:t>
      </w:r>
      <w:r>
        <w:rPr>
          <w:sz w:val="20"/>
          <w:szCs w:val="20"/>
          <w:color w:val="auto"/>
        </w:rPr>
        <w:tab/>
      </w:r>
      <w:r>
        <w:rPr>
          <w:rFonts w:ascii="Arial" w:cs="Arial" w:eastAsia="Arial" w:hAnsi="Arial"/>
          <w:sz w:val="18"/>
          <w:szCs w:val="18"/>
          <w:color w:val="auto"/>
        </w:rPr>
        <w:t>that the powers of the Company and the powers and authority of the Company’s directors have not been restricted in any way other than as set out in the Plan Documents or the Articles;</w:t>
      </w:r>
    </w:p>
    <w:p>
      <w:pPr>
        <w:spacing w:after="0" w:line="76"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3.1.12</w:t>
      </w:r>
      <w:r>
        <w:rPr>
          <w:sz w:val="20"/>
          <w:szCs w:val="20"/>
          <w:color w:val="auto"/>
        </w:rPr>
        <w:tab/>
      </w:r>
      <w:r>
        <w:rPr>
          <w:rFonts w:ascii="Arial" w:cs="Arial" w:eastAsia="Arial" w:hAnsi="Arial"/>
          <w:sz w:val="16"/>
          <w:szCs w:val="16"/>
          <w:color w:val="auto"/>
        </w:rPr>
        <w:t>the Awards are granted pursuant to and in accordance with terms and conditions of the Option Plan;</w:t>
      </w:r>
    </w:p>
    <w:p>
      <w:pPr>
        <w:sectPr>
          <w:pgSz w:w="11900" w:h="16838" w:orient="portrait"/>
          <w:cols w:equalWidth="0" w:num="1">
            <w:col w:w="11400"/>
          </w:cols>
          <w:pgMar w:left="240" w:top="27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 February 2018</w:t>
      </w:r>
    </w:p>
    <w:p>
      <w:pPr>
        <w:spacing w:after="0" w:line="238"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3.1.13</w:t>
      </w:r>
      <w:r>
        <w:rPr>
          <w:sz w:val="20"/>
          <w:szCs w:val="20"/>
          <w:color w:val="auto"/>
        </w:rPr>
        <w:tab/>
      </w:r>
      <w:r>
        <w:rPr>
          <w:rFonts w:ascii="Arial" w:cs="Arial" w:eastAsia="Arial" w:hAnsi="Arial"/>
          <w:sz w:val="16"/>
          <w:szCs w:val="16"/>
          <w:color w:val="auto"/>
        </w:rPr>
        <w:t>the Award Grant Agreements are correctly and duly executed by all parties to such Award Grant Agreements;</w:t>
      </w:r>
    </w:p>
    <w:p>
      <w:pPr>
        <w:spacing w:after="0" w:line="131" w:lineRule="exact"/>
        <w:rPr>
          <w:sz w:val="20"/>
          <w:szCs w:val="20"/>
          <w:color w:val="auto"/>
        </w:rPr>
      </w:pPr>
    </w:p>
    <w:p>
      <w:pPr>
        <w:ind w:left="1380" w:hanging="796"/>
        <w:spacing w:after="0" w:line="277" w:lineRule="auto"/>
        <w:tabs>
          <w:tab w:leader="none" w:pos="1360" w:val="left"/>
        </w:tabs>
        <w:rPr>
          <w:sz w:val="20"/>
          <w:szCs w:val="20"/>
          <w:color w:val="auto"/>
        </w:rPr>
      </w:pPr>
      <w:r>
        <w:rPr>
          <w:rFonts w:ascii="Arial" w:cs="Arial" w:eastAsia="Arial" w:hAnsi="Arial"/>
          <w:sz w:val="18"/>
          <w:szCs w:val="18"/>
          <w:color w:val="auto"/>
        </w:rPr>
        <w:t>3.1.14</w:t>
      </w:r>
      <w:r>
        <w:rPr>
          <w:sz w:val="20"/>
          <w:szCs w:val="20"/>
          <w:color w:val="auto"/>
        </w:rPr>
        <w:tab/>
      </w:r>
      <w:r>
        <w:rPr>
          <w:rFonts w:ascii="Arial" w:cs="Arial" w:eastAsia="Arial" w:hAnsi="Arial"/>
          <w:sz w:val="18"/>
          <w:szCs w:val="18"/>
          <w:color w:val="auto"/>
        </w:rPr>
        <w:t>none of the parties to the Transaction Documents have committed any act or omission that has caused or may cause them to be in breach of the Plan Documents;</w:t>
      </w:r>
    </w:p>
    <w:p>
      <w:pPr>
        <w:spacing w:after="0" w:line="76" w:lineRule="exact"/>
        <w:rPr>
          <w:sz w:val="20"/>
          <w:szCs w:val="20"/>
          <w:color w:val="auto"/>
        </w:rPr>
      </w:pPr>
    </w:p>
    <w:p>
      <w:pPr>
        <w:ind w:left="1380" w:right="520" w:hanging="796"/>
        <w:spacing w:after="0" w:line="277" w:lineRule="auto"/>
        <w:tabs>
          <w:tab w:leader="none" w:pos="1360" w:val="left"/>
        </w:tabs>
        <w:rPr>
          <w:sz w:val="20"/>
          <w:szCs w:val="20"/>
          <w:color w:val="auto"/>
        </w:rPr>
      </w:pPr>
      <w:r>
        <w:rPr>
          <w:rFonts w:ascii="Arial" w:cs="Arial" w:eastAsia="Arial" w:hAnsi="Arial"/>
          <w:sz w:val="18"/>
          <w:szCs w:val="18"/>
          <w:color w:val="auto"/>
        </w:rPr>
        <w:t>3.1.15</w:t>
      </w:r>
      <w:r>
        <w:rPr>
          <w:sz w:val="20"/>
          <w:szCs w:val="20"/>
          <w:color w:val="auto"/>
        </w:rPr>
        <w:tab/>
      </w:r>
      <w:r>
        <w:rPr>
          <w:rFonts w:ascii="Arial" w:cs="Arial" w:eastAsia="Arial" w:hAnsi="Arial"/>
          <w:sz w:val="18"/>
          <w:szCs w:val="18"/>
          <w:color w:val="auto"/>
        </w:rPr>
        <w:t>where options to purchase Shares are exercised by the Optionholders, they are exercised in accordance with the Option Plan and the relevant Award Grant Agreement;</w:t>
      </w:r>
    </w:p>
    <w:p>
      <w:pPr>
        <w:spacing w:after="0" w:line="76" w:lineRule="exact"/>
        <w:rPr>
          <w:sz w:val="20"/>
          <w:szCs w:val="20"/>
          <w:color w:val="auto"/>
        </w:rPr>
      </w:pPr>
    </w:p>
    <w:p>
      <w:pPr>
        <w:ind w:left="1380" w:right="140" w:hanging="796"/>
        <w:spacing w:after="0" w:line="277" w:lineRule="auto"/>
        <w:tabs>
          <w:tab w:leader="none" w:pos="1360" w:val="left"/>
        </w:tabs>
        <w:rPr>
          <w:sz w:val="20"/>
          <w:szCs w:val="20"/>
          <w:color w:val="auto"/>
        </w:rPr>
      </w:pPr>
      <w:r>
        <w:rPr>
          <w:rFonts w:ascii="Arial" w:cs="Arial" w:eastAsia="Arial" w:hAnsi="Arial"/>
          <w:sz w:val="18"/>
          <w:szCs w:val="18"/>
          <w:color w:val="auto"/>
        </w:rPr>
        <w:t>3.1.16</w:t>
      </w:r>
      <w:r>
        <w:rPr>
          <w:sz w:val="20"/>
          <w:szCs w:val="20"/>
          <w:color w:val="auto"/>
        </w:rPr>
        <w:tab/>
      </w:r>
      <w:r>
        <w:rPr>
          <w:rFonts w:ascii="Arial" w:cs="Arial" w:eastAsia="Arial" w:hAnsi="Arial"/>
          <w:sz w:val="18"/>
          <w:szCs w:val="18"/>
          <w:color w:val="auto"/>
        </w:rPr>
        <w:t>that the resolutions passed at paragraph 2 of the Proxy Ballot and referred to in the Form 6-K were passed by the requisite majority of the holders of the Ordinary Shares in the capital of the Company; and</w:t>
      </w:r>
    </w:p>
    <w:p>
      <w:pPr>
        <w:spacing w:after="0" w:line="76" w:lineRule="exact"/>
        <w:rPr>
          <w:sz w:val="20"/>
          <w:szCs w:val="20"/>
          <w:color w:val="auto"/>
        </w:rPr>
      </w:pPr>
    </w:p>
    <w:p>
      <w:pPr>
        <w:ind w:left="1380" w:right="480" w:hanging="796"/>
        <w:spacing w:after="0" w:line="277" w:lineRule="auto"/>
        <w:tabs>
          <w:tab w:leader="none" w:pos="1360" w:val="left"/>
        </w:tabs>
        <w:rPr>
          <w:sz w:val="20"/>
          <w:szCs w:val="20"/>
          <w:color w:val="auto"/>
        </w:rPr>
      </w:pPr>
      <w:r>
        <w:rPr>
          <w:rFonts w:ascii="Arial" w:cs="Arial" w:eastAsia="Arial" w:hAnsi="Arial"/>
          <w:sz w:val="18"/>
          <w:szCs w:val="18"/>
          <w:color w:val="auto"/>
        </w:rPr>
        <w:t>3.1.17</w:t>
      </w:r>
      <w:r>
        <w:rPr>
          <w:sz w:val="20"/>
          <w:szCs w:val="20"/>
          <w:color w:val="auto"/>
        </w:rPr>
        <w:tab/>
      </w:r>
      <w:r>
        <w:rPr>
          <w:rFonts w:ascii="Arial" w:cs="Arial" w:eastAsia="Arial" w:hAnsi="Arial"/>
          <w:sz w:val="18"/>
          <w:szCs w:val="18"/>
          <w:color w:val="auto"/>
        </w:rPr>
        <w:t>that the Option Price determined in accordance with the Plan Documents is fair and reasonable to the Company and that the board of directors of the Company would be of that opinion at the relevant time.</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We have not independently verified these assumptions.</w:t>
      </w:r>
    </w:p>
    <w:p>
      <w:pPr>
        <w:spacing w:after="0" w:line="12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OPINIONS</w:t>
      </w:r>
    </w:p>
    <w:p>
      <w:pPr>
        <w:spacing w:after="0" w:line="12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On the basis of and subject to the above and the observations and qualifications below and subject to matters not disclosed to us we are of the opinion that when issued and paid for in accordance with the Option Plan such Shares in the Company will be validly issued, fully paid and non-assessable.</w:t>
      </w:r>
    </w:p>
    <w:p>
      <w:pPr>
        <w:spacing w:after="0" w:line="2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QUALIFICATIONS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observations and qualifications referred to above are as follows:</w:t>
      </w:r>
    </w:p>
    <w:p>
      <w:pPr>
        <w:spacing w:after="0" w:line="131" w:lineRule="exact"/>
        <w:rPr>
          <w:sz w:val="20"/>
          <w:szCs w:val="20"/>
          <w:color w:val="auto"/>
        </w:rPr>
      </w:pPr>
    </w:p>
    <w:p>
      <w:pPr>
        <w:ind w:left="460" w:right="660" w:hanging="445"/>
        <w:spacing w:after="0" w:line="342" w:lineRule="auto"/>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We express no opinion as to whether the entering into the agreements constituted by the Plan Documents will or may result in any breach of or otherwise infringe any other agreement, deed or document (other than the Articles) entered into by or binding on the Company.</w:t>
      </w:r>
    </w:p>
    <w:p>
      <w:pPr>
        <w:spacing w:after="0" w:line="29" w:lineRule="exact"/>
        <w:rPr>
          <w:sz w:val="20"/>
          <w:szCs w:val="20"/>
          <w:color w:val="auto"/>
        </w:rPr>
      </w:pPr>
    </w:p>
    <w:p>
      <w:pPr>
        <w:ind w:left="460" w:right="240" w:hanging="445"/>
        <w:spacing w:after="0" w:line="264" w:lineRule="auto"/>
        <w:tabs>
          <w:tab w:leader="none" w:pos="440" w:val="left"/>
        </w:tabs>
        <w:rPr>
          <w:sz w:val="20"/>
          <w:szCs w:val="20"/>
          <w:color w:val="auto"/>
        </w:rPr>
      </w:pPr>
      <w:r>
        <w:rPr>
          <w:rFonts w:ascii="Arial" w:cs="Arial" w:eastAsia="Arial" w:hAnsi="Arial"/>
          <w:sz w:val="18"/>
          <w:szCs w:val="18"/>
          <w:color w:val="auto"/>
        </w:rPr>
        <w:t>5.2</w:t>
        <w:tab/>
        <w:t>We express no opinion on the accuracy or completeness of any statements, representations or warranties of fact set out in the Plan Documents and/or the Documents save insofar as an express opinion is given herein in respect thereof, which statements, representations and warranties we have not independently verified.</w:t>
      </w:r>
    </w:p>
    <w:p>
      <w:pPr>
        <w:spacing w:after="0" w:line="87" w:lineRule="exact"/>
        <w:rPr>
          <w:sz w:val="20"/>
          <w:szCs w:val="20"/>
          <w:color w:val="auto"/>
        </w:rPr>
      </w:pPr>
    </w:p>
    <w:p>
      <w:pPr>
        <w:ind w:left="460" w:right="80" w:hanging="445"/>
        <w:spacing w:after="0" w:line="259" w:lineRule="auto"/>
        <w:tabs>
          <w:tab w:leader="none" w:pos="440" w:val="left"/>
        </w:tabs>
        <w:rPr>
          <w:sz w:val="20"/>
          <w:szCs w:val="20"/>
          <w:color w:val="auto"/>
        </w:rPr>
      </w:pPr>
      <w:r>
        <w:rPr>
          <w:rFonts w:ascii="Arial" w:cs="Arial" w:eastAsia="Arial" w:hAnsi="Arial"/>
          <w:sz w:val="18"/>
          <w:szCs w:val="18"/>
          <w:color w:val="auto"/>
        </w:rPr>
        <w:t>5.3</w:t>
        <w:tab/>
        <w:t>This opinion shall be governed by and construed in accordance with the laws of the Island of Guernsey as it exists at the date hereof with no obligation to keep the terms of the opinion under review. We have not made any investigation as to any other law other than the laws of the Island of Guernsey in force at and as interpreted at the date of this opinion; in particular we express no opinion as to whether the Plan Documents are enforceable in any jurisdiction outside Guernsey.</w:t>
      </w:r>
    </w:p>
    <w:p>
      <w:pPr>
        <w:spacing w:after="0" w:line="9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We do not give any opinion on the commerciality of any transaction contemplated or entered into under or pursuant to the Plan Documents.</w:t>
      </w:r>
    </w:p>
    <w:p>
      <w:pPr>
        <w:sectPr>
          <w:pgSz w:w="11900" w:h="16838" w:orient="portrait"/>
          <w:cols w:equalWidth="0" w:num="1">
            <w:col w:w="11400"/>
          </w:cols>
          <w:pgMar w:left="240" w:top="274"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 February 2018</w:t>
      </w:r>
    </w:p>
    <w:p>
      <w:pPr>
        <w:spacing w:after="0" w:line="23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The search of the Public Records referred to in paragraph 2.4 above is not conclusively capable of revealing whether or not:</w:t>
      </w:r>
    </w:p>
    <w:p>
      <w:pPr>
        <w:spacing w:after="0" w:line="1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5.5.1</w:t>
      </w:r>
      <w:r>
        <w:rPr>
          <w:sz w:val="20"/>
          <w:szCs w:val="20"/>
          <w:color w:val="auto"/>
        </w:rPr>
        <w:tab/>
      </w:r>
      <w:r>
        <w:rPr>
          <w:rFonts w:ascii="Arial" w:cs="Arial" w:eastAsia="Arial" w:hAnsi="Arial"/>
          <w:sz w:val="16"/>
          <w:szCs w:val="16"/>
          <w:color w:val="auto"/>
        </w:rPr>
        <w:t>a winding up order has been made or a resolution passed for the winding up of the Company; or</w:t>
      </w:r>
    </w:p>
    <w:p>
      <w:pPr>
        <w:spacing w:after="0" w:line="13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5.5.2</w:t>
      </w:r>
      <w:r>
        <w:rPr>
          <w:sz w:val="20"/>
          <w:szCs w:val="20"/>
          <w:color w:val="auto"/>
        </w:rPr>
        <w:tab/>
      </w:r>
      <w:r>
        <w:rPr>
          <w:rFonts w:ascii="Arial" w:cs="Arial" w:eastAsia="Arial" w:hAnsi="Arial"/>
          <w:sz w:val="16"/>
          <w:szCs w:val="16"/>
          <w:color w:val="auto"/>
        </w:rPr>
        <w:t>an order has been made or a resolution passed appointing a liquidator or administrator or other person to control the assets of the Company,</w:t>
      </w:r>
    </w:p>
    <w:p>
      <w:pPr>
        <w:spacing w:after="0" w:line="117" w:lineRule="exact"/>
        <w:rPr>
          <w:sz w:val="20"/>
          <w:szCs w:val="20"/>
          <w:color w:val="auto"/>
        </w:rPr>
      </w:pPr>
    </w:p>
    <w:p>
      <w:pPr>
        <w:ind w:left="460" w:right="20"/>
        <w:spacing w:after="0" w:line="270" w:lineRule="auto"/>
        <w:rPr>
          <w:sz w:val="20"/>
          <w:szCs w:val="20"/>
          <w:color w:val="auto"/>
        </w:rPr>
      </w:pPr>
      <w:r>
        <w:rPr>
          <w:rFonts w:ascii="Arial" w:cs="Arial" w:eastAsia="Arial" w:hAnsi="Arial"/>
          <w:sz w:val="17"/>
          <w:szCs w:val="17"/>
          <w:color w:val="auto"/>
        </w:rPr>
        <w:t>as notice of these matters might not be filed with the Registry or the Greffe immediately or at all and, when filed, might not be entered on the Public Records of the Company immediately. A company search conducted in Guernsey is limited in respect of the information it produces. The Companies Law allows for various periods of time to file certain information with the Registry including resolutions, notices and court orders which if the relevant period is still running may not appear in time for the search. Any changes to the details of the directors of a company must be filed within 14 days of that change. There is no requirement to file at the Registry information regarding the shareholders or secretary of a company or regarding mortgages, security interests or charges created by a company other than in respect of real property situate in Guernsey. Moreover, a company search carried out in Guernsey is unlikely to reveal any information as to any such procedure or similar proceedings initiated in any other jurisdiction. It should be noted that the Guernsey Courts have the power to recognise, in Guernsey, insolvency office holders appointed in respect of a Guernsey company pursuant to the laws of a foreign jurisdiction. Any such recognition may not be revealed by our searches.</w:t>
      </w:r>
    </w:p>
    <w:p>
      <w:pPr>
        <w:spacing w:after="0" w:line="87"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5.6</w:t>
        <w:tab/>
        <w:t>There is no official register of pending actions in Guernsey available for public inspection and no formal procedure for determining whether any proceedings have been commenced against the Company including as to whether proceedings have commenced to declare the property of the Company “en désastre”; the enquiry of the Public Records referred to in paragraph 2.4 of this opinion above is an informal enquiry only and cannot be relied upon exclusively.</w:t>
      </w:r>
    </w:p>
    <w:p>
      <w:pPr>
        <w:spacing w:after="0" w:line="92"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Insofar as a Transaction Document grants or requires the grant of a power of attorney by the Company to a party to the Transaction Document, the grant</w:t>
      </w:r>
    </w:p>
    <w:p>
      <w:pPr>
        <w:spacing w:after="0" w:line="23" w:lineRule="exact"/>
        <w:rPr>
          <w:sz w:val="20"/>
          <w:szCs w:val="20"/>
          <w:color w:val="auto"/>
        </w:rPr>
      </w:pPr>
    </w:p>
    <w:p>
      <w:pPr>
        <w:ind w:left="460" w:right="140"/>
        <w:spacing w:after="0" w:line="255" w:lineRule="auto"/>
        <w:rPr>
          <w:sz w:val="20"/>
          <w:szCs w:val="20"/>
          <w:color w:val="auto"/>
        </w:rPr>
      </w:pPr>
      <w:r>
        <w:rPr>
          <w:rFonts w:ascii="Arial" w:cs="Arial" w:eastAsia="Arial" w:hAnsi="Arial"/>
          <w:sz w:val="18"/>
          <w:szCs w:val="18"/>
          <w:color w:val="auto"/>
        </w:rPr>
        <w:t>of such power of attorney must be in accordance with the requirements of the Articles. If the Articles are silent the Transaction Document must be executed by one director. The absence of compliance with such requirements will mean that the power of attorney may not be valid and enforceable in Guernsey.</w:t>
      </w:r>
    </w:p>
    <w:p>
      <w:pPr>
        <w:spacing w:after="0" w:line="21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ADDRESSEES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opinion is addressed only to the Recipient and is solely for the benefit of the Recipient in connection with the Plan Documents and except with our prior written consent it may not be disclosed to or relied upon by any other person or used for any other purpose or referred to or made public in any way. Notwithstanding the foregoing, we hereby consent to the filing of this opinion with the SEC in connection with the Registration Statement in accordance with the requirements of Item 601(b)(5) of</w:t>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 February 2018</w:t>
      </w:r>
    </w:p>
    <w:p>
      <w:pPr>
        <w:spacing w:after="0" w:line="207" w:lineRule="exact"/>
        <w:rPr>
          <w:sz w:val="20"/>
          <w:szCs w:val="20"/>
          <w:color w:val="auto"/>
        </w:rPr>
      </w:pPr>
    </w:p>
    <w:p>
      <w:pPr>
        <w:spacing w:after="0" w:line="313" w:lineRule="auto"/>
        <w:rPr>
          <w:sz w:val="20"/>
          <w:szCs w:val="20"/>
          <w:color w:val="auto"/>
        </w:rPr>
      </w:pPr>
      <w:r>
        <w:rPr>
          <w:rFonts w:ascii="Arial" w:cs="Arial" w:eastAsia="Arial" w:hAnsi="Arial"/>
          <w:sz w:val="17"/>
          <w:szCs w:val="17"/>
          <w:color w:val="auto"/>
        </w:rPr>
        <w:t>Regulation S-K under the U.S.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In giving such consent, we do not hereby admit that we are in the category of persons whose consent is required under Section 7 of the Securities Act or the rules and regulations of the SEC.</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Carey Olsen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Carey Olsen</w:t>
      </w:r>
    </w:p>
    <w:p>
      <w:pPr>
        <w:sectPr>
          <w:pgSz w:w="11900" w:h="16838" w:orient="portrait"/>
          <w:cols w:equalWidth="0" w:num="1">
            <w:col w:w="11260"/>
          </w:cols>
          <w:pgMar w:left="240" w:top="274" w:right="399" w:bottom="1440" w:gutter="0" w:footer="0" w:header="0"/>
        </w:sectPr>
      </w:pPr>
    </w:p>
    <w:bookmarkStart w:id="12" w:name="page13"/>
    <w:bookmarkEnd w:id="12"/>
    <w:p>
      <w:pPr>
        <w:jc w:val="center"/>
        <w:ind w:right="-279"/>
        <w:spacing w:after="0"/>
        <w:rPr>
          <w:sz w:val="20"/>
          <w:szCs w:val="20"/>
          <w:color w:val="auto"/>
        </w:rPr>
      </w:pPr>
      <w:r>
        <w:rPr>
          <w:rFonts w:ascii="Arial" w:cs="Arial" w:eastAsia="Arial" w:hAnsi="Arial"/>
          <w:sz w:val="18"/>
          <w:szCs w:val="18"/>
          <w:b w:val="1"/>
          <w:bCs w:val="1"/>
          <w:u w:val="single" w:color="auto"/>
          <w:color w:val="auto"/>
        </w:rPr>
        <w:t>EXHIBIT 23.2</w:t>
      </w: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8"/>
          <w:szCs w:val="18"/>
          <w:u w:val="single" w:color="auto"/>
          <w:color w:val="auto"/>
        </w:rPr>
        <w:t>CONSENT OF ERNST &amp; YOUNG LLP</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Amdocs Limited 1998 Stock Option and Incentive Plan, as amended, of our reports dated December 11, 2017, with respect to the consolidated financial statements and schedule of Amdocs Limited and the effectiveness of internal control over financial reporting of Amdocs Limited, included in its Annual Report (Form 20-F) for the year ended September 30, 2017,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2018</w:t>
      </w:r>
    </w:p>
    <w:p>
      <w:pPr>
        <w:sectPr>
          <w:pgSz w:w="11900" w:h="16838" w:orient="portrait"/>
          <w:cols w:equalWidth="0" w:num="1">
            <w:col w:w="11140"/>
          </w:cols>
          <w:pgMar w:left="240" w:top="121" w:right="51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1998 STOCK OPTION AND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ON JANUARY 27, 2017</w:t>
      </w:r>
    </w:p>
    <w:p>
      <w:pPr>
        <w:spacing w:after="0" w:line="25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Purpose; Type of Awards; Construction</w:t>
      </w:r>
    </w:p>
    <w:p>
      <w:pPr>
        <w:spacing w:after="0" w:line="117" w:lineRule="exact"/>
        <w:rPr>
          <w:rFonts w:ascii="Arial" w:cs="Arial" w:eastAsia="Arial" w:hAnsi="Arial"/>
          <w:sz w:val="18"/>
          <w:szCs w:val="18"/>
          <w:color w:val="auto"/>
        </w:rPr>
      </w:pPr>
    </w:p>
    <w:p>
      <w:pPr>
        <w:ind w:left="460" w:right="20"/>
        <w:spacing w:after="0" w:line="270" w:lineRule="auto"/>
        <w:rPr>
          <w:rFonts w:ascii="Arial" w:cs="Arial" w:eastAsia="Arial" w:hAnsi="Arial"/>
          <w:sz w:val="18"/>
          <w:szCs w:val="18"/>
          <w:color w:val="auto"/>
        </w:rPr>
      </w:pPr>
      <w:r>
        <w:rPr>
          <w:rFonts w:ascii="Arial" w:cs="Arial" w:eastAsia="Arial" w:hAnsi="Arial"/>
          <w:sz w:val="17"/>
          <w:szCs w:val="17"/>
          <w:color w:val="auto"/>
        </w:rPr>
        <w:t>The purpose of the Amdocs Limited 1998 Stock Option and Incentive Plan (the “Plan”) is to afford an incentive to officers, directors, employees and consultants of Amdocs Limited (the “Company”), or any subsidiary of the Company which now exists or hereafter is organized or acquired by the Company, to acquire a proprietary interest in the Company, to continue as employees, directors and consultants, to increase their efforts on behalf of the Company and to promote the success of the Company’s business. It is further intended that options granted by the Committee (as such a term is defined below) pursuant to Section 8 of the Plan shall constitute “incentive stock options” (“Incentive Stock Options”) within the meaning of Section 422 of the Internal Revenue Code of 1986, as amended (the “Code”), and options granted by the Committee pursuant to Section 7 of the Plan shall constitute “nonqualified stock options” (“Nonqualified Stock Options”). The Committee may also grant restricted shares (“Restricted Stock”) under the Plan pursuant to Section 9 of the Plan. If the Committee so determines it may grant Nonqualified Stock Options or Restricted Stock pursuant to the provisions of Section 102 of the Israel Income Tax Ordinance (New Version) 1961, and any regulations, rules, orders or procedures promulgated thereunder (“102 Securities”).</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As used in this Plan, the following words and phrases shall have the meanings indicated:</w:t>
      </w:r>
    </w:p>
    <w:p>
      <w:pPr>
        <w:spacing w:after="0" w:line="130" w:lineRule="exact"/>
        <w:rPr>
          <w:rFonts w:ascii="Arial" w:cs="Arial" w:eastAsia="Arial" w:hAnsi="Arial"/>
          <w:sz w:val="18"/>
          <w:szCs w:val="18"/>
          <w:color w:val="auto"/>
        </w:rPr>
      </w:pPr>
    </w:p>
    <w:p>
      <w:pPr>
        <w:ind w:left="1120" w:hanging="666"/>
        <w:spacing w:after="0"/>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“Ordinary Shares” shall mean shares of ordinary shares, par value £0.01 per share, of the Company.</w:t>
      </w:r>
    </w:p>
    <w:p>
      <w:pPr>
        <w:spacing w:after="0" w:line="130" w:lineRule="exact"/>
        <w:rPr>
          <w:rFonts w:ascii="Arial" w:cs="Arial" w:eastAsia="Arial" w:hAnsi="Arial"/>
          <w:sz w:val="18"/>
          <w:szCs w:val="18"/>
          <w:color w:val="auto"/>
        </w:rPr>
      </w:pPr>
    </w:p>
    <w:p>
      <w:pPr>
        <w:jc w:val="both"/>
        <w:ind w:left="1120" w:right="20" w:hanging="666"/>
        <w:spacing w:after="0" w:line="264" w:lineRule="auto"/>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“Disability” shall mean the inability of a Grantee (as defined in Section 3 hereof) to engage in any substantial gainful activity by reason of any medically determinable physical or mental impairment that can be expected to result in death or that has lasted or can be expected to last for a continuous period of not less than twelve (12) months.</w:t>
      </w:r>
    </w:p>
    <w:p>
      <w:pPr>
        <w:spacing w:after="0" w:line="86" w:lineRule="exact"/>
        <w:rPr>
          <w:rFonts w:ascii="Arial" w:cs="Arial" w:eastAsia="Arial" w:hAnsi="Arial"/>
          <w:sz w:val="18"/>
          <w:szCs w:val="18"/>
          <w:color w:val="auto"/>
        </w:rPr>
      </w:pPr>
    </w:p>
    <w:p>
      <w:pPr>
        <w:ind w:left="1120" w:right="140" w:hanging="666"/>
        <w:spacing w:after="0" w:line="259" w:lineRule="auto"/>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“Fair Market Value” per share as of a particular date shall mean (i) if the shares of Ordinary Shares are not then listed on a national securities exchange or traded in an over-the-counter market, such value as the Committee, in its sole discretion, shall determine; or (ii) if the shares of Ordinary Shares are then traded on a national securities exchange the closing sales price per share of Ordinary Shares on the national securities</w:t>
      </w:r>
    </w:p>
    <w:p>
      <w:pPr>
        <w:sectPr>
          <w:pgSz w:w="11900" w:h="16838" w:orient="portrait"/>
          <w:cols w:equalWidth="0" w:num="1">
            <w:col w:w="11420"/>
          </w:cols>
          <w:pgMar w:left="240" w:top="121" w:right="239" w:bottom="1440" w:gutter="0" w:footer="0" w:header="0"/>
        </w:sectPr>
      </w:pPr>
    </w:p>
    <w:bookmarkStart w:id="14" w:name="page15"/>
    <w:bookmarkEnd w:id="14"/>
    <w:p>
      <w:pPr>
        <w:ind w:left="1132"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on which the Ordinary Shares are principally traded, for the last preceding date on which there was a sale of such Ordinary Shares on such exchange, or (iii) if the shares of Ordinary Shares are then traded in an over-the-counter market, the average of the closing bid and asked prices for the shares of Ordinary Shares in such over-the-counter market for the last preceding date on which there was a sale of such Ordinary Shares in such market.</w:t>
      </w:r>
    </w:p>
    <w:p>
      <w:pPr>
        <w:spacing w:after="0" w:line="92" w:lineRule="exact"/>
        <w:rPr>
          <w:sz w:val="20"/>
          <w:szCs w:val="20"/>
          <w:color w:val="auto"/>
        </w:rPr>
      </w:pPr>
    </w:p>
    <w:p>
      <w:pPr>
        <w:ind w:left="1112" w:right="20" w:hanging="666"/>
        <w:spacing w:after="0" w:line="264" w:lineRule="auto"/>
        <w:tabs>
          <w:tab w:leader="none" w:pos="1112" w:val="left"/>
        </w:tabs>
        <w:numPr>
          <w:ilvl w:val="1"/>
          <w:numId w:val="11"/>
        </w:numPr>
        <w:rPr>
          <w:rFonts w:ascii="Arial" w:cs="Arial" w:eastAsia="Arial" w:hAnsi="Arial"/>
          <w:sz w:val="18"/>
          <w:szCs w:val="18"/>
          <w:color w:val="auto"/>
        </w:rPr>
      </w:pPr>
      <w:r>
        <w:rPr>
          <w:rFonts w:ascii="Arial" w:cs="Arial" w:eastAsia="Arial" w:hAnsi="Arial"/>
          <w:sz w:val="18"/>
          <w:szCs w:val="18"/>
          <w:color w:val="auto"/>
        </w:rPr>
        <w:t>“Option” or “Options” shall mean a grant to a Grantee (as defined in Section 3 hereof) of an option or options to purchase shares of Ordinary Shares. Options granted by the Committee (as defined in Section 3 hereof), pursuant to the Plan shall constitute either Incentive Stock Options or Nonqualified Stock Options.</w:t>
      </w:r>
    </w:p>
    <w:p>
      <w:pPr>
        <w:spacing w:after="0" w:line="86" w:lineRule="exact"/>
        <w:rPr>
          <w:rFonts w:ascii="Arial" w:cs="Arial" w:eastAsia="Arial" w:hAnsi="Arial"/>
          <w:sz w:val="18"/>
          <w:szCs w:val="18"/>
          <w:color w:val="auto"/>
        </w:rPr>
      </w:pPr>
    </w:p>
    <w:p>
      <w:pPr>
        <w:jc w:val="both"/>
        <w:ind w:left="1112" w:right="240" w:hanging="666"/>
        <w:spacing w:after="0" w:line="264" w:lineRule="auto"/>
        <w:tabs>
          <w:tab w:leader="none" w:pos="1112" w:val="left"/>
        </w:tabs>
        <w:numPr>
          <w:ilvl w:val="1"/>
          <w:numId w:val="11"/>
        </w:numPr>
        <w:rPr>
          <w:rFonts w:ascii="Arial" w:cs="Arial" w:eastAsia="Arial" w:hAnsi="Arial"/>
          <w:sz w:val="18"/>
          <w:szCs w:val="18"/>
          <w:color w:val="auto"/>
        </w:rPr>
      </w:pPr>
      <w:r>
        <w:rPr>
          <w:rFonts w:ascii="Arial" w:cs="Arial" w:eastAsia="Arial" w:hAnsi="Arial"/>
          <w:sz w:val="18"/>
          <w:szCs w:val="18"/>
          <w:color w:val="auto"/>
        </w:rPr>
        <w:t>“Parent” shall mean any company (other than the Company) in an unbroken chain of companies ending with the Company if, at the time of granting an award, each of the companies other than the Company owns stock possessing fifty percent (50%) or more of the total combined voting power of all classes of stock in one of the other companies in such chain.</w:t>
      </w:r>
    </w:p>
    <w:p>
      <w:pPr>
        <w:spacing w:after="0" w:line="86" w:lineRule="exact"/>
        <w:rPr>
          <w:rFonts w:ascii="Arial" w:cs="Arial" w:eastAsia="Arial" w:hAnsi="Arial"/>
          <w:sz w:val="18"/>
          <w:szCs w:val="18"/>
          <w:color w:val="auto"/>
        </w:rPr>
      </w:pPr>
    </w:p>
    <w:p>
      <w:pPr>
        <w:ind w:left="1112" w:hanging="666"/>
        <w:spacing w:after="0" w:line="286" w:lineRule="auto"/>
        <w:tabs>
          <w:tab w:leader="none" w:pos="1112" w:val="left"/>
        </w:tabs>
        <w:numPr>
          <w:ilvl w:val="1"/>
          <w:numId w:val="11"/>
        </w:numPr>
        <w:rPr>
          <w:rFonts w:ascii="Arial" w:cs="Arial" w:eastAsia="Arial" w:hAnsi="Arial"/>
          <w:sz w:val="17"/>
          <w:szCs w:val="17"/>
          <w:color w:val="auto"/>
        </w:rPr>
      </w:pPr>
      <w:r>
        <w:rPr>
          <w:rFonts w:ascii="Arial" w:cs="Arial" w:eastAsia="Arial" w:hAnsi="Arial"/>
          <w:sz w:val="17"/>
          <w:szCs w:val="17"/>
          <w:color w:val="auto"/>
        </w:rPr>
        <w:t>“Subsidiary” shall mean any company (other than the Company) in an unbroken chain of companies beginning with the Company if, at the time of granting an award, each of the companies other than the last company in the unbroken chain owns stock possessing fifty percent (50%) or more of the total combined voting power of all classes of stock in one of the other companies in such chain.</w:t>
      </w:r>
    </w:p>
    <w:p>
      <w:pPr>
        <w:spacing w:after="0" w:line="70" w:lineRule="exact"/>
        <w:rPr>
          <w:rFonts w:ascii="Arial" w:cs="Arial" w:eastAsia="Arial" w:hAnsi="Arial"/>
          <w:sz w:val="17"/>
          <w:szCs w:val="17"/>
          <w:color w:val="auto"/>
        </w:rPr>
      </w:pPr>
    </w:p>
    <w:p>
      <w:pPr>
        <w:ind w:left="1112" w:right="100" w:hanging="666"/>
        <w:spacing w:after="0" w:line="264" w:lineRule="auto"/>
        <w:tabs>
          <w:tab w:leader="none" w:pos="1112" w:val="left"/>
        </w:tabs>
        <w:numPr>
          <w:ilvl w:val="1"/>
          <w:numId w:val="11"/>
        </w:numPr>
        <w:rPr>
          <w:rFonts w:ascii="Arial" w:cs="Arial" w:eastAsia="Arial" w:hAnsi="Arial"/>
          <w:sz w:val="18"/>
          <w:szCs w:val="18"/>
          <w:color w:val="auto"/>
        </w:rPr>
      </w:pPr>
      <w:r>
        <w:rPr>
          <w:rFonts w:ascii="Arial" w:cs="Arial" w:eastAsia="Arial" w:hAnsi="Arial"/>
          <w:sz w:val="18"/>
          <w:szCs w:val="18"/>
          <w:color w:val="auto"/>
        </w:rPr>
        <w:t>“Ten Percent Stockholder” shall mean a Grantee (as defined in Section 3 hereof), who, at the time an Incentive Stock Option is granted, owns stock possessing more than ten percent (10%) of the total combined voting power of all classes of stock of the Company or any Parent or Subsidiary.</w:t>
      </w:r>
    </w:p>
    <w:p>
      <w:pPr>
        <w:spacing w:after="0" w:line="86" w:lineRule="exact"/>
        <w:rPr>
          <w:rFonts w:ascii="Arial" w:cs="Arial" w:eastAsia="Arial" w:hAnsi="Arial"/>
          <w:sz w:val="18"/>
          <w:szCs w:val="18"/>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Administration</w:t>
      </w:r>
    </w:p>
    <w:p>
      <w:pPr>
        <w:spacing w:after="0" w:line="117"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Plan shall be administered by a committee (the “Committee”) established by the Board of Directors of the Company (the “Board”).</w:t>
      </w:r>
    </w:p>
    <w:p>
      <w:pPr>
        <w:spacing w:after="0" w:line="117" w:lineRule="exact"/>
        <w:rPr>
          <w:rFonts w:ascii="Arial" w:cs="Arial" w:eastAsia="Arial" w:hAnsi="Arial"/>
          <w:sz w:val="18"/>
          <w:szCs w:val="18"/>
          <w:color w:val="auto"/>
        </w:rPr>
      </w:pPr>
    </w:p>
    <w:p>
      <w:pPr>
        <w:ind w:left="452" w:right="60"/>
        <w:spacing w:after="0" w:line="255" w:lineRule="auto"/>
        <w:rPr>
          <w:rFonts w:ascii="Arial" w:cs="Arial" w:eastAsia="Arial" w:hAnsi="Arial"/>
          <w:sz w:val="18"/>
          <w:szCs w:val="18"/>
          <w:color w:val="auto"/>
        </w:rPr>
      </w:pPr>
      <w:r>
        <w:rPr>
          <w:rFonts w:ascii="Arial" w:cs="Arial" w:eastAsia="Arial" w:hAnsi="Arial"/>
          <w:sz w:val="18"/>
          <w:szCs w:val="18"/>
          <w:color w:val="auto"/>
        </w:rPr>
        <w:t>The Committee shall have the authority in its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Options and Restricted Stock; to determine which Options shall constitute Incentive Stock Options and which Options or Restricted Stock shall constitute Nonqualified Stock Options or 102 Securities; to determine the kind of consideration payable (if any) with respect to awards; to determine the period during which Options may be exercised and Restricted Stock shall be subject to restrictions, and whether in whole or in installments; to determine the</w:t>
      </w:r>
    </w:p>
    <w:p>
      <w:pPr>
        <w:spacing w:after="0" w:line="12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74" w:right="239" w:bottom="1440" w:gutter="0" w:footer="0" w:header="0"/>
        </w:sectPr>
      </w:pPr>
    </w:p>
    <w:bookmarkStart w:id="15" w:name="page16"/>
    <w:bookmarkEnd w:id="15"/>
    <w:p>
      <w:pPr>
        <w:ind w:left="452"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persons to whom, and the time or times at which awards shall be granted (such persons are referred to herein as “Grantees”); to determine the number of shares to be covered by each award; to interpret the Plan; to prescribe, amend and rescind rules and regulations relating to the Plan; to determine the terms and provisions of the agreements (which need not be identical) entered into in connection with awards granted under the Plan (the “Agreements”); to cancel or suspend awards, as necessary; and to make all other determinations deemed necessary or advisable for the administration of the Plan.</w:t>
      </w:r>
    </w:p>
    <w:p>
      <w:pPr>
        <w:spacing w:after="0" w:line="80" w:lineRule="exact"/>
        <w:rPr>
          <w:sz w:val="20"/>
          <w:szCs w:val="20"/>
          <w:color w:val="auto"/>
        </w:rPr>
      </w:pPr>
    </w:p>
    <w:p>
      <w:pPr>
        <w:ind w:left="452" w:right="60"/>
        <w:spacing w:after="0" w:line="259" w:lineRule="auto"/>
        <w:rPr>
          <w:sz w:val="20"/>
          <w:szCs w:val="20"/>
          <w:color w:val="auto"/>
        </w:rPr>
      </w:pPr>
      <w:r>
        <w:rPr>
          <w:rFonts w:ascii="Arial" w:cs="Arial" w:eastAsia="Arial" w:hAnsi="Arial"/>
          <w:sz w:val="18"/>
          <w:szCs w:val="18"/>
          <w:color w:val="auto"/>
        </w:rPr>
        <w:t>The Committee may delegate to one or more of its members or to one or more agents such administrative duties as it may deem advisable, and the Committee or any person to whom it has delegated duties as aforesaid may employ one or more persons to render advice with respect to any responsibility the Committee or such person may have under the Plan. All decisions, determinations and interpretations of the Committee shall be final and binding on all Grantees of any awards under this Plan.</w:t>
      </w:r>
    </w:p>
    <w:p>
      <w:pPr>
        <w:spacing w:after="0" w:line="79" w:lineRule="exact"/>
        <w:rPr>
          <w:sz w:val="20"/>
          <w:szCs w:val="20"/>
          <w:color w:val="auto"/>
        </w:rPr>
      </w:pPr>
    </w:p>
    <w:p>
      <w:pPr>
        <w:ind w:left="452" w:right="60"/>
        <w:spacing w:after="0" w:line="277" w:lineRule="auto"/>
        <w:rPr>
          <w:sz w:val="20"/>
          <w:szCs w:val="20"/>
          <w:color w:val="auto"/>
        </w:rPr>
      </w:pPr>
      <w:r>
        <w:rPr>
          <w:rFonts w:ascii="Arial" w:cs="Arial" w:eastAsia="Arial" w:hAnsi="Arial"/>
          <w:sz w:val="18"/>
          <w:szCs w:val="18"/>
          <w:color w:val="auto"/>
        </w:rPr>
        <w:t>The Board shall fill all vacancies, however caused, in the Committee. The Board may from time to time appoint additional members to the Committee, and may at any time remove one or more Committee members and substitute others.</w:t>
      </w:r>
    </w:p>
    <w:p>
      <w:pPr>
        <w:spacing w:after="0" w:line="62" w:lineRule="exact"/>
        <w:rPr>
          <w:sz w:val="20"/>
          <w:szCs w:val="20"/>
          <w:color w:val="auto"/>
        </w:rPr>
      </w:pPr>
    </w:p>
    <w:p>
      <w:pPr>
        <w:ind w:left="452" w:right="220"/>
        <w:spacing w:after="0" w:line="277" w:lineRule="auto"/>
        <w:rPr>
          <w:sz w:val="20"/>
          <w:szCs w:val="20"/>
          <w:color w:val="auto"/>
        </w:rPr>
      </w:pPr>
      <w:r>
        <w:rPr>
          <w:rFonts w:ascii="Arial" w:cs="Arial" w:eastAsia="Arial" w:hAnsi="Arial"/>
          <w:sz w:val="18"/>
          <w:szCs w:val="18"/>
          <w:color w:val="auto"/>
        </w:rPr>
        <w:t>No member of the Board or Committee shall be liable for any action taken or determination made in good faith with respect to the Plan or any award granted hereunder.</w:t>
      </w:r>
    </w:p>
    <w:p>
      <w:pPr>
        <w:spacing w:after="0" w:line="76" w:lineRule="exact"/>
        <w:rPr>
          <w:sz w:val="20"/>
          <w:szCs w:val="20"/>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117" w:lineRule="exact"/>
        <w:rPr>
          <w:rFonts w:ascii="Arial" w:cs="Arial" w:eastAsia="Arial" w:hAnsi="Arial"/>
          <w:sz w:val="18"/>
          <w:szCs w:val="18"/>
          <w:color w:val="auto"/>
        </w:rPr>
      </w:pPr>
    </w:p>
    <w:p>
      <w:pPr>
        <w:ind w:left="452" w:right="100"/>
        <w:spacing w:after="0" w:line="259" w:lineRule="auto"/>
        <w:rPr>
          <w:rFonts w:ascii="Arial" w:cs="Arial" w:eastAsia="Arial" w:hAnsi="Arial"/>
          <w:sz w:val="18"/>
          <w:szCs w:val="18"/>
          <w:color w:val="auto"/>
        </w:rPr>
      </w:pPr>
      <w:r>
        <w:rPr>
          <w:rFonts w:ascii="Arial" w:cs="Arial" w:eastAsia="Arial" w:hAnsi="Arial"/>
          <w:sz w:val="18"/>
          <w:szCs w:val="18"/>
          <w:color w:val="auto"/>
        </w:rPr>
        <w:t>Officers, Directors, other employees and consultants of the Company or of any Subsidiary or Parent shall be eligible to receive awards hereunder. In determining the persons to whom awards shall be granted and the number of shares to be covered by each award, the Committee, in its sole discretion, shall take into account the contribution by the eligible individuals to the management, growth and/or profitability of the business of the Company and such other factors as the Committee shall deem relevant.</w:t>
      </w:r>
    </w:p>
    <w:p>
      <w:pPr>
        <w:spacing w:after="0" w:line="92" w:lineRule="exact"/>
        <w:rPr>
          <w:rFonts w:ascii="Arial" w:cs="Arial" w:eastAsia="Arial" w:hAnsi="Arial"/>
          <w:sz w:val="18"/>
          <w:szCs w:val="18"/>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Ordinary Shares</w:t>
      </w:r>
    </w:p>
    <w:p>
      <w:pPr>
        <w:spacing w:after="0" w:line="117" w:lineRule="exact"/>
        <w:rPr>
          <w:rFonts w:ascii="Arial" w:cs="Arial" w:eastAsia="Arial" w:hAnsi="Arial"/>
          <w:sz w:val="18"/>
          <w:szCs w:val="18"/>
          <w:color w:val="auto"/>
        </w:rPr>
      </w:pPr>
    </w:p>
    <w:p>
      <w:pPr>
        <w:ind w:left="452" w:right="280"/>
        <w:spacing w:after="0" w:line="342" w:lineRule="auto"/>
        <w:rPr>
          <w:rFonts w:ascii="Arial" w:cs="Arial" w:eastAsia="Arial" w:hAnsi="Arial"/>
          <w:sz w:val="18"/>
          <w:szCs w:val="18"/>
          <w:color w:val="auto"/>
        </w:rPr>
      </w:pPr>
      <w:r>
        <w:rPr>
          <w:rFonts w:ascii="Arial" w:cs="Arial" w:eastAsia="Arial" w:hAnsi="Arial"/>
          <w:sz w:val="16"/>
          <w:szCs w:val="16"/>
          <w:color w:val="auto"/>
        </w:rPr>
        <w:t>The maximum number of Ordinary Shares reserved for grant of awards under the Plan shall be 67,550,000. Such shares may, in whole or in part, be authorized but unissued shares. The foregoing numbers of shares may be increased or decreased by the events set forth in Section 10 hereof.</w:t>
      </w:r>
    </w:p>
    <w:p>
      <w:pPr>
        <w:spacing w:after="0" w:line="15" w:lineRule="exact"/>
        <w:rPr>
          <w:rFonts w:ascii="Arial" w:cs="Arial" w:eastAsia="Arial" w:hAnsi="Arial"/>
          <w:sz w:val="18"/>
          <w:szCs w:val="18"/>
          <w:color w:val="auto"/>
        </w:rPr>
      </w:pPr>
    </w:p>
    <w:p>
      <w:pPr>
        <w:ind w:left="452"/>
        <w:spacing w:after="0" w:line="259" w:lineRule="auto"/>
        <w:rPr>
          <w:rFonts w:ascii="Arial" w:cs="Arial" w:eastAsia="Arial" w:hAnsi="Arial"/>
          <w:sz w:val="18"/>
          <w:szCs w:val="18"/>
          <w:color w:val="auto"/>
        </w:rPr>
      </w:pPr>
      <w:r>
        <w:rPr>
          <w:rFonts w:ascii="Arial" w:cs="Arial" w:eastAsia="Arial" w:hAnsi="Arial"/>
          <w:sz w:val="18"/>
          <w:szCs w:val="18"/>
          <w:color w:val="auto"/>
        </w:rPr>
        <w:t>If any outstanding award under the Plan should, for any reason expire, be canceled or be terminated without having been exercised in full, the shares of Ordinary Shares allocable to the unexercised, canceled or terminated portion of such award shall (unless the Plan shall have been terminated) become available for subsequent grants of awards under the Plan; provided that an award under the plan may not again be made available for issuance under the plan if such Ordinary Shares are: (i)</w:t>
      </w:r>
    </w:p>
    <w:p>
      <w:pPr>
        <w:spacing w:after="0" w:line="1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74" w:right="259" w:bottom="1440" w:gutter="0" w:footer="0" w:header="0"/>
        </w:sectPr>
      </w:pPr>
    </w:p>
    <w:bookmarkStart w:id="16" w:name="page17"/>
    <w:bookmarkEnd w:id="16"/>
    <w:p>
      <w:pPr>
        <w:ind w:left="452" w:right="2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Ordinary Shares that were subject to stock-settled stock appreciation rights and were not issued upon the net settlement or net exercise of such stock appreciation rights, (ii) Ordinary Shares used to pay the Option Price, (iii) Ordinary Shares delivered to or withheld by the Company to pay the withholding taxes related to an award, or (iv) Ordinary Shares repurchased on the open market with proceeds of an Option exercise.</w:t>
      </w:r>
    </w:p>
    <w:p>
      <w:pPr>
        <w:spacing w:after="0" w:line="52" w:lineRule="exact"/>
        <w:rPr>
          <w:sz w:val="20"/>
          <w:szCs w:val="20"/>
          <w:color w:val="auto"/>
        </w:rPr>
      </w:pPr>
    </w:p>
    <w:p>
      <w:pPr>
        <w:ind w:left="452" w:hanging="452"/>
        <w:spacing w:after="0"/>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Options</w:t>
      </w:r>
    </w:p>
    <w:p>
      <w:pPr>
        <w:spacing w:after="0" w:line="117" w:lineRule="exact"/>
        <w:rPr>
          <w:rFonts w:ascii="Arial" w:cs="Arial" w:eastAsia="Arial" w:hAnsi="Arial"/>
          <w:sz w:val="18"/>
          <w:szCs w:val="18"/>
          <w:color w:val="auto"/>
        </w:rPr>
      </w:pPr>
    </w:p>
    <w:p>
      <w:pPr>
        <w:jc w:val="both"/>
        <w:ind w:left="452" w:right="100"/>
        <w:spacing w:after="0" w:line="264" w:lineRule="auto"/>
        <w:rPr>
          <w:rFonts w:ascii="Arial" w:cs="Arial" w:eastAsia="Arial" w:hAnsi="Arial"/>
          <w:sz w:val="18"/>
          <w:szCs w:val="18"/>
          <w:color w:val="auto"/>
        </w:rPr>
      </w:pPr>
      <w:r>
        <w:rPr>
          <w:rFonts w:ascii="Arial" w:cs="Arial" w:eastAsia="Arial" w:hAnsi="Arial"/>
          <w:sz w:val="18"/>
          <w:szCs w:val="18"/>
          <w:color w:val="auto"/>
        </w:rPr>
        <w:t>Each Option granted pursuant to the Plan shall be evidenced by a written agreement between the Company and the Grantee (the “Option Agreement”), in such form as the Committee shall from time to time approve, which Option Agreement shall comply with and be subject to the following terms and conditions:</w:t>
      </w:r>
    </w:p>
    <w:p>
      <w:pPr>
        <w:spacing w:after="0" w:line="86" w:lineRule="exact"/>
        <w:rPr>
          <w:rFonts w:ascii="Arial" w:cs="Arial" w:eastAsia="Arial" w:hAnsi="Arial"/>
          <w:sz w:val="18"/>
          <w:szCs w:val="18"/>
          <w:color w:val="auto"/>
        </w:rPr>
      </w:pPr>
    </w:p>
    <w:p>
      <w:pPr>
        <w:ind w:left="1112" w:hanging="666"/>
        <w:spacing w:after="0"/>
        <w:tabs>
          <w:tab w:leader="none" w:pos="11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NUMBER OF SHARES. Each Option Agreement shall state the number of shares of Ordinary Shares to which the Option relates.</w:t>
      </w:r>
    </w:p>
    <w:p>
      <w:pPr>
        <w:spacing w:after="0" w:line="130" w:lineRule="exact"/>
        <w:rPr>
          <w:rFonts w:ascii="Arial" w:cs="Arial" w:eastAsia="Arial" w:hAnsi="Arial"/>
          <w:sz w:val="18"/>
          <w:szCs w:val="18"/>
          <w:color w:val="auto"/>
        </w:rPr>
      </w:pPr>
    </w:p>
    <w:p>
      <w:pPr>
        <w:ind w:left="1112" w:right="200" w:hanging="666"/>
        <w:spacing w:after="0" w:line="277" w:lineRule="auto"/>
        <w:tabs>
          <w:tab w:leader="none" w:pos="11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TYPE OF OPTION. Each Option Agreement shall specifically state that the Option constitutes an Incentive Stock Option or a Nonqualified Stock Option.</w:t>
      </w:r>
    </w:p>
    <w:p>
      <w:pPr>
        <w:spacing w:after="0" w:line="75" w:lineRule="exact"/>
        <w:rPr>
          <w:rFonts w:ascii="Arial" w:cs="Arial" w:eastAsia="Arial" w:hAnsi="Arial"/>
          <w:sz w:val="18"/>
          <w:szCs w:val="18"/>
          <w:color w:val="auto"/>
        </w:rPr>
      </w:pPr>
    </w:p>
    <w:p>
      <w:pPr>
        <w:ind w:left="1112" w:right="80" w:hanging="666"/>
        <w:spacing w:after="0" w:line="259" w:lineRule="auto"/>
        <w:tabs>
          <w:tab w:leader="none" w:pos="11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OPTION PRICE. Each Option Agreement shall state the Option Price, which shall not be less than one-hundred percent (100%) of the Fair Market Value of the shares of Ordinary Shares covered by the Option on the date of grant. The Option Price shall be subject to adjustment as provided in Section 10 hereof. The date on which the Committee adopts a resolution expressly granting an Option shall be considered the day on which such Option is granted.</w:t>
      </w:r>
    </w:p>
    <w:p>
      <w:pPr>
        <w:spacing w:after="0" w:line="92" w:lineRule="exact"/>
        <w:rPr>
          <w:rFonts w:ascii="Arial" w:cs="Arial" w:eastAsia="Arial" w:hAnsi="Arial"/>
          <w:sz w:val="18"/>
          <w:szCs w:val="18"/>
          <w:color w:val="auto"/>
        </w:rPr>
      </w:pPr>
    </w:p>
    <w:p>
      <w:pPr>
        <w:ind w:left="1112" w:hanging="666"/>
        <w:spacing w:after="0" w:line="291" w:lineRule="auto"/>
        <w:tabs>
          <w:tab w:leader="none" w:pos="1112" w:val="left"/>
        </w:tabs>
        <w:numPr>
          <w:ilvl w:val="1"/>
          <w:numId w:val="14"/>
        </w:numPr>
        <w:rPr>
          <w:rFonts w:ascii="Arial" w:cs="Arial" w:eastAsia="Arial" w:hAnsi="Arial"/>
          <w:sz w:val="16"/>
          <w:szCs w:val="16"/>
          <w:color w:val="auto"/>
        </w:rPr>
      </w:pPr>
      <w:r>
        <w:rPr>
          <w:rFonts w:ascii="Arial" w:cs="Arial" w:eastAsia="Arial" w:hAnsi="Arial"/>
          <w:sz w:val="16"/>
          <w:szCs w:val="16"/>
          <w:color w:val="auto"/>
        </w:rPr>
        <w:t>MEDIUM AND TIME OF PAYMENT. The Option Price shall be paid in full, at the time of exercise and may be made in cash, by the delivery of shares of Ordinary Shares with a fair market value equal to the Option Price, provided that any such shares acquired by the Grantee pursuant to the exercise of an Incentive Stock Option shall have been held by the Grantee for a period of at least one year, or by a combination of cash and such shares that have been held by the Grantee for a period of at least one year whose fair market value together with such cash shall equal the Option Price. The Committee may also permit Grantees, either on a selective or aggregate basis, simultaneously to exercise Options and sell the shares of Ordinary Shares thereby acquired pursuant to a brokerage or a similar arrangement, approved in advance by the Committee, and use the proceeds from such sale as payment of the Purchase Price of such shares.</w:t>
      </w:r>
    </w:p>
    <w:p>
      <w:pPr>
        <w:spacing w:after="0" w:line="72" w:lineRule="exact"/>
        <w:rPr>
          <w:rFonts w:ascii="Arial" w:cs="Arial" w:eastAsia="Arial" w:hAnsi="Arial"/>
          <w:sz w:val="16"/>
          <w:szCs w:val="16"/>
          <w:color w:val="auto"/>
        </w:rPr>
      </w:pPr>
    </w:p>
    <w:p>
      <w:pPr>
        <w:jc w:val="both"/>
        <w:ind w:left="1112" w:right="60" w:hanging="666"/>
        <w:spacing w:after="0" w:line="342" w:lineRule="auto"/>
        <w:tabs>
          <w:tab w:leader="none" w:pos="1112" w:val="left"/>
        </w:tabs>
        <w:numPr>
          <w:ilvl w:val="1"/>
          <w:numId w:val="14"/>
        </w:numPr>
        <w:rPr>
          <w:rFonts w:ascii="Arial" w:cs="Arial" w:eastAsia="Arial" w:hAnsi="Arial"/>
          <w:sz w:val="16"/>
          <w:szCs w:val="16"/>
          <w:color w:val="auto"/>
        </w:rPr>
      </w:pPr>
      <w:r>
        <w:rPr>
          <w:rFonts w:ascii="Arial" w:cs="Arial" w:eastAsia="Arial" w:hAnsi="Arial"/>
          <w:sz w:val="16"/>
          <w:szCs w:val="16"/>
          <w:color w:val="auto"/>
        </w:rPr>
        <w:t>TERM AND EXERCISABILITY OF OPTIONS. Each Option Agreement shall be exercisable at such times and under such conditions as the Committee, in its discretion, shall determine; provided, however, such exercise period shall not exceed ten (10) years from the date of grant of</w:t>
      </w:r>
    </w:p>
    <w:p>
      <w:pPr>
        <w:spacing w:after="0" w:line="5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74" w:right="239" w:bottom="1440" w:gutter="0" w:footer="0" w:header="0"/>
        </w:sectPr>
      </w:pPr>
    </w:p>
    <w:bookmarkStart w:id="17" w:name="page18"/>
    <w:bookmarkEnd w:id="17"/>
    <w:p>
      <w:pPr>
        <w:ind w:left="686" w:right="4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Option. The exercise period shall be subject to earlier termination as provided in Sections 6(f) and 6(g) hereof. An Option may be exercised, as to any or all full shares of Ordinary Shares as to which the Option has become exercisable, by giving written notice of such exercise to the Committee or its designated agent.</w:t>
      </w:r>
    </w:p>
    <w:p>
      <w:pPr>
        <w:spacing w:after="0" w:line="73" w:lineRule="exact"/>
        <w:rPr>
          <w:sz w:val="20"/>
          <w:szCs w:val="20"/>
          <w:color w:val="auto"/>
        </w:rPr>
      </w:pPr>
    </w:p>
    <w:p>
      <w:pPr>
        <w:ind w:left="686" w:right="60"/>
        <w:spacing w:after="0" w:line="255" w:lineRule="auto"/>
        <w:rPr>
          <w:sz w:val="20"/>
          <w:szCs w:val="20"/>
          <w:color w:val="auto"/>
        </w:rPr>
      </w:pPr>
      <w:r>
        <w:rPr>
          <w:rFonts w:ascii="Arial" w:cs="Arial" w:eastAsia="Arial" w:hAnsi="Arial"/>
          <w:sz w:val="18"/>
          <w:szCs w:val="18"/>
          <w:color w:val="auto"/>
        </w:rPr>
        <w:t>Options shall become exercisable in cumulative installments of 25% on the first, second, third and fourth anniversary of the date on which such Option is granted, or at such other times and in such other installments (which may be cumulative) as the Committee shall provide in the terms of the respective Option Agreements; provided, however, that the Committee, in its absolute discretion, may, on such terms and conditions as it may determine to be appropriate, accelerate the time at which such Option or any portion thereof may be exercised. The Option may contain performance goals and measurements, and the provisions with respect to any Option need not be the same as the provisions with respect to any other Option.</w:t>
      </w:r>
    </w:p>
    <w:p>
      <w:pPr>
        <w:spacing w:after="0" w:line="99" w:lineRule="exact"/>
        <w:rPr>
          <w:sz w:val="20"/>
          <w:szCs w:val="20"/>
          <w:color w:val="auto"/>
        </w:rPr>
      </w:pPr>
    </w:p>
    <w:p>
      <w:pPr>
        <w:ind w:left="666" w:hanging="666"/>
        <w:spacing w:after="0" w:line="269" w:lineRule="auto"/>
        <w:tabs>
          <w:tab w:leader="none" w:pos="66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TERMINATION. Except as provided in this Section 6(f) and in Section 6(g) hereof, an Option may not be exercised unless the Grantee is then in the service or employ of the Company or a Parent or Subsidiary (or a company or a parent or subsidiary company of such company issuing or assuming the Option in a transaction to which Section 424(a) of the Code applies), and unless the Grantee has remained continuously so employed or has continuously performed such services since the date of grant of the Option. In the event that the employment of a Grantee shall terminate or Grantee shall cease performance of services for the Company, a Parent or a Subsidiary thereof (in either event, other than by reason of death or disability), all Options of such Grantee that are exercisable at the time of such termination or cessation may, unless earlier terminated in accordance with their terms, be exercised within ninety (90) days after the date of such termination or cessation; provided, however, that if the Company, Subsidiary, or Parent, as the case may be, shall terminate the Grantee’s employment for cause (as determined by the Committee), all Options theretofore granted to such Grantee shall, to the extent not theretofore exercised, terminate on the date of such termination or cessation unless otherwise determined by the Committee. In the case of a Grantee whose principal employer is a Subsidiary, the Grantee’s employment shall be deemed to be terminated for purposes of this Section 6(f) as of the date on which such principal employer ceases to be a Subsidiary.</w:t>
      </w:r>
    </w:p>
    <w:p>
      <w:pPr>
        <w:spacing w:after="0" w:line="85" w:lineRule="exact"/>
        <w:rPr>
          <w:rFonts w:ascii="Arial" w:cs="Arial" w:eastAsia="Arial" w:hAnsi="Arial"/>
          <w:sz w:val="17"/>
          <w:szCs w:val="17"/>
          <w:color w:val="auto"/>
        </w:rPr>
      </w:pPr>
    </w:p>
    <w:p>
      <w:pPr>
        <w:jc w:val="both"/>
        <w:ind w:left="666" w:right="140" w:hanging="666"/>
        <w:spacing w:after="0" w:line="259" w:lineRule="auto"/>
        <w:tabs>
          <w:tab w:leader="none" w:pos="666"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DEATH OR DISABILITY OF GRANTEE. If a Grantee shall die while employed by, or performing services for, the Company or a Parent or subsidiary thereof, or within ninety (90) days after the date of cessation of such Grantee’s employment or performance of services other than as a result of termination for cause (or within such longer period as the Committee may have provided pursuant to Section 6(e) hereof), or if the</w:t>
      </w:r>
    </w:p>
    <w:p>
      <w:pPr>
        <w:spacing w:after="0" w:line="11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6"/>
          </w:cols>
          <w:pgMar w:left="694" w:top="274" w:right="239" w:bottom="1440" w:gutter="0" w:footer="0" w:header="0"/>
        </w:sectPr>
      </w:pPr>
    </w:p>
    <w:bookmarkStart w:id="18" w:name="page19"/>
    <w:bookmarkEnd w:id="18"/>
    <w:p>
      <w:pPr>
        <w:ind w:left="686" w:right="1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Grantee’s employment shall terminate or performance of services shall cease by reason of Disability, all Options theretofore granted to such Grantee may, unless earlier terminated in accordance with their terms, be exercised by the Grantee or by the Grantee’s estate or by a person who acquired the right to exercise such Options by bequest or inheritance or otherwise by reason of the death or Disability of the Grantee, at any time within twelve months after the date of death or Disability of the Grantee. In the event that an Option granted hereunder shall be exercised by the legal representatives of a deceased or former Grantee, written notice of such exercise shall be accompanied by a certified copy of letters testamentary or equivalent proof of the right of such legal representative to exercise such Option.</w:t>
      </w:r>
    </w:p>
    <w:p>
      <w:pPr>
        <w:spacing w:after="0" w:line="70" w:lineRule="exact"/>
        <w:rPr>
          <w:sz w:val="20"/>
          <w:szCs w:val="20"/>
          <w:color w:val="auto"/>
        </w:rPr>
      </w:pPr>
    </w:p>
    <w:p>
      <w:pPr>
        <w:ind w:left="666" w:hanging="666"/>
        <w:spacing w:after="0" w:line="286" w:lineRule="auto"/>
        <w:tabs>
          <w:tab w:leader="none" w:pos="666" w:val="left"/>
        </w:tabs>
        <w:numPr>
          <w:ilvl w:val="0"/>
          <w:numId w:val="16"/>
        </w:numPr>
        <w:rPr>
          <w:rFonts w:ascii="Arial" w:cs="Arial" w:eastAsia="Arial" w:hAnsi="Arial"/>
          <w:sz w:val="16"/>
          <w:szCs w:val="16"/>
          <w:color w:val="auto"/>
        </w:rPr>
      </w:pPr>
      <w:r>
        <w:rPr>
          <w:rFonts w:ascii="Arial" w:cs="Arial" w:eastAsia="Arial" w:hAnsi="Arial"/>
          <w:sz w:val="16"/>
          <w:szCs w:val="16"/>
          <w:color w:val="auto"/>
        </w:rPr>
        <w:t>LOANS. Subject to any law, the Company may make loans to Grantees as the Committee, in its discretion, may determine in connection with the exercise of outstanding options granted under the Plan. Such loans shall (i) be evidenced by promissory notes entered into by the Grantees in favor of the Company, (ii) be subject to the terms and conditions set forth in this Section 6(h) and such other terms and conditions, not inconsistent with the Plan, as the Committee shall determine and (iii) bear interest, if any, at such rate as the Committee shall determine. In no event may the principal amount of any such loan exceed the exercise price less the par value of the shares of Ordinary Shares covered by the option, or portion thereof, exercised by the Grantee. The initial term of the loan, the schedule of payments of principal and interest under the loan, the extent to which the loan is to be with or without recourse against the Grantee with respect to principal and/or interest and the conditions upon which the loan will become payable in the event of the Grantee’s termination of employment or ceasing to perform services shall be determined by the Committee; provided, however, that the term of the loan, including extensions, shall not exceed 10 years. Unless the Committee determines otherwise, when a loan shall have been made, shares of Ordinary Shares having a Fair Market Value at least equal to the principal amount of the loan shall be pledged by the Grantee to the Company as security for payment of the unpaid balance of the loan and such pledge shall be evidenced by a pledge agreement, the terms of which shall be determined by the Committee, in its discretion; provided, however, that each loan shall comply with all applicable laws, regulations and rules of the Board of Governors of the Federal Reserve System and any other governmental agency having jurisdiction.</w:t>
      </w:r>
    </w:p>
    <w:p>
      <w:pPr>
        <w:spacing w:after="0" w:line="77" w:lineRule="exact"/>
        <w:rPr>
          <w:rFonts w:ascii="Arial" w:cs="Arial" w:eastAsia="Arial" w:hAnsi="Arial"/>
          <w:sz w:val="16"/>
          <w:szCs w:val="16"/>
          <w:color w:val="auto"/>
        </w:rPr>
      </w:pPr>
    </w:p>
    <w:p>
      <w:pPr>
        <w:ind w:left="666" w:right="540" w:hanging="666"/>
        <w:spacing w:after="0" w:line="277" w:lineRule="auto"/>
        <w:tabs>
          <w:tab w:leader="none" w:pos="6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PROVISIONS. The Option Agreements evidencing Options under the Plan shall contain such other terms and conditions, not inconsistent with the Plan, as the Committee may determine.</w:t>
      </w:r>
    </w:p>
    <w:p>
      <w:pPr>
        <w:spacing w:after="0" w:line="75" w:lineRule="exact"/>
        <w:rPr>
          <w:rFonts w:ascii="Arial" w:cs="Arial" w:eastAsia="Arial" w:hAnsi="Arial"/>
          <w:sz w:val="18"/>
          <w:szCs w:val="18"/>
          <w:color w:val="auto"/>
        </w:rPr>
      </w:pPr>
    </w:p>
    <w:p>
      <w:pPr>
        <w:ind w:left="666" w:right="740" w:hanging="666"/>
        <w:spacing w:after="0" w:line="277" w:lineRule="auto"/>
        <w:tabs>
          <w:tab w:leader="none" w:pos="6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EXERCISE OF OPTIONS. A Grantee who decides to exercise an Option in whole or in part shall give notice to the Company or its designated</w:t>
      </w:r>
    </w:p>
    <w:p>
      <w:pPr>
        <w:spacing w:after="0" w:line="103"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6"/>
          </w:cols>
          <w:pgMar w:left="694" w:top="274" w:right="299" w:bottom="1440" w:gutter="0" w:footer="0" w:header="0"/>
        </w:sectPr>
      </w:pPr>
    </w:p>
    <w:bookmarkStart w:id="19" w:name="page20"/>
    <w:bookmarkEnd w:id="19"/>
    <w:p>
      <w:pPr>
        <w:ind w:left="1140"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of such exercise in writing on a form approved by the Committee. Such notice shall specify the manner in which the Grantee will make payment of the Option Price.</w:t>
      </w:r>
    </w:p>
    <w:p>
      <w:pPr>
        <w:spacing w:after="0" w:line="76"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Nonqualified Stock Options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Options intended to constitute Nonqualified Stock Options shall be subject only to the general terms and conditions specified in Section 6 hereof.</w:t>
      </w:r>
    </w:p>
    <w:p>
      <w:pPr>
        <w:spacing w:after="0" w:line="1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7A.</w:t>
      </w:r>
      <w:r>
        <w:rPr>
          <w:sz w:val="20"/>
          <w:szCs w:val="20"/>
          <w:color w:val="auto"/>
        </w:rPr>
        <w:tab/>
      </w:r>
      <w:r>
        <w:rPr>
          <w:rFonts w:ascii="Arial" w:cs="Arial" w:eastAsia="Arial" w:hAnsi="Arial"/>
          <w:sz w:val="16"/>
          <w:szCs w:val="16"/>
          <w:u w:val="single" w:color="auto"/>
          <w:color w:val="auto"/>
        </w:rPr>
        <w:t>102 Securities</w:t>
      </w:r>
    </w:p>
    <w:p>
      <w:pPr>
        <w:spacing w:after="0" w:line="117" w:lineRule="exact"/>
        <w:rPr>
          <w:sz w:val="20"/>
          <w:szCs w:val="20"/>
          <w:color w:val="auto"/>
        </w:rPr>
      </w:pPr>
    </w:p>
    <w:p>
      <w:pPr>
        <w:jc w:val="both"/>
        <w:ind w:left="460" w:right="40"/>
        <w:spacing w:after="0" w:line="279" w:lineRule="auto"/>
        <w:rPr>
          <w:sz w:val="20"/>
          <w:szCs w:val="20"/>
          <w:color w:val="auto"/>
        </w:rPr>
      </w:pPr>
      <w:r>
        <w:rPr>
          <w:rFonts w:ascii="Arial" w:cs="Arial" w:eastAsia="Arial" w:hAnsi="Arial"/>
          <w:sz w:val="17"/>
          <w:szCs w:val="17"/>
          <w:color w:val="auto"/>
        </w:rPr>
        <w:t>Any 102 Securities which shall be granted to employees or consultants of the Company, any Subsidiary or Parent, or if required by law, shall be issued to a trustee nominated by the Board or the Committee (in accordance with the provisions of Section 102) (the “Trustee”) and held for the benefit of the Grantee in accordance with any of the alternatives under Section 102 as shall be prescribed from time to time by the Committee. The Trustee may also hold in trust any shares issued upon exercise of such 102 Securities, pursuant to the provisions of Section 102.</w:t>
      </w:r>
    </w:p>
    <w:p>
      <w:pPr>
        <w:spacing w:after="0" w:line="7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p>
    <w:p>
      <w:pPr>
        <w:spacing w:after="0" w:line="117" w:lineRule="exact"/>
        <w:rPr>
          <w:rFonts w:ascii="Arial" w:cs="Arial" w:eastAsia="Arial" w:hAnsi="Arial"/>
          <w:sz w:val="18"/>
          <w:szCs w:val="18"/>
          <w:color w:val="auto"/>
        </w:rPr>
      </w:pPr>
    </w:p>
    <w:p>
      <w:pPr>
        <w:ind w:left="460" w:right="180"/>
        <w:spacing w:after="0" w:line="277" w:lineRule="auto"/>
        <w:rPr>
          <w:rFonts w:ascii="Arial" w:cs="Arial" w:eastAsia="Arial" w:hAnsi="Arial"/>
          <w:sz w:val="18"/>
          <w:szCs w:val="18"/>
          <w:color w:val="auto"/>
        </w:rPr>
      </w:pPr>
      <w:r>
        <w:rPr>
          <w:rFonts w:ascii="Arial" w:cs="Arial" w:eastAsia="Arial" w:hAnsi="Arial"/>
          <w:sz w:val="18"/>
          <w:szCs w:val="18"/>
          <w:color w:val="auto"/>
        </w:rPr>
        <w:t>Options intended to constitute Incentive Stock Options shall be subject to the following special terms and conditions, in addition to the general terms and conditions specified in Section 6 hereof.</w:t>
      </w:r>
    </w:p>
    <w:p>
      <w:pPr>
        <w:spacing w:after="0" w:line="75" w:lineRule="exact"/>
        <w:rPr>
          <w:rFonts w:ascii="Arial" w:cs="Arial" w:eastAsia="Arial" w:hAnsi="Arial"/>
          <w:sz w:val="18"/>
          <w:szCs w:val="18"/>
          <w:color w:val="auto"/>
        </w:rPr>
      </w:pPr>
    </w:p>
    <w:p>
      <w:pPr>
        <w:ind w:left="1120" w:hanging="666"/>
        <w:spacing w:after="0" w:line="271" w:lineRule="auto"/>
        <w:tabs>
          <w:tab w:leader="none" w:pos="11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VALUE OF SHARES. The aggregate Fair Market Value (determined as of the date the Incentive Stock Option is granted) of the shares of equity securities of the Company with respect to which Incentive Stock Options granted under this Plan and all other option plans of any Parent or Subsidiary become exercisable for the first time by each Grantee during any calendar year shall not exceed $100,000. To the extent that the aggregate fair market value of shares with respect to which Incentive Stock Options are exercisable for the first time by any Grantee during any calendar year exceeds $100,000, such Option shall be treated as a Non-Qualified Stock Option. The foregoing shall be applied by taking options into account in the order in which they were granted, with the fair market value of any share to be determined at the time of the grant of the Option. In the event the foregoing results in a portion of an Incentive Stock Option exceeding the $100,000 limitation, only such excess shall be treated as a Non-Qualified Stock Option.</w:t>
      </w:r>
    </w:p>
    <w:p>
      <w:pPr>
        <w:spacing w:after="0" w:line="84" w:lineRule="exact"/>
        <w:rPr>
          <w:rFonts w:ascii="Arial" w:cs="Arial" w:eastAsia="Arial" w:hAnsi="Arial"/>
          <w:sz w:val="17"/>
          <w:szCs w:val="17"/>
          <w:color w:val="auto"/>
        </w:rPr>
      </w:pPr>
    </w:p>
    <w:p>
      <w:pPr>
        <w:ind w:left="1120" w:right="120" w:hanging="666"/>
        <w:spacing w:after="0" w:line="312" w:lineRule="auto"/>
        <w:tabs>
          <w:tab w:leader="none" w:pos="11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TEN PERCENT STOCKHOLDER. In the case of an Incentive Stock Option granted to a Ten Percent Stockholder, (i) the Option Price shall not be less than one hundred and ten percent (110%) of the Fair Market Value of the shares of Ordinary Shares on the date of grant of such Incentive Stock Option and (ii) the exercise period shall not exceed five (5) years from the date of grant of such Incentive Stock Option.</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20" w:name="page21"/>
    <w:bookmarkEnd w:id="20"/>
    <w:p>
      <w:pPr>
        <w:ind w:left="452" w:hanging="452"/>
        <w:spacing w:after="0"/>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Restricted Stock</w:t>
      </w:r>
    </w:p>
    <w:p>
      <w:pPr>
        <w:spacing w:after="0" w:line="117" w:lineRule="exact"/>
        <w:rPr>
          <w:rFonts w:ascii="Arial" w:cs="Arial" w:eastAsia="Arial" w:hAnsi="Arial"/>
          <w:sz w:val="18"/>
          <w:szCs w:val="18"/>
          <w:color w:val="auto"/>
        </w:rPr>
      </w:pPr>
    </w:p>
    <w:p>
      <w:pPr>
        <w:ind w:left="452" w:right="40"/>
        <w:spacing w:after="0" w:line="302" w:lineRule="auto"/>
        <w:rPr>
          <w:rFonts w:ascii="Arial" w:cs="Arial" w:eastAsia="Arial" w:hAnsi="Arial"/>
          <w:sz w:val="18"/>
          <w:szCs w:val="18"/>
          <w:color w:val="auto"/>
        </w:rPr>
      </w:pPr>
      <w:r>
        <w:rPr>
          <w:rFonts w:ascii="Arial" w:cs="Arial" w:eastAsia="Arial" w:hAnsi="Arial"/>
          <w:sz w:val="16"/>
          <w:szCs w:val="16"/>
          <w:color w:val="auto"/>
        </w:rPr>
        <w:t>The Committee may award shares of Restricted Stock to any eligible individual. Each award of Restricted Stock under the Plan shall be evidenced by an instrument, in such form as the Committee shall from time to time approve (the “Restricted Stock Agreement”), and shall comply with the following terms and conditions (and with such other terms and conditions not inconsistent with the terms of this Plan as the Committee, in its discretion, shall establish including, without limitation, the requirement that a Grantee provide consideration for Restricted Stock upon the lapse of restrictions):</w:t>
      </w:r>
    </w:p>
    <w:p>
      <w:pPr>
        <w:spacing w:after="0" w:line="59" w:lineRule="exact"/>
        <w:rPr>
          <w:rFonts w:ascii="Arial" w:cs="Arial" w:eastAsia="Arial" w:hAnsi="Arial"/>
          <w:sz w:val="18"/>
          <w:szCs w:val="18"/>
          <w:color w:val="auto"/>
        </w:rPr>
      </w:pPr>
    </w:p>
    <w:p>
      <w:pPr>
        <w:ind w:left="1112" w:hanging="666"/>
        <w:spacing w:after="0"/>
        <w:tabs>
          <w:tab w:leader="none" w:pos="1112"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Committee shall determine the number of shares of Ordinary Shares to be issued to the Grantee pursuant to the award.</w:t>
      </w:r>
    </w:p>
    <w:p>
      <w:pPr>
        <w:sectPr>
          <w:pgSz w:w="11900" w:h="16838" w:orient="portrait"/>
          <w:cols w:equalWidth="0" w:num="1">
            <w:col w:w="11412"/>
          </w:cols>
          <w:pgMar w:left="248" w:top="274" w:right="239" w:bottom="1440" w:gutter="0" w:footer="0" w:header="0"/>
        </w:sectPr>
      </w:pPr>
    </w:p>
    <w:p>
      <w:pPr>
        <w:spacing w:after="0" w:line="13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(b)(i)</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Shares of Restricted Stock may not be sold, assigned, transferred, pledged, hypothecated or otherwise disposed of, except by will or the laws of descent and distribution, for such period as the Committee shall determine from the date on which the award is granted (the “Restricted Period”). The Committee may also impose such other restrictions and conditions on the shares as it deems appropriate including the satisfaction of performance criteria. Certificates for shares of stock issued pursuant to Restricted Stock awards shall bear an appropriate legend referring to such restrictions, and any attempt to dispose of any such shares of stock in contravention of such restrictions shall be null and void and without effect. During the Restricted Period, such certificates shall be held in escrow by an escrow agent appointed by the Committee. In determining the Restricted Period of an award, the Committee may provide that the foregoing restrictions shall lapse with respect to specified percentages of the awarded shares on successive anniversaries of the date of such award, provided that the restrictions with respect to no more than 25% of the awarded shares shall lapse prior to the first anniversary of the date of grant, no more than additional 25% shall lapse prior to the second anniversary of the date of grant, no more than additional 25% shall lapse prior to the third anniversary of the date of grant and no more than additional 25% shall lapse prior to the fourth anniversary of the date of grant</w:t>
      </w:r>
      <w:r>
        <w:rPr>
          <w:rFonts w:ascii="Arial" w:cs="Arial" w:eastAsia="Arial" w:hAnsi="Arial"/>
          <w:sz w:val="17"/>
          <w:szCs w:val="17"/>
          <w:b w:val="1"/>
          <w:bCs w:val="1"/>
          <w:color w:val="auto"/>
        </w:rPr>
        <w:t>;</w:t>
      </w:r>
      <w:r>
        <w:rPr>
          <w:rFonts w:ascii="Arial" w:cs="Arial" w:eastAsia="Arial" w:hAnsi="Arial"/>
          <w:sz w:val="17"/>
          <w:szCs w:val="17"/>
          <w:color w:val="auto"/>
        </w:rPr>
        <w:t xml:space="preserve"> provided further, however, that the foregoing vesting schedule shall not apply to (A) Restricted Stock granted with restrictions related to satisfaction of performance criteria; or (B) extraordinary circumstances as shall be determined by the Committee which shall include, without limitation, death or disability, a merger, consolidation, sale, reorganization, recapitalization, or change in control of the Company; or any other nonrecurring significant event affecting the Company, a Participant or the Plan.</w:t>
      </w:r>
    </w:p>
    <w:p>
      <w:pPr>
        <w:spacing w:after="0" w:line="89" w:lineRule="exact"/>
        <w:rPr>
          <w:sz w:val="20"/>
          <w:szCs w:val="20"/>
          <w:color w:val="auto"/>
        </w:rPr>
      </w:pPr>
    </w:p>
    <w:p>
      <w:pPr>
        <w:sectPr>
          <w:pgSz w:w="11900" w:h="16838" w:orient="portrait"/>
          <w:cols w:equalWidth="0" w:num="2">
            <w:col w:w="832" w:space="280"/>
            <w:col w:w="10300"/>
          </w:cols>
          <w:pgMar w:left="248" w:top="274" w:right="239" w:bottom="1440" w:gutter="0" w:footer="0" w:header="0"/>
          <w:type w:val="continuous"/>
        </w:sectPr>
      </w:pPr>
    </w:p>
    <w:p>
      <w:pPr>
        <w:ind w:left="1112" w:right="720" w:hanging="666"/>
        <w:spacing w:after="0" w:line="277" w:lineRule="auto"/>
        <w:tabs>
          <w:tab w:leader="none" w:pos="11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Committee may adjust the performance goals to take into account changes in law and accounting and tax rules and to make such adjustments as the Committee deems necessary or appropriate to reflect the inclusion</w:t>
      </w:r>
    </w:p>
    <w:p>
      <w:pPr>
        <w:spacing w:after="0" w:line="103" w:lineRule="exact"/>
        <w:rPr>
          <w:sz w:val="20"/>
          <w:szCs w:val="20"/>
          <w:color w:val="auto"/>
        </w:rPr>
      </w:pPr>
    </w:p>
    <w:p>
      <w:pPr>
        <w:jc w:val="center"/>
        <w:ind w:right="8"/>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12"/>
          </w:cols>
          <w:pgMar w:left="248" w:top="274" w:right="239" w:bottom="1440" w:gutter="0" w:footer="0" w:header="0"/>
          <w:type w:val="continuous"/>
        </w:sectPr>
      </w:pPr>
    </w:p>
    <w:bookmarkStart w:id="21" w:name="page22"/>
    <w:bookmarkEnd w:id="21"/>
    <w:p>
      <w:pPr>
        <w:ind w:left="1140"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exclusion of the impact of extraordinary or unusual items, events or circumstances, provided that no adjustment shall be made which will result in an increase in the compensation of any Grantee whose compensation is subject to the limitation on deductibility under</w:t>
      </w:r>
    </w:p>
    <w:p>
      <w:pPr>
        <w:ind w:left="1140" w:right="140"/>
        <w:spacing w:after="0" w:line="255" w:lineRule="auto"/>
        <w:rPr>
          <w:sz w:val="20"/>
          <w:szCs w:val="20"/>
          <w:color w:val="auto"/>
        </w:rPr>
      </w:pPr>
      <w:r>
        <w:rPr>
          <w:rFonts w:ascii="Arial" w:cs="Arial" w:eastAsia="Arial" w:hAnsi="Arial"/>
          <w:sz w:val="18"/>
          <w:szCs w:val="18"/>
          <w:color w:val="auto"/>
        </w:rPr>
        <w:t>Section 162(m) of the Internal Revenue Code, as amended, or a successor provision, for the applicable year. The Committee also may adjust the performance goals by reducing the amount to be received by any Grantee pursuant to an award if and to the extent that the Committee deems it appropriate.</w:t>
      </w:r>
    </w:p>
    <w:p>
      <w:pPr>
        <w:spacing w:after="0" w:line="96" w:lineRule="exact"/>
        <w:rPr>
          <w:sz w:val="20"/>
          <w:szCs w:val="20"/>
          <w:color w:val="auto"/>
        </w:rPr>
      </w:pPr>
    </w:p>
    <w:p>
      <w:pPr>
        <w:ind w:left="1120" w:hanging="666"/>
        <w:spacing w:after="0" w:line="259"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such exceptions as may be determined by the Committee, if the Grantee’s continuous employment with, or performance of, service for, the Company or any Parent or Subsidiary shall cease for any reason prior to the expiration of the Restricted Period of an award, any shares remaining subject to restrictions (after taking into account the provisions of Subsection (e) of this Section 9) shall be repurchased by the Company or its Subsidiary at a price per share equal to the par value thereof.</w:t>
      </w:r>
    </w:p>
    <w:p>
      <w:pPr>
        <w:spacing w:after="0" w:line="92" w:lineRule="exact"/>
        <w:rPr>
          <w:rFonts w:ascii="Arial" w:cs="Arial" w:eastAsia="Arial" w:hAnsi="Arial"/>
          <w:sz w:val="18"/>
          <w:szCs w:val="18"/>
          <w:color w:val="auto"/>
        </w:rPr>
      </w:pPr>
    </w:p>
    <w:p>
      <w:pPr>
        <w:ind w:left="1120" w:right="240" w:hanging="666"/>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the Restricted Period the Grantee shall possess all incidents of ownership of such shares, subject to Subsection (b) of this Section 9, including the right to receive dividends with respect to such shares and to vote such shares.</w:t>
      </w:r>
    </w:p>
    <w:p>
      <w:pPr>
        <w:spacing w:after="0" w:line="75" w:lineRule="exact"/>
        <w:rPr>
          <w:rFonts w:ascii="Arial" w:cs="Arial" w:eastAsia="Arial" w:hAnsi="Arial"/>
          <w:sz w:val="18"/>
          <w:szCs w:val="18"/>
          <w:color w:val="auto"/>
        </w:rPr>
      </w:pPr>
    </w:p>
    <w:p>
      <w:pPr>
        <w:jc w:val="both"/>
        <w:ind w:left="1120" w:right="140" w:hanging="666"/>
        <w:spacing w:after="0" w:line="264"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Committee shall have the authority (and the Restricted Stock Agreement may so provide) to cancel all or any portion of any outstanding restrictions prior to the expiration of the Restricted Period with respect to any or all of the shares of Restricted Stock awarded on such terms and conditions as the Committee shall deem appropriate.</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9A.</w:t>
      </w:r>
      <w:r>
        <w:rPr>
          <w:sz w:val="20"/>
          <w:szCs w:val="20"/>
          <w:color w:val="auto"/>
        </w:rPr>
        <w:tab/>
      </w:r>
      <w:r>
        <w:rPr>
          <w:rFonts w:ascii="Arial" w:cs="Arial" w:eastAsia="Arial" w:hAnsi="Arial"/>
          <w:sz w:val="16"/>
          <w:szCs w:val="16"/>
          <w:u w:val="single" w:color="auto"/>
          <w:color w:val="auto"/>
        </w:rPr>
        <w:t>Stock Appreciation Rights</w:t>
      </w:r>
    </w:p>
    <w:p>
      <w:pPr>
        <w:spacing w:after="0" w:line="131" w:lineRule="exact"/>
        <w:rPr>
          <w:sz w:val="20"/>
          <w:szCs w:val="20"/>
          <w:color w:val="auto"/>
        </w:rPr>
      </w:pPr>
    </w:p>
    <w:p>
      <w:pPr>
        <w:ind w:left="1120" w:right="40" w:hanging="666"/>
        <w:spacing w:after="0" w:line="264"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Committee may also grant stock appreciation rights (“SARs”) without the grant of an accompanying option, which rights shall permit the Grantees to receive, at the time of any exercise of such rights, cash equal to the amount by which the fair market value of all shares of Ordinary Shares in respect to which the right was granted exceeds the exercise price thereof.</w:t>
      </w:r>
    </w:p>
    <w:p>
      <w:pPr>
        <w:spacing w:after="0" w:line="86" w:lineRule="exact"/>
        <w:rPr>
          <w:rFonts w:ascii="Arial" w:cs="Arial" w:eastAsia="Arial" w:hAnsi="Arial"/>
          <w:sz w:val="18"/>
          <w:szCs w:val="18"/>
          <w:color w:val="auto"/>
        </w:rPr>
      </w:pPr>
    </w:p>
    <w:p>
      <w:pPr>
        <w:ind w:left="1120" w:right="100" w:hanging="666"/>
        <w:spacing w:after="0" w:line="286" w:lineRule="auto"/>
        <w:tabs>
          <w:tab w:leader="none" w:pos="11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Committee shall establish the exercise price of each SAR and specify it in the applicable SAR agreement. The exercise price shall not be less than 100% of the Fair Market Value on the date the SAR is granted; provided that if the Committee approves the grant of an SAR effective as of a future date, the exercise price shall be not less than 100% of the Fair Market Value on such future date.</w:t>
      </w:r>
    </w:p>
    <w:p>
      <w:pPr>
        <w:spacing w:after="0" w:line="70" w:lineRule="exact"/>
        <w:rPr>
          <w:rFonts w:ascii="Arial" w:cs="Arial" w:eastAsia="Arial" w:hAnsi="Arial"/>
          <w:sz w:val="17"/>
          <w:szCs w:val="17"/>
          <w:color w:val="auto"/>
        </w:rPr>
      </w:pPr>
    </w:p>
    <w:p>
      <w:pPr>
        <w:ind w:left="1120" w:right="260" w:hanging="666"/>
        <w:spacing w:after="0" w:line="277" w:lineRule="auto"/>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SAR shall be exercisable at such times and subject to such terms and conditions as the Committee may specify in the applicable SAR agreement; provided, however, that no SAR will be granted with a term in excess of 10 years.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2" w:name="page23"/>
    <w:bookmarkEnd w:id="22"/>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9B.</w:t>
      </w:r>
      <w:r>
        <w:rPr>
          <w:sz w:val="20"/>
          <w:szCs w:val="20"/>
          <w:color w:val="auto"/>
        </w:rPr>
        <w:tab/>
      </w:r>
      <w:r>
        <w:rPr>
          <w:rFonts w:ascii="Arial" w:cs="Arial" w:eastAsia="Arial" w:hAnsi="Arial"/>
          <w:sz w:val="18"/>
          <w:szCs w:val="18"/>
          <w:u w:val="single" w:color="auto"/>
          <w:color w:val="auto"/>
        </w:rPr>
        <w:t>Other Stock-Based Awards</w:t>
      </w:r>
    </w:p>
    <w:p>
      <w:pPr>
        <w:spacing w:after="0" w:line="117" w:lineRule="exact"/>
        <w:rPr>
          <w:sz w:val="20"/>
          <w:szCs w:val="20"/>
          <w:color w:val="auto"/>
        </w:rPr>
      </w:pPr>
    </w:p>
    <w:p>
      <w:pPr>
        <w:ind w:left="1140"/>
        <w:spacing w:after="0" w:line="271" w:lineRule="auto"/>
        <w:rPr>
          <w:sz w:val="20"/>
          <w:szCs w:val="20"/>
          <w:color w:val="auto"/>
        </w:rPr>
      </w:pPr>
      <w:r>
        <w:rPr>
          <w:rFonts w:ascii="Arial" w:cs="Arial" w:eastAsia="Arial" w:hAnsi="Arial"/>
          <w:sz w:val="17"/>
          <w:szCs w:val="17"/>
          <w:color w:val="auto"/>
        </w:rPr>
        <w:t>The Committee may grant other awards under the Plan pursuant to which shares of Ordinary Shares (which may, but need not, be shares of Restricted Stock pursuant to Section 9 hereof) are or may in the future be acquired, or awards denominated in stock units, including ones values using measures other than market value. Such other stock based awards may be granted alone, in addition to, or in tandem with any award of any typed granted under the plan and must be consistent with the purposes of the Plan. From and after January 27, 2017, the Committee may not award such stock-based awards that are “full-value” awards, including but not limited to Shares of Restricted Stock or awards denominated in stock units (but excluding options and SARs), in an aggregate amount that exceeds the sum of (a) the number of Ordinary Shares that were subject to such sublimit as of January 26, 2017 (which number was 4,260,783 Ordinary Shares as of November 30, 2016) plus (b) 5,250,000 Ordinary Shares.</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9C.</w:t>
      </w:r>
      <w:r>
        <w:rPr>
          <w:sz w:val="20"/>
          <w:szCs w:val="20"/>
          <w:color w:val="auto"/>
        </w:rPr>
        <w:tab/>
      </w:r>
      <w:r>
        <w:rPr>
          <w:rFonts w:ascii="Arial" w:cs="Arial" w:eastAsia="Arial" w:hAnsi="Arial"/>
          <w:sz w:val="18"/>
          <w:szCs w:val="18"/>
          <w:u w:val="single" w:color="auto"/>
          <w:color w:val="auto"/>
        </w:rPr>
        <w:t>Limitations and Conditions.</w:t>
      </w:r>
    </w:p>
    <w:p>
      <w:pPr>
        <w:spacing w:after="0" w:line="131" w:lineRule="exact"/>
        <w:rPr>
          <w:sz w:val="20"/>
          <w:szCs w:val="20"/>
          <w:color w:val="auto"/>
        </w:rPr>
      </w:pPr>
    </w:p>
    <w:p>
      <w:pPr>
        <w:ind w:left="1120" w:right="60" w:hanging="666"/>
        <w:spacing w:after="0" w:line="272" w:lineRule="auto"/>
        <w:tabs>
          <w:tab w:leader="none" w:pos="11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the event that the Company makes an acquisition or is a party to a merger or consolidation and the Company assumes or substitutes for the options or other awards consistent with the purpose of this Plan of the Company acquired, merged or consolidated which are administered pursuant to this Plan, shares of Ordinary Shares subject to the assumed or substituted options or other awards shall not count as part of the total number of shares of Ordinary Shares that may be made subject to awards under this Plan or the limitation on other stock-based awards under Section 9B hereof, except as may be required by reason of Section 422 and related provisions of the Code. Any assumed or substituted awards to be administered under the Plan shall be on such terms as the Board deems appropriate in the circumstances, notwithstanding any limitations on the terms and conditions of awards contained in the Plan.</w:t>
      </w:r>
    </w:p>
    <w:p>
      <w:pPr>
        <w:spacing w:after="0" w:line="83" w:lineRule="exact"/>
        <w:rPr>
          <w:rFonts w:ascii="Arial" w:cs="Arial" w:eastAsia="Arial" w:hAnsi="Arial"/>
          <w:sz w:val="17"/>
          <w:szCs w:val="17"/>
          <w:color w:val="auto"/>
        </w:rPr>
      </w:pPr>
    </w:p>
    <w:p>
      <w:pPr>
        <w:ind w:left="1120" w:right="100" w:hanging="666"/>
        <w:spacing w:after="0" w:line="272" w:lineRule="auto"/>
        <w:tabs>
          <w:tab w:leader="none" w:pos="11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Subject to section 5 above, any shares that have been made subject to an award that cease to be subject to the award (other than by reason of exercise or payment of the award to the extent it is settled in shares) shall again be available for award and shall not be considered as having been theretofore made subject to award. For the avoidance of doubt, any shares that have been made subject to an award made prior to January 27, 2017 and of the type described in the last sentence of Section 9B that cease to be subject to such award (other than by reason of exercise or payment of the award to the extent it is settled in shares) shall again be available for awards of the type described in the last sentence of Section 9B, without regard to the sublimit set forth in the last sentence of Section 9B, and shall not be considered as having been theretofore made subject to award.</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23" w:name="page24"/>
    <w:bookmarkEnd w:id="23"/>
    <w:p>
      <w:pPr>
        <w:ind w:left="1112" w:hanging="666"/>
        <w:spacing w:after="0"/>
        <w:tabs>
          <w:tab w:leader="none" w:pos="1112" w:val="left"/>
        </w:tabs>
        <w:numPr>
          <w:ilvl w:val="1"/>
          <w:numId w:val="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Nothing contained herein shall affect the right of the Company to terminate any Grantee’s employment at any time or for any reason.</w:t>
      </w:r>
    </w:p>
    <w:p>
      <w:pPr>
        <w:spacing w:after="0" w:line="142" w:lineRule="exact"/>
        <w:rPr>
          <w:rFonts w:ascii="Arial" w:cs="Arial" w:eastAsia="Arial" w:hAnsi="Arial"/>
          <w:sz w:val="17"/>
          <w:szCs w:val="17"/>
          <w:color w:val="auto"/>
        </w:rPr>
      </w:pPr>
    </w:p>
    <w:p>
      <w:pPr>
        <w:ind w:left="452" w:hanging="452"/>
        <w:spacing w:after="0"/>
        <w:tabs>
          <w:tab w:leader="none" w:pos="45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Effect of Certain Changes</w:t>
      </w:r>
    </w:p>
    <w:p>
      <w:pPr>
        <w:spacing w:after="0" w:line="130" w:lineRule="exact"/>
        <w:rPr>
          <w:rFonts w:ascii="Arial" w:cs="Arial" w:eastAsia="Arial" w:hAnsi="Arial"/>
          <w:sz w:val="18"/>
          <w:szCs w:val="18"/>
          <w:color w:val="auto"/>
        </w:rPr>
      </w:pPr>
    </w:p>
    <w:p>
      <w:pPr>
        <w:ind w:left="1112" w:right="60" w:hanging="666"/>
        <w:spacing w:after="0" w:line="255" w:lineRule="auto"/>
        <w:tabs>
          <w:tab w:leader="none" w:pos="1112" w:val="left"/>
        </w:tabs>
        <w:numPr>
          <w:ilvl w:val="1"/>
          <w:numId w:val="25"/>
        </w:numPr>
        <w:rPr>
          <w:rFonts w:ascii="Arial" w:cs="Arial" w:eastAsia="Arial" w:hAnsi="Arial"/>
          <w:sz w:val="18"/>
          <w:szCs w:val="18"/>
          <w:color w:val="auto"/>
        </w:rPr>
      </w:pPr>
      <w:r>
        <w:rPr>
          <w:rFonts w:ascii="Arial" w:cs="Arial" w:eastAsia="Arial" w:hAnsi="Arial"/>
          <w:sz w:val="18"/>
          <w:szCs w:val="18"/>
          <w:color w:val="auto"/>
        </w:rPr>
        <w:t>If there is any change in the shares of Ordinary Shares through the declaration of stock dividends, recapitalization, stock splits, combinations or exchanges of such shares, or other similar transactions, which result in any increase or decrease in the number of issued Ordinary Shares effected without receipt of consideration (provided, however, that conversion of any convertible security of the Company shall not be deemed to have been effected without receipt of consideration), the number of shares of Ordinary Shares available for awards, the number of such shares covered by outstanding awards, and the price per share of Options shall be proportionately adjusted by the Committee to reflect such change in the issued shares of Ordinary Shares; provided, however, that any fractional shares resulting from such adjustment shall be eliminated.</w:t>
      </w:r>
    </w:p>
    <w:p>
      <w:pPr>
        <w:spacing w:after="0" w:line="94" w:lineRule="exact"/>
        <w:rPr>
          <w:rFonts w:ascii="Arial" w:cs="Arial" w:eastAsia="Arial" w:hAnsi="Arial"/>
          <w:sz w:val="18"/>
          <w:szCs w:val="18"/>
          <w:color w:val="auto"/>
        </w:rPr>
      </w:pPr>
    </w:p>
    <w:p>
      <w:pPr>
        <w:ind w:left="1112" w:right="80" w:hanging="666"/>
        <w:spacing w:after="0" w:line="277" w:lineRule="auto"/>
        <w:tabs>
          <w:tab w:leader="none" w:pos="1112"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the event of the dissolution or liquidation of the Company or in the event of any corporate separation or division, including, but not limited to, split-up, split-off or spin-off or in the event of other similar transactions, the Committee may provide that:</w:t>
      </w:r>
    </w:p>
    <w:p>
      <w:pPr>
        <w:spacing w:after="0" w:line="75" w:lineRule="exact"/>
        <w:rPr>
          <w:rFonts w:ascii="Arial" w:cs="Arial" w:eastAsia="Arial" w:hAnsi="Arial"/>
          <w:sz w:val="18"/>
          <w:szCs w:val="18"/>
          <w:color w:val="auto"/>
        </w:rPr>
      </w:pPr>
    </w:p>
    <w:p>
      <w:pPr>
        <w:ind w:left="1692" w:hanging="558"/>
        <w:spacing w:after="0" w:line="257" w:lineRule="auto"/>
        <w:tabs>
          <w:tab w:leader="none" w:pos="1692"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Grantee of any award hereunder shall have the right to exercise an Option (at its then Option price) or to receive in respect of other types of awards the kind and amount of shares of stock and other securities, property, cash or any combination thereof receivable upon such dissolution, liquidation, or corporate separation or division by a Grantee of the number of shares of Ordinary Shares subject to such award for which such award might have been exercised or realized immediately prior to such dissolution, liquidation, or corporate separation or division; or</w:t>
      </w:r>
    </w:p>
    <w:p>
      <w:pPr>
        <w:spacing w:after="0" w:line="93" w:lineRule="exact"/>
        <w:rPr>
          <w:rFonts w:ascii="Arial" w:cs="Arial" w:eastAsia="Arial" w:hAnsi="Arial"/>
          <w:sz w:val="18"/>
          <w:szCs w:val="18"/>
          <w:color w:val="auto"/>
        </w:rPr>
      </w:pPr>
    </w:p>
    <w:p>
      <w:pPr>
        <w:ind w:left="1692" w:right="300" w:hanging="558"/>
        <w:spacing w:after="0" w:line="279" w:lineRule="auto"/>
        <w:tabs>
          <w:tab w:leader="none" w:pos="1692" w:val="left"/>
        </w:tabs>
        <w:numPr>
          <w:ilvl w:val="2"/>
          <w:numId w:val="25"/>
        </w:numPr>
        <w:rPr>
          <w:rFonts w:ascii="Arial" w:cs="Arial" w:eastAsia="Arial" w:hAnsi="Arial"/>
          <w:sz w:val="17"/>
          <w:szCs w:val="17"/>
          <w:color w:val="auto"/>
        </w:rPr>
      </w:pPr>
      <w:r>
        <w:rPr>
          <w:rFonts w:ascii="Arial" w:cs="Arial" w:eastAsia="Arial" w:hAnsi="Arial"/>
          <w:sz w:val="17"/>
          <w:szCs w:val="17"/>
          <w:color w:val="auto"/>
        </w:rPr>
        <w:t>each award granted under the Plan shall terminate as of a date to be fixed by the Committee and that not less than thirty (30) days’ written notice of the date so fixed shall be given to each Grantee, who shall have the right, during the period of thirty (30) days preceding such termination, to exercise or otherwise realize with respect to such awards all or any part of the shares of Ordinary Shares and other securities, property, cash or any combination thereof, covered thereby.</w:t>
      </w:r>
    </w:p>
    <w:p>
      <w:pPr>
        <w:spacing w:after="0" w:line="63" w:lineRule="exact"/>
        <w:rPr>
          <w:sz w:val="20"/>
          <w:szCs w:val="20"/>
          <w:color w:val="auto"/>
        </w:rPr>
      </w:pPr>
    </w:p>
    <w:p>
      <w:pPr>
        <w:ind w:left="1372" w:right="220"/>
        <w:spacing w:after="0" w:line="277" w:lineRule="auto"/>
        <w:rPr>
          <w:sz w:val="20"/>
          <w:szCs w:val="20"/>
          <w:color w:val="auto"/>
        </w:rPr>
      </w:pPr>
      <w:r>
        <w:rPr>
          <w:rFonts w:ascii="Arial" w:cs="Arial" w:eastAsia="Arial" w:hAnsi="Arial"/>
          <w:sz w:val="18"/>
          <w:szCs w:val="18"/>
          <w:color w:val="auto"/>
        </w:rPr>
        <w:t>In the event of a proposed sale of all or substantially all of the assets of the Company or the merger of the Company with or into another corporation, the Committee may provide that any award then outstanding shall be</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92"/>
          </w:cols>
          <w:pgMar w:left="248" w:top="274" w:right="259" w:bottom="1440" w:gutter="0" w:footer="0" w:header="0"/>
        </w:sectPr>
      </w:pPr>
    </w:p>
    <w:bookmarkStart w:id="24" w:name="page25"/>
    <w:bookmarkEnd w:id="24"/>
    <w:p>
      <w:pPr>
        <w:ind w:left="1132"/>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assumed or an equivalent award shall be substituted by such successor corporation or a parent or subsidiary of such successor corporation, unless such successor corporation does not agree to assume the award or to substitute an equivalent award, in which case the Committee shall, in lieu of such assumption or substitution, provide for the realization of such outstanding awards in the manner set forth in subsections 10(b)</w:t>
      </w:r>
    </w:p>
    <w:p>
      <w:pPr>
        <w:ind w:left="1352" w:hanging="211"/>
        <w:spacing w:after="0"/>
        <w:tabs>
          <w:tab w:leader="none" w:pos="1352" w:val="left"/>
        </w:tabs>
        <w:numPr>
          <w:ilvl w:val="2"/>
          <w:numId w:val="26"/>
        </w:numPr>
        <w:rPr>
          <w:rFonts w:ascii="Arial" w:cs="Arial" w:eastAsia="Arial" w:hAnsi="Arial"/>
          <w:sz w:val="18"/>
          <w:szCs w:val="18"/>
          <w:color w:val="auto"/>
        </w:rPr>
      </w:pPr>
      <w:r>
        <w:rPr>
          <w:rFonts w:ascii="Arial" w:cs="Arial" w:eastAsia="Arial" w:hAnsi="Arial"/>
          <w:sz w:val="18"/>
          <w:szCs w:val="18"/>
          <w:color w:val="auto"/>
        </w:rPr>
        <w:t>or 10(b)(ii) above.</w:t>
      </w:r>
    </w:p>
    <w:p>
      <w:pPr>
        <w:spacing w:after="0" w:line="116" w:lineRule="exact"/>
        <w:rPr>
          <w:rFonts w:ascii="Arial" w:cs="Arial" w:eastAsia="Arial" w:hAnsi="Arial"/>
          <w:sz w:val="18"/>
          <w:szCs w:val="18"/>
          <w:color w:val="auto"/>
        </w:rPr>
      </w:pPr>
    </w:p>
    <w:p>
      <w:pPr>
        <w:ind w:left="1112" w:right="200" w:hanging="666"/>
        <w:spacing w:after="0" w:line="264" w:lineRule="auto"/>
        <w:tabs>
          <w:tab w:leader="none" w:pos="1112"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the event of a change in the Ordinary Shares of the Company as presently constituted that is limited to a change of all of its authorized shares of Ordinary Shares into the same number of shares with a different par value or without par value, the shares resulting from any such change shall be deemed to be the Ordinary Shares within the meaning of the Plan.</w:t>
      </w:r>
    </w:p>
    <w:p>
      <w:pPr>
        <w:spacing w:after="0" w:line="86" w:lineRule="exact"/>
        <w:rPr>
          <w:rFonts w:ascii="Arial" w:cs="Arial" w:eastAsia="Arial" w:hAnsi="Arial"/>
          <w:sz w:val="18"/>
          <w:szCs w:val="18"/>
          <w:color w:val="auto"/>
        </w:rPr>
      </w:pPr>
    </w:p>
    <w:p>
      <w:pPr>
        <w:ind w:left="1112" w:hanging="666"/>
        <w:spacing w:after="0" w:line="268" w:lineRule="auto"/>
        <w:tabs>
          <w:tab w:leader="none" w:pos="1112" w:val="left"/>
        </w:tabs>
        <w:numPr>
          <w:ilvl w:val="1"/>
          <w:numId w:val="27"/>
        </w:numPr>
        <w:rPr>
          <w:rFonts w:ascii="Arial" w:cs="Arial" w:eastAsia="Arial" w:hAnsi="Arial"/>
          <w:sz w:val="17"/>
          <w:szCs w:val="17"/>
          <w:color w:val="auto"/>
        </w:rPr>
      </w:pPr>
      <w:r>
        <w:rPr>
          <w:rFonts w:ascii="Arial" w:cs="Arial" w:eastAsia="Arial" w:hAnsi="Arial"/>
          <w:sz w:val="17"/>
          <w:szCs w:val="17"/>
          <w:color w:val="auto"/>
        </w:rPr>
        <w:t>Except as herein before expressly provided in this Section 10, the Grantee of an award hereunder shall have no rights by reason of any subdivision or consolidation of shares of stock of any class or the payment of any stock dividend or any other increase or decrease in the number of shares of stock of any class or by reason of any dissolution, liquidation, merger, or consolidation or spin-off of assets or stock of another company; and any issue by the Company of shares of stock of any class, or securities convertible into shares of stock of any class, shall not affect, and no adjustment by reason thereof shall be made with respect to, the number or price of shares of Ordinary Shares subject to an award.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shareholder approval. The grant of an award pursuant to the Plan shall not affect in any way the right or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spacing w:after="0" w:line="93" w:lineRule="exact"/>
        <w:rPr>
          <w:rFonts w:ascii="Arial" w:cs="Arial" w:eastAsia="Arial" w:hAnsi="Arial"/>
          <w:sz w:val="17"/>
          <w:szCs w:val="17"/>
          <w:color w:val="auto"/>
        </w:rPr>
      </w:pPr>
    </w:p>
    <w:p>
      <w:pPr>
        <w:ind w:left="452" w:hanging="452"/>
        <w:spacing w:after="0"/>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the Plan</w:t>
      </w:r>
    </w:p>
    <w:p>
      <w:pPr>
        <w:spacing w:after="0" w:line="117" w:lineRule="exact"/>
        <w:rPr>
          <w:rFonts w:ascii="Arial" w:cs="Arial" w:eastAsia="Arial" w:hAnsi="Arial"/>
          <w:sz w:val="18"/>
          <w:szCs w:val="18"/>
          <w:color w:val="auto"/>
        </w:rPr>
      </w:pPr>
    </w:p>
    <w:p>
      <w:pPr>
        <w:ind w:left="452" w:right="280"/>
        <w:spacing w:after="0" w:line="277" w:lineRule="auto"/>
        <w:rPr>
          <w:rFonts w:ascii="Arial" w:cs="Arial" w:eastAsia="Arial" w:hAnsi="Arial"/>
          <w:sz w:val="18"/>
          <w:szCs w:val="18"/>
          <w:color w:val="auto"/>
        </w:rPr>
      </w:pPr>
      <w:r>
        <w:rPr>
          <w:rFonts w:ascii="Arial" w:cs="Arial" w:eastAsia="Arial" w:hAnsi="Arial"/>
          <w:sz w:val="18"/>
          <w:szCs w:val="18"/>
          <w:color w:val="auto"/>
        </w:rPr>
        <w:t>Awards may be granted pursuant to the Plan from time to time by no later than January 28, 2025, but awards previously granted may extend beyond such date.</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74" w:right="259" w:bottom="1440" w:gutter="0" w:footer="0" w:header="0"/>
        </w:sectPr>
      </w:pPr>
    </w:p>
    <w:bookmarkStart w:id="25" w:name="page26"/>
    <w:bookmarkEnd w:id="25"/>
    <w:p>
      <w:pPr>
        <w:ind w:left="452" w:hanging="452"/>
        <w:spacing w:after="0"/>
        <w:tabs>
          <w:tab w:leader="none" w:pos="45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Nontransferability of Awards</w:t>
      </w:r>
    </w:p>
    <w:p>
      <w:pPr>
        <w:spacing w:after="0" w:line="117" w:lineRule="exact"/>
        <w:rPr>
          <w:rFonts w:ascii="Arial" w:cs="Arial" w:eastAsia="Arial" w:hAnsi="Arial"/>
          <w:sz w:val="18"/>
          <w:szCs w:val="18"/>
          <w:color w:val="auto"/>
        </w:rPr>
      </w:pPr>
    </w:p>
    <w:p>
      <w:pPr>
        <w:jc w:val="both"/>
        <w:ind w:left="452" w:right="80"/>
        <w:spacing w:after="0" w:line="264" w:lineRule="auto"/>
        <w:rPr>
          <w:rFonts w:ascii="Arial" w:cs="Arial" w:eastAsia="Arial" w:hAnsi="Arial"/>
          <w:sz w:val="18"/>
          <w:szCs w:val="18"/>
          <w:color w:val="auto"/>
        </w:rPr>
      </w:pPr>
      <w:r>
        <w:rPr>
          <w:rFonts w:ascii="Arial" w:cs="Arial" w:eastAsia="Arial" w:hAnsi="Arial"/>
          <w:sz w:val="18"/>
          <w:szCs w:val="18"/>
          <w:color w:val="auto"/>
        </w:rPr>
        <w:t>Awards granted under the Plan shall not be transferable otherwise than by will or by the laws of descent and distribution, other than pursuant to a valid qualified domestic relations order issued by a court pursuant to Section 414(p) of the Code, and awards may be exercised or otherwise realized, during the lifetime of the Grantee, only by the Grantee.</w:t>
      </w:r>
    </w:p>
    <w:p>
      <w:pPr>
        <w:spacing w:after="0" w:line="86" w:lineRule="exact"/>
        <w:rPr>
          <w:rFonts w:ascii="Arial" w:cs="Arial" w:eastAsia="Arial" w:hAnsi="Arial"/>
          <w:sz w:val="18"/>
          <w:szCs w:val="18"/>
          <w:color w:val="auto"/>
        </w:rPr>
      </w:pPr>
    </w:p>
    <w:p>
      <w:pPr>
        <w:ind w:left="452" w:hanging="452"/>
        <w:spacing w:after="0"/>
        <w:tabs>
          <w:tab w:leader="none" w:pos="45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Approval of Shareholders</w:t>
      </w:r>
    </w:p>
    <w:p>
      <w:pPr>
        <w:spacing w:after="0" w:line="117" w:lineRule="exact"/>
        <w:rPr>
          <w:rFonts w:ascii="Arial" w:cs="Arial" w:eastAsia="Arial" w:hAnsi="Arial"/>
          <w:sz w:val="18"/>
          <w:szCs w:val="18"/>
          <w:color w:val="auto"/>
        </w:rPr>
      </w:pPr>
    </w:p>
    <w:p>
      <w:pPr>
        <w:ind w:left="452" w:right="160"/>
        <w:spacing w:after="0" w:line="286" w:lineRule="auto"/>
        <w:rPr>
          <w:rFonts w:ascii="Arial" w:cs="Arial" w:eastAsia="Arial" w:hAnsi="Arial"/>
          <w:sz w:val="18"/>
          <w:szCs w:val="18"/>
          <w:color w:val="auto"/>
        </w:rPr>
      </w:pPr>
      <w:r>
        <w:rPr>
          <w:rFonts w:ascii="Arial" w:cs="Arial" w:eastAsia="Arial" w:hAnsi="Arial"/>
          <w:sz w:val="17"/>
          <w:szCs w:val="17"/>
          <w:color w:val="auto"/>
        </w:rPr>
        <w:t>The Plan shall take effect upon its adoption by the Board but the Plan (and any grants of awards made prior to the shareholder approval mentioned herein) shall be subject to the approval of the holder(s) of a majority of the issued and outstanding shares of voting securities of the Company entitled to vote, which approval must occur within twelve months of the date the Plan is adopted by the Board.</w:t>
      </w:r>
    </w:p>
    <w:p>
      <w:pPr>
        <w:spacing w:after="0" w:line="70" w:lineRule="exact"/>
        <w:rPr>
          <w:rFonts w:ascii="Arial" w:cs="Arial" w:eastAsia="Arial" w:hAnsi="Arial"/>
          <w:sz w:val="18"/>
          <w:szCs w:val="18"/>
          <w:color w:val="auto"/>
        </w:rPr>
      </w:pPr>
    </w:p>
    <w:p>
      <w:pPr>
        <w:ind w:left="452" w:hanging="452"/>
        <w:spacing w:after="0"/>
        <w:tabs>
          <w:tab w:leader="none" w:pos="45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Agreement by Grantee Regarding Withholding Taxes</w:t>
      </w:r>
    </w:p>
    <w:p>
      <w:pPr>
        <w:spacing w:after="0" w:line="117" w:lineRule="exact"/>
        <w:rPr>
          <w:rFonts w:ascii="Arial" w:cs="Arial" w:eastAsia="Arial" w:hAnsi="Arial"/>
          <w:sz w:val="18"/>
          <w:szCs w:val="18"/>
          <w:color w:val="auto"/>
        </w:rPr>
      </w:pPr>
    </w:p>
    <w:p>
      <w:pPr>
        <w:ind w:left="452"/>
        <w:spacing w:after="0" w:line="255" w:lineRule="auto"/>
        <w:rPr>
          <w:rFonts w:ascii="Arial" w:cs="Arial" w:eastAsia="Arial" w:hAnsi="Arial"/>
          <w:sz w:val="18"/>
          <w:szCs w:val="18"/>
          <w:color w:val="auto"/>
        </w:rPr>
      </w:pPr>
      <w:r>
        <w:rPr>
          <w:rFonts w:ascii="Arial" w:cs="Arial" w:eastAsia="Arial" w:hAnsi="Arial"/>
          <w:sz w:val="18"/>
          <w:szCs w:val="18"/>
          <w:color w:val="auto"/>
        </w:rPr>
        <w:t>If the Committee shall so require, as a condition of exercise of an Option or other realization of an award, each Grantee shall agree that no later than the date of exercise or other realization of an award granted hereunder, the Grantee will pay to the Company or make arrangements satisfactory to the Committee regarding payment of any federal, state or local taxes of any kind required by law to be withheld upon the exercise of an Option or other realization of an award. Alternatively, the Committee may provide that a Grantee may elect, to the extent permitted or required by law, to have the Company deduct federal, state and local taxes of any kind required by law to be withheld upon the exercise of an Option or realization of any award from any payment of any kind due to the Grantee.</w:t>
      </w:r>
    </w:p>
    <w:p>
      <w:pPr>
        <w:spacing w:after="0" w:line="98" w:lineRule="exact"/>
        <w:rPr>
          <w:rFonts w:ascii="Arial" w:cs="Arial" w:eastAsia="Arial" w:hAnsi="Arial"/>
          <w:sz w:val="18"/>
          <w:szCs w:val="18"/>
          <w:color w:val="auto"/>
        </w:rPr>
      </w:pPr>
    </w:p>
    <w:p>
      <w:pPr>
        <w:ind w:left="452" w:hanging="452"/>
        <w:spacing w:after="0"/>
        <w:tabs>
          <w:tab w:leader="none" w:pos="45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p>
    <w:p>
      <w:pPr>
        <w:spacing w:after="0" w:line="117" w:lineRule="exact"/>
        <w:rPr>
          <w:rFonts w:ascii="Arial" w:cs="Arial" w:eastAsia="Arial" w:hAnsi="Arial"/>
          <w:sz w:val="18"/>
          <w:szCs w:val="18"/>
          <w:color w:val="auto"/>
        </w:rPr>
      </w:pPr>
    </w:p>
    <w:p>
      <w:pPr>
        <w:ind w:left="452" w:right="20"/>
        <w:spacing w:after="0" w:line="289" w:lineRule="auto"/>
        <w:rPr>
          <w:rFonts w:ascii="Arial" w:cs="Arial" w:eastAsia="Arial" w:hAnsi="Arial"/>
          <w:sz w:val="18"/>
          <w:szCs w:val="18"/>
          <w:color w:val="auto"/>
        </w:rPr>
      </w:pPr>
      <w:r>
        <w:rPr>
          <w:rFonts w:ascii="Arial" w:cs="Arial" w:eastAsia="Arial" w:hAnsi="Arial"/>
          <w:sz w:val="16"/>
          <w:szCs w:val="16"/>
          <w:color w:val="auto"/>
        </w:rPr>
        <w:t>The Board at any time and from time to time may suspend, terminate, modify or amend the Plan; provided, however, that any amendment that would increase the aggregate number of Ordinary Shares as to which awards may be granted under the Plan or materially increase the benefits accruing to Grantees under the Plan or change the class of employees eligible for participation in the Plan or reduce the basis upon which the minimum Option Price is determined or extend the period within which awards under the Plan may be granted or provide for an Option that is exercisable more than 10 years after the date it is granted shall be subject to the approval of the holders of a majority of the Ordinary Shares issued and outstanding, except that any such increase or modification that may result from adjustments authorized by Section 10 hereof shall not require such approval. Except as provided in Section 10 hereof, no suspension, termination, modification or amendment of the Plan may adversely affect any award previously granted, unless the written consent of the Grantee is obtained. In addition, unless such action is approved by the Company’s shareholders: (1) no outstanding Option or SAR granted under the Plan may be amended to provide an exercise price per share that</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92"/>
          </w:cols>
          <w:pgMar w:left="248" w:top="274" w:right="259" w:bottom="1440" w:gutter="0" w:footer="0" w:header="0"/>
        </w:sectPr>
      </w:pPr>
    </w:p>
    <w:bookmarkStart w:id="26" w:name="page27"/>
    <w:bookmarkEnd w:id="26"/>
    <w:p>
      <w:pPr>
        <w:ind w:left="452"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lower than the then-current exercise price per share of such outstanding Option or SAR (other than adjustments pursuant to Section 10) and (2) the Board may not cancel any outstanding Option or SAR (whether or not granted under the Plan) and grant in substitution therefore new awards under the Plan covering the same or a different number of shares of Ordinary Shares and having an exercise price per share lower than the then-current exercise price per share of the cancelled Option or SAR. No Option or SAR granted under the Plan shall contain any provision entitling the Grantee to the automatic grant of additional Options or SARs in connection with any exercise of the original Option or SAR.</w:t>
      </w:r>
    </w:p>
    <w:p>
      <w:pPr>
        <w:spacing w:after="0" w:line="78" w:lineRule="exact"/>
        <w:rPr>
          <w:sz w:val="20"/>
          <w:szCs w:val="20"/>
          <w:color w:val="auto"/>
        </w:rPr>
      </w:pPr>
    </w:p>
    <w:p>
      <w:pPr>
        <w:ind w:left="452" w:hanging="452"/>
        <w:spacing w:after="0"/>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p>
    <w:p>
      <w:pPr>
        <w:spacing w:after="0" w:line="117" w:lineRule="exact"/>
        <w:rPr>
          <w:rFonts w:ascii="Arial" w:cs="Arial" w:eastAsia="Arial" w:hAnsi="Arial"/>
          <w:sz w:val="18"/>
          <w:szCs w:val="18"/>
          <w:color w:val="auto"/>
        </w:rPr>
      </w:pPr>
    </w:p>
    <w:p>
      <w:pPr>
        <w:ind w:left="452"/>
        <w:spacing w:after="0" w:line="259" w:lineRule="auto"/>
        <w:rPr>
          <w:rFonts w:ascii="Arial" w:cs="Arial" w:eastAsia="Arial" w:hAnsi="Arial"/>
          <w:sz w:val="18"/>
          <w:szCs w:val="18"/>
          <w:color w:val="auto"/>
        </w:rPr>
      </w:pPr>
      <w:r>
        <w:rPr>
          <w:rFonts w:ascii="Arial" w:cs="Arial" w:eastAsia="Arial" w:hAnsi="Arial"/>
          <w:sz w:val="18"/>
          <w:szCs w:val="18"/>
          <w:color w:val="auto"/>
        </w:rPr>
        <w:t>Except as provided in Section 9(d) hereof, a Grantee or a transferee of an award shall have no rights as a shareholder with respect to any shares covered by the award until the date of the issuance of a stock certificate to him or her for such shares. No adjustment shall be made for dividends (ordinary or extraordinary, whether in cash, securities or other property) or distribution of other rights for which the record date is prior to the date such stock certificate is issued, except as provided in Section 10 hereof.</w:t>
      </w:r>
    </w:p>
    <w:p>
      <w:pPr>
        <w:spacing w:after="0" w:line="92" w:lineRule="exact"/>
        <w:rPr>
          <w:rFonts w:ascii="Arial" w:cs="Arial" w:eastAsia="Arial" w:hAnsi="Arial"/>
          <w:sz w:val="18"/>
          <w:szCs w:val="18"/>
          <w:color w:val="auto"/>
        </w:rPr>
      </w:pPr>
    </w:p>
    <w:p>
      <w:pPr>
        <w:ind w:left="452" w:hanging="452"/>
        <w:spacing w:after="0"/>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 Rights to Employment</w:t>
      </w:r>
    </w:p>
    <w:p>
      <w:pPr>
        <w:spacing w:after="0" w:line="117" w:lineRule="exact"/>
        <w:rPr>
          <w:rFonts w:ascii="Arial" w:cs="Arial" w:eastAsia="Arial" w:hAnsi="Arial"/>
          <w:sz w:val="18"/>
          <w:szCs w:val="18"/>
          <w:color w:val="auto"/>
        </w:rPr>
      </w:pPr>
    </w:p>
    <w:p>
      <w:pPr>
        <w:ind w:left="452" w:right="140"/>
        <w:spacing w:after="0" w:line="257" w:lineRule="auto"/>
        <w:rPr>
          <w:rFonts w:ascii="Arial" w:cs="Arial" w:eastAsia="Arial" w:hAnsi="Arial"/>
          <w:sz w:val="18"/>
          <w:szCs w:val="18"/>
          <w:color w:val="auto"/>
        </w:rPr>
      </w:pPr>
      <w:r>
        <w:rPr>
          <w:rFonts w:ascii="Arial" w:cs="Arial" w:eastAsia="Arial" w:hAnsi="Arial"/>
          <w:sz w:val="18"/>
          <w:szCs w:val="18"/>
          <w:color w:val="auto"/>
        </w:rPr>
        <w:t>Nothing in the Plan or in any award granted or Agreement entered into pursuant hereto shall confer upon any Grantee the right to continue in the employ of the Company or any subsidiary or to be entitled to any remuneration or benefits not set forth in the Plan or such Agreement or to interfere with or limit in any way the right of the Company or any such subsidiary to terminate such Grantee’s employment or services. Awards granted under the Plan shall not be affected by any change in duties or position of a Grantee as long as such Grantee continues in the employ of the Company or any subsidiary.</w:t>
      </w:r>
    </w:p>
    <w:p>
      <w:pPr>
        <w:spacing w:after="0" w:line="93" w:lineRule="exact"/>
        <w:rPr>
          <w:rFonts w:ascii="Arial" w:cs="Arial" w:eastAsia="Arial" w:hAnsi="Arial"/>
          <w:sz w:val="18"/>
          <w:szCs w:val="18"/>
          <w:color w:val="auto"/>
        </w:rPr>
      </w:pPr>
    </w:p>
    <w:p>
      <w:pPr>
        <w:ind w:left="452" w:hanging="452"/>
        <w:spacing w:after="0"/>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Beneficiary</w:t>
      </w:r>
    </w:p>
    <w:p>
      <w:pPr>
        <w:spacing w:after="0" w:line="117" w:lineRule="exact"/>
        <w:rPr>
          <w:rFonts w:ascii="Arial" w:cs="Arial" w:eastAsia="Arial" w:hAnsi="Arial"/>
          <w:sz w:val="18"/>
          <w:szCs w:val="18"/>
          <w:color w:val="auto"/>
        </w:rPr>
      </w:pPr>
    </w:p>
    <w:p>
      <w:pPr>
        <w:jc w:val="both"/>
        <w:ind w:left="452"/>
        <w:spacing w:after="0" w:line="264" w:lineRule="auto"/>
        <w:rPr>
          <w:rFonts w:ascii="Arial" w:cs="Arial" w:eastAsia="Arial" w:hAnsi="Arial"/>
          <w:sz w:val="18"/>
          <w:szCs w:val="18"/>
          <w:color w:val="auto"/>
        </w:rPr>
      </w:pPr>
      <w:r>
        <w:rPr>
          <w:rFonts w:ascii="Arial" w:cs="Arial" w:eastAsia="Arial" w:hAnsi="Arial"/>
          <w:sz w:val="18"/>
          <w:szCs w:val="18"/>
          <w:color w:val="auto"/>
        </w:rPr>
        <w:t>A Grantee may file with the Committee a written designation of a beneficiary on such form as may be prescribed by the Committee and may, from time to time, amend or revoke such designation. If no designated beneficiary survives the Grantee, the executor or administrator of the Grantee’s estate shall be deemed to be the Grantee’s beneficiary.</w:t>
      </w:r>
    </w:p>
    <w:p>
      <w:pPr>
        <w:spacing w:after="0" w:line="86" w:lineRule="exact"/>
        <w:rPr>
          <w:rFonts w:ascii="Arial" w:cs="Arial" w:eastAsia="Arial" w:hAnsi="Arial"/>
          <w:sz w:val="18"/>
          <w:szCs w:val="18"/>
          <w:color w:val="auto"/>
        </w:rPr>
      </w:pPr>
    </w:p>
    <w:p>
      <w:pPr>
        <w:ind w:left="452" w:hanging="452"/>
        <w:spacing w:after="0"/>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17"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Plan and all determinations made and actions taken pursuant hereto shall be governed by the laws of the State of New York.</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w:t>
      </w:r>
    </w:p>
    <w:sectPr>
      <w:pgSz w:w="11900" w:h="16838" w:orient="portrait"/>
      <w:cols w:equalWidth="0" w:num="1">
        <w:col w:w="11392"/>
      </w:cols>
      <w:pgMar w:left="248"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1"/>
      <w:numFmt w:val="lowerLetter"/>
      <w:start w:val="1"/>
    </w:lvl>
    <w:lvl w:ilvl="1">
      <w:lvlJc w:val="left"/>
      <w:lvlText w:val="(%2)"/>
      <w:numFmt w:val="lowerLetter"/>
      <w:start w:val="1"/>
    </w:lvl>
  </w:abstractNum>
  <w:abstractNum w:abstractNumId="2">
    <w:nsid w:val="4E6AFB66"/>
    <w:multiLevelType w:val="hybridMultilevel"/>
    <w:lvl w:ilvl="0">
      <w:lvlJc w:val="left"/>
      <w:lvlText w:val="(%1)"/>
      <w:numFmt w:val="lowerLetter"/>
      <w:start w:val="2"/>
    </w:lvl>
    <w:lvl w:ilvl="1">
      <w:lvlJc w:val="left"/>
      <w:lvlText w:val="(%2)"/>
      <w:numFmt w:val="lowerLetter"/>
      <w:start w:val="4"/>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2"/>
    </w:lvl>
  </w:abstractNum>
  <w:abstractNum w:abstractNumId="5">
    <w:nsid w:val="431BD7B7"/>
    <w:multiLevelType w:val="hybridMultilevel"/>
    <w:lvl w:ilvl="0">
      <w:lvlJc w:val="left"/>
      <w:lvlText w:val="%1."/>
      <w:numFmt w:val="decimal"/>
      <w:start w:val="3"/>
    </w:lvl>
  </w:abstractNum>
  <w:abstractNum w:abstractNumId="6">
    <w:nsid w:val="3F2DBA31"/>
    <w:multiLevelType w:val="hybridMultilevel"/>
    <w:lvl w:ilvl="0">
      <w:lvlJc w:val="left"/>
      <w:lvlText w:val="%1."/>
      <w:numFmt w:val="decimal"/>
      <w:start w:val="4"/>
    </w:lvl>
  </w:abstractNum>
  <w:abstractNum w:abstractNumId="7">
    <w:nsid w:val="7C83E458"/>
    <w:multiLevelType w:val="hybridMultilevel"/>
    <w:lvl w:ilvl="0">
      <w:lvlJc w:val="left"/>
      <w:lvlText w:val="%1."/>
      <w:numFmt w:val="decimal"/>
      <w:start w:val="5"/>
    </w:lvl>
  </w:abstractNum>
  <w:abstractNum w:abstractNumId="8">
    <w:nsid w:val="257130A3"/>
    <w:multiLevelType w:val="hybridMultilevel"/>
    <w:lvl w:ilvl="0">
      <w:lvlJc w:val="left"/>
      <w:lvlText w:val="%1."/>
      <w:numFmt w:val="decimal"/>
      <w:start w:val="6"/>
    </w:lvl>
  </w:abstractNum>
  <w:abstractNum w:abstractNumId="9">
    <w:nsid w:val="62BBD95A"/>
    <w:multiLevelType w:val="hybridMultilevel"/>
    <w:lvl w:ilvl="0">
      <w:lvlJc w:val="left"/>
      <w:lvlText w:val="%1."/>
      <w:numFmt w:val="decimal"/>
      <w:start w:val="1"/>
    </w:lvl>
    <w:lvl w:ilvl="1">
      <w:lvlJc w:val="left"/>
      <w:lvlText w:val="(%2)"/>
      <w:numFmt w:val="lowerLetter"/>
      <w:start w:val="1"/>
    </w:lvl>
  </w:abstractNum>
  <w:abstractNum w:abstractNumId="10">
    <w:nsid w:val="436C6125"/>
    <w:multiLevelType w:val="hybridMultilevel"/>
    <w:lvl w:ilvl="0">
      <w:lvlJc w:val="left"/>
      <w:lvlText w:val="%1"/>
      <w:numFmt w:val="decimal"/>
      <w:start w:val="1"/>
    </w:lvl>
    <w:lvl w:ilvl="1">
      <w:lvlJc w:val="left"/>
      <w:lvlText w:val="(%2)"/>
      <w:numFmt w:val="lowerLetter"/>
      <w:start w:val="4"/>
    </w:lvl>
  </w:abstractNum>
  <w:abstractNum w:abstractNumId="11">
    <w:nsid w:val="628C895D"/>
    <w:multiLevelType w:val="hybridMultilevel"/>
    <w:lvl w:ilvl="0">
      <w:lvlJc w:val="left"/>
      <w:lvlText w:val="%1."/>
      <w:numFmt w:val="decimal"/>
      <w:start w:val="3"/>
    </w:lvl>
    <w:lvl w:ilvl="1">
      <w:lvlJc w:val="left"/>
      <w:lvlText w:val="%2"/>
      <w:numFmt w:val="lowerLetter"/>
      <w:start w:val="1"/>
    </w:lvl>
  </w:abstractNum>
  <w:abstractNum w:abstractNumId="12">
    <w:nsid w:val="333AB105"/>
    <w:multiLevelType w:val="hybridMultilevel"/>
    <w:lvl w:ilvl="0">
      <w:lvlJc w:val="left"/>
      <w:lvlText w:val="%1."/>
      <w:numFmt w:val="decimal"/>
      <w:start w:val="4"/>
    </w:lvl>
  </w:abstractNum>
  <w:abstractNum w:abstractNumId="13">
    <w:nsid w:val="721DA317"/>
    <w:multiLevelType w:val="hybridMultilevel"/>
    <w:lvl w:ilvl="0">
      <w:lvlJc w:val="left"/>
      <w:lvlText w:val="%1."/>
      <w:numFmt w:val="decimal"/>
      <w:start w:val="6"/>
    </w:lvl>
    <w:lvl w:ilvl="1">
      <w:lvlJc w:val="left"/>
      <w:lvlText w:val="(%2)"/>
      <w:numFmt w:val="lowerLetter"/>
      <w:start w:val="1"/>
    </w:lvl>
  </w:abstractNum>
  <w:abstractNum w:abstractNumId="14">
    <w:nsid w:val="2443A858"/>
    <w:multiLevelType w:val="hybridMultilevel"/>
    <w:lvl w:ilvl="0">
      <w:lvlJc w:val="left"/>
      <w:lvlText w:val="(%1)"/>
      <w:numFmt w:val="lowerLetter"/>
      <w:start w:val="6"/>
    </w:lvl>
  </w:abstractNum>
  <w:abstractNum w:abstractNumId="15">
    <w:nsid w:val="2D1D5AE9"/>
    <w:multiLevelType w:val="hybridMultilevel"/>
    <w:lvl w:ilvl="0">
      <w:lvlJc w:val="left"/>
      <w:lvlText w:val="(%1)"/>
      <w:numFmt w:val="lowerLetter"/>
      <w:start w:val="8"/>
    </w:lvl>
  </w:abstractNum>
  <w:abstractNum w:abstractNumId="16">
    <w:nsid w:val="6763845E"/>
    <w:multiLevelType w:val="hybridMultilevel"/>
    <w:lvl w:ilvl="0">
      <w:lvlJc w:val="left"/>
      <w:lvlText w:val="%1."/>
      <w:numFmt w:val="decimal"/>
      <w:start w:val="7"/>
    </w:lvl>
  </w:abstractNum>
  <w:abstractNum w:abstractNumId="17">
    <w:nsid w:val="75A2A8D4"/>
    <w:multiLevelType w:val="hybridMultilevel"/>
    <w:lvl w:ilvl="0">
      <w:lvlJc w:val="left"/>
      <w:lvlText w:val="%1."/>
      <w:numFmt w:val="decimal"/>
      <w:start w:val="8"/>
    </w:lvl>
    <w:lvl w:ilvl="1">
      <w:lvlJc w:val="left"/>
      <w:lvlText w:val="(%2)"/>
      <w:numFmt w:val="lowerLetter"/>
      <w:start w:val="1"/>
    </w:lvl>
  </w:abstractNum>
  <w:abstractNum w:abstractNumId="18">
    <w:nsid w:val="8EDBDAB"/>
    <w:multiLevelType w:val="hybridMultilevel"/>
    <w:lvl w:ilvl="0">
      <w:lvlJc w:val="left"/>
      <w:lvlText w:val="%1."/>
      <w:numFmt w:val="decimal"/>
      <w:start w:val="9"/>
    </w:lvl>
    <w:lvl w:ilvl="1">
      <w:lvlJc w:val="left"/>
      <w:lvlText w:val="(%2)"/>
      <w:numFmt w:val="lowerLetter"/>
      <w:start w:val="1"/>
    </w:lvl>
  </w:abstractNum>
  <w:abstractNum w:abstractNumId="19">
    <w:nsid w:val="79838CB2"/>
    <w:multiLevelType w:val="hybridMultilevel"/>
    <w:lvl w:ilvl="0">
      <w:lvlJc w:val="left"/>
      <w:lvlText w:val="(%1)"/>
      <w:numFmt w:val="lowerRoman"/>
      <w:start w:val="2"/>
    </w:lvl>
  </w:abstractNum>
  <w:abstractNum w:abstractNumId="20">
    <w:nsid w:val="4353D0CD"/>
    <w:multiLevelType w:val="hybridMultilevel"/>
    <w:lvl w:ilvl="0">
      <w:lvlJc w:val="left"/>
      <w:lvlText w:val="(%1)"/>
      <w:numFmt w:val="lowerLetter"/>
      <w:start w:val="3"/>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Roman"/>
      <w:start w:val="1"/>
    </w:lvl>
  </w:abstractNum>
  <w:abstractNum w:abstractNumId="23">
    <w:nsid w:val="54E49EB4"/>
    <w:multiLevelType w:val="hybridMultilevel"/>
    <w:lvl w:ilvl="0">
      <w:lvlJc w:val="left"/>
      <w:lvlText w:val="%1"/>
      <w:numFmt w:val="decimal"/>
      <w:start w:val="1"/>
    </w:lvl>
    <w:lvl w:ilvl="1">
      <w:lvlJc w:val="left"/>
      <w:lvlText w:val="(%2)"/>
      <w:numFmt w:val="lowerLetter"/>
      <w:start w:val="61"/>
    </w:lvl>
    <w:lvl w:ilvl="2">
      <w:lvlJc w:val="left"/>
      <w:lvlText w:val="%3"/>
      <w:numFmt w:val="lowerRoman"/>
      <w:start w:val="1"/>
    </w:lvl>
  </w:abstractNum>
  <w:abstractNum w:abstractNumId="24">
    <w:nsid w:val="71F3245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5">
    <w:nsid w:val="2CA8861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6">
    <w:nsid w:val="836C40E"/>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7">
    <w:nsid w:val="2901D82"/>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28">
    <w:nsid w:val="3A95F874"/>
    <w:multiLevelType w:val="hybridMultilevel"/>
    <w:lvl w:ilvl="0">
      <w:lvlJc w:val="left"/>
      <w:lvlText w:val="%1."/>
      <w:numFmt w:val="decimal"/>
      <w:start w:val="13"/>
    </w:lvl>
  </w:abstractNum>
  <w:abstractNum w:abstractNumId="29">
    <w:nsid w:val="8138641"/>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2019-12-06T13:05:15Z</dcterms:created>
  <dcterms:modified xsi:type="dcterms:W3CDTF">2019-12-06T13:05:15Z</dcterms:modified>
</cp:coreProperties>
</file>