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January, 2010</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54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0" w:firstLine="225"/>
        <w:spacing w:after="0" w:line="277" w:lineRule="auto"/>
        <w:rPr>
          <w:sz w:val="20"/>
          <w:szCs w:val="20"/>
          <w:color w:val="auto"/>
        </w:rPr>
      </w:pPr>
      <w:r>
        <w:rPr>
          <w:rFonts w:ascii="Arial" w:cs="Arial" w:eastAsia="Arial" w:hAnsi="Arial"/>
          <w:sz w:val="18"/>
          <w:szCs w:val="18"/>
          <w:color w:val="auto"/>
        </w:rPr>
        <w:t>On January 20, 2010, Amdocs Limited (“Amdocs”) issued a press release announcing financial results for the quarter ended December 31, 2009.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3800"/>
              <w:spacing w:after="0"/>
              <w:rPr>
                <w:sz w:val="20"/>
                <w:szCs w:val="20"/>
                <w:color w:val="auto"/>
              </w:rPr>
            </w:pPr>
            <w:r>
              <w:rPr>
                <w:rFonts w:ascii="Arial" w:cs="Arial" w:eastAsia="Arial" w:hAnsi="Arial"/>
                <w:sz w:val="18"/>
                <w:szCs w:val="18"/>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Amdocs Limited Press Release dated January 20, 2010.</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223520</wp:posOffset>
            </wp:positionV>
            <wp:extent cx="5351145"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11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$725 Million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Sequential Revenue Growth to Continue in Fiscal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fiscal quarter revenue of $725 million, compared to the $705-$725 million guidance range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First quarter non-GAAP operating income of $131 million; non-GAAP operating margin of 18.1%; GAAP operating income of $99 million</w:t>
      </w:r>
    </w:p>
    <w:p>
      <w:pPr>
        <w:spacing w:after="0" w:line="142" w:lineRule="exact"/>
        <w:rPr>
          <w:rFonts w:ascii="Arial" w:cs="Arial" w:eastAsia="Arial" w:hAnsi="Arial"/>
          <w:sz w:val="17"/>
          <w:szCs w:val="17"/>
          <w:b w:val="1"/>
          <w:bCs w:val="1"/>
          <w:color w:val="auto"/>
        </w:rPr>
      </w:pPr>
    </w:p>
    <w:p>
      <w:pPr>
        <w:ind w:left="660" w:right="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quarter diluted non-GAAP EPS of $0.55, excluding amortization of purchased intangible assets and equity-based compensation expense, net of related tax effects, compared to the $0.51-$0.55 guidance range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$0.43 for the first quarter, compared to the $0.38-$0.44 guidance range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Record free cash flow of $170 million for the first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12-month backlog of $2.425 billion at the end of the first quarter</w:t>
      </w:r>
    </w:p>
    <w:p>
      <w:pPr>
        <w:spacing w:after="0" w:line="130"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fiscal 2010 guidance: Expected revenue of approximately $730-$750 million and diluted non-GAAP EPS of $0.52-$0.56, excluding acquisition-related costs and approximately $0.04-$0.05 per share of equity-based compensation expense, net of related tax effects. Diluted GAAP EPS is expected to be approximately $0.40-$0.45</w:t>
      </w:r>
    </w:p>
    <w:p>
      <w:pPr>
        <w:spacing w:after="0" w:line="6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color w:val="auto"/>
        </w:rPr>
        <w:t xml:space="preserve">St. Louis, MO — January 20, 2010 </w:t>
      </w:r>
      <w:r>
        <w:rPr>
          <w:rFonts w:ascii="Arial" w:cs="Arial" w:eastAsia="Arial" w:hAnsi="Arial"/>
          <w:sz w:val="16"/>
          <w:szCs w:val="16"/>
          <w:color w:val="auto"/>
        </w:rPr>
        <w:t>— Amdocs Limited (NYSE: DOX) today reported that for its fiscal first quarter of 2010 ended December 31, 2009,</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was $724.8 million, up 2.5% sequentially from the fiscal fourth quarter of 2009. As compared to last year’s first fiscal quarter, revenue decreased</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3.9%. Net income on a non-GAAP basis was $113.1 million, or $0.55 per diluted share, compared to non-GAAP net income of $116.3 million, or $0.55 per diluted share, in the first quarter of fiscal 2009. Non-GAAP net income excludes amortization of purchased intangible assets and equity-based compensation expenses of $24.8 million, net of related tax effects, in the first quarter of fiscal 2010 and excludes such amortization, in-process research and development write-off, restructuring charges and equity-based compensation expenses of $42.0 million, net of related tax effects, in the first quarter of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right="80"/>
        <w:spacing w:after="0" w:line="277" w:lineRule="auto"/>
        <w:rPr>
          <w:sz w:val="20"/>
          <w:szCs w:val="20"/>
          <w:color w:val="auto"/>
        </w:rPr>
      </w:pPr>
      <w:r>
        <w:rPr>
          <w:rFonts w:ascii="Arial" w:cs="Arial" w:eastAsia="Arial" w:hAnsi="Arial"/>
          <w:sz w:val="18"/>
          <w:szCs w:val="18"/>
          <w:color w:val="auto"/>
        </w:rPr>
        <w:t>2009. The Company’s GAAP net income for the first quarter of fiscal 2010 was $88.4 million, or $0.43 per diluted share, compared to GAAP net income of $74.2 million, or $0.35 per diluted share, in the prior year’s first quarter.</w:t>
      </w:r>
    </w:p>
    <w:p>
      <w:pPr>
        <w:spacing w:after="0" w:line="6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are encouraged by our performance in the first fiscal quarter of 2010 as our business benefitted from a continued improvement in demand, strong execution, and modestly more favorable foreign exchange rates,” said Dov Baharav, chief executive officer of Amdocs Management Limited.</w:t>
      </w:r>
    </w:p>
    <w:p>
      <w:pPr>
        <w:spacing w:after="0" w:line="16"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Baharav continued, “As anticipated, managed services remains an area of strength for Amdocs. Today we announced two key agreements signed in the first quarter with AT&amp;T and Bell Canada, demonstrating the strength of our long-term relationships with our largest managed services customers. We have also successfully proven that our managed services solutions, including modernization, can address the needs of smaller and emerging service providers, and we saw momentum with several new wins in this customer group during the first quarter, including DAVE Wireless. Additionally, activity has improved in our project-oriented businesses, and we are increasingly optimistic that Europe has stabilized.”</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Baharav concluded, “As we emerge from the economic crisis, we feel even better about our competitive position than when we entered. We have improved our operating efficiencies and cost competitiveness, yet we have continued investing in innovation, exemplified by yesterday’s launch of Amdocs CES 8. These efforts, combined with our superior business model, are driving our success in winning new business globally with large and emerging service providers alike. Given our market position and the improved demand outlook, we are guiding to sequential revenue growth again in the second fiscal quarter, and we are now internally planning for sequential revenue growth of roughly 1-2% to persist throughout fiscal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Free cash flow was $170 million for the quarter, comprised of cash flow from operations of $194 million less approximately $24 million in net capital expenditures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 w:name="page7"/>
    <w:bookmarkEnd w:id="6"/>
    <w:p>
      <w:pPr>
        <w:ind w:right="5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$2.425 billion at the end of the first quarter of fiscal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Amdocs expects that revenue for the second quarter of fiscal 2010 will be approximately $730-$750 million. Amdocs expects diluted earnings per share on a non-GAAP basis for the second quarter to be $0.52-$0.56, excluding acquisition-related costs and approximately $0.04-$0.05 per share of equity-based compensation expense, net of related tax effects. Amdocs estimates GAAP diluted earnings per share for the second quarter will be $0.40-$0.45.</w:t>
      </w:r>
    </w:p>
    <w:p>
      <w:pPr>
        <w:spacing w:after="0" w:line="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Amdocs will host a conference call on January 20, 2010 at 5 p.m. Eastern Time to discuss the Company’s first quarter results. The call will be carried live on the Internet via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73"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t>associated with Amdocs’ results of operations as determined in accordance with GAAP and that these measures should only be used to evaluate Amdocs’ results of operations in conjunction with the corresponding GAAP measures.</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$2.86 billion in fiscal 2009, Amdocs has approximately 18,000 employees and serves customers in more than 60 countries worldwide.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2009 filed on December 7,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24,150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700,661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709,238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724,811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462,215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484,051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50,106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56,229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21,319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625,662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205,430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203,578*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206,656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213,069*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basic and diluted weighted average number of shares outstanding for the three months ended December 31, 2008 has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earnings per share by $0.01 for the three months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724,811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9"/>
              </w:rPr>
              <w:t>753,839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3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w w:val="86"/>
              </w:rPr>
              <w:t>131,321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233"/>
              <w:spacing w:after="0"/>
              <w:rPr>
                <w:sz w:val="20"/>
                <w:szCs w:val="20"/>
                <w:color w:val="auto"/>
              </w:rPr>
            </w:pPr>
            <w:r>
              <w:rPr>
                <w:rFonts w:ascii="Arial" w:cs="Arial" w:eastAsia="Arial" w:hAnsi="Arial"/>
                <w:sz w:val="18"/>
                <w:szCs w:val="18"/>
                <w:color w:val="auto"/>
                <w:w w:val="89"/>
              </w:rPr>
              <w:t>135,720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113,127</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9"/>
              </w:rPr>
              <w:t>116,250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0.55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0.55*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206,656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1"/>
              </w:rPr>
              <w:t>213,069*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79"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basic and diluted weighted average number of shares outstanding for the three months ended December 31, 2008 has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earnings per share by $0.01 for the three months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w:t>
      </w:r>
    </w:p>
    <w:p>
      <w:pPr>
        <w:ind w:left="7100"/>
        <w:spacing w:after="0" w:line="236" w:lineRule="auto"/>
        <w:rPr>
          <w:sz w:val="20"/>
          <w:szCs w:val="20"/>
          <w:color w:val="auto"/>
        </w:rPr>
      </w:pPr>
      <w:r>
        <w:rPr>
          <w:rFonts w:ascii="Arial" w:cs="Arial" w:eastAsia="Arial" w:hAnsi="Arial"/>
          <w:sz w:val="14"/>
          <w:szCs w:val="14"/>
          <w:b w:val="1"/>
          <w:bCs w:val="1"/>
          <w:color w:val="auto"/>
        </w:rPr>
        <w:t>December 31,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Reconciliation items</w:t>
            </w:r>
          </w:p>
        </w:tc>
        <w:tc>
          <w:tcPr>
            <w:tcW w:w="4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1880" w:type="dxa"/>
            <w:vAlign w:val="bottom"/>
            <w:gridSpan w:val="2"/>
            <w:vMerge w:val="restart"/>
          </w:tcPr>
          <w:p>
            <w:pPr>
              <w:jc w:val="center"/>
              <w:ind w:left="81"/>
              <w:spacing w:after="0"/>
              <w:rPr>
                <w:sz w:val="20"/>
                <w:szCs w:val="20"/>
                <w:color w:val="auto"/>
              </w:rPr>
            </w:pPr>
            <w:r>
              <w:rPr>
                <w:rFonts w:ascii="Arial" w:cs="Arial" w:eastAsia="Arial" w:hAnsi="Arial"/>
                <w:sz w:val="14"/>
                <w:szCs w:val="14"/>
                <w:b w:val="1"/>
                <w:bCs w:val="1"/>
                <w:color w:val="auto"/>
                <w:w w:val="91"/>
              </w:rPr>
              <w:t>Equity based</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8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GAAP</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1880" w:type="dxa"/>
            <w:vAlign w:val="bottom"/>
            <w:gridSpan w:val="2"/>
          </w:tcPr>
          <w:p>
            <w:pPr>
              <w:jc w:val="center"/>
              <w:ind w:left="101"/>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Tax effect</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77"/>
              </w:rPr>
              <w:t>assets</w:t>
            </w: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2"/>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2"/>
              <w:spacing w:after="0"/>
              <w:rPr>
                <w:sz w:val="20"/>
                <w:szCs w:val="20"/>
                <w:color w:val="auto"/>
              </w:rPr>
            </w:pPr>
            <w:r>
              <w:rPr>
                <w:rFonts w:ascii="Arial" w:cs="Arial" w:eastAsia="Arial" w:hAnsi="Arial"/>
                <w:sz w:val="18"/>
                <w:szCs w:val="18"/>
                <w:color w:val="auto"/>
              </w:rPr>
              <w:t>442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89"/>
              </w:rPr>
              <w:t>462,215</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(4,785)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457,430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8"/>
                <w:szCs w:val="18"/>
                <w:color w:val="auto"/>
              </w:rPr>
              <w:t>50,106</w:t>
            </w:r>
          </w:p>
        </w:tc>
        <w:tc>
          <w:tcPr>
            <w:tcW w:w="36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(1,133)</w:t>
            </w:r>
          </w:p>
        </w:tc>
        <w:tc>
          <w:tcPr>
            <w:tcW w:w="4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91,580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(4,935)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21,319</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89"/>
              </w:rPr>
              <w:t>(21,319)</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89"/>
              </w:rPr>
              <w:t>625,662</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9"/>
              </w:rPr>
              <w:t>(21,319)</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89"/>
              </w:rPr>
              <w:t>(10,853)</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593,490</w:t>
            </w:r>
          </w:p>
        </w:tc>
        <w:tc>
          <w:tcPr>
            <w:tcW w:w="0" w:type="dxa"/>
            <w:vAlign w:val="bottom"/>
          </w:tcPr>
          <w:p>
            <w:pPr>
              <w:spacing w:after="0"/>
              <w:rPr>
                <w:sz w:val="1"/>
                <w:szCs w:val="1"/>
                <w:color w:val="auto"/>
              </w:rPr>
            </w:pPr>
          </w:p>
        </w:tc>
      </w:tr>
      <w:tr>
        <w:trPr>
          <w:trHeight w:val="439"/>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99,149</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21,319</w:t>
            </w: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8"/>
              </w:rPr>
              <w:t>10,853</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131,321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10,081</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7,398</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17,479</w:t>
            </w:r>
          </w:p>
        </w:tc>
        <w:tc>
          <w:tcPr>
            <w:tcW w:w="0" w:type="dxa"/>
            <w:vAlign w:val="bottom"/>
          </w:tcPr>
          <w:p>
            <w:pPr>
              <w:spacing w:after="0"/>
              <w:rPr>
                <w:sz w:val="1"/>
                <w:szCs w:val="1"/>
                <w:color w:val="auto"/>
              </w:rPr>
            </w:pPr>
          </w:p>
        </w:tc>
      </w:tr>
      <w:tr>
        <w:trPr>
          <w:trHeight w:val="439"/>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88,353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21,319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8"/>
              </w:rPr>
              <w:t>10,853</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(7,398)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113,127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w:t>
      </w:r>
    </w:p>
    <w:p>
      <w:pPr>
        <w:ind w:left="6460"/>
        <w:spacing w:after="0" w:line="236" w:lineRule="auto"/>
        <w:rPr>
          <w:sz w:val="20"/>
          <w:szCs w:val="20"/>
          <w:color w:val="auto"/>
        </w:rPr>
      </w:pPr>
      <w:r>
        <w:rPr>
          <w:rFonts w:ascii="Arial" w:cs="Arial" w:eastAsia="Arial" w:hAnsi="Arial"/>
          <w:sz w:val="14"/>
          <w:szCs w:val="14"/>
          <w:b w:val="1"/>
          <w:bCs w:val="1"/>
          <w:color w:val="auto"/>
        </w:rPr>
        <w:t>December 31,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0" w:type="dxa"/>
            <w:vAlign w:val="bottom"/>
            <w:gridSpan w:val="2"/>
          </w:tcPr>
          <w:p>
            <w:pPr>
              <w:jc w:val="center"/>
              <w:ind w:right="92"/>
              <w:spacing w:after="0" w:line="119" w:lineRule="exact"/>
              <w:rPr>
                <w:sz w:val="20"/>
                <w:szCs w:val="20"/>
                <w:color w:val="auto"/>
              </w:rPr>
            </w:pPr>
            <w:r>
              <w:rPr>
                <w:rFonts w:ascii="Arial" w:cs="Arial" w:eastAsia="Arial" w:hAnsi="Arial"/>
                <w:sz w:val="13"/>
                <w:szCs w:val="13"/>
                <w:b w:val="1"/>
                <w:bCs w:val="1"/>
                <w:color w:val="auto"/>
              </w:rPr>
              <w:t>Amortization</w:t>
            </w:r>
          </w:p>
        </w:tc>
        <w:tc>
          <w:tcPr>
            <w:tcW w:w="1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Restructuring</w:t>
            </w: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charges and in-</w:t>
            </w:r>
          </w:p>
        </w:tc>
        <w:tc>
          <w:tcPr>
            <w:tcW w:w="1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intangible</w:t>
            </w: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process research</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13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77"/>
              </w:rPr>
              <w:t>assets</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and development</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5"/>
              </w:rPr>
              <w:t>expense</w:t>
            </w:r>
          </w:p>
        </w:tc>
        <w:tc>
          <w:tcPr>
            <w:tcW w:w="1220" w:type="dxa"/>
            <w:vAlign w:val="bottom"/>
            <w:tcBorders>
              <w:bottom w:val="single" w:sz="8" w:color="auto"/>
            </w:tcBorders>
            <w:gridSpan w:val="2"/>
            <w:vMerge w:val="continue"/>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2"/>
              <w:spacing w:after="0"/>
              <w:rPr>
                <w:sz w:val="20"/>
                <w:szCs w:val="20"/>
                <w:color w:val="auto"/>
              </w:rPr>
            </w:pPr>
            <w:r>
              <w:rPr>
                <w:rFonts w:ascii="Arial" w:cs="Arial" w:eastAsia="Arial" w:hAnsi="Arial"/>
                <w:sz w:val="18"/>
                <w:szCs w:val="18"/>
                <w:color w:val="auto"/>
              </w:rPr>
              <w:t>991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9"/>
              </w:rPr>
              <w:t>484,051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(5,711)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6"/>
              </w:rPr>
              <w:t>478,340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color w:val="auto"/>
              </w:rPr>
              <w:t>56,229</w:t>
            </w:r>
          </w:p>
        </w:tc>
        <w:tc>
          <w:tcPr>
            <w:tcW w:w="34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(1,062)</w:t>
            </w:r>
          </w:p>
        </w:tc>
        <w:tc>
          <w:tcPr>
            <w:tcW w:w="44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55,167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90,265</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(6,644)</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83,621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0"/>
                <w:szCs w:val="20"/>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color w:val="auto"/>
              </w:rPr>
              <w:t>20,254</w:t>
            </w:r>
          </w:p>
        </w:tc>
        <w:tc>
          <w:tcPr>
            <w:tcW w:w="34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w w:val="89"/>
              </w:rPr>
              <w:t>(20,254)</w:t>
            </w:r>
          </w:p>
        </w:tc>
        <w:tc>
          <w:tcPr>
            <w:tcW w:w="62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 in-</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process research and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20,780</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89"/>
              </w:rPr>
              <w:t>(20,780)</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9"/>
              </w:rPr>
              <w:t>672,570</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9"/>
              </w:rPr>
              <w:t>(20,254)</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89"/>
              </w:rPr>
              <w:t>(20,780)</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9"/>
              </w:rPr>
              <w:t>(13,417)</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618,119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81,269</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20,254</w:t>
            </w: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8"/>
              </w:rPr>
              <w:t>20,780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13,417</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6"/>
              </w:rPr>
              <w:t>135,720</w:t>
            </w:r>
          </w:p>
        </w:tc>
        <w:tc>
          <w:tcPr>
            <w:tcW w:w="0" w:type="dxa"/>
            <w:vAlign w:val="bottom"/>
          </w:tcPr>
          <w:p>
            <w:pPr>
              <w:spacing w:after="0"/>
              <w:rPr>
                <w:sz w:val="1"/>
                <w:szCs w:val="1"/>
                <w:color w:val="auto"/>
              </w:rPr>
            </w:pPr>
          </w:p>
        </w:tc>
      </w:tr>
      <w:tr>
        <w:trPr>
          <w:trHeight w:val="439"/>
        </w:trPr>
        <w:tc>
          <w:tcPr>
            <w:tcW w:w="26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9,257</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12,448</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21,705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74,247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20,254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8"/>
              </w:rPr>
              <w:t>20,780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13,417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(12,448)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6"/>
              </w:rPr>
              <w:t>116,250</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1,292,150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1,173,041</w:t>
            </w: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$25,421 and $21,749, respectively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486,783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2,022,609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1,872,558</w:t>
            </w: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266,224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1,820,747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1,766,761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4,526,096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4,328,417</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438,755</w:t>
            </w:r>
          </w:p>
        </w:tc>
        <w:tc>
          <w:tcPr>
            <w:tcW w:w="10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Noncurrent liabilities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548,199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3,310,535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3,213,053</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4,526,096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88,353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50,050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10,853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(Gain) loss from short-term interest-bearing investments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(14,409)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47,599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Noncurrent liabilities and other</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193,507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 vehicles and leasehold improvements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(23,801)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278,183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(348,662)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(55,543)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(150,522)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Borrowings under long-term financing arrangements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convertible notes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Repurchase of shares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(Payments) borrowings under capital lease and short-term financing arrangements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48,022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728,762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718,850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776,784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623,261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4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144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724.8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c>
          <w:tcPr>
            <w:tcW w:w="144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678.4</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724.8</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144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2019-12-10T17:32:02Z</dcterms:created>
  <dcterms:modified xsi:type="dcterms:W3CDTF">2019-12-10T17:32:02Z</dcterms:modified>
</cp:coreProperties>
</file>