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REPORT OF FOREIGN PRIVATE ISSUER</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RULE 13a-16 OR 15d-16</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month of May 2023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165735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178435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Hirzel House, Smith Street,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St. Peter Port, Island of Guernsey, GY1 2NG</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Amdocs,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625 Maryville Centre Drive, Suite 200, Saint Louis, Missouri 63141</w:t>
      </w: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ind w:left="640"/>
        <w:spacing w:after="0"/>
        <w:rPr>
          <w:sz w:val="20"/>
          <w:szCs w:val="20"/>
          <w:color w:val="auto"/>
        </w:rPr>
      </w:pPr>
      <w:r>
        <w:rPr>
          <w:rFonts w:ascii="Arial" w:cs="Arial" w:eastAsia="Arial" w:hAnsi="Arial"/>
          <w:sz w:val="13"/>
          <w:szCs w:val="13"/>
          <w:color w:val="auto"/>
        </w:rPr>
        <w:t>Indicate by check mark whether the registrant files or will file annual reports under cover of Form 20-F or Form 40-F:</w:t>
      </w:r>
    </w:p>
    <w:p>
      <w:pPr>
        <w:spacing w:after="0" w:line="121" w:lineRule="exact"/>
        <w:rPr>
          <w:sz w:val="24"/>
          <w:szCs w:val="24"/>
          <w:color w:val="auto"/>
        </w:rPr>
      </w:pPr>
    </w:p>
    <w:p>
      <w:pPr>
        <w:jc w:val="center"/>
        <w:ind w:right="19"/>
        <w:spacing w:after="0" w:line="150" w:lineRule="exact"/>
        <w:tabs>
          <w:tab w:leader="none" w:pos="360" w:val="left"/>
        </w:tabs>
        <w:rPr>
          <w:sz w:val="20"/>
          <w:szCs w:val="20"/>
          <w:color w:val="auto"/>
        </w:rPr>
      </w:pPr>
      <w:r>
        <w:rPr>
          <w:rFonts w:ascii="Arial" w:cs="Arial" w:eastAsia="Arial" w:hAnsi="Arial"/>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FORM 40-F </w:t>
      </w:r>
      <w:r>
        <w:rPr>
          <w:rFonts w:ascii="MS PGothic" w:cs="MS PGothic" w:eastAsia="MS PGothic" w:hAnsi="MS PGothic"/>
          <w:sz w:val="12"/>
          <w:szCs w:val="12"/>
          <w:color w:val="auto"/>
        </w:rPr>
        <w:t>☐</w:t>
      </w:r>
    </w:p>
    <w:p>
      <w:pPr>
        <w:spacing w:after="0" w:line="154"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Indicate by check mark if the registrant is submitting the Form 6-K in paper as permitted by Regulation S-T Rule 101(b)(1): </w:t>
      </w:r>
      <w:r>
        <w:rPr>
          <w:rFonts w:ascii="MS PGothic" w:cs="MS PGothic" w:eastAsia="MS PGothic" w:hAnsi="MS PGothic"/>
          <w:sz w:val="13"/>
          <w:szCs w:val="13"/>
          <w:color w:val="auto"/>
        </w:rPr>
        <w:t>☐</w:t>
      </w:r>
    </w:p>
    <w:p>
      <w:pPr>
        <w:spacing w:after="0" w:line="154"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Indicate by check mark if the registrant is submitting the Form 6-K in paper as permitted by Regulation S-T Rule 101(b)(7): </w:t>
      </w:r>
      <w:r>
        <w:rPr>
          <w:rFonts w:ascii="MS PGothic" w:cs="MS PGothic" w:eastAsia="MS PGothic" w:hAnsi="MS PGothic"/>
          <w:sz w:val="13"/>
          <w:szCs w:val="13"/>
          <w:color w:val="auto"/>
        </w:rPr>
        <w:t>☐</w:t>
      </w:r>
    </w:p>
    <w:p>
      <w:pPr>
        <w:spacing w:after="0" w:line="186" w:lineRule="exact"/>
        <w:rPr>
          <w:sz w:val="24"/>
          <w:szCs w:val="24"/>
          <w:color w:val="auto"/>
        </w:rPr>
      </w:pPr>
    </w:p>
    <w:p>
      <w:pPr>
        <w:ind w:left="640"/>
        <w:spacing w:after="0"/>
        <w:rPr>
          <w:sz w:val="20"/>
          <w:szCs w:val="20"/>
          <w:color w:val="auto"/>
        </w:rPr>
      </w:pPr>
      <w:r>
        <w:rPr>
          <w:rFonts w:ascii="Arial" w:cs="Arial" w:eastAsia="Arial" w:hAnsi="Arial"/>
          <w:sz w:val="11"/>
          <w:szCs w:val="11"/>
          <w:color w:val="auto"/>
        </w:rPr>
        <w:t>Indicate by check mark whether the registrant by furnishing the information contained in this form is also thereby furnishing the information to the</w:t>
      </w:r>
    </w:p>
    <w:p>
      <w:pPr>
        <w:spacing w:after="0" w:line="34" w:lineRule="exact"/>
        <w:rPr>
          <w:sz w:val="24"/>
          <w:szCs w:val="24"/>
          <w:color w:val="auto"/>
        </w:rPr>
      </w:pPr>
    </w:p>
    <w:p>
      <w:pPr>
        <w:ind w:left="640"/>
        <w:spacing w:after="0"/>
        <w:rPr>
          <w:sz w:val="20"/>
          <w:szCs w:val="20"/>
          <w:color w:val="auto"/>
        </w:rPr>
      </w:pPr>
      <w:r>
        <w:rPr>
          <w:rFonts w:ascii="Arial" w:cs="Arial" w:eastAsia="Arial" w:hAnsi="Arial"/>
          <w:sz w:val="13"/>
          <w:szCs w:val="13"/>
          <w:color w:val="auto"/>
        </w:rPr>
        <w:t>Commission pursuant to Rule 12g3-2(b) under the Securities Exchange Act of 1934:</w:t>
      </w:r>
    </w:p>
    <w:p>
      <w:pPr>
        <w:spacing w:after="0" w:line="112" w:lineRule="exact"/>
        <w:rPr>
          <w:sz w:val="24"/>
          <w:szCs w:val="24"/>
          <w:color w:val="auto"/>
        </w:rPr>
      </w:pPr>
    </w:p>
    <w:p>
      <w:pPr>
        <w:jc w:val="center"/>
        <w:ind w:right="19"/>
        <w:spacing w:after="0" w:line="150" w:lineRule="exact"/>
        <w:tabs>
          <w:tab w:leader="none" w:pos="36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86" w:lineRule="exact"/>
        <w:rPr>
          <w:sz w:val="24"/>
          <w:szCs w:val="24"/>
          <w:color w:val="auto"/>
        </w:rPr>
      </w:pPr>
    </w:p>
    <w:p>
      <w:pPr>
        <w:ind w:left="640"/>
        <w:spacing w:after="0"/>
        <w:rPr>
          <w:sz w:val="20"/>
          <w:szCs w:val="20"/>
          <w:color w:val="auto"/>
        </w:rPr>
      </w:pPr>
      <w:r>
        <w:rPr>
          <w:rFonts w:ascii="Arial" w:cs="Arial" w:eastAsia="Arial" w:hAnsi="Arial"/>
          <w:sz w:val="13"/>
          <w:szCs w:val="13"/>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109220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139065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 w:name="page2"/>
    <w:bookmarkEnd w:id="1"/>
    <w:p>
      <w:pPr>
        <w:ind w:left="640" w:right="739"/>
        <w:spacing w:after="0" w:line="35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3180"/>
                    </a:xfrm>
                    <a:prstGeom prst="rect">
                      <a:avLst/>
                    </a:prstGeom>
                    <a:noFill/>
                  </pic:spPr>
                </pic:pic>
              </a:graphicData>
            </a:graphic>
          </wp:anchor>
        </w:drawing>
        <w:t>On May 10, 2023 Amdocs Limited (“Amdocs”) issued a press release announcing financial results for the quarter ended March 31, 2023. A copy of the press release and the accompanying presentation are furnished as Exhibits 99.1 and 99.2 to this Report of Foreign Private Issuer on Form 6-K.</w:t>
      </w:r>
    </w:p>
    <w:p>
      <w:pPr>
        <w:spacing w:after="0" w:line="84" w:lineRule="exact"/>
        <w:rPr>
          <w:sz w:val="20"/>
          <w:szCs w:val="20"/>
          <w:color w:val="auto"/>
        </w:rPr>
      </w:pPr>
    </w:p>
    <w:p>
      <w:pPr>
        <w:ind w:left="640" w:right="879"/>
        <w:spacing w:after="0" w:line="252" w:lineRule="auto"/>
        <w:rPr>
          <w:sz w:val="20"/>
          <w:szCs w:val="20"/>
          <w:color w:val="auto"/>
        </w:rPr>
      </w:pPr>
      <w:r>
        <w:rPr>
          <w:rFonts w:ascii="Arial" w:cs="Arial" w:eastAsia="Arial" w:hAnsi="Arial"/>
          <w:sz w:val="13"/>
          <w:szCs w:val="13"/>
          <w:color w:val="auto"/>
        </w:rPr>
        <w:t>In addition, on May 10, 2023, Amdocs also announced that it has entered into a definitive agreement to acquire the service assurance business of TEOCO for consideration of approximately $90 million in cash, subject to the satisfaction of the conditions to closing. A copy of the press release is furnished as Exhibit 99.3 to this Report of Foreign Private Issuer on Form 6-K.</w:t>
      </w:r>
    </w:p>
    <w:p>
      <w:pPr>
        <w:spacing w:after="0" w:line="136" w:lineRule="exact"/>
        <w:rPr>
          <w:sz w:val="20"/>
          <w:szCs w:val="20"/>
          <w:color w:val="auto"/>
        </w:rPr>
      </w:pPr>
    </w:p>
    <w:p>
      <w:pPr>
        <w:ind w:left="640" w:right="679"/>
        <w:spacing w:after="0" w:line="252" w:lineRule="auto"/>
        <w:rPr>
          <w:sz w:val="20"/>
          <w:szCs w:val="20"/>
          <w:color w:val="auto"/>
        </w:rPr>
      </w:pPr>
      <w:r>
        <w:rPr>
          <w:rFonts w:ascii="Arial" w:cs="Arial" w:eastAsia="Arial" w:hAnsi="Arial"/>
          <w:sz w:val="13"/>
          <w:szCs w:val="13"/>
          <w:color w:val="auto"/>
        </w:rPr>
        <w:t>The information in this Form 6-K (including Exhibits 99.1, 99.2 and 99.3)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019"/>
          </w:cols>
          <w:pgMar w:left="1440" w:top="387"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3180"/>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AMDOCS LIMITED</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6985</wp:posOffset>
            </wp:positionV>
            <wp:extent cx="18294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9435" cy="5715"/>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Matthew E. Smith</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13"/>
          <w:szCs w:val="13"/>
          <w:i w:val="1"/>
          <w:iCs w:val="1"/>
          <w:color w:val="auto"/>
        </w:rPr>
        <w:t>Secretary and Authorized Signatory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May 10, 2023</w:t>
      </w:r>
    </w:p>
    <w:p>
      <w:pPr>
        <w:sectPr>
          <w:pgSz w:w="11900" w:h="16838" w:orient="portrait"/>
          <w:cols w:equalWidth="0" w:num="1">
            <w:col w:w="9019"/>
          </w:cols>
          <w:pgMar w:left="1440" w:top="383" w:right="1440" w:bottom="1440" w:gutter="0" w:footer="0" w:header="0"/>
        </w:sectPr>
      </w:pPr>
    </w:p>
    <w:bookmarkStart w:id="3" w:name="page4"/>
    <w:bookmarkEnd w:id="3"/>
    <w:tbl>
      <w:tblPr>
        <w:tblLayout w:type="fixed"/>
        <w:tblInd w:w="64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980" w:type="dxa"/>
            <w:vAlign w:val="bottom"/>
            <w:gridSpan w:val="3"/>
          </w:tcPr>
          <w:p>
            <w:pPr>
              <w:ind w:left="640"/>
              <w:spacing w:after="0"/>
              <w:rPr>
                <w:sz w:val="20"/>
                <w:szCs w:val="20"/>
                <w:color w:val="auto"/>
              </w:rPr>
            </w:pPr>
            <w:r>
              <w:rPr>
                <w:rFonts w:ascii="Arial" w:cs="Arial" w:eastAsia="Arial" w:hAnsi="Arial"/>
                <w:sz w:val="13"/>
                <w:szCs w:val="13"/>
                <w:color w:val="auto"/>
              </w:rPr>
              <w:t>EXHIBIT INDEX</w:t>
            </w:r>
          </w:p>
        </w:tc>
        <w:tc>
          <w:tcPr>
            <w:tcW w:w="0" w:type="dxa"/>
            <w:vAlign w:val="bottom"/>
          </w:tcPr>
          <w:p>
            <w:pPr>
              <w:spacing w:after="0"/>
              <w:rPr>
                <w:sz w:val="1"/>
                <w:szCs w:val="1"/>
                <w:color w:val="auto"/>
              </w:rPr>
            </w:pPr>
          </w:p>
        </w:tc>
      </w:tr>
      <w:tr>
        <w:trPr>
          <w:trHeight w:val="262"/>
        </w:trPr>
        <w:tc>
          <w:tcPr>
            <w:tcW w:w="400" w:type="dxa"/>
            <w:vAlign w:val="bottom"/>
          </w:tcPr>
          <w:p>
            <w:pPr>
              <w:spacing w:after="0"/>
              <w:rPr>
                <w:sz w:val="20"/>
                <w:szCs w:val="20"/>
                <w:color w:val="auto"/>
              </w:rPr>
            </w:pPr>
            <w:r>
              <w:rPr>
                <w:rFonts w:ascii="Arial" w:cs="Arial" w:eastAsia="Arial" w:hAnsi="Arial"/>
                <w:sz w:val="10"/>
                <w:szCs w:val="10"/>
                <w:color w:val="auto"/>
                <w:w w:val="97"/>
              </w:rPr>
              <w:t>EXHIBIT</w:t>
            </w:r>
          </w:p>
        </w:tc>
        <w:tc>
          <w:tcPr>
            <w:tcW w:w="460" w:type="dxa"/>
            <w:vAlign w:val="bottom"/>
          </w:tcPr>
          <w:p>
            <w:pPr>
              <w:spacing w:after="0"/>
              <w:rPr>
                <w:sz w:val="22"/>
                <w:szCs w:val="22"/>
                <w:color w:val="auto"/>
              </w:rPr>
            </w:pPr>
          </w:p>
        </w:tc>
        <w:tc>
          <w:tcPr>
            <w:tcW w:w="6880" w:type="dxa"/>
            <w:vAlign w:val="bottom"/>
            <w:gridSpan w:val="4"/>
            <w:vMerge w:val="restart"/>
          </w:tcPr>
          <w:p>
            <w:pPr>
              <w:spacing w:after="0"/>
              <w:rPr>
                <w:sz w:val="20"/>
                <w:szCs w:val="20"/>
                <w:color w:val="auto"/>
              </w:rPr>
            </w:pPr>
            <w:r>
              <w:rPr>
                <w:rFonts w:ascii="Arial" w:cs="Arial" w:eastAsia="Arial" w:hAnsi="Arial"/>
                <w:sz w:val="10"/>
                <w:szCs w:val="10"/>
                <w:color w:val="auto"/>
              </w:rPr>
              <w:t>DESCRIPTION</w:t>
            </w:r>
          </w:p>
        </w:tc>
        <w:tc>
          <w:tcPr>
            <w:tcW w:w="0" w:type="dxa"/>
            <w:vAlign w:val="bottom"/>
          </w:tcPr>
          <w:p>
            <w:pPr>
              <w:spacing w:after="0"/>
              <w:rPr>
                <w:sz w:val="1"/>
                <w:szCs w:val="1"/>
                <w:color w:val="auto"/>
              </w:rPr>
            </w:pPr>
          </w:p>
        </w:tc>
      </w:tr>
      <w:tr>
        <w:trPr>
          <w:trHeight w:val="117"/>
        </w:trPr>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NO.</w:t>
            </w:r>
          </w:p>
        </w:tc>
        <w:tc>
          <w:tcPr>
            <w:tcW w:w="460" w:type="dxa"/>
            <w:vAlign w:val="bottom"/>
          </w:tcPr>
          <w:p>
            <w:pPr>
              <w:spacing w:after="0"/>
              <w:rPr>
                <w:sz w:val="10"/>
                <w:szCs w:val="10"/>
                <w:color w:val="auto"/>
              </w:rPr>
            </w:pPr>
          </w:p>
        </w:tc>
        <w:tc>
          <w:tcPr>
            <w:tcW w:w="688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20"/>
                <w:szCs w:val="20"/>
                <w:color w:val="auto"/>
              </w:rPr>
            </w:pPr>
            <w:r>
              <w:rPr>
                <w:rFonts w:ascii="Arial" w:cs="Arial" w:eastAsia="Arial" w:hAnsi="Arial"/>
                <w:sz w:val="13"/>
                <w:szCs w:val="13"/>
                <w:color w:val="auto"/>
              </w:rPr>
              <w:t>99.1</w:t>
            </w:r>
          </w:p>
        </w:tc>
        <w:tc>
          <w:tcPr>
            <w:tcW w:w="460" w:type="dxa"/>
            <w:vAlign w:val="bottom"/>
          </w:tcPr>
          <w:p>
            <w:pPr>
              <w:spacing w:after="0"/>
              <w:rPr>
                <w:sz w:val="16"/>
                <w:szCs w:val="16"/>
                <w:color w:val="auto"/>
              </w:rPr>
            </w:pPr>
          </w:p>
        </w:tc>
        <w:tc>
          <w:tcPr>
            <w:tcW w:w="400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color w:val="0000EE"/>
                <w:w w:val="87"/>
              </w:rPr>
              <w:t>Amdocs Limited Press Release Announcing Q2 Earnings, dated May 10, 2023.</w:t>
            </w:r>
          </w:p>
        </w:tc>
        <w:tc>
          <w:tcPr>
            <w:tcW w:w="28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20"/>
                <w:szCs w:val="20"/>
                <w:color w:val="auto"/>
              </w:rPr>
            </w:pPr>
            <w:r>
              <w:rPr>
                <w:rFonts w:ascii="Arial" w:cs="Arial" w:eastAsia="Arial" w:hAnsi="Arial"/>
                <w:sz w:val="13"/>
                <w:szCs w:val="13"/>
                <w:color w:val="auto"/>
              </w:rPr>
              <w:t>99.2</w:t>
            </w:r>
          </w:p>
        </w:tc>
        <w:tc>
          <w:tcPr>
            <w:tcW w:w="4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Arial" w:cs="Arial" w:eastAsia="Arial" w:hAnsi="Arial"/>
                <w:sz w:val="13"/>
                <w:szCs w:val="13"/>
                <w:color w:val="0000EE"/>
              </w:rPr>
              <w:t>Fiscal Q2 2023 Earnings Presentation</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0" w:type="dxa"/>
            <w:vAlign w:val="bottom"/>
          </w:tcPr>
          <w:p>
            <w:pPr>
              <w:spacing w:after="0"/>
              <w:rPr>
                <w:sz w:val="20"/>
                <w:szCs w:val="20"/>
                <w:color w:val="auto"/>
              </w:rPr>
            </w:pPr>
            <w:r>
              <w:rPr>
                <w:rFonts w:ascii="Arial" w:cs="Arial" w:eastAsia="Arial" w:hAnsi="Arial"/>
                <w:sz w:val="13"/>
                <w:szCs w:val="13"/>
                <w:color w:val="auto"/>
              </w:rPr>
              <w:t>99.3</w:t>
            </w:r>
          </w:p>
        </w:tc>
        <w:tc>
          <w:tcPr>
            <w:tcW w:w="4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Arial" w:cs="Arial" w:eastAsia="Arial" w:hAnsi="Arial"/>
                <w:sz w:val="13"/>
                <w:szCs w:val="13"/>
                <w:color w:val="0000EE"/>
              </w:rPr>
              <w:t>Amdocs Limited Press Release Announcing TEOCO Acquisition, dated May 10, 2023.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387"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3180"/>
                    </a:xfrm>
                    <a:prstGeom prst="rect">
                      <a:avLst/>
                    </a:prstGeom>
                    <a:noFill/>
                  </pic:spPr>
                </pic:pic>
              </a:graphicData>
            </a:graphic>
          </wp:anchor>
        </w:drawing>
      </w:r>
    </w:p>
    <w:bookmarkStart w:id="4" w:name="page5"/>
    <w:bookmarkEnd w:id="4"/>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532765</wp:posOffset>
            </wp:positionV>
            <wp:extent cx="491045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118110</wp:posOffset>
            </wp:positionV>
            <wp:extent cx="1384300" cy="300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4300" cy="30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Amdocs Limited Reports Second Quarter Fiscal 2023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Record Quarterly Revenue of $1.22 Billion, Above Midpoint of Guidance and up 6.8% YoY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as Reported and 8.2% YoY in Constant Currency</w:t>
      </w:r>
      <w:r>
        <w:rPr>
          <w:rFonts w:ascii="Arial" w:cs="Arial" w:eastAsia="Arial" w:hAnsi="Arial"/>
          <w:sz w:val="18"/>
          <w:szCs w:val="18"/>
          <w:i w:val="1"/>
          <w:iCs w:val="1"/>
          <w:color w:val="auto"/>
          <w:vertAlign w:val="superscript"/>
        </w:rPr>
        <w:t>(2)</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Reiterates Fiscal 2023 Revenue Growth Outlook while Tightening Expected Range to 6%-8% as Reported and 7%-9% Constant Currency</w:t>
      </w:r>
      <w:r>
        <w:rPr>
          <w:rFonts w:ascii="Arial" w:cs="Arial" w:eastAsia="Arial" w:hAnsi="Arial"/>
          <w:sz w:val="17"/>
          <w:szCs w:val="17"/>
          <w:i w:val="1"/>
          <w:iCs w:val="1"/>
          <w:color w:val="auto"/>
          <w:vertAlign w:val="superscript"/>
        </w:rPr>
        <w:t>(2)</w:t>
      </w:r>
    </w:p>
    <w:p>
      <w:pPr>
        <w:jc w:val="center"/>
        <w:spacing w:after="0"/>
        <w:rPr>
          <w:sz w:val="20"/>
          <w:szCs w:val="20"/>
          <w:color w:val="auto"/>
        </w:rPr>
      </w:pPr>
      <w:r>
        <w:rPr>
          <w:rFonts w:ascii="Arial" w:cs="Arial" w:eastAsia="Arial" w:hAnsi="Arial"/>
          <w:sz w:val="13"/>
          <w:szCs w:val="13"/>
          <w:i w:val="1"/>
          <w:iCs w:val="1"/>
          <w:color w:val="auto"/>
        </w:rPr>
        <w:t>Reiterates Fiscal 2023 Earnings per Share Growth Targets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Reiterates Fiscal 2023 Free Cash Flow</w:t>
      </w:r>
      <w:r>
        <w:rPr>
          <w:rFonts w:ascii="Arial" w:cs="Arial" w:eastAsia="Arial" w:hAnsi="Arial"/>
          <w:sz w:val="18"/>
          <w:szCs w:val="18"/>
          <w:i w:val="1"/>
          <w:iCs w:val="1"/>
          <w:color w:val="auto"/>
          <w:vertAlign w:val="superscript"/>
        </w:rPr>
        <w:t>(1)</w:t>
      </w:r>
      <w:r>
        <w:rPr>
          <w:rFonts w:ascii="Arial" w:cs="Arial" w:eastAsia="Arial" w:hAnsi="Arial"/>
          <w:sz w:val="13"/>
          <w:szCs w:val="13"/>
          <w:i w:val="1"/>
          <w:iCs w:val="1"/>
          <w:color w:val="auto"/>
        </w:rPr>
        <w:t xml:space="preserve"> Outlook of $700 Million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Second Quarter Fiscal 2023 Highlights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(All comparisons are against the prior year)</w:t>
      </w:r>
    </w:p>
    <w:p>
      <w:pPr>
        <w:spacing w:after="0" w:line="87" w:lineRule="exact"/>
        <w:rPr>
          <w:sz w:val="20"/>
          <w:szCs w:val="20"/>
          <w:color w:val="auto"/>
        </w:rPr>
      </w:pPr>
    </w:p>
    <w:p>
      <w:pPr>
        <w:ind w:left="1340" w:right="1239" w:hanging="316"/>
        <w:spacing w:after="0" w:line="210" w:lineRule="auto"/>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Record revenue of $1,223 million, up 6.8% as reported and up 8.2% in constant currency</w:t>
      </w:r>
      <w:r>
        <w:rPr>
          <w:rFonts w:ascii="Arial" w:cs="Arial" w:eastAsia="Arial" w:hAnsi="Arial"/>
          <w:sz w:val="18"/>
          <w:szCs w:val="18"/>
          <w:color w:val="auto"/>
          <w:vertAlign w:val="superscript"/>
        </w:rPr>
        <w:t>(2)</w:t>
      </w:r>
      <w:r>
        <w:rPr>
          <w:rFonts w:ascii="Arial" w:cs="Arial" w:eastAsia="Arial" w:hAnsi="Arial"/>
          <w:sz w:val="13"/>
          <w:szCs w:val="13"/>
          <w:color w:val="auto"/>
        </w:rPr>
        <w:t>; revenue was above the midpoint of $1,200-$1,240 million guidance range</w:t>
      </w:r>
    </w:p>
    <w:p>
      <w:pPr>
        <w:spacing w:after="0" w:line="76" w:lineRule="exact"/>
        <w:rPr>
          <w:rFonts w:ascii="Arial" w:cs="Arial" w:eastAsia="Arial" w:hAnsi="Arial"/>
          <w:sz w:val="13"/>
          <w:szCs w:val="13"/>
          <w:color w:val="auto"/>
        </w:rPr>
      </w:pPr>
    </w:p>
    <w:p>
      <w:pPr>
        <w:ind w:left="1340" w:hanging="316"/>
        <w:spacing w:after="0"/>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Record revenue of $829 million in North America, up 7.4%, and record revenue of $172 million in Europe, up 16.6%</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Record managed services revenue of $719 million, equivalent to approximately 59% of total revenue</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GAAP diluted EPS of $1.23, above the midpoint of $1.18-$1.26 guidance range</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Non-GAAP diluted EPS of $1.47, at the midpoint guidance range of $1.44-$1.50</w:t>
      </w:r>
    </w:p>
    <w:p>
      <w:pPr>
        <w:spacing w:after="0" w:line="87" w:lineRule="exact"/>
        <w:rPr>
          <w:rFonts w:ascii="Arial" w:cs="Arial" w:eastAsia="Arial" w:hAnsi="Arial"/>
          <w:sz w:val="13"/>
          <w:szCs w:val="13"/>
          <w:color w:val="auto"/>
        </w:rPr>
      </w:pPr>
    </w:p>
    <w:p>
      <w:pPr>
        <w:ind w:left="1340" w:right="1279" w:hanging="316"/>
        <w:spacing w:after="0" w:line="261" w:lineRule="auto"/>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GAAP operating income of $182 million; GAAP operating margin of 14.9%, up 220 basis points sequentially, primarily due to restructuring charges, and up 60 basis points as compared to last year’s second fiscal quarter</w:t>
      </w:r>
    </w:p>
    <w:p>
      <w:pPr>
        <w:spacing w:after="0" w:line="63" w:lineRule="exact"/>
        <w:rPr>
          <w:rFonts w:ascii="Arial" w:cs="Arial" w:eastAsia="Arial" w:hAnsi="Arial"/>
          <w:sz w:val="13"/>
          <w:szCs w:val="13"/>
          <w:color w:val="auto"/>
        </w:rPr>
      </w:pPr>
    </w:p>
    <w:p>
      <w:pPr>
        <w:ind w:left="1340" w:right="899" w:hanging="316"/>
        <w:spacing w:after="0" w:line="261" w:lineRule="auto"/>
        <w:tabs>
          <w:tab w:leader="none" w:pos="1340" w:val="left"/>
        </w:tabs>
        <w:numPr>
          <w:ilvl w:val="1"/>
          <w:numId w:val="1"/>
        </w:numPr>
        <w:rPr>
          <w:rFonts w:ascii="Arial" w:cs="Arial" w:eastAsia="Arial" w:hAnsi="Arial"/>
          <w:sz w:val="13"/>
          <w:szCs w:val="13"/>
          <w:color w:val="auto"/>
        </w:rPr>
      </w:pPr>
      <w:r>
        <w:rPr>
          <w:rFonts w:ascii="Arial" w:cs="Arial" w:eastAsia="Arial" w:hAnsi="Arial"/>
          <w:sz w:val="13"/>
          <w:szCs w:val="13"/>
          <w:color w:val="auto"/>
        </w:rPr>
        <w:t>Non-GAAP operating income of $218 million; non-GAAP operating margin of 17.8%, up 10 basis points sequentially and up 20 basis points as compared to last year’s second fiscal quarter</w:t>
      </w:r>
    </w:p>
    <w:p>
      <w:pPr>
        <w:spacing w:after="0" w:line="148" w:lineRule="exact"/>
        <w:rPr>
          <w:rFonts w:ascii="Arial" w:cs="Arial" w:eastAsia="Arial" w:hAnsi="Arial"/>
          <w:sz w:val="13"/>
          <w:szCs w:val="13"/>
          <w:color w:val="auto"/>
        </w:rPr>
      </w:pPr>
    </w:p>
    <w:p>
      <w:pPr>
        <w:ind w:left="940" w:hanging="303"/>
        <w:spacing w:after="0"/>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Please refer to the Selected Financial Metrics tables below (figures may not sum because of rounding).</w:t>
      </w:r>
    </w:p>
    <w:p>
      <w:pPr>
        <w:spacing w:after="0" w:line="11" w:lineRule="exact"/>
        <w:rPr>
          <w:rFonts w:ascii="Arial" w:cs="Arial" w:eastAsia="Arial" w:hAnsi="Arial"/>
          <w:sz w:val="13"/>
          <w:szCs w:val="13"/>
          <w:color w:val="auto"/>
        </w:rPr>
      </w:pPr>
    </w:p>
    <w:p>
      <w:pPr>
        <w:ind w:left="940" w:hanging="303"/>
        <w:spacing w:after="0"/>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Revenue on a constant currency basis assumes exchange rates in the current period were unchanged from the prior period</w:t>
      </w:r>
    </w:p>
    <w:p>
      <w:pPr>
        <w:sectPr>
          <w:pgSz w:w="11900" w:h="16838" w:orient="portrait"/>
          <w:cols w:equalWidth="0" w:num="1">
            <w:col w:w="9019"/>
          </w:cols>
          <w:pgMar w:left="1440" w:top="127" w:right="1440" w:bottom="1440" w:gutter="0" w:footer="0" w:header="0"/>
        </w:sectPr>
      </w:pPr>
    </w:p>
    <w:bookmarkStart w:id="5" w:name="page6"/>
    <w:bookmarkEnd w:id="5"/>
    <w:p>
      <w:pPr>
        <w:ind w:left="1340" w:right="779" w:hanging="316"/>
        <w:spacing w:after="0" w:line="268" w:lineRule="auto"/>
        <w:tabs>
          <w:tab w:leader="none" w:pos="1340" w:val="left"/>
        </w:tabs>
        <w:numPr>
          <w:ilvl w:val="0"/>
          <w:numId w:val="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43180"/>
                    </a:xfrm>
                    <a:prstGeom prst="rect">
                      <a:avLst/>
                    </a:prstGeom>
                    <a:noFill/>
                  </pic:spPr>
                </pic:pic>
              </a:graphicData>
            </a:graphic>
          </wp:anchor>
        </w:drawing>
        <w:t>Free cash flow of $259 million, comprised of cash flow from operations of $294 million, less $35 million in net capital expenditures and other</w:t>
      </w:r>
      <w:r>
        <w:rPr>
          <w:rFonts w:ascii="Arial" w:cs="Arial" w:eastAsia="Arial" w:hAnsi="Arial"/>
          <w:sz w:val="18"/>
          <w:szCs w:val="18"/>
          <w:color w:val="auto"/>
          <w:vertAlign w:val="superscript"/>
        </w:rPr>
        <w:t>(1)</w:t>
      </w:r>
      <w:r>
        <w:rPr>
          <w:rFonts w:ascii="Arial" w:cs="Arial" w:eastAsia="Arial" w:hAnsi="Arial"/>
          <w:sz w:val="13"/>
          <w:szCs w:val="13"/>
          <w:color w:val="auto"/>
        </w:rPr>
        <w:t>; reiterates full year fiscal 2023 free cash outlook of $700 million</w:t>
      </w:r>
    </w:p>
    <w:p>
      <w:pPr>
        <w:ind w:left="1340" w:hanging="316"/>
        <w:spacing w:after="0"/>
        <w:tabs>
          <w:tab w:leader="none" w:pos="1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Repurchased $106 million of ordinary shares during the second fiscal quarter</w:t>
      </w:r>
    </w:p>
    <w:p>
      <w:pPr>
        <w:spacing w:after="0" w:line="77" w:lineRule="exact"/>
        <w:rPr>
          <w:rFonts w:ascii="Arial" w:cs="Arial" w:eastAsia="Arial" w:hAnsi="Arial"/>
          <w:sz w:val="13"/>
          <w:szCs w:val="13"/>
          <w:color w:val="auto"/>
        </w:rPr>
      </w:pPr>
    </w:p>
    <w:p>
      <w:pPr>
        <w:ind w:left="1340" w:hanging="316"/>
        <w:spacing w:after="0"/>
        <w:tabs>
          <w:tab w:leader="none" w:pos="1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Record twelve-month backlog of $4.11 billion, up 5.7% as compared to last year’s second fiscal quarter</w:t>
      </w:r>
    </w:p>
    <w:p>
      <w:pPr>
        <w:spacing w:after="0" w:line="87" w:lineRule="exact"/>
        <w:rPr>
          <w:rFonts w:ascii="Arial" w:cs="Arial" w:eastAsia="Arial" w:hAnsi="Arial"/>
          <w:sz w:val="13"/>
          <w:szCs w:val="13"/>
          <w:color w:val="auto"/>
        </w:rPr>
      </w:pPr>
    </w:p>
    <w:p>
      <w:pPr>
        <w:ind w:left="1340" w:right="659" w:hanging="316"/>
        <w:spacing w:after="0" w:line="261" w:lineRule="auto"/>
        <w:tabs>
          <w:tab w:leader="none" w:pos="1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Board of Directors of Amdocs approved a definitive agreement on May 10, 2023, to acquire the service assurance business of TEOCO for a consideration of approximately $90 million in cash, subject to closing conditions</w:t>
      </w:r>
    </w:p>
    <w:p>
      <w:pPr>
        <w:spacing w:after="0" w:line="126" w:lineRule="exact"/>
        <w:rPr>
          <w:sz w:val="20"/>
          <w:szCs w:val="20"/>
          <w:color w:val="auto"/>
        </w:rPr>
      </w:pPr>
    </w:p>
    <w:p>
      <w:pPr>
        <w:ind w:left="640" w:right="759"/>
        <w:spacing w:after="0" w:line="267" w:lineRule="auto"/>
        <w:rPr>
          <w:sz w:val="20"/>
          <w:szCs w:val="20"/>
          <w:color w:val="auto"/>
        </w:rPr>
      </w:pPr>
      <w:r>
        <w:rPr>
          <w:rFonts w:ascii="Arial" w:cs="Arial" w:eastAsia="Arial" w:hAnsi="Arial"/>
          <w:sz w:val="13"/>
          <w:szCs w:val="13"/>
          <w:b w:val="1"/>
          <w:bCs w:val="1"/>
          <w:color w:val="auto"/>
        </w:rPr>
        <w:t xml:space="preserve">JERSEY CITY, NJ – May 10, 2023 </w:t>
      </w:r>
      <w:r>
        <w:rPr>
          <w:rFonts w:ascii="Arial" w:cs="Arial" w:eastAsia="Arial" w:hAnsi="Arial"/>
          <w:sz w:val="13"/>
          <w:szCs w:val="13"/>
          <w:color w:val="auto"/>
        </w:rPr>
        <w:t>– Amdocs Limited (NASDAQ: DOX), a leading provider of software and services to communications and media</w:t>
      </w:r>
      <w:r>
        <w:rPr>
          <w:rFonts w:ascii="Arial" w:cs="Arial" w:eastAsia="Arial" w:hAnsi="Arial"/>
          <w:sz w:val="13"/>
          <w:szCs w:val="13"/>
          <w:b w:val="1"/>
          <w:bCs w:val="1"/>
          <w:color w:val="auto"/>
        </w:rPr>
        <w:t xml:space="preserve"> </w:t>
      </w:r>
      <w:r>
        <w:rPr>
          <w:rFonts w:ascii="Arial" w:cs="Arial" w:eastAsia="Arial" w:hAnsi="Arial"/>
          <w:sz w:val="13"/>
          <w:szCs w:val="13"/>
          <w:color w:val="auto"/>
        </w:rPr>
        <w:t>companies, today reported operating results for the three months ended March 31, 2023.</w:t>
      </w:r>
    </w:p>
    <w:p>
      <w:pPr>
        <w:spacing w:after="0" w:line="126" w:lineRule="exact"/>
        <w:rPr>
          <w:sz w:val="20"/>
          <w:szCs w:val="20"/>
          <w:color w:val="auto"/>
        </w:rPr>
      </w:pPr>
    </w:p>
    <w:p>
      <w:pPr>
        <w:ind w:left="640" w:right="679"/>
        <w:spacing w:after="0" w:line="255" w:lineRule="auto"/>
        <w:rPr>
          <w:sz w:val="20"/>
          <w:szCs w:val="20"/>
          <w:color w:val="auto"/>
        </w:rPr>
      </w:pPr>
      <w:r>
        <w:rPr>
          <w:rFonts w:ascii="Arial" w:cs="Arial" w:eastAsia="Arial" w:hAnsi="Arial"/>
          <w:sz w:val="12"/>
          <w:szCs w:val="12"/>
          <w:color w:val="auto"/>
        </w:rPr>
        <w:t>“I am pleased with our second fiscal quarter performance as we progressed our strategy to deliver the next-generation cloud-based products and software services that global communications service providers need to unlock the potential of 5G and broadband networks, data-driven intelligence, and improved consumer and B2B experience. Record revenue of $1.22 billion was up 8.2% from a year ago in constant currency</w:t>
      </w:r>
      <w:r>
        <w:rPr>
          <w:rFonts w:ascii="Arial" w:cs="Arial" w:eastAsia="Arial" w:hAnsi="Arial"/>
          <w:sz w:val="17"/>
          <w:szCs w:val="17"/>
          <w:color w:val="auto"/>
          <w:vertAlign w:val="superscript"/>
        </w:rPr>
        <w:t>(2)</w:t>
      </w:r>
      <w:r>
        <w:rPr>
          <w:rFonts w:ascii="Arial" w:cs="Arial" w:eastAsia="Arial" w:hAnsi="Arial"/>
          <w:sz w:val="12"/>
          <w:szCs w:val="12"/>
          <w:color w:val="auto"/>
        </w:rPr>
        <w:t>, driven by our best-ever quarters in North America and Europe, and we saw continued sales momentum with many cloud-related wins in the quarter. New deals included key awards with T-Mobile in the US, two new logos in Eastern Europe, and a significant cloud-migration engagement with PLDT in the Philippines. On the strategic front, we expanded our Microsoft partnership to bring a new AI-powered Customer Engagement Platform, and we sharpened our focus on the growth potential of B2B with the launch of CES23, our most advanced Customer Experience Suite yet. Additionally, we signed a definitive agreement to acquire the service assurance business of TEOCO to enhance the execution of our network automation strategy,” said Shuky Sheffer, president and chief executive officer of Amdocs Management Limited.</w:t>
      </w:r>
    </w:p>
    <w:p>
      <w:pPr>
        <w:sectPr>
          <w:pgSz w:w="11900" w:h="16838" w:orient="portrait"/>
          <w:cols w:equalWidth="0" w:num="1">
            <w:col w:w="9019"/>
          </w:cols>
          <w:pgMar w:left="1440" w:top="387" w:right="1440" w:bottom="1440" w:gutter="0" w:footer="0" w:header="0"/>
        </w:sectPr>
      </w:pPr>
    </w:p>
    <w:bookmarkStart w:id="6" w:name="page7"/>
    <w:bookmarkEnd w:id="6"/>
    <w:p>
      <w:pPr>
        <w:ind w:left="640" w:right="719"/>
        <w:spacing w:after="0" w:line="30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43180"/>
                    </a:xfrm>
                    <a:prstGeom prst="rect">
                      <a:avLst/>
                    </a:prstGeom>
                    <a:noFill/>
                  </pic:spPr>
                </pic:pic>
              </a:graphicData>
            </a:graphic>
          </wp:anchor>
        </w:drawing>
        <w:t>“Demonstrating strong execution, we maintained a high rate of project deployments in Q2, which included major milestone achievements with many of the world’s largest service providers. Driven by ongoing efficiency gains, profitability improved on a sequential and year ago basis and free cash flow generation was very strong on the back of healthy cash collections from customers. In managed services, we renewed several customer agreements which included an extended multiyear partnership with Globe in the Philippines and an expanded cloud-related engagement with a major Western European operator,” said Tamar Rapaport-Dagim, chief financial officer &amp; chief operating officer of Amdocs Management Limited.</w:t>
      </w:r>
    </w:p>
    <w:p>
      <w:pPr>
        <w:spacing w:after="0" w:line="111" w:lineRule="exact"/>
        <w:rPr>
          <w:sz w:val="20"/>
          <w:szCs w:val="20"/>
          <w:color w:val="auto"/>
        </w:rPr>
      </w:pPr>
    </w:p>
    <w:p>
      <w:pPr>
        <w:ind w:left="640" w:right="679"/>
        <w:spacing w:after="0" w:line="253" w:lineRule="auto"/>
        <w:rPr>
          <w:sz w:val="20"/>
          <w:szCs w:val="20"/>
          <w:color w:val="auto"/>
        </w:rPr>
      </w:pPr>
      <w:r>
        <w:rPr>
          <w:rFonts w:ascii="Arial" w:cs="Arial" w:eastAsia="Arial" w:hAnsi="Arial"/>
          <w:sz w:val="12"/>
          <w:szCs w:val="12"/>
          <w:color w:val="auto"/>
        </w:rPr>
        <w:t>Sheffer concluded, “As said previously, Amdocs and our global customers are not immune to economic and industry cycles, and we continue to closely monitor the operating environment. As a key technology enabler, we believe Amdocs is positioned at the heart of a multi-year, technology-driven investment cycle centered around the major long-term trends of 5G, network automation, digital modernization, and cloud. Moreover, we believe Amdocs’ role as a trusted partner is even more relevant during this period of rapidly shifting market dynamics as we work to help service providers improve consumer and B2B experience, accelerate cost reduction, and increase efficiency. Overall, considering our strong first half performance and the visibility provided by our unique business model, we expect to deliver constant currency</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revenue growth within a tighter range of 7% to 9% in fiscal 2023, while maintaining improved profitability and robust earnings to cash conversion for the full year.”</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Revenue</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(All comparisons are against the prior year period)</w:t>
      </w:r>
    </w:p>
    <w:p>
      <w:pPr>
        <w:spacing w:after="0" w:line="156"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right="520"/>
              <w:spacing w:after="0"/>
              <w:rPr>
                <w:sz w:val="20"/>
                <w:szCs w:val="20"/>
                <w:color w:val="auto"/>
              </w:rPr>
            </w:pPr>
            <w:r>
              <w:rPr>
                <w:rFonts w:ascii="Arial" w:cs="Arial" w:eastAsia="Arial" w:hAnsi="Arial"/>
                <w:sz w:val="10"/>
                <w:szCs w:val="10"/>
                <w:b w:val="1"/>
                <w:bCs w:val="1"/>
                <w:color w:val="auto"/>
                <w:w w:val="92"/>
              </w:rPr>
              <w:t>In millions</w:t>
            </w:r>
          </w:p>
        </w:tc>
      </w:tr>
      <w:tr>
        <w:trPr>
          <w:trHeight w:val="104"/>
        </w:trPr>
        <w:tc>
          <w:tcPr>
            <w:tcW w:w="4360" w:type="dxa"/>
            <w:vAlign w:val="bottom"/>
          </w:tcPr>
          <w:p>
            <w:pPr>
              <w:spacing w:after="0"/>
              <w:rPr>
                <w:sz w:val="9"/>
                <w:szCs w:val="9"/>
                <w:color w:val="auto"/>
              </w:rPr>
            </w:pPr>
          </w:p>
        </w:tc>
        <w:tc>
          <w:tcPr>
            <w:tcW w:w="1520" w:type="dxa"/>
            <w:vAlign w:val="bottom"/>
            <w:gridSpan w:val="5"/>
          </w:tcPr>
          <w:p>
            <w:pPr>
              <w:jc w:val="center"/>
              <w:ind w:right="20"/>
              <w:spacing w:after="0" w:line="104" w:lineRule="exact"/>
              <w:rPr>
                <w:sz w:val="20"/>
                <w:szCs w:val="20"/>
                <w:color w:val="auto"/>
              </w:rPr>
            </w:pPr>
            <w:r>
              <w:rPr>
                <w:rFonts w:ascii="Arial" w:cs="Arial" w:eastAsia="Arial" w:hAnsi="Arial"/>
                <w:sz w:val="10"/>
                <w:szCs w:val="10"/>
                <w:b w:val="1"/>
                <w:bCs w:val="1"/>
                <w:color w:val="auto"/>
                <w:w w:val="91"/>
              </w:rPr>
              <w:t>Three months ended</w:t>
            </w:r>
          </w:p>
        </w:tc>
      </w:tr>
      <w:tr>
        <w:trPr>
          <w:trHeight w:val="119"/>
        </w:trPr>
        <w:tc>
          <w:tcPr>
            <w:tcW w:w="4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4"/>
          </w:tcPr>
          <w:p>
            <w:pPr>
              <w:jc w:val="center"/>
              <w:ind w:right="400"/>
              <w:spacing w:after="0"/>
              <w:rPr>
                <w:sz w:val="20"/>
                <w:szCs w:val="20"/>
                <w:color w:val="auto"/>
              </w:rPr>
            </w:pPr>
            <w:r>
              <w:rPr>
                <w:rFonts w:ascii="Arial" w:cs="Arial" w:eastAsia="Arial" w:hAnsi="Arial"/>
                <w:sz w:val="10"/>
                <w:szCs w:val="10"/>
                <w:b w:val="1"/>
                <w:bCs w:val="1"/>
                <w:color w:val="auto"/>
                <w:w w:val="92"/>
              </w:rPr>
              <w:t>March 31, 2023</w:t>
            </w:r>
          </w:p>
        </w:tc>
      </w:tr>
      <w:tr>
        <w:trPr>
          <w:trHeight w:val="94"/>
        </w:trPr>
        <w:tc>
          <w:tcPr>
            <w:tcW w:w="4360" w:type="dxa"/>
            <w:vAlign w:val="bottom"/>
          </w:tcPr>
          <w:p>
            <w:pPr>
              <w:spacing w:after="0"/>
              <w:rPr>
                <w:sz w:val="8"/>
                <w:szCs w:val="8"/>
                <w:color w:val="auto"/>
              </w:rPr>
            </w:pPr>
          </w:p>
        </w:tc>
        <w:tc>
          <w:tcPr>
            <w:tcW w:w="380" w:type="dxa"/>
            <w:vAlign w:val="bottom"/>
            <w:tcBorders>
              <w:top w:val="single" w:sz="8" w:color="auto"/>
              <w:bottom w:val="single" w:sz="8" w:color="auto"/>
            </w:tcBorders>
          </w:tcPr>
          <w:p>
            <w:pPr>
              <w:ind w:left="60"/>
              <w:spacing w:after="0" w:line="94" w:lineRule="exact"/>
              <w:rPr>
                <w:sz w:val="20"/>
                <w:szCs w:val="20"/>
                <w:color w:val="auto"/>
              </w:rPr>
            </w:pPr>
            <w:r>
              <w:rPr>
                <w:rFonts w:ascii="Arial" w:cs="Arial" w:eastAsia="Arial" w:hAnsi="Arial"/>
                <w:sz w:val="10"/>
                <w:szCs w:val="10"/>
                <w:b w:val="1"/>
                <w:bCs w:val="1"/>
                <w:color w:val="auto"/>
                <w:w w:val="98"/>
              </w:rPr>
              <w:t>Actual</w:t>
            </w:r>
          </w:p>
        </w:tc>
        <w:tc>
          <w:tcPr>
            <w:tcW w:w="1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center"/>
              <w:spacing w:after="0" w:line="94" w:lineRule="exact"/>
              <w:rPr>
                <w:sz w:val="20"/>
                <w:szCs w:val="20"/>
                <w:color w:val="auto"/>
              </w:rPr>
            </w:pPr>
            <w:r>
              <w:rPr>
                <w:rFonts w:ascii="Arial" w:cs="Arial" w:eastAsia="Arial" w:hAnsi="Arial"/>
                <w:sz w:val="10"/>
                <w:szCs w:val="10"/>
                <w:b w:val="1"/>
                <w:bCs w:val="1"/>
                <w:color w:val="auto"/>
                <w:w w:val="92"/>
              </w:rPr>
              <w:t>Guidance</w:t>
            </w:r>
          </w:p>
        </w:tc>
        <w:tc>
          <w:tcPr>
            <w:tcW w:w="20" w:type="dxa"/>
            <w:vAlign w:val="bottom"/>
          </w:tcPr>
          <w:p>
            <w:pPr>
              <w:spacing w:after="0"/>
              <w:rPr>
                <w:sz w:val="8"/>
                <w:szCs w:val="8"/>
                <w:color w:val="auto"/>
              </w:rPr>
            </w:pPr>
          </w:p>
        </w:tc>
      </w:tr>
      <w:tr>
        <w:trPr>
          <w:trHeight w:val="141"/>
        </w:trPr>
        <w:tc>
          <w:tcPr>
            <w:tcW w:w="43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500" w:type="dxa"/>
            <w:vAlign w:val="bottom"/>
            <w:gridSpan w:val="2"/>
            <w:shd w:val="clear" w:color="auto" w:fill="CCEEFF"/>
          </w:tcPr>
          <w:p>
            <w:pPr>
              <w:jc w:val="right"/>
              <w:ind w:right="69"/>
              <w:spacing w:after="0" w:line="141" w:lineRule="exact"/>
              <w:rPr>
                <w:sz w:val="20"/>
                <w:szCs w:val="20"/>
                <w:color w:val="auto"/>
              </w:rPr>
            </w:pPr>
            <w:r>
              <w:rPr>
                <w:rFonts w:ascii="Arial" w:cs="Arial" w:eastAsia="Arial" w:hAnsi="Arial"/>
                <w:sz w:val="13"/>
                <w:szCs w:val="13"/>
                <w:color w:val="auto"/>
                <w:w w:val="82"/>
              </w:rPr>
              <w:t>$ 1,223</w:t>
            </w:r>
          </w:p>
        </w:tc>
        <w:tc>
          <w:tcPr>
            <w:tcW w:w="10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$1,200 - $1,240</w:t>
            </w:r>
          </w:p>
        </w:tc>
        <w:tc>
          <w:tcPr>
            <w:tcW w:w="20" w:type="dxa"/>
            <w:vAlign w:val="bottom"/>
            <w:shd w:val="clear" w:color="auto" w:fill="CCEEFF"/>
          </w:tcPr>
          <w:p>
            <w:pPr>
              <w:spacing w:after="0"/>
              <w:rPr>
                <w:sz w:val="12"/>
                <w:szCs w:val="12"/>
                <w:color w:val="auto"/>
              </w:rPr>
            </w:pPr>
          </w:p>
        </w:tc>
      </w:tr>
      <w:tr>
        <w:trPr>
          <w:trHeight w:val="152"/>
        </w:trPr>
        <w:tc>
          <w:tcPr>
            <w:tcW w:w="4360" w:type="dxa"/>
            <w:vAlign w:val="bottom"/>
          </w:tcPr>
          <w:p>
            <w:pPr>
              <w:spacing w:after="0"/>
              <w:rPr>
                <w:sz w:val="20"/>
                <w:szCs w:val="20"/>
                <w:color w:val="auto"/>
              </w:rPr>
            </w:pPr>
            <w:r>
              <w:rPr>
                <w:rFonts w:ascii="Arial" w:cs="Arial" w:eastAsia="Arial" w:hAnsi="Arial"/>
                <w:sz w:val="13"/>
                <w:szCs w:val="13"/>
                <w:color w:val="auto"/>
              </w:rPr>
              <w:t>Revenue Growth, as reported</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6.8%</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4360" w:type="dxa"/>
            <w:vAlign w:val="bottom"/>
            <w:shd w:val="clear" w:color="auto" w:fill="CCEEFF"/>
          </w:tcPr>
          <w:p>
            <w:pPr>
              <w:spacing w:after="0" w:line="152" w:lineRule="exact"/>
              <w:rPr>
                <w:sz w:val="20"/>
                <w:szCs w:val="20"/>
                <w:color w:val="auto"/>
              </w:rPr>
            </w:pPr>
            <w:r>
              <w:rPr>
                <w:rFonts w:ascii="Arial" w:cs="Arial" w:eastAsia="Arial" w:hAnsi="Arial"/>
                <w:sz w:val="12"/>
                <w:szCs w:val="12"/>
                <w:color w:val="auto"/>
              </w:rPr>
              <w:t xml:space="preserve">Revenue Growth, constant currency </w:t>
            </w:r>
            <w:r>
              <w:rPr>
                <w:rFonts w:ascii="Arial" w:cs="Arial" w:eastAsia="Arial" w:hAnsi="Arial"/>
                <w:sz w:val="17"/>
                <w:szCs w:val="17"/>
                <w:color w:val="auto"/>
                <w:vertAlign w:val="superscript"/>
              </w:rPr>
              <w:t>(2)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387" w:right="1440" w:bottom="1440" w:gutter="0" w:footer="0" w:header="0"/>
        </w:sectPr>
      </w:pPr>
    </w:p>
    <w:bookmarkStart w:id="7" w:name="page8"/>
    <w:bookmarkEnd w:id="7"/>
    <w:p>
      <w:pPr>
        <w:ind w:left="1340" w:right="839" w:hanging="316"/>
        <w:spacing w:after="0" w:line="261" w:lineRule="auto"/>
        <w:tabs>
          <w:tab w:leader="none" w:pos="1340" w:val="left"/>
        </w:tabs>
        <w:numPr>
          <w:ilvl w:val="0"/>
          <w:numId w:val="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43180"/>
                    </a:xfrm>
                    <a:prstGeom prst="rect">
                      <a:avLst/>
                    </a:prstGeom>
                    <a:noFill/>
                  </pic:spPr>
                </pic:pic>
              </a:graphicData>
            </a:graphic>
          </wp:anchor>
        </w:drawing>
        <w:t>Revenue for the second fiscal quarter of 2023 was at the midpoint of Amdocs’ guidance, even after adjusting for a positive impact from foreign currency movements of approximately $3 million compared to our guidance assumptions</w:t>
      </w:r>
    </w:p>
    <w:p>
      <w:pPr>
        <w:spacing w:after="0" w:line="63" w:lineRule="exact"/>
        <w:rPr>
          <w:rFonts w:ascii="Arial" w:cs="Arial" w:eastAsia="Arial" w:hAnsi="Arial"/>
          <w:sz w:val="13"/>
          <w:szCs w:val="13"/>
          <w:color w:val="auto"/>
        </w:rPr>
      </w:pPr>
    </w:p>
    <w:p>
      <w:pPr>
        <w:ind w:left="1340" w:right="699" w:hanging="316"/>
        <w:spacing w:after="0" w:line="261" w:lineRule="auto"/>
        <w:tabs>
          <w:tab w:leader="none" w:pos="1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 for the second fiscal quarter includes a positive impact from foreign currency movements of approximately $7 million relative to the first quarter of fiscal 2023</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Net Income and Earnings Per Share</w:t>
      </w:r>
    </w:p>
    <w:p>
      <w:pPr>
        <w:spacing w:after="0" w:line="160"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3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89"/>
              </w:rPr>
              <w:t>In thousands, expect per</w:t>
            </w:r>
          </w:p>
        </w:tc>
      </w:tr>
      <w:tr>
        <w:trPr>
          <w:trHeight w:val="104"/>
        </w:trPr>
        <w:tc>
          <w:tcPr>
            <w:tcW w:w="3720" w:type="dxa"/>
            <w:vAlign w:val="bottom"/>
          </w:tcPr>
          <w:p>
            <w:pPr>
              <w:ind w:left="2160"/>
              <w:spacing w:after="0" w:line="104" w:lineRule="exact"/>
              <w:rPr>
                <w:sz w:val="20"/>
                <w:szCs w:val="20"/>
                <w:color w:val="auto"/>
              </w:rPr>
            </w:pPr>
            <w:r>
              <w:rPr>
                <w:rFonts w:ascii="Arial" w:cs="Arial" w:eastAsia="Arial" w:hAnsi="Arial"/>
                <w:sz w:val="10"/>
                <w:szCs w:val="10"/>
                <w:b w:val="1"/>
                <w:bCs w:val="1"/>
                <w:color w:val="auto"/>
              </w:rPr>
              <w:t>`</w:t>
            </w: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tcPr>
          <w:p>
            <w:pPr>
              <w:jc w:val="center"/>
              <w:ind w:left="283"/>
              <w:spacing w:after="0" w:line="104" w:lineRule="exact"/>
              <w:rPr>
                <w:sz w:val="20"/>
                <w:szCs w:val="20"/>
                <w:color w:val="auto"/>
              </w:rPr>
            </w:pPr>
            <w:r>
              <w:rPr>
                <w:rFonts w:ascii="Arial" w:cs="Arial" w:eastAsia="Arial" w:hAnsi="Arial"/>
                <w:sz w:val="10"/>
                <w:szCs w:val="10"/>
                <w:b w:val="1"/>
                <w:bCs w:val="1"/>
                <w:color w:val="auto"/>
                <w:w w:val="87"/>
              </w:rPr>
              <w:t>share data</w:t>
            </w: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4"/>
        </w:trPr>
        <w:tc>
          <w:tcPr>
            <w:tcW w:w="3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5"/>
          </w:tcPr>
          <w:p>
            <w:pPr>
              <w:jc w:val="center"/>
              <w:ind w:right="100"/>
              <w:spacing w:after="0" w:line="104" w:lineRule="exact"/>
              <w:rPr>
                <w:sz w:val="20"/>
                <w:szCs w:val="20"/>
                <w:color w:val="auto"/>
              </w:rPr>
            </w:pPr>
            <w:r>
              <w:rPr>
                <w:rFonts w:ascii="Arial" w:cs="Arial" w:eastAsia="Arial" w:hAnsi="Arial"/>
                <w:sz w:val="10"/>
                <w:szCs w:val="10"/>
                <w:b w:val="1"/>
                <w:bCs w:val="1"/>
                <w:color w:val="auto"/>
                <w:w w:val="89"/>
              </w:rPr>
              <w:t>Three months ended</w:t>
            </w:r>
          </w:p>
        </w:tc>
      </w:tr>
      <w:tr>
        <w:trPr>
          <w:trHeight w:val="119"/>
        </w:trPr>
        <w:tc>
          <w:tcPr>
            <w:tcW w:w="3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jc w:val="center"/>
              <w:ind w:left="283"/>
              <w:spacing w:after="0"/>
              <w:rPr>
                <w:sz w:val="20"/>
                <w:szCs w:val="20"/>
                <w:color w:val="auto"/>
              </w:rPr>
            </w:pPr>
            <w:r>
              <w:rPr>
                <w:rFonts w:ascii="Arial" w:cs="Arial" w:eastAsia="Arial" w:hAnsi="Arial"/>
                <w:sz w:val="10"/>
                <w:szCs w:val="10"/>
                <w:b w:val="1"/>
                <w:bCs w:val="1"/>
                <w:color w:val="auto"/>
                <w:w w:val="95"/>
              </w:rPr>
              <w:t>March 31,</w:t>
            </w:r>
          </w:p>
        </w:tc>
        <w:tc>
          <w:tcPr>
            <w:tcW w:w="4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94"/>
        </w:trPr>
        <w:tc>
          <w:tcPr>
            <w:tcW w:w="3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83"/>
              <w:spacing w:after="0" w:line="94" w:lineRule="exact"/>
              <w:rPr>
                <w:sz w:val="20"/>
                <w:szCs w:val="20"/>
                <w:color w:val="auto"/>
              </w:rPr>
            </w:pPr>
            <w:r>
              <w:rPr>
                <w:rFonts w:ascii="Arial" w:cs="Arial" w:eastAsia="Arial" w:hAnsi="Arial"/>
                <w:sz w:val="10"/>
                <w:szCs w:val="10"/>
                <w:b w:val="1"/>
                <w:bCs w:val="1"/>
                <w:color w:val="auto"/>
              </w:rPr>
              <w:t>2023</w:t>
            </w: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9"/>
              <w:spacing w:after="0" w:line="94" w:lineRule="exact"/>
              <w:rPr>
                <w:sz w:val="20"/>
                <w:szCs w:val="20"/>
                <w:color w:val="auto"/>
              </w:rPr>
            </w:pPr>
            <w:r>
              <w:rPr>
                <w:rFonts w:ascii="Arial" w:cs="Arial" w:eastAsia="Arial" w:hAnsi="Arial"/>
                <w:sz w:val="10"/>
                <w:szCs w:val="10"/>
                <w:b w:val="1"/>
                <w:bCs w:val="1"/>
                <w:color w:val="auto"/>
              </w:rPr>
              <w:t>2022</w:t>
            </w:r>
          </w:p>
        </w:tc>
        <w:tc>
          <w:tcPr>
            <w:tcW w:w="20" w:type="dxa"/>
            <w:vAlign w:val="bottom"/>
          </w:tcPr>
          <w:p>
            <w:pPr>
              <w:spacing w:after="0"/>
              <w:rPr>
                <w:sz w:val="8"/>
                <w:szCs w:val="8"/>
                <w:color w:val="auto"/>
              </w:rPr>
            </w:pPr>
          </w:p>
        </w:tc>
      </w:tr>
      <w:tr>
        <w:trPr>
          <w:trHeight w:val="141"/>
        </w:trPr>
        <w:tc>
          <w:tcPr>
            <w:tcW w:w="372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GAAP Measures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52"/>
        </w:trPr>
        <w:tc>
          <w:tcPr>
            <w:tcW w:w="3720" w:type="dxa"/>
            <w:vAlign w:val="bottom"/>
          </w:tcPr>
          <w:p>
            <w:pPr>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85"/>
              </w:rPr>
              <w:t>150,309</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85"/>
              </w:rPr>
              <w:t>158,497</w:t>
            </w:r>
          </w:p>
        </w:tc>
        <w:tc>
          <w:tcPr>
            <w:tcW w:w="20" w:type="dxa"/>
            <w:vAlign w:val="bottom"/>
          </w:tcPr>
          <w:p>
            <w:pPr>
              <w:spacing w:after="0"/>
              <w:rPr>
                <w:sz w:val="13"/>
                <w:szCs w:val="13"/>
                <w:color w:val="auto"/>
              </w:rPr>
            </w:pPr>
          </w:p>
        </w:tc>
      </w:tr>
      <w:tr>
        <w:trPr>
          <w:trHeight w:val="152"/>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Amdocs Limited</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149,603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158,497</w:t>
            </w:r>
          </w:p>
        </w:tc>
        <w:tc>
          <w:tcPr>
            <w:tcW w:w="20" w:type="dxa"/>
            <w:vAlign w:val="bottom"/>
            <w:shd w:val="clear" w:color="auto" w:fill="CCEEFF"/>
          </w:tcPr>
          <w:p>
            <w:pPr>
              <w:spacing w:after="0"/>
              <w:rPr>
                <w:sz w:val="13"/>
                <w:szCs w:val="13"/>
                <w:color w:val="auto"/>
              </w:rPr>
            </w:pPr>
          </w:p>
        </w:tc>
      </w:tr>
      <w:tr>
        <w:trPr>
          <w:trHeight w:val="152"/>
        </w:trPr>
        <w:tc>
          <w:tcPr>
            <w:tcW w:w="372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1.23</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1.28</w:t>
            </w:r>
          </w:p>
        </w:tc>
        <w:tc>
          <w:tcPr>
            <w:tcW w:w="20" w:type="dxa"/>
            <w:vAlign w:val="bottom"/>
          </w:tcPr>
          <w:p>
            <w:pPr>
              <w:spacing w:after="0"/>
              <w:rPr>
                <w:sz w:val="13"/>
                <w:szCs w:val="13"/>
                <w:color w:val="auto"/>
              </w:rPr>
            </w:pPr>
          </w:p>
        </w:tc>
      </w:tr>
      <w:tr>
        <w:trPr>
          <w:trHeight w:val="152"/>
        </w:trPr>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Non-GAAP Measures</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2"/>
        </w:trPr>
        <w:tc>
          <w:tcPr>
            <w:tcW w:w="3720" w:type="dxa"/>
            <w:vAlign w:val="bottom"/>
          </w:tcPr>
          <w:p>
            <w:pPr>
              <w:spacing w:after="0"/>
              <w:rPr>
                <w:sz w:val="20"/>
                <w:szCs w:val="20"/>
                <w:color w:val="auto"/>
              </w:rPr>
            </w:pPr>
            <w:r>
              <w:rPr>
                <w:rFonts w:ascii="Arial" w:cs="Arial" w:eastAsia="Arial" w:hAnsi="Arial"/>
                <w:sz w:val="13"/>
                <w:szCs w:val="13"/>
                <w:color w:val="auto"/>
              </w:rPr>
              <w:t>Non-GAAP Net Income</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85"/>
              </w:rPr>
              <w:t>179,298</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85"/>
              </w:rPr>
              <w:t>190,944</w:t>
            </w:r>
          </w:p>
        </w:tc>
        <w:tc>
          <w:tcPr>
            <w:tcW w:w="20" w:type="dxa"/>
            <w:vAlign w:val="bottom"/>
          </w:tcPr>
          <w:p>
            <w:pPr>
              <w:spacing w:after="0"/>
              <w:rPr>
                <w:sz w:val="13"/>
                <w:szCs w:val="13"/>
                <w:color w:val="auto"/>
              </w:rPr>
            </w:pPr>
          </w:p>
        </w:tc>
      </w:tr>
      <w:tr>
        <w:trPr>
          <w:trHeight w:val="152"/>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Non-GAAP Net Income attributable to Amdocs Limited</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178,592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190,944</w:t>
            </w:r>
          </w:p>
        </w:tc>
        <w:tc>
          <w:tcPr>
            <w:tcW w:w="20" w:type="dxa"/>
            <w:vAlign w:val="bottom"/>
            <w:shd w:val="clear" w:color="auto" w:fill="CCEEFF"/>
          </w:tcPr>
          <w:p>
            <w:pPr>
              <w:spacing w:after="0"/>
              <w:rPr>
                <w:sz w:val="13"/>
                <w:szCs w:val="13"/>
                <w:color w:val="auto"/>
              </w:rPr>
            </w:pPr>
          </w:p>
        </w:tc>
      </w:tr>
      <w:tr>
        <w:trPr>
          <w:trHeight w:val="161"/>
        </w:trPr>
        <w:tc>
          <w:tcPr>
            <w:tcW w:w="3720" w:type="dxa"/>
            <w:vAlign w:val="bottom"/>
          </w:tcPr>
          <w:p>
            <w:pPr>
              <w:spacing w:after="0"/>
              <w:rPr>
                <w:sz w:val="20"/>
                <w:szCs w:val="20"/>
                <w:color w:val="auto"/>
              </w:rPr>
            </w:pPr>
            <w:r>
              <w:rPr>
                <w:rFonts w:ascii="Arial" w:cs="Arial" w:eastAsia="Arial" w:hAnsi="Arial"/>
                <w:sz w:val="13"/>
                <w:szCs w:val="13"/>
                <w:color w:val="auto"/>
              </w:rPr>
              <w:t>Non-GAAP Diluted earnings per share</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1.47</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1.54</w:t>
            </w:r>
          </w:p>
        </w:tc>
        <w:tc>
          <w:tcPr>
            <w:tcW w:w="20" w:type="dxa"/>
            <w:vAlign w:val="bottom"/>
          </w:tcPr>
          <w:p>
            <w:pPr>
              <w:spacing w:after="0"/>
              <w:rPr>
                <w:sz w:val="13"/>
                <w:szCs w:val="13"/>
                <w:color w:val="auto"/>
              </w:rPr>
            </w:pPr>
          </w:p>
        </w:tc>
      </w:tr>
    </w:tbl>
    <w:p>
      <w:pPr>
        <w:spacing w:after="0" w:line="153" w:lineRule="exact"/>
        <w:rPr>
          <w:sz w:val="20"/>
          <w:szCs w:val="20"/>
          <w:color w:val="auto"/>
        </w:rPr>
      </w:pPr>
    </w:p>
    <w:p>
      <w:pPr>
        <w:ind w:left="1340" w:right="879" w:hanging="316"/>
        <w:spacing w:after="0" w:line="252" w:lineRule="auto"/>
        <w:tabs>
          <w:tab w:leader="none" w:pos="1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Non-GAAP net income excludes amortization of purchased intangible assets and other acquisition-related costs, changes in certain acquisition related liabilities measured at fair value, equity-based compensation expenses and other, net of related tax effects, in all the periods presented.</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For further details of the reconciliation of selected financial metrics from GAAP to Non-GAAP, please refer to the tables below.</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Capital Allocation: Returning Cash to Shareholders</w:t>
      </w:r>
    </w:p>
    <w:p>
      <w:pPr>
        <w:spacing w:after="0" w:line="91" w:lineRule="exact"/>
        <w:rPr>
          <w:sz w:val="20"/>
          <w:szCs w:val="20"/>
          <w:color w:val="auto"/>
        </w:rPr>
      </w:pPr>
    </w:p>
    <w:p>
      <w:pPr>
        <w:ind w:left="1340" w:hanging="316"/>
        <w:spacing w:after="0"/>
        <w:tabs>
          <w:tab w:leader="none" w:pos="134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Quarterly Cash Dividend Program: </w:t>
      </w:r>
      <w:r>
        <w:rPr>
          <w:rFonts w:ascii="Arial" w:cs="Arial" w:eastAsia="Arial" w:hAnsi="Arial"/>
          <w:sz w:val="11"/>
          <w:szCs w:val="11"/>
          <w:color w:val="auto"/>
        </w:rPr>
        <w:t>On May 10, 2023, the Board approved the Company’s next quarterly cash dividend payment of</w:t>
      </w:r>
    </w:p>
    <w:p>
      <w:pPr>
        <w:spacing w:after="0" w:line="34" w:lineRule="exact"/>
        <w:rPr>
          <w:rFonts w:ascii="Arial" w:cs="Arial" w:eastAsia="Arial" w:hAnsi="Arial"/>
          <w:sz w:val="11"/>
          <w:szCs w:val="11"/>
          <w:color w:val="auto"/>
        </w:rPr>
      </w:pPr>
    </w:p>
    <w:p>
      <w:pPr>
        <w:ind w:left="1340" w:right="779"/>
        <w:spacing w:after="0" w:line="246" w:lineRule="auto"/>
        <w:rPr>
          <w:rFonts w:ascii="Arial" w:cs="Arial" w:eastAsia="Arial" w:hAnsi="Arial"/>
          <w:sz w:val="11"/>
          <w:szCs w:val="11"/>
          <w:color w:val="auto"/>
        </w:rPr>
      </w:pPr>
      <w:r>
        <w:rPr>
          <w:rFonts w:ascii="Arial" w:cs="Arial" w:eastAsia="Arial" w:hAnsi="Arial"/>
          <w:sz w:val="13"/>
          <w:szCs w:val="13"/>
          <w:color w:val="auto"/>
        </w:rPr>
        <w:t>$0.435 per share and set June 30, 2023 as the record date for determining the shareholders entitled to receive the dividend, which will be payable on July 28, 2023</w:t>
      </w:r>
    </w:p>
    <w:p>
      <w:pPr>
        <w:spacing w:after="0" w:line="73" w:lineRule="exact"/>
        <w:rPr>
          <w:rFonts w:ascii="Arial" w:cs="Arial" w:eastAsia="Arial" w:hAnsi="Arial"/>
          <w:sz w:val="11"/>
          <w:szCs w:val="11"/>
          <w:color w:val="auto"/>
        </w:rPr>
      </w:pPr>
    </w:p>
    <w:p>
      <w:pPr>
        <w:ind w:left="1340" w:hanging="316"/>
        <w:spacing w:after="0"/>
        <w:tabs>
          <w:tab w:leader="none" w:pos="134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Share Repurchase Activity: </w:t>
      </w:r>
      <w:r>
        <w:rPr>
          <w:rFonts w:ascii="Arial" w:cs="Arial" w:eastAsia="Arial" w:hAnsi="Arial"/>
          <w:sz w:val="13"/>
          <w:szCs w:val="13"/>
          <w:color w:val="auto"/>
        </w:rPr>
        <w:t>Repurchased $106 million of ordinary shares during the second quarter of fiscal 2023</w:t>
      </w:r>
    </w:p>
    <w:p>
      <w:pPr>
        <w:sectPr>
          <w:pgSz w:w="11900" w:h="16838" w:orient="portrait"/>
          <w:cols w:equalWidth="0" w:num="1">
            <w:col w:w="9019"/>
          </w:cols>
          <w:pgMar w:left="1440" w:top="387" w:right="1440" w:bottom="1440" w:gutter="0" w:footer="0" w:header="0"/>
        </w:sectPr>
      </w:pPr>
    </w:p>
    <w:bookmarkStart w:id="8" w:name="page9"/>
    <w:bookmarkEnd w:id="8"/>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43180"/>
                    </a:xfrm>
                    <a:prstGeom prst="rect">
                      <a:avLst/>
                    </a:prstGeom>
                    <a:noFill/>
                  </pic:spPr>
                </pic:pic>
              </a:graphicData>
            </a:graphic>
          </wp:anchor>
        </w:drawing>
        <w:t>Twelve-month Backlog</w:t>
      </w:r>
    </w:p>
    <w:p>
      <w:pPr>
        <w:spacing w:after="0" w:line="82" w:lineRule="exact"/>
        <w:rPr>
          <w:sz w:val="20"/>
          <w:szCs w:val="20"/>
          <w:color w:val="auto"/>
        </w:rPr>
      </w:pPr>
    </w:p>
    <w:p>
      <w:pPr>
        <w:jc w:val="both"/>
        <w:ind w:left="640" w:right="939"/>
        <w:spacing w:after="0" w:line="252" w:lineRule="auto"/>
        <w:rPr>
          <w:sz w:val="20"/>
          <w:szCs w:val="20"/>
          <w:color w:val="auto"/>
        </w:rPr>
      </w:pPr>
      <w:r>
        <w:rPr>
          <w:rFonts w:ascii="Arial" w:cs="Arial" w:eastAsia="Arial" w:hAnsi="Arial"/>
          <w:sz w:val="13"/>
          <w:szCs w:val="13"/>
          <w:color w:val="auto"/>
        </w:rPr>
        <w:t>Twelve-month backlog was a record $4.11 billion at the end of the second quarter of fiscal 2023, up approximately 5.7% as compared to last year’s second fiscal quarter. Twelve-month backlog includes anticipated revenue related to contracts, estimated revenue from managed services contracts, letters of intent, maintenance and estimated on-going support activities.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Third Quarter Fiscal 2023 Outlook</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1440" w:type="dxa"/>
            <w:vAlign w:val="bottom"/>
            <w:gridSpan w:val="2"/>
          </w:tcPr>
          <w:p>
            <w:pPr>
              <w:spacing w:after="0"/>
              <w:rPr>
                <w:sz w:val="20"/>
                <w:szCs w:val="20"/>
                <w:color w:val="auto"/>
              </w:rPr>
            </w:pPr>
            <w:r>
              <w:rPr>
                <w:rFonts w:ascii="Arial" w:cs="Arial" w:eastAsia="Arial" w:hAnsi="Arial"/>
                <w:sz w:val="10"/>
                <w:szCs w:val="10"/>
                <w:b w:val="1"/>
                <w:bCs w:val="1"/>
                <w:color w:val="auto"/>
                <w:w w:val="89"/>
              </w:rPr>
              <w:t>In millions, except per share data</w:t>
            </w:r>
          </w:p>
        </w:tc>
      </w:tr>
      <w:tr>
        <w:trPr>
          <w:trHeight w:val="119"/>
        </w:trPr>
        <w:tc>
          <w:tcPr>
            <w:tcW w:w="3820" w:type="dxa"/>
            <w:vAlign w:val="bottom"/>
          </w:tcPr>
          <w:p>
            <w:pPr>
              <w:spacing w:after="0"/>
              <w:rPr>
                <w:sz w:val="10"/>
                <w:szCs w:val="10"/>
                <w:color w:val="auto"/>
              </w:rPr>
            </w:pPr>
          </w:p>
        </w:tc>
        <w:tc>
          <w:tcPr>
            <w:tcW w:w="14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3"/>
              </w:rPr>
              <w:t>Q3 2023</w:t>
            </w:r>
          </w:p>
        </w:tc>
      </w:tr>
      <w:tr>
        <w:trPr>
          <w:trHeight w:val="141"/>
        </w:trPr>
        <w:tc>
          <w:tcPr>
            <w:tcW w:w="38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142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88"/>
              </w:rPr>
              <w:t>$1,215-$1,255</w:t>
            </w:r>
          </w:p>
        </w:tc>
        <w:tc>
          <w:tcPr>
            <w:tcW w:w="20" w:type="dxa"/>
            <w:vAlign w:val="bottom"/>
          </w:tcPr>
          <w:p>
            <w:pPr>
              <w:spacing w:after="0"/>
              <w:rPr>
                <w:sz w:val="12"/>
                <w:szCs w:val="12"/>
                <w:color w:val="auto"/>
              </w:rPr>
            </w:pPr>
          </w:p>
        </w:tc>
      </w:tr>
      <w:tr>
        <w:trPr>
          <w:trHeight w:val="152"/>
        </w:trPr>
        <w:tc>
          <w:tcPr>
            <w:tcW w:w="3820" w:type="dxa"/>
            <w:vAlign w:val="bottom"/>
          </w:tcPr>
          <w:p>
            <w:pPr>
              <w:spacing w:after="0"/>
              <w:rPr>
                <w:sz w:val="20"/>
                <w:szCs w:val="20"/>
                <w:color w:val="auto"/>
              </w:rPr>
            </w:pPr>
            <w:r>
              <w:rPr>
                <w:rFonts w:ascii="Arial" w:cs="Arial" w:eastAsia="Arial" w:hAnsi="Arial"/>
                <w:sz w:val="13"/>
                <w:szCs w:val="13"/>
                <w:color w:val="auto"/>
              </w:rPr>
              <w:t>GAAP diluted EPS</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$1.16-$1.26</w:t>
            </w:r>
          </w:p>
        </w:tc>
        <w:tc>
          <w:tcPr>
            <w:tcW w:w="20" w:type="dxa"/>
            <w:vAlign w:val="bottom"/>
          </w:tcPr>
          <w:p>
            <w:pPr>
              <w:spacing w:after="0"/>
              <w:rPr>
                <w:sz w:val="13"/>
                <w:szCs w:val="13"/>
                <w:color w:val="auto"/>
              </w:rPr>
            </w:pPr>
          </w:p>
        </w:tc>
      </w:tr>
      <w:tr>
        <w:trPr>
          <w:trHeight w:val="152"/>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Non-GAAP diluted EPS</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$1.45-$1.51</w:t>
            </w:r>
          </w:p>
        </w:tc>
        <w:tc>
          <w:tcPr>
            <w:tcW w:w="20" w:type="dxa"/>
            <w:vAlign w:val="bottom"/>
          </w:tcPr>
          <w:p>
            <w:pPr>
              <w:spacing w:after="0"/>
              <w:rPr>
                <w:sz w:val="13"/>
                <w:szCs w:val="13"/>
                <w:color w:val="auto"/>
              </w:rPr>
            </w:pPr>
          </w:p>
        </w:tc>
      </w:tr>
    </w:tbl>
    <w:p>
      <w:pPr>
        <w:spacing w:after="0" w:line="162" w:lineRule="exact"/>
        <w:rPr>
          <w:sz w:val="20"/>
          <w:szCs w:val="20"/>
          <w:color w:val="auto"/>
        </w:rPr>
      </w:pPr>
    </w:p>
    <w:p>
      <w:pPr>
        <w:ind w:left="1340" w:right="999" w:hanging="316"/>
        <w:spacing w:after="0" w:line="261" w:lineRule="auto"/>
        <w:tabs>
          <w:tab w:leader="none" w:pos="1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Third quarter revenue guidance assumes immaterial sequential impact from foreign currency fluctuations as compared to the second quarter of fiscal 2023</w:t>
      </w:r>
    </w:p>
    <w:p>
      <w:pPr>
        <w:spacing w:after="0" w:line="148" w:lineRule="exact"/>
        <w:rPr>
          <w:rFonts w:ascii="Arial" w:cs="Arial" w:eastAsia="Arial" w:hAnsi="Arial"/>
          <w:sz w:val="13"/>
          <w:szCs w:val="13"/>
          <w:color w:val="auto"/>
        </w:rPr>
      </w:pPr>
    </w:p>
    <w:p>
      <w:pPr>
        <w:ind w:left="1340" w:right="919" w:hanging="316"/>
        <w:spacing w:after="0" w:line="283" w:lineRule="auto"/>
        <w:tabs>
          <w:tab w:leader="none" w:pos="1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Third quarter non-GAAP diluted EPS guidance excludes equity-based compensation expense of approximately $0.15-$0.17 per share, amortization of purchased intangible assets and other acquisition-related costs of approximately $0.08 per share, changes in certain acquisitions related liabilities measured at fair value, and other, net of related tax effects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Full Year Fiscal 2023 Outlook</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119"/>
        </w:trPr>
        <w:tc>
          <w:tcPr>
            <w:tcW w:w="2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00" w:type="dxa"/>
            <w:vAlign w:val="bottom"/>
            <w:gridSpan w:val="4"/>
          </w:tcPr>
          <w:p>
            <w:pPr>
              <w:ind w:left="460"/>
              <w:spacing w:after="0"/>
              <w:rPr>
                <w:sz w:val="20"/>
                <w:szCs w:val="20"/>
                <w:color w:val="auto"/>
              </w:rPr>
            </w:pPr>
            <w:r>
              <w:rPr>
                <w:rFonts w:ascii="Arial" w:cs="Arial" w:eastAsia="Arial" w:hAnsi="Arial"/>
                <w:sz w:val="10"/>
                <w:szCs w:val="10"/>
                <w:b w:val="1"/>
                <w:bCs w:val="1"/>
                <w:color w:val="auto"/>
              </w:rPr>
              <w:t>FY 2023, year-over-year growth</w:t>
            </w:r>
          </w:p>
        </w:tc>
      </w:tr>
      <w:tr>
        <w:trPr>
          <w:trHeight w:val="94"/>
        </w:trPr>
        <w:tc>
          <w:tcPr>
            <w:tcW w:w="2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Borders>
              <w:top w:val="single" w:sz="8" w:color="auto"/>
              <w:bottom w:val="single" w:sz="8" w:color="auto"/>
            </w:tcBorders>
          </w:tcPr>
          <w:p>
            <w:pPr>
              <w:spacing w:after="0" w:line="94" w:lineRule="exact"/>
              <w:rPr>
                <w:sz w:val="20"/>
                <w:szCs w:val="20"/>
                <w:color w:val="auto"/>
              </w:rPr>
            </w:pPr>
            <w:r>
              <w:rPr>
                <w:rFonts w:ascii="Arial" w:cs="Arial" w:eastAsia="Arial" w:hAnsi="Arial"/>
                <w:sz w:val="10"/>
                <w:szCs w:val="10"/>
                <w:b w:val="1"/>
                <w:bCs w:val="1"/>
                <w:color w:val="auto"/>
                <w:w w:val="92"/>
              </w:rPr>
              <w:t>Current Guidance</w:t>
            </w:r>
          </w:p>
        </w:tc>
        <w:tc>
          <w:tcPr>
            <w:tcW w:w="660" w:type="dxa"/>
            <w:vAlign w:val="bottom"/>
            <w:tcBorders>
              <w:top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spacing w:after="0" w:line="94" w:lineRule="exact"/>
              <w:rPr>
                <w:sz w:val="20"/>
                <w:szCs w:val="20"/>
                <w:color w:val="auto"/>
              </w:rPr>
            </w:pPr>
            <w:r>
              <w:rPr>
                <w:rFonts w:ascii="Arial" w:cs="Arial" w:eastAsia="Arial" w:hAnsi="Arial"/>
                <w:sz w:val="10"/>
                <w:szCs w:val="10"/>
                <w:b w:val="1"/>
                <w:bCs w:val="1"/>
                <w:color w:val="auto"/>
                <w:w w:val="88"/>
              </w:rPr>
              <w:t>Previous Guidance</w:t>
            </w:r>
          </w:p>
        </w:tc>
        <w:tc>
          <w:tcPr>
            <w:tcW w:w="20" w:type="dxa"/>
            <w:vAlign w:val="bottom"/>
          </w:tcPr>
          <w:p>
            <w:pPr>
              <w:spacing w:after="0"/>
              <w:rPr>
                <w:sz w:val="8"/>
                <w:szCs w:val="8"/>
                <w:color w:val="auto"/>
              </w:rPr>
            </w:pPr>
          </w:p>
        </w:tc>
      </w:tr>
      <w:tr>
        <w:trPr>
          <w:trHeight w:val="141"/>
        </w:trPr>
        <w:tc>
          <w:tcPr>
            <w:tcW w:w="27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 growth, as reported</w:t>
            </w:r>
          </w:p>
        </w:tc>
        <w:tc>
          <w:tcPr>
            <w:tcW w:w="1640" w:type="dxa"/>
            <w:vAlign w:val="bottom"/>
            <w:gridSpan w:val="2"/>
            <w:shd w:val="clear" w:color="auto" w:fill="CCEEFF"/>
          </w:tcPr>
          <w:p>
            <w:pPr>
              <w:jc w:val="center"/>
              <w:ind w:left="777"/>
              <w:spacing w:after="0" w:line="141" w:lineRule="exact"/>
              <w:rPr>
                <w:sz w:val="20"/>
                <w:szCs w:val="20"/>
                <w:color w:val="auto"/>
              </w:rPr>
            </w:pPr>
            <w:r>
              <w:rPr>
                <w:rFonts w:ascii="Arial" w:cs="Arial" w:eastAsia="Arial" w:hAnsi="Arial"/>
                <w:sz w:val="13"/>
                <w:szCs w:val="13"/>
                <w:color w:val="auto"/>
                <w:w w:val="87"/>
              </w:rPr>
              <w:t>6.0%-8.0%</w:t>
            </w:r>
          </w:p>
        </w:tc>
        <w:tc>
          <w:tcPr>
            <w:tcW w:w="6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87"/>
              </w:rPr>
              <w:t>5.0%-9.0%</w:t>
            </w:r>
          </w:p>
        </w:tc>
        <w:tc>
          <w:tcPr>
            <w:tcW w:w="20" w:type="dxa"/>
            <w:vAlign w:val="bottom"/>
          </w:tcPr>
          <w:p>
            <w:pPr>
              <w:spacing w:after="0"/>
              <w:rPr>
                <w:sz w:val="12"/>
                <w:szCs w:val="12"/>
                <w:color w:val="auto"/>
              </w:rPr>
            </w:pPr>
          </w:p>
        </w:tc>
      </w:tr>
      <w:tr>
        <w:trPr>
          <w:trHeight w:val="152"/>
        </w:trPr>
        <w:tc>
          <w:tcPr>
            <w:tcW w:w="2760" w:type="dxa"/>
            <w:vAlign w:val="bottom"/>
          </w:tcPr>
          <w:p>
            <w:pPr>
              <w:spacing w:after="0" w:line="152" w:lineRule="exact"/>
              <w:rPr>
                <w:sz w:val="20"/>
                <w:szCs w:val="20"/>
                <w:color w:val="auto"/>
              </w:rPr>
            </w:pPr>
            <w:r>
              <w:rPr>
                <w:rFonts w:ascii="Arial" w:cs="Arial" w:eastAsia="Arial" w:hAnsi="Arial"/>
                <w:sz w:val="12"/>
                <w:szCs w:val="12"/>
                <w:color w:val="auto"/>
              </w:rPr>
              <w:t>Revenue growth, constant currency</w:t>
            </w:r>
            <w:r>
              <w:rPr>
                <w:rFonts w:ascii="Arial" w:cs="Arial" w:eastAsia="Arial" w:hAnsi="Arial"/>
                <w:sz w:val="17"/>
                <w:szCs w:val="17"/>
                <w:color w:val="auto"/>
                <w:vertAlign w:val="superscript"/>
              </w:rPr>
              <w:t>(2)</w:t>
            </w:r>
          </w:p>
        </w:tc>
        <w:tc>
          <w:tcPr>
            <w:tcW w:w="1640" w:type="dxa"/>
            <w:vAlign w:val="bottom"/>
            <w:gridSpan w:val="2"/>
          </w:tcPr>
          <w:p>
            <w:pPr>
              <w:jc w:val="center"/>
              <w:ind w:left="777"/>
              <w:spacing w:after="0"/>
              <w:rPr>
                <w:sz w:val="20"/>
                <w:szCs w:val="20"/>
                <w:color w:val="auto"/>
              </w:rPr>
            </w:pPr>
            <w:r>
              <w:rPr>
                <w:rFonts w:ascii="Arial" w:cs="Arial" w:eastAsia="Arial" w:hAnsi="Arial"/>
                <w:sz w:val="13"/>
                <w:szCs w:val="13"/>
                <w:color w:val="auto"/>
                <w:w w:val="87"/>
              </w:rPr>
              <w:t>7.0%-9.0%</w:t>
            </w:r>
          </w:p>
        </w:tc>
        <w:tc>
          <w:tcPr>
            <w:tcW w:w="6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0"/>
              </w:rPr>
              <w:t>6.0%-10.0%</w:t>
            </w:r>
          </w:p>
        </w:tc>
        <w:tc>
          <w:tcPr>
            <w:tcW w:w="20" w:type="dxa"/>
            <w:vAlign w:val="bottom"/>
          </w:tcPr>
          <w:p>
            <w:pPr>
              <w:spacing w:after="0"/>
              <w:rPr>
                <w:sz w:val="13"/>
                <w:szCs w:val="13"/>
                <w:color w:val="auto"/>
              </w:rPr>
            </w:pPr>
          </w:p>
        </w:tc>
      </w:tr>
      <w:tr>
        <w:trPr>
          <w:trHeight w:val="152"/>
        </w:trPr>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GAAP diluted EPS growth</w:t>
            </w:r>
          </w:p>
        </w:tc>
        <w:tc>
          <w:tcPr>
            <w:tcW w:w="1640" w:type="dxa"/>
            <w:vAlign w:val="bottom"/>
            <w:gridSpan w:val="2"/>
            <w:shd w:val="clear" w:color="auto" w:fill="CCEEFF"/>
          </w:tcPr>
          <w:p>
            <w:pPr>
              <w:jc w:val="center"/>
              <w:ind w:left="777"/>
              <w:spacing w:after="0"/>
              <w:rPr>
                <w:sz w:val="20"/>
                <w:szCs w:val="20"/>
                <w:color w:val="auto"/>
              </w:rPr>
            </w:pPr>
            <w:r>
              <w:rPr>
                <w:rFonts w:ascii="Arial" w:cs="Arial" w:eastAsia="Arial" w:hAnsi="Arial"/>
                <w:sz w:val="13"/>
                <w:szCs w:val="13"/>
                <w:color w:val="auto"/>
                <w:w w:val="90"/>
              </w:rPr>
              <w:t>3.0%-10.0%</w:t>
            </w: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3.0%-10.0%</w:t>
            </w:r>
          </w:p>
        </w:tc>
        <w:tc>
          <w:tcPr>
            <w:tcW w:w="20" w:type="dxa"/>
            <w:vAlign w:val="bottom"/>
          </w:tcPr>
          <w:p>
            <w:pPr>
              <w:spacing w:after="0"/>
              <w:rPr>
                <w:sz w:val="13"/>
                <w:szCs w:val="13"/>
                <w:color w:val="auto"/>
              </w:rPr>
            </w:pPr>
          </w:p>
        </w:tc>
      </w:tr>
      <w:tr>
        <w:trPr>
          <w:trHeight w:val="161"/>
        </w:trPr>
        <w:tc>
          <w:tcPr>
            <w:tcW w:w="2760" w:type="dxa"/>
            <w:vAlign w:val="bottom"/>
          </w:tcPr>
          <w:p>
            <w:pPr>
              <w:spacing w:after="0"/>
              <w:rPr>
                <w:sz w:val="20"/>
                <w:szCs w:val="20"/>
                <w:color w:val="auto"/>
              </w:rPr>
            </w:pPr>
            <w:r>
              <w:rPr>
                <w:rFonts w:ascii="Arial" w:cs="Arial" w:eastAsia="Arial" w:hAnsi="Arial"/>
                <w:sz w:val="13"/>
                <w:szCs w:val="13"/>
                <w:color w:val="auto"/>
              </w:rPr>
              <w:t>Non-GAAP diluted EPS growth</w:t>
            </w:r>
          </w:p>
        </w:tc>
        <w:tc>
          <w:tcPr>
            <w:tcW w:w="1640" w:type="dxa"/>
            <w:vAlign w:val="bottom"/>
            <w:gridSpan w:val="2"/>
          </w:tcPr>
          <w:p>
            <w:pPr>
              <w:jc w:val="center"/>
              <w:ind w:left="777"/>
              <w:spacing w:after="0"/>
              <w:rPr>
                <w:sz w:val="20"/>
                <w:szCs w:val="20"/>
                <w:color w:val="auto"/>
              </w:rPr>
            </w:pPr>
            <w:r>
              <w:rPr>
                <w:rFonts w:ascii="Arial" w:cs="Arial" w:eastAsia="Arial" w:hAnsi="Arial"/>
                <w:sz w:val="13"/>
                <w:szCs w:val="13"/>
                <w:color w:val="auto"/>
                <w:w w:val="90"/>
              </w:rPr>
              <w:t>9.0%-13.0%</w:t>
            </w:r>
          </w:p>
        </w:tc>
        <w:tc>
          <w:tcPr>
            <w:tcW w:w="6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0"/>
              </w:rPr>
              <w:t>9.0%-13.0%</w:t>
            </w:r>
          </w:p>
        </w:tc>
        <w:tc>
          <w:tcPr>
            <w:tcW w:w="20" w:type="dxa"/>
            <w:vAlign w:val="bottom"/>
          </w:tcPr>
          <w:p>
            <w:pPr>
              <w:spacing w:after="0"/>
              <w:rPr>
                <w:sz w:val="13"/>
                <w:szCs w:val="13"/>
                <w:color w:val="auto"/>
              </w:rPr>
            </w:pPr>
          </w:p>
        </w:tc>
      </w:tr>
    </w:tbl>
    <w:p>
      <w:pPr>
        <w:sectPr>
          <w:pgSz w:w="11900" w:h="16838" w:orient="portrait"/>
          <w:cols w:equalWidth="0" w:num="1">
            <w:col w:w="9019"/>
          </w:cols>
          <w:pgMar w:left="1440" w:top="383"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43180"/>
                    </a:xfrm>
                    <a:prstGeom prst="rect">
                      <a:avLst/>
                    </a:prstGeom>
                    <a:noFill/>
                  </pic:spPr>
                </pic:pic>
              </a:graphicData>
            </a:graphic>
          </wp:anchor>
        </w:drawing>
      </w:r>
    </w:p>
    <w:tbl>
      <w:tblPr>
        <w:tblLayout w:type="fixed"/>
        <w:tblInd w:w="156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3640" w:type="dxa"/>
            <w:vAlign w:val="bottom"/>
            <w:gridSpan w:val="2"/>
          </w:tcPr>
          <w:p>
            <w:pPr>
              <w:ind w:left="2080"/>
              <w:spacing w:after="0"/>
              <w:rPr>
                <w:sz w:val="20"/>
                <w:szCs w:val="20"/>
                <w:color w:val="auto"/>
              </w:rPr>
            </w:pPr>
            <w:r>
              <w:rPr>
                <w:rFonts w:ascii="Arial" w:cs="Arial" w:eastAsia="Arial" w:hAnsi="Arial"/>
                <w:sz w:val="10"/>
                <w:szCs w:val="10"/>
                <w:b w:val="1"/>
                <w:bCs w:val="1"/>
                <w:color w:val="auto"/>
              </w:rPr>
              <w:t>FY 2023, in millions</w:t>
            </w:r>
          </w:p>
        </w:tc>
      </w:tr>
      <w:tr>
        <w:trPr>
          <w:trHeight w:val="119"/>
        </w:trPr>
        <w:tc>
          <w:tcPr>
            <w:tcW w:w="2240" w:type="dxa"/>
            <w:vAlign w:val="bottom"/>
          </w:tcPr>
          <w:p>
            <w:pPr>
              <w:spacing w:after="0"/>
              <w:rPr>
                <w:sz w:val="10"/>
                <w:szCs w:val="10"/>
                <w:color w:val="auto"/>
              </w:rPr>
            </w:pPr>
          </w:p>
        </w:tc>
        <w:tc>
          <w:tcPr>
            <w:tcW w:w="2500" w:type="dxa"/>
            <w:vAlign w:val="bottom"/>
          </w:tcPr>
          <w:p>
            <w:pPr>
              <w:jc w:val="center"/>
              <w:ind w:left="985"/>
              <w:spacing w:after="0"/>
              <w:rPr>
                <w:sz w:val="20"/>
                <w:szCs w:val="20"/>
                <w:color w:val="auto"/>
              </w:rPr>
            </w:pPr>
            <w:r>
              <w:rPr>
                <w:rFonts w:ascii="Arial" w:cs="Arial" w:eastAsia="Arial" w:hAnsi="Arial"/>
                <w:sz w:val="10"/>
                <w:szCs w:val="10"/>
                <w:b w:val="1"/>
                <w:bCs w:val="1"/>
                <w:color w:val="auto"/>
                <w:w w:val="92"/>
              </w:rPr>
              <w:t>Current Guidance</w:t>
            </w:r>
          </w:p>
        </w:tc>
        <w:tc>
          <w:tcPr>
            <w:tcW w:w="1140" w:type="dxa"/>
            <w:vAlign w:val="bottom"/>
          </w:tcPr>
          <w:p>
            <w:pPr>
              <w:jc w:val="center"/>
              <w:ind w:left="263"/>
              <w:spacing w:after="0"/>
              <w:rPr>
                <w:sz w:val="20"/>
                <w:szCs w:val="20"/>
                <w:color w:val="auto"/>
              </w:rPr>
            </w:pPr>
            <w:r>
              <w:rPr>
                <w:rFonts w:ascii="Arial" w:cs="Arial" w:eastAsia="Arial" w:hAnsi="Arial"/>
                <w:sz w:val="10"/>
                <w:szCs w:val="10"/>
                <w:b w:val="1"/>
                <w:bCs w:val="1"/>
                <w:color w:val="auto"/>
                <w:w w:val="90"/>
              </w:rPr>
              <w:t>Previous Guidance</w:t>
            </w:r>
          </w:p>
        </w:tc>
      </w:tr>
      <w:tr>
        <w:trPr>
          <w:trHeight w:val="152"/>
        </w:trPr>
        <w:tc>
          <w:tcPr>
            <w:tcW w:w="2240" w:type="dxa"/>
            <w:vAlign w:val="bottom"/>
            <w:shd w:val="clear" w:color="auto" w:fill="CCEEFF"/>
          </w:tcPr>
          <w:p>
            <w:pPr>
              <w:spacing w:after="0" w:line="152" w:lineRule="exact"/>
              <w:rPr>
                <w:sz w:val="20"/>
                <w:szCs w:val="20"/>
                <w:color w:val="auto"/>
              </w:rPr>
            </w:pPr>
            <w:r>
              <w:rPr>
                <w:rFonts w:ascii="Arial" w:cs="Arial" w:eastAsia="Arial" w:hAnsi="Arial"/>
                <w:sz w:val="12"/>
                <w:szCs w:val="12"/>
                <w:color w:val="auto"/>
              </w:rPr>
              <w:t>Free cash flow</w:t>
            </w:r>
            <w:r>
              <w:rPr>
                <w:rFonts w:ascii="Arial" w:cs="Arial" w:eastAsia="Arial" w:hAnsi="Arial"/>
                <w:sz w:val="17"/>
                <w:szCs w:val="17"/>
                <w:color w:val="auto"/>
                <w:vertAlign w:val="superscript"/>
              </w:rPr>
              <w:t>(1)</w:t>
            </w:r>
          </w:p>
        </w:tc>
        <w:tc>
          <w:tcPr>
            <w:tcW w:w="2500" w:type="dxa"/>
            <w:vAlign w:val="bottom"/>
            <w:shd w:val="clear" w:color="auto" w:fill="CCEEFF"/>
          </w:tcPr>
          <w:p>
            <w:pPr>
              <w:jc w:val="right"/>
              <w:ind w:right="525"/>
              <w:spacing w:after="0"/>
              <w:rPr>
                <w:sz w:val="20"/>
                <w:szCs w:val="20"/>
                <w:color w:val="auto"/>
              </w:rPr>
            </w:pPr>
            <w:r>
              <w:rPr>
                <w:rFonts w:ascii="Arial" w:cs="Arial" w:eastAsia="Arial" w:hAnsi="Arial"/>
                <w:sz w:val="13"/>
                <w:szCs w:val="13"/>
                <w:color w:val="auto"/>
              </w:rPr>
              <w:t>~$700</w:t>
            </w:r>
          </w:p>
        </w:tc>
        <w:tc>
          <w:tcPr>
            <w:tcW w:w="1140" w:type="dxa"/>
            <w:vAlign w:val="bottom"/>
            <w:shd w:val="clear" w:color="auto" w:fill="CCEEFF"/>
          </w:tcPr>
          <w:p>
            <w:pPr>
              <w:jc w:val="right"/>
              <w:ind w:right="183"/>
              <w:spacing w:after="0"/>
              <w:rPr>
                <w:sz w:val="20"/>
                <w:szCs w:val="20"/>
                <w:color w:val="auto"/>
              </w:rPr>
            </w:pPr>
            <w:r>
              <w:rPr>
                <w:rFonts w:ascii="Arial" w:cs="Arial" w:eastAsia="Arial" w:hAnsi="Arial"/>
                <w:sz w:val="13"/>
                <w:szCs w:val="13"/>
                <w:color w:val="auto"/>
              </w:rPr>
              <w:t>~$700</w:t>
            </w:r>
          </w:p>
        </w:tc>
      </w:tr>
    </w:tbl>
    <w:p>
      <w:pPr>
        <w:spacing w:after="0" w:line="162" w:lineRule="exact"/>
        <w:rPr>
          <w:sz w:val="20"/>
          <w:szCs w:val="20"/>
          <w:color w:val="auto"/>
        </w:rPr>
      </w:pPr>
    </w:p>
    <w:p>
      <w:pPr>
        <w:ind w:left="1340" w:right="759" w:hanging="316"/>
        <w:spacing w:after="0" w:line="261" w:lineRule="auto"/>
        <w:tabs>
          <w:tab w:leader="none" w:pos="1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Full year fiscal 2023 revenue guidance incorporates an expected unfavorable impact from foreign currency fluctuations of approximately 1% year-over-year, consistent with previous expectation</w:t>
      </w:r>
    </w:p>
    <w:p>
      <w:pPr>
        <w:spacing w:after="0" w:line="63" w:lineRule="exact"/>
        <w:rPr>
          <w:rFonts w:ascii="Arial" w:cs="Arial" w:eastAsia="Arial" w:hAnsi="Arial"/>
          <w:sz w:val="13"/>
          <w:szCs w:val="13"/>
          <w:color w:val="auto"/>
        </w:rPr>
      </w:pPr>
    </w:p>
    <w:p>
      <w:pPr>
        <w:ind w:left="1340" w:right="699" w:hanging="316"/>
        <w:spacing w:after="0" w:line="320" w:lineRule="auto"/>
        <w:tabs>
          <w:tab w:leader="none" w:pos="1340" w:val="left"/>
        </w:tabs>
        <w:numPr>
          <w:ilvl w:val="0"/>
          <w:numId w:val="7"/>
        </w:numPr>
        <w:rPr>
          <w:rFonts w:ascii="Arial" w:cs="Arial" w:eastAsia="Arial" w:hAnsi="Arial"/>
          <w:sz w:val="11"/>
          <w:szCs w:val="11"/>
          <w:color w:val="auto"/>
        </w:rPr>
      </w:pPr>
      <w:r>
        <w:rPr>
          <w:rFonts w:ascii="Arial" w:cs="Arial" w:eastAsia="Arial" w:hAnsi="Arial"/>
          <w:sz w:val="11"/>
          <w:szCs w:val="11"/>
          <w:color w:val="auto"/>
        </w:rPr>
        <w:t>Non-GAAP diluted earnings per share growth excludes equity-based compensation expense of approximately $0.58-$0.63 per share, amortization of purchased intangible assets and other acquisition-related costs of approximately $0.35 per share, restructuring charges of approximately $0.15 per share, changes in certain acquisitions related liabilities measured at fair value, and other, net of related tax effects</w:t>
      </w:r>
    </w:p>
    <w:p>
      <w:pPr>
        <w:spacing w:after="0" w:line="34" w:lineRule="exact"/>
        <w:rPr>
          <w:rFonts w:ascii="Arial" w:cs="Arial" w:eastAsia="Arial" w:hAnsi="Arial"/>
          <w:sz w:val="11"/>
          <w:szCs w:val="11"/>
          <w:color w:val="auto"/>
        </w:rPr>
      </w:pPr>
    </w:p>
    <w:p>
      <w:pPr>
        <w:ind w:left="1340" w:hanging="316"/>
        <w:spacing w:after="0"/>
        <w:tabs>
          <w:tab w:leader="none" w:pos="1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Non-GAAP effective tax rate is anticipated to be within a range of 13.0% to 17.0% for the full year fiscal 2023</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Free cash flow</w:t>
      </w:r>
      <w:r>
        <w:rPr>
          <w:rFonts w:ascii="Arial" w:cs="Arial" w:eastAsia="Arial" w:hAnsi="Arial"/>
          <w:sz w:val="18"/>
          <w:szCs w:val="18"/>
          <w:color w:val="auto"/>
          <w:vertAlign w:val="superscript"/>
        </w:rPr>
        <w:t>(1)</w:t>
      </w:r>
      <w:r>
        <w:rPr>
          <w:rFonts w:ascii="Arial" w:cs="Arial" w:eastAsia="Arial" w:hAnsi="Arial"/>
          <w:sz w:val="13"/>
          <w:szCs w:val="13"/>
          <w:color w:val="auto"/>
        </w:rPr>
        <w:t xml:space="preserve"> is comprised of cash flow from operations, less net capital expenditures and other</w:t>
      </w:r>
    </w:p>
    <w:p>
      <w:pPr>
        <w:spacing w:after="0" w:line="96" w:lineRule="exact"/>
        <w:rPr>
          <w:sz w:val="20"/>
          <w:szCs w:val="20"/>
          <w:color w:val="auto"/>
        </w:rPr>
      </w:pPr>
    </w:p>
    <w:p>
      <w:pPr>
        <w:ind w:left="640" w:right="699"/>
        <w:spacing w:after="0" w:line="271" w:lineRule="auto"/>
        <w:rPr>
          <w:sz w:val="20"/>
          <w:szCs w:val="20"/>
          <w:color w:val="auto"/>
        </w:rPr>
      </w:pPr>
      <w:r>
        <w:rPr>
          <w:rFonts w:ascii="Arial" w:cs="Arial" w:eastAsia="Arial" w:hAnsi="Arial"/>
          <w:sz w:val="12"/>
          <w:szCs w:val="12"/>
          <w:color w:val="auto"/>
        </w:rPr>
        <w:t>The forward looking statements regarding our third fiscal quarter 2023 and full year fiscal 2023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the current inflationary environment, global or regional events, such as the COVID-19 pandemic and the prevailing level of macro-economic, business and operational uncertainty, which have created, and continues to create, a significant amount of uncertainty, or from current and potential customer consolidation or their other strategic corporate activities.</w:t>
      </w:r>
    </w:p>
    <w:p>
      <w:pPr>
        <w:sectPr>
          <w:pgSz w:w="11900" w:h="16838" w:orient="portrait"/>
          <w:cols w:equalWidth="0" w:num="1">
            <w:col w:w="9019"/>
          </w:cols>
          <w:pgMar w:left="1440" w:top="370" w:right="1440" w:bottom="1440" w:gutter="0" w:footer="0" w:header="0"/>
        </w:sectPr>
      </w:pPr>
    </w:p>
    <w:bookmarkStart w:id="10" w:name="page11"/>
    <w:bookmarkEnd w:id="10"/>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43180"/>
                    </a:xfrm>
                    <a:prstGeom prst="rect">
                      <a:avLst/>
                    </a:prstGeom>
                    <a:noFill/>
                  </pic:spPr>
                </pic:pic>
              </a:graphicData>
            </a:graphic>
          </wp:anchor>
        </w:drawing>
        <w:t>Conference Call and Earnings Webcast Presentation Details</w:t>
      </w:r>
    </w:p>
    <w:p>
      <w:pPr>
        <w:spacing w:after="0" w:line="82" w:lineRule="exact"/>
        <w:rPr>
          <w:sz w:val="20"/>
          <w:szCs w:val="20"/>
          <w:color w:val="auto"/>
        </w:rPr>
      </w:pPr>
    </w:p>
    <w:p>
      <w:pPr>
        <w:ind w:left="640" w:right="919"/>
        <w:spacing w:after="0" w:line="261" w:lineRule="auto"/>
        <w:rPr>
          <w:sz w:val="20"/>
          <w:szCs w:val="20"/>
          <w:color w:val="auto"/>
        </w:rPr>
      </w:pPr>
      <w:r>
        <w:rPr>
          <w:rFonts w:ascii="Arial" w:cs="Arial" w:eastAsia="Arial" w:hAnsi="Arial"/>
          <w:sz w:val="13"/>
          <w:szCs w:val="13"/>
          <w:color w:val="auto"/>
        </w:rPr>
        <w:t>Amdocs will host a conference call and earnings webcast presentation on May 10, 2023 at 5:00 p.m. Eastern Time to discuss the Company’s second quarter of fiscal 2023 results.</w:t>
      </w:r>
    </w:p>
    <w:p>
      <w:pPr>
        <w:spacing w:after="0" w:line="130" w:lineRule="exact"/>
        <w:rPr>
          <w:sz w:val="20"/>
          <w:szCs w:val="20"/>
          <w:color w:val="auto"/>
        </w:rPr>
      </w:pPr>
    </w:p>
    <w:p>
      <w:pPr>
        <w:jc w:val="both"/>
        <w:ind w:left="640" w:right="679"/>
        <w:spacing w:after="0" w:line="252" w:lineRule="auto"/>
        <w:rPr>
          <w:sz w:val="20"/>
          <w:szCs w:val="20"/>
          <w:color w:val="auto"/>
        </w:rPr>
      </w:pPr>
      <w:r>
        <w:rPr>
          <w:rFonts w:ascii="Arial" w:cs="Arial" w:eastAsia="Arial" w:hAnsi="Arial"/>
          <w:sz w:val="13"/>
          <w:szCs w:val="13"/>
          <w:color w:val="auto"/>
        </w:rPr>
        <w:t xml:space="preserve">To participate in the call, please register </w:t>
      </w:r>
      <w:r>
        <w:rPr>
          <w:rFonts w:ascii="Arial" w:cs="Arial" w:eastAsia="Arial" w:hAnsi="Arial"/>
          <w:sz w:val="13"/>
          <w:szCs w:val="13"/>
          <w:u w:val="single" w:color="auto"/>
          <w:color w:val="auto"/>
        </w:rPr>
        <w:t>here</w:t>
      </w:r>
      <w:r>
        <w:rPr>
          <w:rFonts w:ascii="Arial" w:cs="Arial" w:eastAsia="Arial" w:hAnsi="Arial"/>
          <w:sz w:val="13"/>
          <w:szCs w:val="13"/>
          <w:color w:val="auto"/>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Non-GAAP Financial Measures</w:t>
      </w:r>
    </w:p>
    <w:p>
      <w:pPr>
        <w:spacing w:after="0" w:line="82" w:lineRule="exact"/>
        <w:rPr>
          <w:sz w:val="20"/>
          <w:szCs w:val="20"/>
          <w:color w:val="auto"/>
        </w:rPr>
      </w:pPr>
    </w:p>
    <w:p>
      <w:pPr>
        <w:ind w:left="640" w:right="719"/>
        <w:spacing w:after="0" w:line="247" w:lineRule="auto"/>
        <w:rPr>
          <w:sz w:val="20"/>
          <w:szCs w:val="20"/>
          <w:color w:val="auto"/>
        </w:rPr>
      </w:pPr>
      <w:r>
        <w:rPr>
          <w:rFonts w:ascii="Arial" w:cs="Arial" w:eastAsia="Arial" w:hAnsi="Arial"/>
          <w:sz w:val="12"/>
          <w:szCs w:val="12"/>
          <w:color w:val="auto"/>
        </w:rPr>
        <w:t>This release includes non-GAAP diluted earnings per share and other non-GAAP financial measures, including free cash flow and normalized free cash flow, revenue on a constant currency</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w:t>
      </w:r>
    </w:p>
    <w:p>
      <w:pPr>
        <w:spacing w:after="0" w:line="74" w:lineRule="exact"/>
        <w:rPr>
          <w:sz w:val="20"/>
          <w:szCs w:val="20"/>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amortization of purchased intangible assets and other acquisition-related costs;</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certain acquisition-related liabilities measured at fair value;</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restructuring and unusual charges or benefits (such as a gain from divestiture of OpenMarket);</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equity-based compensation expense;</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other; and</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tax effects related to the above.</w:t>
      </w:r>
    </w:p>
    <w:p>
      <w:pPr>
        <w:spacing w:after="0" w:line="154" w:lineRule="exact"/>
        <w:rPr>
          <w:sz w:val="20"/>
          <w:szCs w:val="20"/>
          <w:color w:val="auto"/>
        </w:rPr>
      </w:pPr>
    </w:p>
    <w:p>
      <w:pPr>
        <w:ind w:left="640" w:right="679"/>
        <w:spacing w:after="0" w:line="269" w:lineRule="auto"/>
        <w:rPr>
          <w:sz w:val="20"/>
          <w:szCs w:val="20"/>
          <w:color w:val="auto"/>
        </w:rPr>
      </w:pPr>
      <w:r>
        <w:rPr>
          <w:rFonts w:ascii="Arial" w:cs="Arial" w:eastAsia="Arial" w:hAnsi="Arial"/>
          <w:sz w:val="12"/>
          <w:szCs w:val="12"/>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in relation to the divestiture of OpenMarket),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ectPr>
          <w:pgSz w:w="11900" w:h="16838" w:orient="portrait"/>
          <w:cols w:equalWidth="0" w:num="1">
            <w:col w:w="9019"/>
          </w:cols>
          <w:pgMar w:left="1440" w:top="383" w:right="1440" w:bottom="1440" w:gutter="0" w:footer="0" w:header="0"/>
        </w:sectPr>
      </w:pPr>
    </w:p>
    <w:bookmarkStart w:id="11" w:name="page12"/>
    <w:bookmarkEnd w:id="11"/>
    <w:p>
      <w:pPr>
        <w:ind w:left="640" w:right="719"/>
        <w:spacing w:after="0" w:line="25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believes that the presentation of non-GAAP diluted earnings per share and other financial measures, including free cash flow and normalized free cash flow, revenue on a constant currency</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38" w:lineRule="exact"/>
        <w:rPr>
          <w:sz w:val="20"/>
          <w:szCs w:val="20"/>
          <w:color w:val="auto"/>
        </w:rPr>
      </w:pPr>
    </w:p>
    <w:p>
      <w:pPr>
        <w:ind w:left="640" w:right="679"/>
        <w:spacing w:after="0" w:line="300" w:lineRule="auto"/>
        <w:rPr>
          <w:sz w:val="20"/>
          <w:szCs w:val="20"/>
          <w:color w:val="auto"/>
        </w:rPr>
      </w:pPr>
      <w:r>
        <w:rPr>
          <w:rFonts w:ascii="Arial" w:cs="Arial" w:eastAsia="Arial" w:hAnsi="Arial"/>
          <w:sz w:val="11"/>
          <w:szCs w:val="11"/>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9019"/>
          </w:cols>
          <w:pgMar w:left="1440" w:top="387" w:right="1440" w:bottom="1440" w:gutter="0" w:footer="0" w:header="0"/>
        </w:sectPr>
      </w:pPr>
    </w:p>
    <w:bookmarkStart w:id="12" w:name="page13"/>
    <w:bookmarkEnd w:id="12"/>
    <w:p>
      <w:pPr>
        <w:ind w:left="640" w:right="719"/>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Supporting Resources</w:t>
      </w:r>
    </w:p>
    <w:p>
      <w:pPr>
        <w:spacing w:after="0" w:line="91" w:lineRule="exact"/>
        <w:rPr>
          <w:sz w:val="20"/>
          <w:szCs w:val="20"/>
          <w:color w:val="auto"/>
        </w:rPr>
      </w:pPr>
    </w:p>
    <w:p>
      <w:pPr>
        <w:ind w:left="940" w:hanging="225"/>
        <w:spacing w:after="0"/>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Keep up with Amdocs news by visiting the Company’s </w:t>
      </w:r>
      <w:r>
        <w:rPr>
          <w:rFonts w:ascii="Arial" w:cs="Arial" w:eastAsia="Arial" w:hAnsi="Arial"/>
          <w:sz w:val="13"/>
          <w:szCs w:val="13"/>
          <w:u w:val="single" w:color="auto"/>
          <w:color w:val="auto"/>
        </w:rPr>
        <w:t>website</w:t>
      </w:r>
    </w:p>
    <w:p>
      <w:pPr>
        <w:spacing w:after="0" w:line="87" w:lineRule="exact"/>
        <w:rPr>
          <w:rFonts w:ascii="Arial" w:cs="Arial" w:eastAsia="Arial" w:hAnsi="Arial"/>
          <w:sz w:val="13"/>
          <w:szCs w:val="13"/>
          <w:color w:val="auto"/>
        </w:rPr>
      </w:pPr>
    </w:p>
    <w:p>
      <w:pPr>
        <w:ind w:left="940" w:hanging="225"/>
        <w:spacing w:after="0"/>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Subscribe to Amdocs’ </w:t>
      </w:r>
      <w:r>
        <w:rPr>
          <w:rFonts w:ascii="Arial" w:cs="Arial" w:eastAsia="Arial" w:hAnsi="Arial"/>
          <w:sz w:val="13"/>
          <w:szCs w:val="13"/>
          <w:u w:val="single" w:color="auto"/>
          <w:color w:val="auto"/>
        </w:rPr>
        <w:t>RSS Feed</w:t>
      </w:r>
      <w:r>
        <w:rPr>
          <w:rFonts w:ascii="Arial" w:cs="Arial" w:eastAsia="Arial" w:hAnsi="Arial"/>
          <w:sz w:val="13"/>
          <w:szCs w:val="13"/>
          <w:color w:val="auto"/>
        </w:rPr>
        <w:t xml:space="preserve"> and follow us on </w:t>
      </w:r>
      <w:r>
        <w:rPr>
          <w:rFonts w:ascii="Arial" w:cs="Arial" w:eastAsia="Arial" w:hAnsi="Arial"/>
          <w:sz w:val="13"/>
          <w:szCs w:val="13"/>
          <w:u w:val="single" w:color="auto"/>
          <w:color w:val="auto"/>
        </w:rPr>
        <w:t>Twitter</w:t>
      </w:r>
      <w:r>
        <w:rPr>
          <w:rFonts w:ascii="Arial" w:cs="Arial" w:eastAsia="Arial" w:hAnsi="Arial"/>
          <w:sz w:val="13"/>
          <w:szCs w:val="13"/>
          <w:color w:val="auto"/>
        </w:rPr>
        <w:t xml:space="preserve">, </w:t>
      </w:r>
      <w:r>
        <w:rPr>
          <w:rFonts w:ascii="Arial" w:cs="Arial" w:eastAsia="Arial" w:hAnsi="Arial"/>
          <w:sz w:val="13"/>
          <w:szCs w:val="13"/>
          <w:u w:val="single" w:color="auto"/>
          <w:color w:val="auto"/>
        </w:rPr>
        <w:t>Facebook</w:t>
      </w:r>
      <w:r>
        <w:rPr>
          <w:rFonts w:ascii="Arial" w:cs="Arial" w:eastAsia="Arial" w:hAnsi="Arial"/>
          <w:sz w:val="13"/>
          <w:szCs w:val="13"/>
          <w:color w:val="auto"/>
        </w:rPr>
        <w:t xml:space="preserve">, </w:t>
      </w:r>
      <w:r>
        <w:rPr>
          <w:rFonts w:ascii="Arial" w:cs="Arial" w:eastAsia="Arial" w:hAnsi="Arial"/>
          <w:sz w:val="13"/>
          <w:szCs w:val="13"/>
          <w:u w:val="single" w:color="auto"/>
          <w:color w:val="auto"/>
        </w:rPr>
        <w:t>LinkedIn</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YouTube</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Amdocs</w:t>
      </w:r>
    </w:p>
    <w:p>
      <w:pPr>
        <w:spacing w:after="0" w:line="82" w:lineRule="exact"/>
        <w:rPr>
          <w:sz w:val="20"/>
          <w:szCs w:val="20"/>
          <w:color w:val="auto"/>
        </w:rPr>
      </w:pPr>
    </w:p>
    <w:p>
      <w:pPr>
        <w:ind w:left="640" w:right="759"/>
        <w:spacing w:after="0" w:line="247" w:lineRule="auto"/>
        <w:rPr>
          <w:sz w:val="20"/>
          <w:szCs w:val="20"/>
          <w:color w:val="auto"/>
        </w:rPr>
      </w:pPr>
      <w:r>
        <w:rPr>
          <w:rFonts w:ascii="Arial" w:cs="Arial" w:eastAsia="Arial" w:hAnsi="Arial"/>
          <w:sz w:val="13"/>
          <w:szCs w:val="13"/>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31,000 employees around the globe are here to accelerate service providers’ migration to the cloud, enable them to differentiate in the 5G era, and digitalize and automate their operations. Listed on the NASDAQ Global Select Market, Amdocs had revenue of $4.58 billion in fiscal 2022.</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For more information, visit Amdocs at </w:t>
      </w:r>
      <w:r>
        <w:rPr>
          <w:rFonts w:ascii="Arial" w:cs="Arial" w:eastAsia="Arial" w:hAnsi="Arial"/>
          <w:sz w:val="13"/>
          <w:szCs w:val="13"/>
          <w:u w:val="single" w:color="auto"/>
          <w:color w:val="auto"/>
        </w:rPr>
        <w:t>www.amdocs.com</w:t>
      </w:r>
      <w:r>
        <w:rPr>
          <w:rFonts w:ascii="Arial" w:cs="Arial" w:eastAsia="Arial" w:hAnsi="Arial"/>
          <w:sz w:val="13"/>
          <w:szCs w:val="13"/>
          <w:color w:val="auto"/>
        </w:rPr>
        <w:t>.</w:t>
      </w:r>
    </w:p>
    <w:p>
      <w:pPr>
        <w:sectPr>
          <w:pgSz w:w="11900" w:h="16838" w:orient="portrait"/>
          <w:cols w:equalWidth="0" w:num="1">
            <w:col w:w="9019"/>
          </w:cols>
          <w:pgMar w:left="1440" w:top="387" w:right="1440" w:bottom="1440" w:gutter="0" w:footer="0" w:header="0"/>
        </w:sectPr>
      </w:pPr>
    </w:p>
    <w:bookmarkStart w:id="13" w:name="page14"/>
    <w:bookmarkEnd w:id="13"/>
    <w:p>
      <w:pPr>
        <w:ind w:left="640" w:right="659"/>
        <w:spacing w:after="0" w:line="29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43180"/>
                    </a:xfrm>
                    <a:prstGeom prst="rect">
                      <a:avLst/>
                    </a:prstGeom>
                    <a:noFill/>
                  </pic:spPr>
                </pic:pic>
              </a:graphicData>
            </a:graphic>
          </wp:anchor>
        </w:drawing>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global or regional events such as the COVID-19 pandemic, as well as the current inflationary environment, and the effects of these conditions on the company’s clients’ businesses and levels of business activity,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2022 filed on December 13, 2022 and our Form 6-K furnished for the first quarter of fiscal 2023 on February 13, 2023.</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Contact</w:t>
      </w:r>
      <w:r>
        <w:rPr>
          <w:rFonts w:ascii="Arial" w:cs="Arial" w:eastAsia="Arial" w:hAnsi="Arial"/>
          <w:sz w:val="13"/>
          <w:szCs w:val="13"/>
          <w:color w:val="auto"/>
        </w:rPr>
        <w:t>:</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Matthew Smith</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Head of Investor Relations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Amdocs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314-212-8328</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E-mail: dox_info@amdocs.com</w:t>
      </w:r>
    </w:p>
    <w:p>
      <w:pPr>
        <w:sectPr>
          <w:pgSz w:w="11900" w:h="16838" w:orient="portrait"/>
          <w:cols w:equalWidth="0" w:num="1">
            <w:col w:w="9019"/>
          </w:cols>
          <w:pgMar w:left="1440" w:top="387"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5"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Consolidated Statements of Income</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3"/>
          <w:szCs w:val="13"/>
          <w:b w:val="1"/>
          <w:bCs w:val="1"/>
          <w:color w:val="auto"/>
        </w:rPr>
        <w:t>(In thousands, except per share data)</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6"/>
          </w:tcPr>
          <w:p>
            <w:pPr>
              <w:jc w:val="right"/>
              <w:ind w:right="42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6"/>
          </w:tcPr>
          <w:p>
            <w:pPr>
              <w:jc w:val="right"/>
              <w:ind w:right="440"/>
              <w:spacing w:after="0"/>
              <w:rPr>
                <w:sz w:val="20"/>
                <w:szCs w:val="20"/>
                <w:color w:val="auto"/>
              </w:rPr>
            </w:pPr>
            <w:r>
              <w:rPr>
                <w:rFonts w:ascii="Arial" w:cs="Arial" w:eastAsia="Arial" w:hAnsi="Arial"/>
                <w:sz w:val="10"/>
                <w:szCs w:val="10"/>
                <w:b w:val="1"/>
                <w:bCs w:val="1"/>
                <w:color w:val="auto"/>
              </w:rPr>
              <w:t>Six months ended</w:t>
            </w:r>
          </w:p>
        </w:tc>
      </w:tr>
      <w:tr>
        <w:trPr>
          <w:trHeight w:val="119"/>
        </w:trPr>
        <w:tc>
          <w:tcPr>
            <w:tcW w:w="4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4"/>
          </w:tcPr>
          <w:p>
            <w:pPr>
              <w:jc w:val="right"/>
              <w:spacing w:after="0"/>
              <w:rPr>
                <w:sz w:val="20"/>
                <w:szCs w:val="20"/>
                <w:color w:val="auto"/>
              </w:rPr>
            </w:pPr>
            <w:r>
              <w:rPr>
                <w:rFonts w:ascii="Arial" w:cs="Arial" w:eastAsia="Arial" w:hAnsi="Arial"/>
                <w:sz w:val="10"/>
                <w:szCs w:val="10"/>
                <w:b w:val="1"/>
                <w:bCs w:val="1"/>
                <w:color w:val="auto"/>
              </w:rPr>
              <w:t>March 31,</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6"/>
          </w:tcPr>
          <w:p>
            <w:pPr>
              <w:jc w:val="right"/>
              <w:ind w:right="600"/>
              <w:spacing w:after="0"/>
              <w:rPr>
                <w:sz w:val="20"/>
                <w:szCs w:val="20"/>
                <w:color w:val="auto"/>
              </w:rPr>
            </w:pPr>
            <w:r>
              <w:rPr>
                <w:rFonts w:ascii="Arial" w:cs="Arial" w:eastAsia="Arial" w:hAnsi="Arial"/>
                <w:sz w:val="10"/>
                <w:szCs w:val="10"/>
                <w:b w:val="1"/>
                <w:bCs w:val="1"/>
                <w:color w:val="auto"/>
              </w:rPr>
              <w:t>March 31,</w:t>
            </w:r>
          </w:p>
        </w:tc>
      </w:tr>
      <w:tr>
        <w:trPr>
          <w:trHeight w:val="94"/>
        </w:trPr>
        <w:tc>
          <w:tcPr>
            <w:tcW w:w="448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53"/>
              <w:spacing w:after="0" w:line="94" w:lineRule="exact"/>
              <w:rPr>
                <w:sz w:val="20"/>
                <w:szCs w:val="20"/>
                <w:color w:val="auto"/>
              </w:rPr>
            </w:pPr>
            <w:r>
              <w:rPr>
                <w:rFonts w:ascii="Arial" w:cs="Arial" w:eastAsia="Arial" w:hAnsi="Arial"/>
                <w:sz w:val="10"/>
                <w:szCs w:val="10"/>
                <w:b w:val="1"/>
                <w:bCs w:val="1"/>
                <w:color w:val="auto"/>
              </w:rPr>
              <w:t>2023</w:t>
            </w: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1"/>
              <w:spacing w:after="0" w:line="94" w:lineRule="exact"/>
              <w:rPr>
                <w:sz w:val="20"/>
                <w:szCs w:val="20"/>
                <w:color w:val="auto"/>
              </w:rPr>
            </w:pPr>
            <w:r>
              <w:rPr>
                <w:rFonts w:ascii="Arial" w:cs="Arial" w:eastAsia="Arial" w:hAnsi="Arial"/>
                <w:sz w:val="10"/>
                <w:szCs w:val="10"/>
                <w:b w:val="1"/>
                <w:bCs w:val="1"/>
                <w:color w:val="auto"/>
              </w:rPr>
              <w:t>2022</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53"/>
              <w:spacing w:after="0" w:line="94" w:lineRule="exact"/>
              <w:rPr>
                <w:sz w:val="20"/>
                <w:szCs w:val="20"/>
                <w:color w:val="auto"/>
              </w:rPr>
            </w:pPr>
            <w:r>
              <w:rPr>
                <w:rFonts w:ascii="Arial" w:cs="Arial" w:eastAsia="Arial" w:hAnsi="Arial"/>
                <w:sz w:val="10"/>
                <w:szCs w:val="10"/>
                <w:b w:val="1"/>
                <w:bCs w:val="1"/>
                <w:color w:val="auto"/>
              </w:rPr>
              <w:t>2023</w:t>
            </w: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31"/>
              <w:spacing w:after="0" w:line="94" w:lineRule="exact"/>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8"/>
                <w:szCs w:val="8"/>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640" w:type="dxa"/>
            <w:vAlign w:val="bottom"/>
            <w:gridSpan w:val="3"/>
            <w:shd w:val="clear" w:color="auto" w:fill="CCEEFF"/>
          </w:tcPr>
          <w:p>
            <w:pPr>
              <w:jc w:val="right"/>
              <w:ind w:right="20"/>
              <w:spacing w:after="0" w:line="151" w:lineRule="exact"/>
              <w:rPr>
                <w:sz w:val="20"/>
                <w:szCs w:val="20"/>
                <w:color w:val="auto"/>
              </w:rPr>
            </w:pPr>
            <w:r>
              <w:rPr>
                <w:rFonts w:ascii="Arial" w:cs="Arial" w:eastAsia="Arial" w:hAnsi="Arial"/>
                <w:sz w:val="14"/>
                <w:szCs w:val="14"/>
                <w:color w:val="auto"/>
                <w:w w:val="85"/>
              </w:rPr>
              <w:t>$1,223,304</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w w:val="85"/>
              </w:rPr>
              <w:t>$1,145,271</w:t>
            </w: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1" w:lineRule="exact"/>
              <w:rPr>
                <w:sz w:val="20"/>
                <w:szCs w:val="20"/>
                <w:color w:val="auto"/>
              </w:rPr>
            </w:pPr>
            <w:r>
              <w:rPr>
                <w:rFonts w:ascii="Arial" w:cs="Arial" w:eastAsia="Arial" w:hAnsi="Arial"/>
                <w:sz w:val="14"/>
                <w:szCs w:val="14"/>
                <w:color w:val="auto"/>
                <w:w w:val="99"/>
              </w:rPr>
              <w:t>$2,409,024</w:t>
            </w:r>
          </w:p>
        </w:tc>
        <w:tc>
          <w:tcPr>
            <w:tcW w:w="14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w w:val="96"/>
              </w:rPr>
              <w:t>$2,249,903</w:t>
            </w:r>
          </w:p>
        </w:tc>
      </w:tr>
      <w:tr>
        <w:trPr>
          <w:trHeight w:val="152"/>
        </w:trPr>
        <w:tc>
          <w:tcPr>
            <w:tcW w:w="4480" w:type="dxa"/>
            <w:vAlign w:val="bottom"/>
          </w:tcPr>
          <w:p>
            <w:pPr>
              <w:spacing w:after="0"/>
              <w:rPr>
                <w:sz w:val="20"/>
                <w:szCs w:val="20"/>
                <w:color w:val="auto"/>
              </w:rPr>
            </w:pPr>
            <w:r>
              <w:rPr>
                <w:rFonts w:ascii="Arial" w:cs="Arial" w:eastAsia="Arial" w:hAnsi="Arial"/>
                <w:sz w:val="13"/>
                <w:szCs w:val="13"/>
                <w:color w:val="auto"/>
              </w:rPr>
              <w:t>Operating expenses:</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4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Cost of revenue</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795,485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741,257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1,552,334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3"/>
              </w:rPr>
              <w:t>1,457,975</w:t>
            </w:r>
          </w:p>
        </w:tc>
      </w:tr>
      <w:tr>
        <w:trPr>
          <w:trHeight w:val="161"/>
        </w:trPr>
        <w:tc>
          <w:tcPr>
            <w:tcW w:w="4480" w:type="dxa"/>
            <w:vAlign w:val="bottom"/>
          </w:tcPr>
          <w:p>
            <w:pPr>
              <w:ind w:left="260"/>
              <w:spacing w:after="0"/>
              <w:rPr>
                <w:sz w:val="20"/>
                <w:szCs w:val="20"/>
                <w:color w:val="auto"/>
              </w:rPr>
            </w:pPr>
            <w:r>
              <w:rPr>
                <w:rFonts w:ascii="Arial" w:cs="Arial" w:eastAsia="Arial" w:hAnsi="Arial"/>
                <w:sz w:val="13"/>
                <w:szCs w:val="13"/>
                <w:color w:val="auto"/>
              </w:rPr>
              <w:t>Research and development</w:t>
            </w:r>
          </w:p>
        </w:tc>
        <w:tc>
          <w:tcPr>
            <w:tcW w:w="6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89,274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87,064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185,000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169,009</w:t>
            </w:r>
          </w:p>
        </w:tc>
      </w:tr>
      <w:tr>
        <w:trPr>
          <w:trHeight w:val="161"/>
        </w:trPr>
        <w:tc>
          <w:tcPr>
            <w:tcW w:w="4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Selling, general and administrative</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143,328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134,982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263,058</w:t>
            </w:r>
          </w:p>
        </w:tc>
      </w:tr>
      <w:tr>
        <w:trPr>
          <w:trHeight w:val="161"/>
        </w:trPr>
        <w:tc>
          <w:tcPr>
            <w:tcW w:w="4480" w:type="dxa"/>
            <w:vAlign w:val="bottom"/>
          </w:tcPr>
          <w:p>
            <w:pPr>
              <w:ind w:left="260"/>
              <w:spacing w:after="0"/>
              <w:rPr>
                <w:sz w:val="20"/>
                <w:szCs w:val="20"/>
                <w:color w:val="auto"/>
              </w:rPr>
            </w:pPr>
            <w:r>
              <w:rPr>
                <w:rFonts w:ascii="Arial" w:cs="Arial" w:eastAsia="Arial" w:hAnsi="Arial"/>
                <w:sz w:val="13"/>
                <w:szCs w:val="13"/>
                <w:color w:val="auto"/>
              </w:rPr>
              <w:t>Amortization of purchased intangible assets and other</w:t>
            </w:r>
          </w:p>
        </w:tc>
        <w:tc>
          <w:tcPr>
            <w:tcW w:w="6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12,940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18,317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28,253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36,064</w:t>
            </w:r>
          </w:p>
        </w:tc>
      </w:tr>
      <w:tr>
        <w:trPr>
          <w:trHeight w:val="161"/>
        </w:trPr>
        <w:tc>
          <w:tcPr>
            <w:tcW w:w="4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Restructuring charges</w:t>
            </w: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24,536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0"/>
        </w:trPr>
        <w:tc>
          <w:tcPr>
            <w:tcW w:w="44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1,041,027</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981,620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2,076,673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3"/>
              </w:rPr>
              <w:t>1,926,106</w:t>
            </w:r>
          </w:p>
        </w:tc>
        <w:tc>
          <w:tcPr>
            <w:tcW w:w="100" w:type="dxa"/>
            <w:vAlign w:val="bottom"/>
          </w:tcPr>
          <w:p>
            <w:pPr>
              <w:spacing w:after="0"/>
              <w:rPr>
                <w:sz w:val="13"/>
                <w:szCs w:val="13"/>
                <w:color w:val="auto"/>
              </w:rPr>
            </w:pPr>
          </w:p>
        </w:tc>
      </w:tr>
      <w:tr>
        <w:trPr>
          <w:trHeight w:val="160"/>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182,277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163,651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332,351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323,797</w:t>
            </w:r>
          </w:p>
        </w:tc>
        <w:tc>
          <w:tcPr>
            <w:tcW w:w="100" w:type="dxa"/>
            <w:vAlign w:val="bottom"/>
            <w:shd w:val="clear" w:color="auto" w:fill="CCEEFF"/>
          </w:tcPr>
          <w:p>
            <w:pPr>
              <w:spacing w:after="0"/>
              <w:rPr>
                <w:sz w:val="13"/>
                <w:szCs w:val="13"/>
                <w:color w:val="auto"/>
              </w:rPr>
            </w:pPr>
          </w:p>
        </w:tc>
      </w:tr>
      <w:tr>
        <w:trPr>
          <w:trHeight w:val="161"/>
        </w:trPr>
        <w:tc>
          <w:tcPr>
            <w:tcW w:w="448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6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(2,938)</w:t>
            </w: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(8,619)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(7,901)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(11,181)</w:t>
            </w:r>
          </w:p>
        </w:tc>
      </w:tr>
      <w:tr>
        <w:trPr>
          <w:trHeight w:val="16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Gain from sale of a business</w:t>
            </w: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r>
      <w:tr>
        <w:trPr>
          <w:trHeight w:val="160"/>
        </w:trPr>
        <w:tc>
          <w:tcPr>
            <w:tcW w:w="4480" w:type="dxa"/>
            <w:vAlign w:val="bottom"/>
          </w:tcPr>
          <w:p>
            <w:pPr>
              <w:spacing w:after="0"/>
              <w:rPr>
                <w:sz w:val="20"/>
                <w:szCs w:val="20"/>
                <w:color w:val="auto"/>
              </w:rPr>
            </w:pPr>
            <w:r>
              <w:rPr>
                <w:rFonts w:ascii="Arial" w:cs="Arial" w:eastAsia="Arial" w:hAnsi="Arial"/>
                <w:sz w:val="13"/>
                <w:szCs w:val="13"/>
                <w:color w:val="auto"/>
              </w:rPr>
              <w:t>Income before income taxes</w:t>
            </w:r>
          </w:p>
        </w:tc>
        <w:tc>
          <w:tcPr>
            <w:tcW w:w="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179,339</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155,032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324,450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322,616</w:t>
            </w:r>
          </w:p>
        </w:tc>
        <w:tc>
          <w:tcPr>
            <w:tcW w:w="100" w:type="dxa"/>
            <w:vAlign w:val="bottom"/>
          </w:tcPr>
          <w:p>
            <w:pPr>
              <w:spacing w:after="0"/>
              <w:rPr>
                <w:sz w:val="13"/>
                <w:szCs w:val="13"/>
                <w:color w:val="auto"/>
              </w:rPr>
            </w:pPr>
          </w:p>
        </w:tc>
      </w:tr>
      <w:tr>
        <w:trPr>
          <w:trHeight w:val="160"/>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29,030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44,269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30,517</w:t>
            </w:r>
          </w:p>
        </w:tc>
        <w:tc>
          <w:tcPr>
            <w:tcW w:w="100" w:type="dxa"/>
            <w:vAlign w:val="bottom"/>
            <w:shd w:val="clear" w:color="auto" w:fill="CCEEFF"/>
          </w:tcPr>
          <w:p>
            <w:pPr>
              <w:spacing w:after="0"/>
              <w:rPr>
                <w:sz w:val="13"/>
                <w:szCs w:val="13"/>
                <w:color w:val="auto"/>
              </w:rPr>
            </w:pPr>
          </w:p>
        </w:tc>
      </w:tr>
      <w:tr>
        <w:trPr>
          <w:trHeight w:val="178"/>
        </w:trPr>
        <w:tc>
          <w:tcPr>
            <w:tcW w:w="4480" w:type="dxa"/>
            <w:vAlign w:val="bottom"/>
          </w:tcPr>
          <w:p>
            <w:pPr>
              <w:spacing w:after="0"/>
              <w:rPr>
                <w:sz w:val="20"/>
                <w:szCs w:val="20"/>
                <w:color w:val="auto"/>
              </w:rPr>
            </w:pPr>
            <w:r>
              <w:rPr>
                <w:rFonts w:ascii="Arial" w:cs="Arial" w:eastAsia="Arial" w:hAnsi="Arial"/>
                <w:sz w:val="13"/>
                <w:szCs w:val="13"/>
                <w:color w:val="auto"/>
              </w:rPr>
              <w:t>Net income</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150,309</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158,497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280,181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292,099</w:t>
            </w:r>
          </w:p>
        </w:tc>
        <w:tc>
          <w:tcPr>
            <w:tcW w:w="100" w:type="dxa"/>
            <w:vAlign w:val="bottom"/>
          </w:tcPr>
          <w:p>
            <w:pPr>
              <w:spacing w:after="0"/>
              <w:rPr>
                <w:sz w:val="15"/>
                <w:szCs w:val="15"/>
                <w:color w:val="auto"/>
              </w:rPr>
            </w:pPr>
          </w:p>
        </w:tc>
      </w:tr>
      <w:tr>
        <w:trPr>
          <w:trHeight w:val="16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noncontrolling interests</w:t>
            </w:r>
          </w:p>
        </w:tc>
        <w:tc>
          <w:tcPr>
            <w:tcW w:w="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78"/>
        </w:trPr>
        <w:tc>
          <w:tcPr>
            <w:tcW w:w="4480" w:type="dxa"/>
            <w:vAlign w:val="bottom"/>
          </w:tcPr>
          <w:p>
            <w:pPr>
              <w:spacing w:after="0"/>
              <w:rPr>
                <w:sz w:val="20"/>
                <w:szCs w:val="20"/>
                <w:color w:val="auto"/>
              </w:rPr>
            </w:pPr>
            <w:r>
              <w:rPr>
                <w:rFonts w:ascii="Arial" w:cs="Arial" w:eastAsia="Arial" w:hAnsi="Arial"/>
                <w:sz w:val="13"/>
                <w:szCs w:val="13"/>
                <w:color w:val="auto"/>
              </w:rPr>
              <w:t>Net income attributable to Amdocs Limited</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149,603</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158,497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279,270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292,099</w:t>
            </w:r>
          </w:p>
        </w:tc>
        <w:tc>
          <w:tcPr>
            <w:tcW w:w="100" w:type="dxa"/>
            <w:vAlign w:val="bottom"/>
          </w:tcPr>
          <w:p>
            <w:pPr>
              <w:spacing w:after="0"/>
              <w:rPr>
                <w:sz w:val="15"/>
                <w:szCs w:val="15"/>
                <w:color w:val="auto"/>
              </w:rPr>
            </w:pPr>
          </w:p>
        </w:tc>
      </w:tr>
      <w:tr>
        <w:trPr>
          <w:trHeight w:val="16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 attributable to Amdocs Limited</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4"/>
                <w:szCs w:val="14"/>
                <w:color w:val="auto"/>
              </w:rPr>
            </w:pPr>
          </w:p>
        </w:tc>
      </w:tr>
      <w:tr>
        <w:trPr>
          <w:trHeight w:val="160"/>
        </w:trPr>
        <w:tc>
          <w:tcPr>
            <w:tcW w:w="4480" w:type="dxa"/>
            <w:vAlign w:val="bottom"/>
          </w:tcPr>
          <w:p>
            <w:pPr>
              <w:spacing w:after="0"/>
              <w:rPr>
                <w:sz w:val="20"/>
                <w:szCs w:val="20"/>
                <w:color w:val="auto"/>
              </w:rPr>
            </w:pPr>
            <w:r>
              <w:rPr>
                <w:rFonts w:ascii="Arial" w:cs="Arial" w:eastAsia="Arial" w:hAnsi="Arial"/>
                <w:sz w:val="13"/>
                <w:szCs w:val="13"/>
                <w:color w:val="auto"/>
              </w:rPr>
              <w:t>Diluted earnings per share attributable to Amdocs Limited</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3"/>
                <w:szCs w:val="13"/>
                <w:color w:val="auto"/>
              </w:rPr>
            </w:pPr>
          </w:p>
        </w:tc>
      </w:tr>
      <w:tr>
        <w:trPr>
          <w:trHeight w:val="160"/>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declared per ordinary share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0.435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0.755</w:t>
            </w:r>
          </w:p>
        </w:tc>
        <w:tc>
          <w:tcPr>
            <w:tcW w:w="100" w:type="dxa"/>
            <w:vAlign w:val="bottom"/>
            <w:shd w:val="clear" w:color="auto" w:fill="CCEEFF"/>
          </w:tcPr>
          <w:p>
            <w:pPr>
              <w:spacing w:after="0"/>
              <w:rPr>
                <w:sz w:val="13"/>
                <w:szCs w:val="13"/>
                <w:color w:val="auto"/>
              </w:rPr>
            </w:pPr>
          </w:p>
        </w:tc>
      </w:tr>
      <w:tr>
        <w:trPr>
          <w:trHeight w:val="160"/>
        </w:trPr>
        <w:tc>
          <w:tcPr>
            <w:tcW w:w="4480" w:type="dxa"/>
            <w:vAlign w:val="bottom"/>
          </w:tcPr>
          <w:p>
            <w:pPr>
              <w:spacing w:after="0"/>
              <w:rPr>
                <w:sz w:val="20"/>
                <w:szCs w:val="20"/>
                <w:color w:val="auto"/>
              </w:rPr>
            </w:pPr>
            <w:r>
              <w:rPr>
                <w:rFonts w:ascii="Arial" w:cs="Arial" w:eastAsia="Arial" w:hAnsi="Arial"/>
                <w:sz w:val="13"/>
                <w:szCs w:val="13"/>
                <w:color w:val="auto"/>
              </w:rPr>
              <w:t>Basic weighted average number of shares outstanding</w:t>
            </w:r>
          </w:p>
        </w:tc>
        <w:tc>
          <w:tcPr>
            <w:tcW w:w="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120,516</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122,977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120,585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123,748</w:t>
            </w:r>
          </w:p>
        </w:tc>
        <w:tc>
          <w:tcPr>
            <w:tcW w:w="100" w:type="dxa"/>
            <w:vAlign w:val="bottom"/>
          </w:tcPr>
          <w:p>
            <w:pPr>
              <w:spacing w:after="0"/>
              <w:rPr>
                <w:sz w:val="13"/>
                <w:szCs w:val="13"/>
                <w:color w:val="auto"/>
              </w:rPr>
            </w:pPr>
          </w:p>
        </w:tc>
      </w:tr>
      <w:tr>
        <w:trPr>
          <w:trHeight w:val="160"/>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Diluted weighted average number of shares outstanding</w:t>
            </w: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121,359</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123,821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121,430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124,571</w:t>
            </w:r>
          </w:p>
        </w:tc>
        <w:tc>
          <w:tcPr>
            <w:tcW w:w="10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383"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Selected Financial Metrics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per share data)</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10"/>
          </w:tcPr>
          <w:p>
            <w:pPr>
              <w:jc w:val="right"/>
              <w:ind w:right="46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Pr>
          <w:p>
            <w:pPr>
              <w:spacing w:after="0"/>
              <w:rPr>
                <w:sz w:val="10"/>
                <w:szCs w:val="10"/>
                <w:color w:val="auto"/>
              </w:rPr>
            </w:pPr>
          </w:p>
        </w:tc>
        <w:tc>
          <w:tcPr>
            <w:tcW w:w="1340" w:type="dxa"/>
            <w:vAlign w:val="bottom"/>
            <w:gridSpan w:val="8"/>
          </w:tcPr>
          <w:p>
            <w:pPr>
              <w:jc w:val="center"/>
              <w:ind w:right="180"/>
              <w:spacing w:after="0"/>
              <w:rPr>
                <w:sz w:val="20"/>
                <w:szCs w:val="20"/>
                <w:color w:val="auto"/>
              </w:rPr>
            </w:pPr>
            <w:r>
              <w:rPr>
                <w:rFonts w:ascii="Arial" w:cs="Arial" w:eastAsia="Arial" w:hAnsi="Arial"/>
                <w:sz w:val="10"/>
                <w:szCs w:val="10"/>
                <w:b w:val="1"/>
                <w:bCs w:val="1"/>
                <w:color w:val="auto"/>
                <w:w w:val="88"/>
              </w:rPr>
              <w:t>Six months ended</w:t>
            </w:r>
          </w:p>
        </w:tc>
      </w:tr>
      <w:tr>
        <w:trPr>
          <w:trHeight w:val="119"/>
        </w:trPr>
        <w:tc>
          <w:tcPr>
            <w:tcW w:w="3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gridSpan w:val="6"/>
          </w:tcPr>
          <w:p>
            <w:pPr>
              <w:jc w:val="right"/>
              <w:ind w:right="40"/>
              <w:spacing w:after="0"/>
              <w:rPr>
                <w:sz w:val="20"/>
                <w:szCs w:val="20"/>
                <w:color w:val="auto"/>
              </w:rPr>
            </w:pPr>
            <w:r>
              <w:rPr>
                <w:rFonts w:ascii="Arial" w:cs="Arial" w:eastAsia="Arial" w:hAnsi="Arial"/>
                <w:sz w:val="10"/>
                <w:szCs w:val="10"/>
                <w:b w:val="1"/>
                <w:bCs w:val="1"/>
                <w:color w:val="auto"/>
              </w:rPr>
              <w:t>March 31,</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8"/>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r>
      <w:tr>
        <w:trPr>
          <w:trHeight w:val="94"/>
        </w:trPr>
        <w:tc>
          <w:tcPr>
            <w:tcW w:w="3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gridSpan w:val="2"/>
          </w:tcPr>
          <w:p>
            <w:pPr>
              <w:jc w:val="right"/>
              <w:ind w:right="145"/>
              <w:spacing w:after="0" w:line="94" w:lineRule="exact"/>
              <w:rPr>
                <w:sz w:val="20"/>
                <w:szCs w:val="20"/>
                <w:color w:val="auto"/>
              </w:rPr>
            </w:pPr>
            <w:r>
              <w:rPr>
                <w:rFonts w:ascii="Arial" w:cs="Arial" w:eastAsia="Arial" w:hAnsi="Arial"/>
                <w:sz w:val="10"/>
                <w:szCs w:val="10"/>
                <w:b w:val="1"/>
                <w:bCs w:val="1"/>
                <w:color w:val="auto"/>
              </w:rPr>
              <w:t>2023</w:t>
            </w: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gridSpan w:val="2"/>
          </w:tcPr>
          <w:p>
            <w:pPr>
              <w:jc w:val="right"/>
              <w:ind w:right="160"/>
              <w:spacing w:after="0" w:line="94" w:lineRule="exact"/>
              <w:rPr>
                <w:sz w:val="20"/>
                <w:szCs w:val="20"/>
                <w:color w:val="auto"/>
              </w:rPr>
            </w:pPr>
            <w:r>
              <w:rPr>
                <w:rFonts w:ascii="Arial" w:cs="Arial" w:eastAsia="Arial" w:hAnsi="Arial"/>
                <w:sz w:val="10"/>
                <w:szCs w:val="10"/>
                <w:b w:val="1"/>
                <w:bCs w:val="1"/>
                <w:color w:val="auto"/>
                <w:w w:val="98"/>
              </w:rPr>
              <w:t>2022</w:t>
            </w:r>
          </w:p>
        </w:tc>
        <w:tc>
          <w:tcPr>
            <w:tcW w:w="18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9"/>
              <w:spacing w:after="0" w:line="94" w:lineRule="exact"/>
              <w:rPr>
                <w:sz w:val="20"/>
                <w:szCs w:val="20"/>
                <w:color w:val="auto"/>
              </w:rPr>
            </w:pPr>
            <w:r>
              <w:rPr>
                <w:rFonts w:ascii="Arial" w:cs="Arial" w:eastAsia="Arial" w:hAnsi="Arial"/>
                <w:sz w:val="10"/>
                <w:szCs w:val="10"/>
                <w:b w:val="1"/>
                <w:bCs w:val="1"/>
                <w:color w:val="auto"/>
              </w:rPr>
              <w:t>2023</w:t>
            </w: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94"/>
              <w:spacing w:after="0" w:line="94" w:lineRule="exact"/>
              <w:rPr>
                <w:sz w:val="20"/>
                <w:szCs w:val="20"/>
                <w:color w:val="auto"/>
              </w:rPr>
            </w:pPr>
            <w:r>
              <w:rPr>
                <w:rFonts w:ascii="Arial" w:cs="Arial" w:eastAsia="Arial" w:hAnsi="Arial"/>
                <w:sz w:val="10"/>
                <w:szCs w:val="10"/>
                <w:b w:val="1"/>
                <w:bCs w:val="1"/>
                <w:color w:val="auto"/>
              </w:rPr>
              <w:t>2022</w:t>
            </w:r>
          </w:p>
        </w:tc>
        <w:tc>
          <w:tcPr>
            <w:tcW w:w="60" w:type="dxa"/>
            <w:vAlign w:val="bottom"/>
            <w:tcBorders>
              <w:top w:val="single" w:sz="8" w:color="auto"/>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151"/>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140" w:type="dxa"/>
            <w:vAlign w:val="bottom"/>
            <w:gridSpan w:val="4"/>
            <w:shd w:val="clear" w:color="auto" w:fill="CCEEFF"/>
          </w:tcPr>
          <w:p>
            <w:pPr>
              <w:jc w:val="right"/>
              <w:spacing w:after="0" w:line="151" w:lineRule="exact"/>
              <w:rPr>
                <w:sz w:val="20"/>
                <w:szCs w:val="20"/>
                <w:color w:val="auto"/>
              </w:rPr>
            </w:pPr>
            <w:r>
              <w:rPr>
                <w:rFonts w:ascii="Arial" w:cs="Arial" w:eastAsia="Arial" w:hAnsi="Arial"/>
                <w:sz w:val="14"/>
                <w:szCs w:val="14"/>
                <w:color w:val="auto"/>
              </w:rPr>
              <w:t>$1,223,304</w:t>
            </w:r>
          </w:p>
        </w:tc>
        <w:tc>
          <w:tcPr>
            <w:tcW w:w="160" w:type="dxa"/>
            <w:vAlign w:val="bottom"/>
            <w:shd w:val="clear" w:color="auto" w:fill="CCEEFF"/>
          </w:tcPr>
          <w:p>
            <w:pPr>
              <w:spacing w:after="0"/>
              <w:rPr>
                <w:sz w:val="13"/>
                <w:szCs w:val="13"/>
                <w:color w:val="auto"/>
              </w:rPr>
            </w:pPr>
          </w:p>
        </w:tc>
        <w:tc>
          <w:tcPr>
            <w:tcW w:w="840" w:type="dxa"/>
            <w:vAlign w:val="bottom"/>
            <w:gridSpan w:val="7"/>
            <w:shd w:val="clear" w:color="auto" w:fill="CCEEFF"/>
          </w:tcPr>
          <w:p>
            <w:pPr>
              <w:jc w:val="right"/>
              <w:ind w:right="180"/>
              <w:spacing w:after="0" w:line="151" w:lineRule="exact"/>
              <w:rPr>
                <w:sz w:val="20"/>
                <w:szCs w:val="20"/>
                <w:color w:val="auto"/>
              </w:rPr>
            </w:pPr>
            <w:r>
              <w:rPr>
                <w:rFonts w:ascii="Arial" w:cs="Arial" w:eastAsia="Arial" w:hAnsi="Arial"/>
                <w:sz w:val="14"/>
                <w:szCs w:val="14"/>
                <w:color w:val="auto"/>
                <w:w w:val="91"/>
              </w:rPr>
              <w:t>$1,145,271</w:t>
            </w:r>
          </w:p>
        </w:tc>
        <w:tc>
          <w:tcPr>
            <w:tcW w:w="62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w w:val="85"/>
              </w:rPr>
              <w:t>$2,409,024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5"/>
            <w:shd w:val="clear" w:color="auto" w:fill="CCEEFF"/>
          </w:tcPr>
          <w:p>
            <w:pPr>
              <w:jc w:val="right"/>
              <w:ind w:right="40"/>
              <w:spacing w:after="0" w:line="151" w:lineRule="exact"/>
              <w:rPr>
                <w:sz w:val="20"/>
                <w:szCs w:val="20"/>
                <w:color w:val="auto"/>
              </w:rPr>
            </w:pPr>
            <w:r>
              <w:rPr>
                <w:rFonts w:ascii="Arial" w:cs="Arial" w:eastAsia="Arial" w:hAnsi="Arial"/>
                <w:sz w:val="14"/>
                <w:szCs w:val="14"/>
                <w:color w:val="auto"/>
                <w:w w:val="88"/>
              </w:rPr>
              <w:t>$2,249,903</w:t>
            </w:r>
          </w:p>
        </w:tc>
      </w:tr>
      <w:tr>
        <w:trPr>
          <w:trHeight w:val="161"/>
        </w:trPr>
        <w:tc>
          <w:tcPr>
            <w:tcW w:w="3120" w:type="dxa"/>
            <w:vAlign w:val="bottom"/>
          </w:tcPr>
          <w:p>
            <w:pPr>
              <w:spacing w:after="0"/>
              <w:rPr>
                <w:sz w:val="20"/>
                <w:szCs w:val="20"/>
                <w:color w:val="auto"/>
              </w:rPr>
            </w:pPr>
            <w:r>
              <w:rPr>
                <w:rFonts w:ascii="Arial" w:cs="Arial" w:eastAsia="Arial" w:hAnsi="Arial"/>
                <w:sz w:val="13"/>
                <w:szCs w:val="13"/>
                <w:color w:val="auto"/>
              </w:rPr>
              <w:t>Non-GAAP operating income</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4"/>
              </w:rPr>
              <w:t>217,737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color w:val="auto"/>
                <w:w w:val="86"/>
              </w:rPr>
              <w:t>201,625</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427,275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395,232</w:t>
            </w:r>
          </w:p>
        </w:tc>
      </w:tr>
      <w:tr>
        <w:trPr>
          <w:trHeight w:val="161"/>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Non-GAAP net income</w:t>
            </w: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4"/>
              </w:rPr>
              <w:t>179,298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w w:val="86"/>
              </w:rPr>
              <w:t>190,944</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355,840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341,079</w:t>
            </w:r>
          </w:p>
        </w:tc>
      </w:tr>
      <w:tr>
        <w:trPr>
          <w:trHeight w:val="161"/>
        </w:trPr>
        <w:tc>
          <w:tcPr>
            <w:tcW w:w="3120" w:type="dxa"/>
            <w:vAlign w:val="bottom"/>
          </w:tcPr>
          <w:p>
            <w:pPr>
              <w:spacing w:after="0"/>
              <w:rPr>
                <w:sz w:val="20"/>
                <w:szCs w:val="20"/>
                <w:color w:val="auto"/>
              </w:rPr>
            </w:pPr>
            <w:r>
              <w:rPr>
                <w:rFonts w:ascii="Arial" w:cs="Arial" w:eastAsia="Arial" w:hAnsi="Arial"/>
                <w:sz w:val="13"/>
                <w:szCs w:val="13"/>
                <w:color w:val="auto"/>
                <w:w w:val="99"/>
              </w:rPr>
              <w:t>Non-GAAP net income attributable to Amdocs Limited</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4"/>
              </w:rPr>
              <w:t>178,592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color w:val="auto"/>
                <w:w w:val="86"/>
              </w:rPr>
              <w:t>190,944</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354,929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341,079</w:t>
            </w:r>
          </w:p>
        </w:tc>
      </w:tr>
      <w:tr>
        <w:trPr>
          <w:trHeight w:val="161"/>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Non-GAAP diluted earnings per share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1.54</w:t>
            </w:r>
          </w:p>
        </w:tc>
        <w:tc>
          <w:tcPr>
            <w:tcW w:w="140" w:type="dxa"/>
            <w:vAlign w:val="bottom"/>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2.74</w:t>
            </w:r>
          </w:p>
        </w:tc>
      </w:tr>
      <w:tr>
        <w:trPr>
          <w:trHeight w:val="176"/>
        </w:trPr>
        <w:tc>
          <w:tcPr>
            <w:tcW w:w="3120" w:type="dxa"/>
            <w:vAlign w:val="bottom"/>
          </w:tcPr>
          <w:p>
            <w:pPr>
              <w:spacing w:after="0"/>
              <w:rPr>
                <w:sz w:val="20"/>
                <w:szCs w:val="20"/>
                <w:color w:val="auto"/>
              </w:rPr>
            </w:pPr>
            <w:r>
              <w:rPr>
                <w:rFonts w:ascii="Arial" w:cs="Arial" w:eastAsia="Arial" w:hAnsi="Arial"/>
                <w:sz w:val="13"/>
                <w:szCs w:val="13"/>
                <w:color w:val="auto"/>
                <w:w w:val="96"/>
              </w:rPr>
              <w:t>Diluted weighted average number of shares outstanding</w:t>
            </w: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4"/>
              </w:rPr>
              <w:t>121,359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color w:val="auto"/>
                <w:w w:val="86"/>
              </w:rPr>
              <w:t>123,821</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121,430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124,571</w:t>
            </w:r>
          </w:p>
        </w:tc>
      </w:tr>
      <w:tr>
        <w:trPr>
          <w:trHeight w:val="427"/>
        </w:trPr>
        <w:tc>
          <w:tcPr>
            <w:tcW w:w="3120" w:type="dxa"/>
            <w:vAlign w:val="bottom"/>
          </w:tcPr>
          <w:p>
            <w:pPr>
              <w:spacing w:after="0"/>
              <w:rPr>
                <w:sz w:val="24"/>
                <w:szCs w:val="24"/>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Free Cash Flows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5"/>
        </w:trPr>
        <w:tc>
          <w:tcPr>
            <w:tcW w:w="3120" w:type="dxa"/>
            <w:vAlign w:val="bottom"/>
          </w:tcPr>
          <w:p>
            <w:pPr>
              <w:spacing w:after="0"/>
              <w:rPr>
                <w:sz w:val="14"/>
                <w:szCs w:val="14"/>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(In thousands)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0"/>
        </w:trPr>
        <w:tc>
          <w:tcPr>
            <w:tcW w:w="3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9"/>
          </w:tcPr>
          <w:p>
            <w:pPr>
              <w:jc w:val="right"/>
              <w:ind w:right="16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Pr>
          <w:p>
            <w:pPr>
              <w:spacing w:after="0"/>
              <w:rPr>
                <w:sz w:val="22"/>
                <w:szCs w:val="22"/>
                <w:color w:val="auto"/>
              </w:rPr>
            </w:pPr>
          </w:p>
        </w:tc>
        <w:tc>
          <w:tcPr>
            <w:tcW w:w="1340" w:type="dxa"/>
            <w:vAlign w:val="bottom"/>
            <w:gridSpan w:val="8"/>
          </w:tcPr>
          <w:p>
            <w:pPr>
              <w:jc w:val="center"/>
              <w:ind w:right="100"/>
              <w:spacing w:after="0"/>
              <w:rPr>
                <w:sz w:val="20"/>
                <w:szCs w:val="20"/>
                <w:color w:val="auto"/>
              </w:rPr>
            </w:pPr>
            <w:r>
              <w:rPr>
                <w:rFonts w:ascii="Arial" w:cs="Arial" w:eastAsia="Arial" w:hAnsi="Arial"/>
                <w:sz w:val="10"/>
                <w:szCs w:val="10"/>
                <w:b w:val="1"/>
                <w:bCs w:val="1"/>
                <w:color w:val="auto"/>
                <w:w w:val="88"/>
              </w:rPr>
              <w:t>Six months ended</w:t>
            </w:r>
          </w:p>
        </w:tc>
      </w:tr>
      <w:tr>
        <w:trPr>
          <w:trHeight w:val="119"/>
        </w:trPr>
        <w:tc>
          <w:tcPr>
            <w:tcW w:w="3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7"/>
          </w:tcPr>
          <w:p>
            <w:pPr>
              <w:jc w:val="right"/>
              <w:ind w:right="380"/>
              <w:spacing w:after="0"/>
              <w:rPr>
                <w:sz w:val="20"/>
                <w:szCs w:val="20"/>
                <w:color w:val="auto"/>
              </w:rPr>
            </w:pPr>
            <w:r>
              <w:rPr>
                <w:rFonts w:ascii="Arial" w:cs="Arial" w:eastAsia="Arial" w:hAnsi="Arial"/>
                <w:sz w:val="10"/>
                <w:szCs w:val="10"/>
                <w:b w:val="1"/>
                <w:bCs w:val="1"/>
                <w:color w:val="auto"/>
                <w:w w:val="95"/>
              </w:rPr>
              <w:t>March 31,</w:t>
            </w:r>
          </w:p>
        </w:tc>
        <w:tc>
          <w:tcPr>
            <w:tcW w:w="140" w:type="dxa"/>
            <w:vAlign w:val="bottom"/>
          </w:tcPr>
          <w:p>
            <w:pPr>
              <w:spacing w:after="0"/>
              <w:rPr>
                <w:sz w:val="10"/>
                <w:szCs w:val="10"/>
                <w:color w:val="auto"/>
              </w:rPr>
            </w:pPr>
          </w:p>
        </w:tc>
        <w:tc>
          <w:tcPr>
            <w:tcW w:w="1340" w:type="dxa"/>
            <w:vAlign w:val="bottom"/>
            <w:gridSpan w:val="8"/>
          </w:tcPr>
          <w:p>
            <w:pPr>
              <w:jc w:val="center"/>
              <w:ind w:right="100"/>
              <w:spacing w:after="0"/>
              <w:rPr>
                <w:sz w:val="20"/>
                <w:szCs w:val="20"/>
                <w:color w:val="auto"/>
              </w:rPr>
            </w:pPr>
            <w:r>
              <w:rPr>
                <w:rFonts w:ascii="Arial" w:cs="Arial" w:eastAsia="Arial" w:hAnsi="Arial"/>
                <w:sz w:val="10"/>
                <w:szCs w:val="10"/>
                <w:b w:val="1"/>
                <w:bCs w:val="1"/>
                <w:color w:val="auto"/>
                <w:w w:val="95"/>
              </w:rPr>
              <w:t>March 31,</w:t>
            </w:r>
          </w:p>
        </w:tc>
      </w:tr>
      <w:tr>
        <w:trPr>
          <w:trHeight w:val="94"/>
        </w:trPr>
        <w:tc>
          <w:tcPr>
            <w:tcW w:w="3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top w:val="single" w:sz="8" w:color="auto"/>
              <w:bottom w:val="single" w:sz="8" w:color="auto"/>
            </w:tcBorders>
            <w:gridSpan w:val="2"/>
          </w:tcPr>
          <w:p>
            <w:pPr>
              <w:jc w:val="right"/>
              <w:spacing w:after="0" w:line="94" w:lineRule="exact"/>
              <w:rPr>
                <w:sz w:val="20"/>
                <w:szCs w:val="20"/>
                <w:color w:val="auto"/>
              </w:rPr>
            </w:pPr>
            <w:r>
              <w:rPr>
                <w:rFonts w:ascii="Arial" w:cs="Arial" w:eastAsia="Arial" w:hAnsi="Arial"/>
                <w:sz w:val="10"/>
                <w:szCs w:val="10"/>
                <w:b w:val="1"/>
                <w:bCs w:val="1"/>
                <w:color w:val="auto"/>
              </w:rPr>
              <w:t>2023</w:t>
            </w:r>
          </w:p>
        </w:tc>
        <w:tc>
          <w:tcPr>
            <w:tcW w:w="2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bottom w:val="single" w:sz="8" w:color="auto"/>
            </w:tcBorders>
            <w:gridSpan w:val="2"/>
          </w:tcPr>
          <w:p>
            <w:pPr>
              <w:jc w:val="right"/>
              <w:ind w:right="160"/>
              <w:spacing w:after="0" w:line="94" w:lineRule="exact"/>
              <w:rPr>
                <w:sz w:val="20"/>
                <w:szCs w:val="20"/>
                <w:color w:val="auto"/>
              </w:rPr>
            </w:pPr>
            <w:r>
              <w:rPr>
                <w:rFonts w:ascii="Arial" w:cs="Arial" w:eastAsia="Arial" w:hAnsi="Arial"/>
                <w:sz w:val="10"/>
                <w:szCs w:val="10"/>
                <w:b w:val="1"/>
                <w:bCs w:val="1"/>
                <w:color w:val="auto"/>
              </w:rPr>
              <w:t>2022</w:t>
            </w:r>
          </w:p>
        </w:tc>
        <w:tc>
          <w:tcPr>
            <w:tcW w:w="14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59"/>
              <w:spacing w:after="0" w:line="94" w:lineRule="exact"/>
              <w:rPr>
                <w:sz w:val="20"/>
                <w:szCs w:val="20"/>
                <w:color w:val="auto"/>
              </w:rPr>
            </w:pPr>
            <w:r>
              <w:rPr>
                <w:rFonts w:ascii="Arial" w:cs="Arial" w:eastAsia="Arial" w:hAnsi="Arial"/>
                <w:sz w:val="10"/>
                <w:szCs w:val="10"/>
                <w:b w:val="1"/>
                <w:bCs w:val="1"/>
                <w:color w:val="auto"/>
              </w:rPr>
              <w:t>2023</w:t>
            </w:r>
          </w:p>
        </w:tc>
        <w:tc>
          <w:tcPr>
            <w:tcW w:w="4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14"/>
              <w:spacing w:after="0" w:line="94" w:lineRule="exact"/>
              <w:rPr>
                <w:sz w:val="20"/>
                <w:szCs w:val="20"/>
                <w:color w:val="auto"/>
              </w:rPr>
            </w:pPr>
            <w:r>
              <w:rPr>
                <w:rFonts w:ascii="Arial" w:cs="Arial" w:eastAsia="Arial" w:hAnsi="Arial"/>
                <w:sz w:val="10"/>
                <w:szCs w:val="10"/>
                <w:b w:val="1"/>
                <w:bCs w:val="1"/>
                <w:color w:val="auto"/>
              </w:rPr>
              <w:t>2022</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1"/>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6"/>
            <w:shd w:val="clear" w:color="auto" w:fill="CCEEFF"/>
          </w:tcPr>
          <w:p>
            <w:pPr>
              <w:jc w:val="right"/>
              <w:spacing w:after="0" w:line="151" w:lineRule="exact"/>
              <w:rPr>
                <w:sz w:val="20"/>
                <w:szCs w:val="20"/>
                <w:color w:val="auto"/>
              </w:rPr>
            </w:pPr>
            <w:r>
              <w:rPr>
                <w:rFonts w:ascii="Arial" w:cs="Arial" w:eastAsia="Arial" w:hAnsi="Arial"/>
                <w:sz w:val="14"/>
                <w:szCs w:val="14"/>
                <w:color w:val="auto"/>
              </w:rPr>
              <w:t>$294,476</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line="151" w:lineRule="exact"/>
              <w:rPr>
                <w:sz w:val="20"/>
                <w:szCs w:val="20"/>
                <w:color w:val="auto"/>
              </w:rPr>
            </w:pPr>
            <w:r>
              <w:rPr>
                <w:rFonts w:ascii="Arial" w:cs="Arial" w:eastAsia="Arial" w:hAnsi="Arial"/>
                <w:sz w:val="14"/>
                <w:szCs w:val="14"/>
                <w:color w:val="auto"/>
              </w:rPr>
              <w:t>$168,856</w:t>
            </w:r>
          </w:p>
        </w:tc>
        <w:tc>
          <w:tcPr>
            <w:tcW w:w="1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w w:val="85"/>
              </w:rPr>
              <w:t>$377,702</w:t>
            </w:r>
          </w:p>
        </w:tc>
        <w:tc>
          <w:tcPr>
            <w:tcW w:w="1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1" w:lineRule="exact"/>
              <w:rPr>
                <w:sz w:val="20"/>
                <w:szCs w:val="20"/>
                <w:color w:val="auto"/>
              </w:rPr>
            </w:pPr>
            <w:r>
              <w:rPr>
                <w:rFonts w:ascii="Arial" w:cs="Arial" w:eastAsia="Arial" w:hAnsi="Arial"/>
                <w:sz w:val="14"/>
                <w:szCs w:val="14"/>
                <w:color w:val="auto"/>
                <w:w w:val="90"/>
              </w:rPr>
              <w:t>372,974</w:t>
            </w:r>
          </w:p>
        </w:tc>
        <w:tc>
          <w:tcPr>
            <w:tcW w:w="40" w:type="dxa"/>
            <w:vAlign w:val="bottom"/>
            <w:shd w:val="clear" w:color="auto" w:fill="CCEEFF"/>
          </w:tcPr>
          <w:p>
            <w:pPr>
              <w:spacing w:after="0"/>
              <w:rPr>
                <w:sz w:val="13"/>
                <w:szCs w:val="13"/>
                <w:color w:val="auto"/>
              </w:rPr>
            </w:pPr>
          </w:p>
        </w:tc>
      </w:tr>
      <w:tr>
        <w:trPr>
          <w:trHeight w:val="161"/>
        </w:trPr>
        <w:tc>
          <w:tcPr>
            <w:tcW w:w="3120" w:type="dxa"/>
            <w:vAlign w:val="bottom"/>
          </w:tcPr>
          <w:p>
            <w:pPr>
              <w:spacing w:after="0"/>
              <w:rPr>
                <w:sz w:val="20"/>
                <w:szCs w:val="20"/>
                <w:color w:val="auto"/>
              </w:rPr>
            </w:pPr>
            <w:r>
              <w:rPr>
                <w:rFonts w:ascii="Arial" w:cs="Arial" w:eastAsia="Arial" w:hAnsi="Arial"/>
                <w:sz w:val="13"/>
                <w:szCs w:val="13"/>
                <w:color w:val="auto"/>
              </w:rPr>
              <w:t>Purchases of property and equipment, net (a)</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7"/>
          </w:tcPr>
          <w:p>
            <w:pPr>
              <w:jc w:val="right"/>
              <w:spacing w:after="0"/>
              <w:rPr>
                <w:sz w:val="20"/>
                <w:szCs w:val="20"/>
                <w:color w:val="auto"/>
              </w:rPr>
            </w:pPr>
            <w:r>
              <w:rPr>
                <w:rFonts w:ascii="Arial" w:cs="Arial" w:eastAsia="Arial" w:hAnsi="Arial"/>
                <w:sz w:val="14"/>
                <w:szCs w:val="14"/>
                <w:color w:val="auto"/>
              </w:rPr>
              <w:t>(35,119)</w:t>
            </w:r>
          </w:p>
        </w:tc>
        <w:tc>
          <w:tcPr>
            <w:tcW w:w="780" w:type="dxa"/>
            <w:vAlign w:val="bottom"/>
            <w:gridSpan w:val="4"/>
          </w:tcPr>
          <w:p>
            <w:pPr>
              <w:jc w:val="right"/>
              <w:ind w:right="39"/>
              <w:spacing w:after="0"/>
              <w:rPr>
                <w:sz w:val="20"/>
                <w:szCs w:val="20"/>
                <w:color w:val="auto"/>
              </w:rPr>
            </w:pPr>
            <w:r>
              <w:rPr>
                <w:rFonts w:ascii="Arial" w:cs="Arial" w:eastAsia="Arial" w:hAnsi="Arial"/>
                <w:sz w:val="14"/>
                <w:szCs w:val="14"/>
                <w:color w:val="auto"/>
              </w:rPr>
              <w:t>(47,271)</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(68,822)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w w:val="86"/>
              </w:rPr>
              <w:t>(104,496)</w:t>
            </w:r>
          </w:p>
        </w:tc>
      </w:tr>
      <w:tr>
        <w:trPr>
          <w:trHeight w:val="160"/>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Free Cash Flow</w:t>
            </w: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w w:val="88"/>
              </w:rPr>
              <w:t>$259,357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2"/>
              </w:rPr>
              <w:t>$121,585</w:t>
            </w:r>
          </w:p>
        </w:tc>
        <w:tc>
          <w:tcPr>
            <w:tcW w:w="140" w:type="dxa"/>
            <w:vAlign w:val="bottom"/>
            <w:shd w:val="clear" w:color="auto" w:fill="CCEEFF"/>
          </w:tcPr>
          <w:p>
            <w:pPr>
              <w:spacing w:after="0"/>
              <w:rPr>
                <w:sz w:val="13"/>
                <w:szCs w:val="13"/>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85"/>
              </w:rPr>
              <w:t>$308,880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268,478</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143" w:lineRule="exact"/>
        <w:rPr>
          <w:sz w:val="20"/>
          <w:szCs w:val="20"/>
          <w:color w:val="auto"/>
        </w:rPr>
      </w:pPr>
    </w:p>
    <w:p>
      <w:pPr>
        <w:ind w:left="640" w:right="1019"/>
        <w:spacing w:after="0" w:line="220" w:lineRule="auto"/>
        <w:rPr>
          <w:sz w:val="20"/>
          <w:szCs w:val="20"/>
          <w:color w:val="auto"/>
        </w:rPr>
      </w:pPr>
      <w:r>
        <w:rPr>
          <w:rFonts w:ascii="Arial" w:cs="Arial" w:eastAsia="Arial" w:hAnsi="Arial"/>
          <w:sz w:val="13"/>
          <w:szCs w:val="13"/>
          <w:color w:val="auto"/>
        </w:rPr>
        <w:t xml:space="preserve">Normalized Free Cash Flow </w:t>
      </w:r>
      <w:r>
        <w:rPr>
          <w:rFonts w:ascii="Arial" w:cs="Arial" w:eastAsia="Arial" w:hAnsi="Arial"/>
          <w:sz w:val="18"/>
          <w:szCs w:val="18"/>
          <w:color w:val="auto"/>
          <w:vertAlign w:val="superscript"/>
        </w:rPr>
        <w:t>(b)</w:t>
      </w:r>
      <w:r>
        <w:rPr>
          <w:rFonts w:ascii="Arial" w:cs="Arial" w:eastAsia="Arial" w:hAnsi="Arial"/>
          <w:sz w:val="13"/>
          <w:szCs w:val="13"/>
          <w:color w:val="auto"/>
        </w:rPr>
        <w:t xml:space="preserve"> for the three and six months ended March 31, 2022: $159,758 and $345,437, respectively, excluding net capital expenditures related to the new campus development of $30,109 and $59,416, respectively, payment for acquisition related liability of $4,871 and $14,350, respectively, and tax payment on sale of business of $3,193.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54165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4" w:lineRule="exact"/>
        <w:rPr>
          <w:sz w:val="20"/>
          <w:szCs w:val="20"/>
          <w:color w:val="auto"/>
        </w:rPr>
      </w:pPr>
    </w:p>
    <w:p>
      <w:pPr>
        <w:ind w:left="940" w:right="679" w:hanging="303"/>
        <w:spacing w:after="0" w:line="250" w:lineRule="auto"/>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amounts under “Purchase of property and equipment, net” include proceeds from sale of property and equipment of $255 and $555 for the six months ended March 31, 2023 and 2022, respectively.</w:t>
      </w:r>
    </w:p>
    <w:p>
      <w:pPr>
        <w:ind w:left="940" w:hanging="303"/>
        <w:spacing w:after="0"/>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Since Q12023, the Normalized Free Cash Flow is no longer applicable.</w:t>
      </w:r>
    </w:p>
    <w:p>
      <w:pPr>
        <w:sectPr>
          <w:pgSz w:w="11900" w:h="16838" w:orient="portrait"/>
          <w:cols w:equalWidth="0" w:num="1">
            <w:col w:w="9019"/>
          </w:cols>
          <w:pgMar w:left="1440" w:top="383"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3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15"/>
          </w:tcPr>
          <w:p>
            <w:pPr>
              <w:ind w:left="180"/>
              <w:spacing w:after="0"/>
              <w:rPr>
                <w:sz w:val="20"/>
                <w:szCs w:val="20"/>
                <w:color w:val="auto"/>
              </w:rPr>
            </w:pPr>
            <w:r>
              <w:rPr>
                <w:rFonts w:ascii="Arial" w:cs="Arial" w:eastAsia="Arial" w:hAnsi="Arial"/>
                <w:sz w:val="10"/>
                <w:szCs w:val="10"/>
                <w:b w:val="1"/>
                <w:bCs w:val="1"/>
                <w:color w:val="auto"/>
                <w:w w:val="98"/>
              </w:rPr>
              <w:t>Three Months Ended March 31, 2023</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gridSpan w:val="6"/>
          </w:tcPr>
          <w:p>
            <w:pPr>
              <w:jc w:val="center"/>
              <w:ind w:right="140"/>
              <w:spacing w:after="0" w:line="79" w:lineRule="exact"/>
              <w:rPr>
                <w:sz w:val="20"/>
                <w:szCs w:val="20"/>
                <w:color w:val="auto"/>
              </w:rPr>
            </w:pPr>
            <w:r>
              <w:rPr>
                <w:rFonts w:ascii="Arial" w:cs="Arial" w:eastAsia="Arial" w:hAnsi="Arial"/>
                <w:sz w:val="9"/>
                <w:szCs w:val="9"/>
                <w:b w:val="1"/>
                <w:bCs w:val="1"/>
                <w:color w:val="auto"/>
                <w:w w:val="98"/>
              </w:rPr>
              <w:t>Changes in</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5"/>
          </w:tcPr>
          <w:p>
            <w:pPr>
              <w:jc w:val="center"/>
              <w:ind w:right="280"/>
              <w:spacing w:after="0" w:line="104" w:lineRule="exact"/>
              <w:rPr>
                <w:sz w:val="20"/>
                <w:szCs w:val="20"/>
                <w:color w:val="auto"/>
              </w:rPr>
            </w:pPr>
            <w:r>
              <w:rPr>
                <w:rFonts w:ascii="Arial" w:cs="Arial" w:eastAsia="Arial" w:hAnsi="Arial"/>
                <w:sz w:val="10"/>
                <w:szCs w:val="10"/>
                <w:b w:val="1"/>
                <w:bCs w:val="1"/>
                <w:color w:val="auto"/>
                <w:w w:val="91"/>
              </w:rPr>
              <w:t>certain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5"/>
          </w:tcPr>
          <w:p>
            <w:pPr>
              <w:spacing w:after="0" w:line="104" w:lineRule="exact"/>
              <w:rPr>
                <w:sz w:val="20"/>
                <w:szCs w:val="20"/>
                <w:color w:val="auto"/>
              </w:rPr>
            </w:pPr>
            <w:r>
              <w:rPr>
                <w:rFonts w:ascii="Arial" w:cs="Arial" w:eastAsia="Arial" w:hAnsi="Arial"/>
                <w:sz w:val="10"/>
                <w:szCs w:val="10"/>
                <w:b w:val="1"/>
                <w:bCs w:val="1"/>
                <w:color w:val="auto"/>
                <w:w w:val="98"/>
              </w:rPr>
              <w:t>Amortization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6"/>
          </w:tcPr>
          <w:p>
            <w:pPr>
              <w:jc w:val="center"/>
              <w:ind w:right="140"/>
              <w:spacing w:after="0" w:line="104" w:lineRule="exact"/>
              <w:rPr>
                <w:sz w:val="20"/>
                <w:szCs w:val="20"/>
                <w:color w:val="auto"/>
              </w:rPr>
            </w:pPr>
            <w:r>
              <w:rPr>
                <w:rFonts w:ascii="Arial" w:cs="Arial" w:eastAsia="Arial" w:hAnsi="Arial"/>
                <w:sz w:val="10"/>
                <w:szCs w:val="10"/>
                <w:b w:val="1"/>
                <w:bCs w:val="1"/>
                <w:color w:val="auto"/>
                <w:w w:val="89"/>
              </w:rPr>
              <w:t>acquisitions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5"/>
          </w:tcPr>
          <w:p>
            <w:pPr>
              <w:ind w:left="20"/>
              <w:spacing w:after="0" w:line="104" w:lineRule="exact"/>
              <w:rPr>
                <w:sz w:val="20"/>
                <w:szCs w:val="20"/>
                <w:color w:val="auto"/>
              </w:rPr>
            </w:pPr>
            <w:r>
              <w:rPr>
                <w:rFonts w:ascii="Arial" w:cs="Arial" w:eastAsia="Arial" w:hAnsi="Arial"/>
                <w:sz w:val="10"/>
                <w:szCs w:val="10"/>
                <w:b w:val="1"/>
                <w:bCs w:val="1"/>
                <w:color w:val="auto"/>
                <w:w w:val="92"/>
              </w:rPr>
              <w:t>of purchased</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5"/>
          </w:tcPr>
          <w:p>
            <w:pPr>
              <w:jc w:val="center"/>
              <w:ind w:right="280"/>
              <w:spacing w:after="0" w:line="104" w:lineRule="exact"/>
              <w:rPr>
                <w:sz w:val="20"/>
                <w:szCs w:val="20"/>
                <w:color w:val="auto"/>
              </w:rPr>
            </w:pPr>
            <w:r>
              <w:rPr>
                <w:rFonts w:ascii="Arial" w:cs="Arial" w:eastAsia="Arial" w:hAnsi="Arial"/>
                <w:sz w:val="10"/>
                <w:szCs w:val="10"/>
                <w:b w:val="1"/>
                <w:bCs w:val="1"/>
                <w:color w:val="auto"/>
                <w:w w:val="91"/>
              </w:rPr>
              <w:t>related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5"/>
          </w:tcPr>
          <w:p>
            <w:pPr>
              <w:jc w:val="center"/>
              <w:ind w:right="40"/>
              <w:spacing w:after="0" w:line="104" w:lineRule="exact"/>
              <w:rPr>
                <w:sz w:val="20"/>
                <w:szCs w:val="20"/>
                <w:color w:val="auto"/>
              </w:rPr>
            </w:pPr>
            <w:r>
              <w:rPr>
                <w:rFonts w:ascii="Arial" w:cs="Arial" w:eastAsia="Arial" w:hAnsi="Arial"/>
                <w:sz w:val="10"/>
                <w:szCs w:val="10"/>
                <w:b w:val="1"/>
                <w:bCs w:val="1"/>
                <w:color w:val="auto"/>
                <w:w w:val="88"/>
              </w:rPr>
              <w:t>intangible</w:t>
            </w:r>
          </w:p>
        </w:tc>
        <w:tc>
          <w:tcPr>
            <w:tcW w:w="160" w:type="dxa"/>
            <w:vAlign w:val="bottom"/>
          </w:tcPr>
          <w:p>
            <w:pPr>
              <w:spacing w:after="0"/>
              <w:rPr>
                <w:sz w:val="9"/>
                <w:szCs w:val="9"/>
                <w:color w:val="auto"/>
              </w:rPr>
            </w:pPr>
          </w:p>
        </w:tc>
        <w:tc>
          <w:tcPr>
            <w:tcW w:w="800" w:type="dxa"/>
            <w:vAlign w:val="bottom"/>
            <w:gridSpan w:val="6"/>
          </w:tcPr>
          <w:p>
            <w:pPr>
              <w:jc w:val="center"/>
              <w:ind w:right="200"/>
              <w:spacing w:after="0" w:line="104" w:lineRule="exact"/>
              <w:rPr>
                <w:sz w:val="20"/>
                <w:szCs w:val="20"/>
                <w:color w:val="auto"/>
              </w:rPr>
            </w:pPr>
            <w:r>
              <w:rPr>
                <w:rFonts w:ascii="Arial" w:cs="Arial" w:eastAsia="Arial" w:hAnsi="Arial"/>
                <w:sz w:val="10"/>
                <w:szCs w:val="10"/>
                <w:b w:val="1"/>
                <w:bCs w:val="1"/>
                <w:color w:val="auto"/>
                <w:w w:val="89"/>
              </w:rPr>
              <w:t>Equity based</w:t>
            </w:r>
          </w:p>
        </w:tc>
        <w:tc>
          <w:tcPr>
            <w:tcW w:w="700" w:type="dxa"/>
            <w:vAlign w:val="bottom"/>
            <w:gridSpan w:val="6"/>
          </w:tcPr>
          <w:p>
            <w:pPr>
              <w:jc w:val="center"/>
              <w:ind w:right="140"/>
              <w:spacing w:after="0" w:line="104" w:lineRule="exact"/>
              <w:rPr>
                <w:sz w:val="20"/>
                <w:szCs w:val="20"/>
                <w:color w:val="auto"/>
              </w:rPr>
            </w:pPr>
            <w:r>
              <w:rPr>
                <w:rFonts w:ascii="Arial" w:cs="Arial" w:eastAsia="Arial" w:hAnsi="Arial"/>
                <w:sz w:val="10"/>
                <w:szCs w:val="10"/>
                <w:b w:val="1"/>
                <w:bCs w:val="1"/>
                <w:color w:val="auto"/>
                <w:w w:val="93"/>
              </w:rPr>
              <w:t>liabilities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5"/>
          </w:tcPr>
          <w:p>
            <w:pPr>
              <w:jc w:val="center"/>
              <w:ind w:right="40"/>
              <w:spacing w:after="0" w:line="104" w:lineRule="exact"/>
              <w:rPr>
                <w:sz w:val="20"/>
                <w:szCs w:val="20"/>
                <w:color w:val="auto"/>
              </w:rPr>
            </w:pPr>
            <w:r>
              <w:rPr>
                <w:rFonts w:ascii="Arial" w:cs="Arial" w:eastAsia="Arial" w:hAnsi="Arial"/>
                <w:sz w:val="10"/>
                <w:szCs w:val="10"/>
                <w:b w:val="1"/>
                <w:bCs w:val="1"/>
                <w:color w:val="auto"/>
                <w:w w:val="81"/>
              </w:rPr>
              <w:t>assets and</w:t>
            </w:r>
          </w:p>
        </w:tc>
        <w:tc>
          <w:tcPr>
            <w:tcW w:w="160" w:type="dxa"/>
            <w:vAlign w:val="bottom"/>
          </w:tcPr>
          <w:p>
            <w:pPr>
              <w:spacing w:after="0"/>
              <w:rPr>
                <w:sz w:val="9"/>
                <w:szCs w:val="9"/>
                <w:color w:val="auto"/>
              </w:rPr>
            </w:pPr>
          </w:p>
        </w:tc>
        <w:tc>
          <w:tcPr>
            <w:tcW w:w="800" w:type="dxa"/>
            <w:vAlign w:val="bottom"/>
            <w:gridSpan w:val="6"/>
          </w:tcPr>
          <w:p>
            <w:pPr>
              <w:jc w:val="center"/>
              <w:ind w:right="200"/>
              <w:spacing w:after="0" w:line="104" w:lineRule="exact"/>
              <w:rPr>
                <w:sz w:val="20"/>
                <w:szCs w:val="20"/>
                <w:color w:val="auto"/>
              </w:rPr>
            </w:pPr>
            <w:r>
              <w:rPr>
                <w:rFonts w:ascii="Arial" w:cs="Arial" w:eastAsia="Arial" w:hAnsi="Arial"/>
                <w:sz w:val="10"/>
                <w:szCs w:val="10"/>
                <w:b w:val="1"/>
                <w:bCs w:val="1"/>
                <w:color w:val="auto"/>
                <w:w w:val="88"/>
              </w:rPr>
              <w:t>compensation</w:t>
            </w:r>
          </w:p>
        </w:tc>
        <w:tc>
          <w:tcPr>
            <w:tcW w:w="700" w:type="dxa"/>
            <w:vAlign w:val="bottom"/>
            <w:gridSpan w:val="6"/>
          </w:tcPr>
          <w:p>
            <w:pPr>
              <w:jc w:val="center"/>
              <w:ind w:right="140"/>
              <w:spacing w:after="0" w:line="104" w:lineRule="exact"/>
              <w:rPr>
                <w:sz w:val="20"/>
                <w:szCs w:val="20"/>
                <w:color w:val="auto"/>
              </w:rPr>
            </w:pPr>
            <w:r>
              <w:rPr>
                <w:rFonts w:ascii="Arial" w:cs="Arial" w:eastAsia="Arial" w:hAnsi="Arial"/>
                <w:sz w:val="10"/>
                <w:szCs w:val="10"/>
                <w:b w:val="1"/>
                <w:bCs w:val="1"/>
                <w:color w:val="auto"/>
                <w:w w:val="88"/>
              </w:rPr>
              <w:t>measured at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4"/>
          </w:tcPr>
          <w:p>
            <w:pPr>
              <w:jc w:val="center"/>
              <w:ind w:right="280"/>
              <w:spacing w:after="0" w:line="104" w:lineRule="exact"/>
              <w:rPr>
                <w:sz w:val="20"/>
                <w:szCs w:val="20"/>
                <w:color w:val="auto"/>
              </w:rPr>
            </w:pPr>
            <w:r>
              <w:rPr>
                <w:rFonts w:ascii="Arial" w:cs="Arial" w:eastAsia="Arial" w:hAnsi="Arial"/>
                <w:sz w:val="10"/>
                <w:szCs w:val="10"/>
                <w:b w:val="1"/>
                <w:bCs w:val="1"/>
                <w:color w:val="auto"/>
                <w:w w:val="92"/>
              </w:rPr>
              <w:t>Tax</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rPr>
              <w:t>GAAP</w:t>
            </w:r>
          </w:p>
        </w:tc>
        <w:tc>
          <w:tcPr>
            <w:tcW w:w="200" w:type="dxa"/>
            <w:vAlign w:val="bottom"/>
          </w:tcPr>
          <w:p>
            <w:pPr>
              <w:spacing w:after="0"/>
              <w:rPr>
                <w:sz w:val="10"/>
                <w:szCs w:val="10"/>
                <w:color w:val="auto"/>
              </w:rPr>
            </w:pPr>
          </w:p>
        </w:tc>
        <w:tc>
          <w:tcPr>
            <w:tcW w:w="62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87"/>
              </w:rPr>
              <w:t>other</w:t>
            </w:r>
          </w:p>
        </w:tc>
        <w:tc>
          <w:tcPr>
            <w:tcW w:w="160" w:type="dxa"/>
            <w:vAlign w:val="bottom"/>
          </w:tcPr>
          <w:p>
            <w:pPr>
              <w:spacing w:after="0"/>
              <w:rPr>
                <w:sz w:val="10"/>
                <w:szCs w:val="10"/>
                <w:color w:val="auto"/>
              </w:rPr>
            </w:pPr>
          </w:p>
        </w:tc>
        <w:tc>
          <w:tcPr>
            <w:tcW w:w="800" w:type="dxa"/>
            <w:vAlign w:val="bottom"/>
            <w:gridSpan w:val="6"/>
          </w:tcPr>
          <w:p>
            <w:pPr>
              <w:jc w:val="center"/>
              <w:ind w:right="180"/>
              <w:spacing w:after="0"/>
              <w:rPr>
                <w:sz w:val="20"/>
                <w:szCs w:val="20"/>
                <w:color w:val="auto"/>
              </w:rPr>
            </w:pPr>
            <w:r>
              <w:rPr>
                <w:rFonts w:ascii="Arial" w:cs="Arial" w:eastAsia="Arial" w:hAnsi="Arial"/>
                <w:sz w:val="10"/>
                <w:szCs w:val="10"/>
                <w:b w:val="1"/>
                <w:bCs w:val="1"/>
                <w:color w:val="auto"/>
                <w:w w:val="84"/>
              </w:rPr>
              <w:t>expense</w:t>
            </w:r>
          </w:p>
        </w:tc>
        <w:tc>
          <w:tcPr>
            <w:tcW w:w="700" w:type="dxa"/>
            <w:vAlign w:val="bottom"/>
            <w:gridSpan w:val="6"/>
          </w:tcPr>
          <w:p>
            <w:pPr>
              <w:jc w:val="center"/>
              <w:ind w:right="160"/>
              <w:spacing w:after="0"/>
              <w:rPr>
                <w:sz w:val="20"/>
                <w:szCs w:val="20"/>
                <w:color w:val="auto"/>
              </w:rPr>
            </w:pPr>
            <w:r>
              <w:rPr>
                <w:rFonts w:ascii="Arial" w:cs="Arial" w:eastAsia="Arial" w:hAnsi="Arial"/>
                <w:sz w:val="10"/>
                <w:szCs w:val="10"/>
                <w:b w:val="1"/>
                <w:bCs w:val="1"/>
                <w:color w:val="auto"/>
                <w:w w:val="95"/>
              </w:rPr>
              <w:t>fair value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w w:val="89"/>
              </w:rPr>
              <w:t>effect</w:t>
            </w:r>
          </w:p>
        </w:tc>
        <w:tc>
          <w:tcPr>
            <w:tcW w:w="66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Non-GAAP</w:t>
            </w:r>
          </w:p>
        </w:tc>
        <w:tc>
          <w:tcPr>
            <w:tcW w:w="0" w:type="dxa"/>
            <w:vAlign w:val="bottom"/>
          </w:tcPr>
          <w:p>
            <w:pPr>
              <w:spacing w:after="0"/>
              <w:rPr>
                <w:sz w:val="1"/>
                <w:szCs w:val="1"/>
                <w:color w:val="auto"/>
              </w:rPr>
            </w:pPr>
          </w:p>
        </w:tc>
      </w:tr>
      <w:tr>
        <w:trPr>
          <w:trHeight w:val="141"/>
        </w:trPr>
        <w:tc>
          <w:tcPr>
            <w:tcW w:w="31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Operating expenses:</w:t>
            </w: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20"/>
                <w:szCs w:val="20"/>
                <w:color w:val="auto"/>
              </w:rPr>
            </w:pPr>
            <w:r>
              <w:rPr>
                <w:rFonts w:ascii="Arial" w:cs="Arial" w:eastAsia="Arial" w:hAnsi="Arial"/>
                <w:sz w:val="13"/>
                <w:szCs w:val="13"/>
                <w:color w:val="auto"/>
              </w:rPr>
              <w:t>Cost of revenue</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4"/>
          </w:tcPr>
          <w:p>
            <w:pPr>
              <w:jc w:val="right"/>
              <w:spacing w:after="0"/>
              <w:rPr>
                <w:sz w:val="20"/>
                <w:szCs w:val="20"/>
                <w:color w:val="auto"/>
              </w:rPr>
            </w:pPr>
            <w:r>
              <w:rPr>
                <w:rFonts w:ascii="Arial" w:cs="Arial" w:eastAsia="Arial" w:hAnsi="Arial"/>
                <w:sz w:val="13"/>
                <w:szCs w:val="13"/>
                <w:color w:val="auto"/>
              </w:rPr>
              <w:t>795,485</w:t>
            </w:r>
          </w:p>
        </w:tc>
        <w:tc>
          <w:tcPr>
            <w:tcW w:w="3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gridSpan w:val="2"/>
          </w:tcPr>
          <w:p>
            <w:pPr>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3"/>
                <w:szCs w:val="13"/>
                <w:color w:val="auto"/>
                <w:w w:val="82"/>
              </w:rPr>
              <w:t>(10,061)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w w:val="92"/>
              </w:rPr>
              <w:t>(1,159)</w:t>
            </w:r>
          </w:p>
        </w:tc>
        <w:tc>
          <w:tcPr>
            <w:tcW w:w="4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784,265</w:t>
            </w: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0"/>
              </w:rPr>
              <w:t>89,274</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w w:val="92"/>
              </w:rPr>
              <w:t>(1,703)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87,571</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4"/>
          </w:tcPr>
          <w:p>
            <w:pPr>
              <w:jc w:val="right"/>
              <w:spacing w:after="0"/>
              <w:rPr>
                <w:sz w:val="20"/>
                <w:szCs w:val="20"/>
                <w:color w:val="auto"/>
              </w:rPr>
            </w:pPr>
            <w:r>
              <w:rPr>
                <w:rFonts w:ascii="Arial" w:cs="Arial" w:eastAsia="Arial" w:hAnsi="Arial"/>
                <w:sz w:val="13"/>
                <w:szCs w:val="13"/>
                <w:color w:val="auto"/>
              </w:rPr>
              <w:t>143,328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3"/>
                <w:szCs w:val="13"/>
                <w:color w:val="auto"/>
                <w:w w:val="92"/>
              </w:rPr>
              <w:t>(9,597)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133,731</w:t>
            </w: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w w:val="99"/>
              </w:rPr>
              <w:t>Amortization of purchased intangible assets and other</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0"/>
              </w:rPr>
              <w:t>12,940</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3"/>
                <w:szCs w:val="13"/>
                <w:color w:val="auto"/>
              </w:rPr>
              <w:t>(12,940)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3"/>
                <w:szCs w:val="13"/>
                <w:color w:val="auto"/>
              </w:rPr>
              <w:t>Total operating expenses</w:t>
            </w: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4"/>
          </w:tcPr>
          <w:p>
            <w:pPr>
              <w:jc w:val="right"/>
              <w:spacing w:after="0"/>
              <w:rPr>
                <w:sz w:val="20"/>
                <w:szCs w:val="20"/>
                <w:color w:val="auto"/>
              </w:rPr>
            </w:pPr>
            <w:r>
              <w:rPr>
                <w:rFonts w:ascii="Arial" w:cs="Arial" w:eastAsia="Arial" w:hAnsi="Arial"/>
                <w:sz w:val="13"/>
                <w:szCs w:val="13"/>
                <w:color w:val="auto"/>
                <w:w w:val="86"/>
              </w:rPr>
              <w:t>1,041,027</w:t>
            </w:r>
          </w:p>
        </w:tc>
        <w:tc>
          <w:tcPr>
            <w:tcW w:w="200" w:type="dxa"/>
            <w:vAlign w:val="bottom"/>
          </w:tcPr>
          <w:p>
            <w:pPr>
              <w:spacing w:after="0"/>
              <w:rPr>
                <w:sz w:val="13"/>
                <w:szCs w:val="13"/>
                <w:color w:val="auto"/>
              </w:rPr>
            </w:pPr>
          </w:p>
        </w:tc>
        <w:tc>
          <w:tcPr>
            <w:tcW w:w="620" w:type="dxa"/>
            <w:vAlign w:val="bottom"/>
            <w:gridSpan w:val="5"/>
          </w:tcPr>
          <w:p>
            <w:pPr>
              <w:jc w:val="right"/>
              <w:spacing w:after="0"/>
              <w:rPr>
                <w:sz w:val="20"/>
                <w:szCs w:val="20"/>
                <w:color w:val="auto"/>
              </w:rPr>
            </w:pPr>
            <w:r>
              <w:rPr>
                <w:rFonts w:ascii="Arial" w:cs="Arial" w:eastAsia="Arial" w:hAnsi="Arial"/>
                <w:sz w:val="13"/>
                <w:szCs w:val="13"/>
                <w:color w:val="auto"/>
              </w:rPr>
              <w:t>(12,940)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3"/>
                <w:szCs w:val="13"/>
                <w:color w:val="auto"/>
                <w:w w:val="82"/>
              </w:rPr>
              <w:t>(21,361)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w w:val="92"/>
              </w:rPr>
              <w:t>(1,159)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1,005,567</w:t>
            </w:r>
          </w:p>
        </w:tc>
        <w:tc>
          <w:tcPr>
            <w:tcW w:w="0" w:type="dxa"/>
            <w:vAlign w:val="bottom"/>
          </w:tcPr>
          <w:p>
            <w:pPr>
              <w:spacing w:after="0"/>
              <w:rPr>
                <w:sz w:val="1"/>
                <w:szCs w:val="1"/>
                <w:color w:val="auto"/>
              </w:rPr>
            </w:pPr>
          </w:p>
        </w:tc>
      </w:tr>
      <w:tr>
        <w:trPr>
          <w:trHeight w:val="151"/>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color w:val="auto"/>
              </w:rPr>
              <w:t>182,277</w:t>
            </w:r>
          </w:p>
        </w:tc>
        <w:tc>
          <w:tcPr>
            <w:tcW w:w="2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85"/>
              </w:rPr>
              <w:t>12,940</w:t>
            </w:r>
          </w:p>
        </w:tc>
        <w:tc>
          <w:tcPr>
            <w:tcW w:w="16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w w:val="85"/>
              </w:rPr>
              <w:t>21,361</w:t>
            </w:r>
          </w:p>
        </w:tc>
        <w:tc>
          <w:tcPr>
            <w:tcW w:w="1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1,159</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217,737</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4"/>
          </w:tcPr>
          <w:p>
            <w:pPr>
              <w:jc w:val="right"/>
              <w:ind w:right="97"/>
              <w:spacing w:after="0"/>
              <w:rPr>
                <w:sz w:val="20"/>
                <w:szCs w:val="20"/>
                <w:color w:val="auto"/>
              </w:rPr>
            </w:pPr>
            <w:r>
              <w:rPr>
                <w:rFonts w:ascii="Arial" w:cs="Arial" w:eastAsia="Arial" w:hAnsi="Arial"/>
                <w:sz w:val="13"/>
                <w:szCs w:val="13"/>
                <w:color w:val="auto"/>
                <w:w w:val="97"/>
              </w:rPr>
              <w:t>(2,938)</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(2,938)</w:t>
            </w: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Income taxes</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0"/>
              </w:rPr>
              <w:t>29,030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6,471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35,501</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20"/>
                <w:szCs w:val="20"/>
                <w:color w:val="auto"/>
              </w:rPr>
            </w:pPr>
            <w:r>
              <w:rPr>
                <w:rFonts w:ascii="Arial" w:cs="Arial" w:eastAsia="Arial" w:hAnsi="Arial"/>
                <w:sz w:val="13"/>
                <w:szCs w:val="13"/>
                <w:color w:val="auto"/>
              </w:rPr>
              <w:t>Net income</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4"/>
          </w:tcPr>
          <w:p>
            <w:pPr>
              <w:jc w:val="right"/>
              <w:spacing w:after="0"/>
              <w:rPr>
                <w:sz w:val="20"/>
                <w:szCs w:val="20"/>
                <w:color w:val="auto"/>
              </w:rPr>
            </w:pPr>
            <w:r>
              <w:rPr>
                <w:rFonts w:ascii="Arial" w:cs="Arial" w:eastAsia="Arial" w:hAnsi="Arial"/>
                <w:sz w:val="13"/>
                <w:szCs w:val="13"/>
                <w:color w:val="auto"/>
              </w:rPr>
              <w:t>150,309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w w:val="85"/>
              </w:rPr>
              <w:t>12,940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3"/>
                <w:szCs w:val="13"/>
                <w:color w:val="auto"/>
                <w:w w:val="85"/>
              </w:rPr>
              <w:t>21,361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1,159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5"/>
          </w:tcPr>
          <w:p>
            <w:pPr>
              <w:jc w:val="right"/>
              <w:ind w:right="40"/>
              <w:spacing w:after="0"/>
              <w:rPr>
                <w:sz w:val="20"/>
                <w:szCs w:val="20"/>
                <w:color w:val="auto"/>
              </w:rPr>
            </w:pPr>
            <w:r>
              <w:rPr>
                <w:rFonts w:ascii="Arial" w:cs="Arial" w:eastAsia="Arial" w:hAnsi="Arial"/>
                <w:sz w:val="13"/>
                <w:szCs w:val="13"/>
                <w:color w:val="auto"/>
              </w:rPr>
              <w:t>(6,471)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179,298</w:t>
            </w:r>
          </w:p>
        </w:tc>
        <w:tc>
          <w:tcPr>
            <w:tcW w:w="0" w:type="dxa"/>
            <w:vAlign w:val="bottom"/>
          </w:tcPr>
          <w:p>
            <w:pPr>
              <w:spacing w:after="0"/>
              <w:rPr>
                <w:sz w:val="1"/>
                <w:szCs w:val="1"/>
                <w:color w:val="auto"/>
              </w:rPr>
            </w:pPr>
          </w:p>
        </w:tc>
      </w:tr>
      <w:tr>
        <w:trPr>
          <w:trHeight w:val="151"/>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noncontrolling interests</w:t>
            </w:r>
          </w:p>
        </w:tc>
        <w:tc>
          <w:tcPr>
            <w:tcW w:w="2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706</w:t>
            </w:r>
          </w:p>
        </w:tc>
        <w:tc>
          <w:tcPr>
            <w:tcW w:w="2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706</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3"/>
                <w:szCs w:val="13"/>
                <w:color w:val="auto"/>
              </w:rPr>
              <w:t>Net income attributable to Amdocs Limited</w:t>
            </w: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4"/>
          </w:tcPr>
          <w:p>
            <w:pPr>
              <w:jc w:val="right"/>
              <w:spacing w:after="0"/>
              <w:rPr>
                <w:sz w:val="20"/>
                <w:szCs w:val="20"/>
                <w:color w:val="auto"/>
              </w:rPr>
            </w:pPr>
            <w:r>
              <w:rPr>
                <w:rFonts w:ascii="Arial" w:cs="Arial" w:eastAsia="Arial" w:hAnsi="Arial"/>
                <w:sz w:val="13"/>
                <w:szCs w:val="13"/>
                <w:color w:val="auto"/>
              </w:rPr>
              <w:t>149,603</w:t>
            </w:r>
          </w:p>
        </w:tc>
        <w:tc>
          <w:tcPr>
            <w:tcW w:w="3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w w:val="85"/>
              </w:rPr>
              <w:t>12,940</w:t>
            </w:r>
          </w:p>
        </w:tc>
        <w:tc>
          <w:tcPr>
            <w:tcW w:w="36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3"/>
                <w:szCs w:val="13"/>
                <w:color w:val="auto"/>
                <w:w w:val="85"/>
              </w:rPr>
              <w:t>21,361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1,159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5"/>
          </w:tcPr>
          <w:p>
            <w:pPr>
              <w:jc w:val="right"/>
              <w:ind w:right="40"/>
              <w:spacing w:after="0"/>
              <w:rPr>
                <w:sz w:val="20"/>
                <w:szCs w:val="20"/>
                <w:color w:val="auto"/>
              </w:rPr>
            </w:pPr>
            <w:r>
              <w:rPr>
                <w:rFonts w:ascii="Arial" w:cs="Arial" w:eastAsia="Arial" w:hAnsi="Arial"/>
                <w:sz w:val="13"/>
                <w:szCs w:val="13"/>
                <w:u w:val="single" w:color="auto"/>
                <w:color w:val="auto"/>
                <w:w w:val="94"/>
              </w:rPr>
              <w:t>$</w:t>
            </w:r>
            <w:r>
              <w:rPr>
                <w:rFonts w:ascii="Arial" w:cs="Arial" w:eastAsia="Arial" w:hAnsi="Arial"/>
                <w:sz w:val="13"/>
                <w:szCs w:val="13"/>
                <w:color w:val="auto"/>
                <w:w w:val="94"/>
              </w:rPr>
              <w:t>(6,471)</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178,592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15"/>
          </w:tcPr>
          <w:p>
            <w:pPr>
              <w:jc w:val="center"/>
              <w:ind w:right="240"/>
              <w:spacing w:after="0"/>
              <w:rPr>
                <w:sz w:val="20"/>
                <w:szCs w:val="20"/>
                <w:color w:val="auto"/>
              </w:rPr>
            </w:pPr>
            <w:r>
              <w:rPr>
                <w:rFonts w:ascii="Arial" w:cs="Arial" w:eastAsia="Arial" w:hAnsi="Arial"/>
                <w:sz w:val="10"/>
                <w:szCs w:val="10"/>
                <w:b w:val="1"/>
                <w:bCs w:val="1"/>
                <w:color w:val="auto"/>
                <w:w w:val="93"/>
              </w:rPr>
              <w:t>Three Months Ended March 31, 2022</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3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gridSpan w:val="4"/>
          </w:tcPr>
          <w:p>
            <w:pPr>
              <w:jc w:val="center"/>
              <w:ind w:right="29"/>
              <w:spacing w:after="0" w:line="79" w:lineRule="exact"/>
              <w:rPr>
                <w:sz w:val="20"/>
                <w:szCs w:val="20"/>
                <w:color w:val="auto"/>
              </w:rPr>
            </w:pPr>
            <w:r>
              <w:rPr>
                <w:rFonts w:ascii="Arial" w:cs="Arial" w:eastAsia="Arial" w:hAnsi="Arial"/>
                <w:sz w:val="9"/>
                <w:szCs w:val="9"/>
                <w:b w:val="1"/>
                <w:bCs w:val="1"/>
                <w:color w:val="auto"/>
                <w:w w:val="90"/>
              </w:rPr>
              <w:t>Changes in</w:t>
            </w: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gridSpan w:val="2"/>
          </w:tcPr>
          <w:p>
            <w:pPr>
              <w:jc w:val="center"/>
              <w:spacing w:after="0" w:line="104" w:lineRule="exact"/>
              <w:rPr>
                <w:sz w:val="20"/>
                <w:szCs w:val="20"/>
                <w:color w:val="auto"/>
              </w:rPr>
            </w:pPr>
            <w:r>
              <w:rPr>
                <w:rFonts w:ascii="Arial" w:cs="Arial" w:eastAsia="Arial" w:hAnsi="Arial"/>
                <w:sz w:val="10"/>
                <w:szCs w:val="10"/>
                <w:b w:val="1"/>
                <w:bCs w:val="1"/>
                <w:color w:val="auto"/>
                <w:w w:val="91"/>
              </w:rPr>
              <w:t>certain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6"/>
          </w:tcPr>
          <w:p>
            <w:pPr>
              <w:jc w:val="center"/>
              <w:ind w:left="79"/>
              <w:spacing w:after="0" w:line="104" w:lineRule="exact"/>
              <w:rPr>
                <w:sz w:val="20"/>
                <w:szCs w:val="20"/>
                <w:color w:val="auto"/>
              </w:rPr>
            </w:pPr>
            <w:r>
              <w:rPr>
                <w:rFonts w:ascii="Arial" w:cs="Arial" w:eastAsia="Arial" w:hAnsi="Arial"/>
                <w:sz w:val="10"/>
                <w:szCs w:val="10"/>
                <w:b w:val="1"/>
                <w:bCs w:val="1"/>
                <w:color w:val="auto"/>
                <w:w w:val="94"/>
              </w:rPr>
              <w:t>Amortization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4"/>
          </w:tcPr>
          <w:p>
            <w:pPr>
              <w:jc w:val="center"/>
              <w:ind w:right="9"/>
              <w:spacing w:after="0" w:line="104" w:lineRule="exact"/>
              <w:rPr>
                <w:sz w:val="20"/>
                <w:szCs w:val="20"/>
                <w:color w:val="auto"/>
              </w:rPr>
            </w:pPr>
            <w:r>
              <w:rPr>
                <w:rFonts w:ascii="Arial" w:cs="Arial" w:eastAsia="Arial" w:hAnsi="Arial"/>
                <w:sz w:val="10"/>
                <w:szCs w:val="10"/>
                <w:b w:val="1"/>
                <w:bCs w:val="1"/>
                <w:color w:val="auto"/>
                <w:w w:val="78"/>
              </w:rPr>
              <w:t>acquisitions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5"/>
          </w:tcPr>
          <w:p>
            <w:pPr>
              <w:jc w:val="center"/>
              <w:ind w:right="20"/>
              <w:spacing w:after="0" w:line="104" w:lineRule="exact"/>
              <w:rPr>
                <w:sz w:val="20"/>
                <w:szCs w:val="20"/>
                <w:color w:val="auto"/>
              </w:rPr>
            </w:pPr>
            <w:r>
              <w:rPr>
                <w:rFonts w:ascii="Arial" w:cs="Arial" w:eastAsia="Arial" w:hAnsi="Arial"/>
                <w:sz w:val="10"/>
                <w:szCs w:val="10"/>
                <w:b w:val="1"/>
                <w:bCs w:val="1"/>
                <w:color w:val="auto"/>
                <w:w w:val="89"/>
              </w:rPr>
              <w:t>of purchased</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gridSpan w:val="2"/>
          </w:tcPr>
          <w:p>
            <w:pPr>
              <w:jc w:val="center"/>
              <w:spacing w:after="0" w:line="104" w:lineRule="exact"/>
              <w:rPr>
                <w:sz w:val="20"/>
                <w:szCs w:val="20"/>
                <w:color w:val="auto"/>
              </w:rPr>
            </w:pPr>
            <w:r>
              <w:rPr>
                <w:rFonts w:ascii="Arial" w:cs="Arial" w:eastAsia="Arial" w:hAnsi="Arial"/>
                <w:sz w:val="10"/>
                <w:szCs w:val="10"/>
                <w:b w:val="1"/>
                <w:bCs w:val="1"/>
                <w:color w:val="auto"/>
                <w:w w:val="91"/>
              </w:rPr>
              <w:t>related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5"/>
          </w:tcPr>
          <w:p>
            <w:pPr>
              <w:jc w:val="center"/>
              <w:ind w:right="20"/>
              <w:spacing w:after="0" w:line="104" w:lineRule="exact"/>
              <w:rPr>
                <w:sz w:val="20"/>
                <w:szCs w:val="20"/>
                <w:color w:val="auto"/>
              </w:rPr>
            </w:pPr>
            <w:r>
              <w:rPr>
                <w:rFonts w:ascii="Arial" w:cs="Arial" w:eastAsia="Arial" w:hAnsi="Arial"/>
                <w:sz w:val="10"/>
                <w:szCs w:val="10"/>
                <w:b w:val="1"/>
                <w:bCs w:val="1"/>
                <w:color w:val="auto"/>
                <w:w w:val="93"/>
              </w:rPr>
              <w:t>intangible</w:t>
            </w:r>
          </w:p>
        </w:tc>
        <w:tc>
          <w:tcPr>
            <w:tcW w:w="160" w:type="dxa"/>
            <w:vAlign w:val="bottom"/>
          </w:tcPr>
          <w:p>
            <w:pPr>
              <w:spacing w:after="0"/>
              <w:rPr>
                <w:sz w:val="9"/>
                <w:szCs w:val="9"/>
                <w:color w:val="auto"/>
              </w:rPr>
            </w:pPr>
          </w:p>
        </w:tc>
        <w:tc>
          <w:tcPr>
            <w:tcW w:w="620" w:type="dxa"/>
            <w:vAlign w:val="bottom"/>
            <w:gridSpan w:val="5"/>
          </w:tcPr>
          <w:p>
            <w:pPr>
              <w:ind w:left="20"/>
              <w:spacing w:after="0" w:line="104" w:lineRule="exact"/>
              <w:rPr>
                <w:sz w:val="20"/>
                <w:szCs w:val="20"/>
                <w:color w:val="auto"/>
              </w:rPr>
            </w:pPr>
            <w:r>
              <w:rPr>
                <w:rFonts w:ascii="Arial" w:cs="Arial" w:eastAsia="Arial" w:hAnsi="Arial"/>
                <w:sz w:val="10"/>
                <w:szCs w:val="10"/>
                <w:b w:val="1"/>
                <w:bCs w:val="1"/>
                <w:color w:val="auto"/>
                <w:w w:val="93"/>
              </w:rPr>
              <w:t>Equity based</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4"/>
          </w:tcPr>
          <w:p>
            <w:pPr>
              <w:jc w:val="center"/>
              <w:ind w:right="69"/>
              <w:spacing w:after="0" w:line="104" w:lineRule="exact"/>
              <w:rPr>
                <w:sz w:val="20"/>
                <w:szCs w:val="20"/>
                <w:color w:val="auto"/>
              </w:rPr>
            </w:pPr>
            <w:r>
              <w:rPr>
                <w:rFonts w:ascii="Arial" w:cs="Arial" w:eastAsia="Arial" w:hAnsi="Arial"/>
                <w:sz w:val="10"/>
                <w:szCs w:val="10"/>
                <w:b w:val="1"/>
                <w:bCs w:val="1"/>
                <w:color w:val="auto"/>
                <w:w w:val="93"/>
              </w:rPr>
              <w:t>liabilities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5"/>
          </w:tcPr>
          <w:p>
            <w:pPr>
              <w:jc w:val="center"/>
              <w:ind w:right="20"/>
              <w:spacing w:after="0" w:line="104" w:lineRule="exact"/>
              <w:rPr>
                <w:sz w:val="20"/>
                <w:szCs w:val="20"/>
                <w:color w:val="auto"/>
              </w:rPr>
            </w:pPr>
            <w:r>
              <w:rPr>
                <w:rFonts w:ascii="Arial" w:cs="Arial" w:eastAsia="Arial" w:hAnsi="Arial"/>
                <w:sz w:val="10"/>
                <w:szCs w:val="10"/>
                <w:b w:val="1"/>
                <w:bCs w:val="1"/>
                <w:color w:val="auto"/>
                <w:w w:val="85"/>
              </w:rPr>
              <w:t>assets and</w:t>
            </w:r>
          </w:p>
        </w:tc>
        <w:tc>
          <w:tcPr>
            <w:tcW w:w="160" w:type="dxa"/>
            <w:vAlign w:val="bottom"/>
          </w:tcPr>
          <w:p>
            <w:pPr>
              <w:spacing w:after="0"/>
              <w:rPr>
                <w:sz w:val="9"/>
                <w:szCs w:val="9"/>
                <w:color w:val="auto"/>
              </w:rPr>
            </w:pPr>
          </w:p>
        </w:tc>
        <w:tc>
          <w:tcPr>
            <w:tcW w:w="620" w:type="dxa"/>
            <w:vAlign w:val="bottom"/>
            <w:gridSpan w:val="5"/>
          </w:tcPr>
          <w:p>
            <w:pPr>
              <w:spacing w:after="0" w:line="104" w:lineRule="exact"/>
              <w:rPr>
                <w:sz w:val="20"/>
                <w:szCs w:val="20"/>
                <w:color w:val="auto"/>
              </w:rPr>
            </w:pPr>
            <w:r>
              <w:rPr>
                <w:rFonts w:ascii="Arial" w:cs="Arial" w:eastAsia="Arial" w:hAnsi="Arial"/>
                <w:sz w:val="10"/>
                <w:szCs w:val="10"/>
                <w:b w:val="1"/>
                <w:bCs w:val="1"/>
                <w:color w:val="auto"/>
                <w:w w:val="88"/>
              </w:rPr>
              <w:t>compensation</w:t>
            </w:r>
          </w:p>
        </w:tc>
        <w:tc>
          <w:tcPr>
            <w:tcW w:w="20" w:type="dxa"/>
            <w:vAlign w:val="bottom"/>
          </w:tcPr>
          <w:p>
            <w:pPr>
              <w:spacing w:after="0"/>
              <w:rPr>
                <w:sz w:val="9"/>
                <w:szCs w:val="9"/>
                <w:color w:val="auto"/>
              </w:rPr>
            </w:pPr>
          </w:p>
        </w:tc>
        <w:tc>
          <w:tcPr>
            <w:tcW w:w="740" w:type="dxa"/>
            <w:vAlign w:val="bottom"/>
            <w:gridSpan w:val="5"/>
          </w:tcPr>
          <w:p>
            <w:pPr>
              <w:jc w:val="center"/>
              <w:ind w:left="38"/>
              <w:spacing w:after="0" w:line="104" w:lineRule="exact"/>
              <w:rPr>
                <w:sz w:val="20"/>
                <w:szCs w:val="20"/>
                <w:color w:val="auto"/>
              </w:rPr>
            </w:pPr>
            <w:r>
              <w:rPr>
                <w:rFonts w:ascii="Arial" w:cs="Arial" w:eastAsia="Arial" w:hAnsi="Arial"/>
                <w:sz w:val="10"/>
                <w:szCs w:val="10"/>
                <w:b w:val="1"/>
                <w:bCs w:val="1"/>
                <w:color w:val="auto"/>
                <w:w w:val="88"/>
              </w:rPr>
              <w:t>measured at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3"/>
          </w:tcPr>
          <w:p>
            <w:pPr>
              <w:ind w:left="40"/>
              <w:spacing w:after="0" w:line="104" w:lineRule="exact"/>
              <w:rPr>
                <w:sz w:val="20"/>
                <w:szCs w:val="20"/>
                <w:color w:val="auto"/>
              </w:rPr>
            </w:pPr>
            <w:r>
              <w:rPr>
                <w:rFonts w:ascii="Arial" w:cs="Arial" w:eastAsia="Arial" w:hAnsi="Arial"/>
                <w:sz w:val="10"/>
                <w:szCs w:val="10"/>
                <w:b w:val="1"/>
                <w:bCs w:val="1"/>
                <w:color w:val="auto"/>
              </w:rPr>
              <w:t>Tax</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480" w:type="dxa"/>
            <w:vAlign w:val="bottom"/>
            <w:gridSpan w:val="3"/>
          </w:tcPr>
          <w:p>
            <w:pPr>
              <w:jc w:val="right"/>
              <w:ind w:right="39"/>
              <w:spacing w:after="0"/>
              <w:rPr>
                <w:sz w:val="20"/>
                <w:szCs w:val="20"/>
                <w:color w:val="auto"/>
              </w:rPr>
            </w:pPr>
            <w:r>
              <w:rPr>
                <w:rFonts w:ascii="Arial" w:cs="Arial" w:eastAsia="Arial" w:hAnsi="Arial"/>
                <w:sz w:val="10"/>
                <w:szCs w:val="10"/>
                <w:b w:val="1"/>
                <w:bCs w:val="1"/>
                <w:color w:val="auto"/>
              </w:rPr>
              <w:t>GAAP</w:t>
            </w:r>
          </w:p>
        </w:tc>
        <w:tc>
          <w:tcPr>
            <w:tcW w:w="180" w:type="dxa"/>
            <w:vAlign w:val="bottom"/>
          </w:tcPr>
          <w:p>
            <w:pPr>
              <w:spacing w:after="0"/>
              <w:rPr>
                <w:sz w:val="10"/>
                <w:szCs w:val="10"/>
                <w:color w:val="auto"/>
              </w:rPr>
            </w:pPr>
          </w:p>
        </w:tc>
        <w:tc>
          <w:tcPr>
            <w:tcW w:w="62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87"/>
              </w:rPr>
              <w:t>other</w:t>
            </w:r>
          </w:p>
        </w:tc>
        <w:tc>
          <w:tcPr>
            <w:tcW w:w="160" w:type="dxa"/>
            <w:vAlign w:val="bottom"/>
          </w:tcPr>
          <w:p>
            <w:pPr>
              <w:spacing w:after="0"/>
              <w:rPr>
                <w:sz w:val="10"/>
                <w:szCs w:val="10"/>
                <w:color w:val="auto"/>
              </w:rPr>
            </w:pPr>
          </w:p>
        </w:tc>
        <w:tc>
          <w:tcPr>
            <w:tcW w:w="620" w:type="dxa"/>
            <w:vAlign w:val="bottom"/>
            <w:gridSpan w:val="5"/>
          </w:tcPr>
          <w:p>
            <w:pPr>
              <w:jc w:val="right"/>
              <w:ind w:right="160"/>
              <w:spacing w:after="0"/>
              <w:rPr>
                <w:sz w:val="20"/>
                <w:szCs w:val="20"/>
                <w:color w:val="auto"/>
              </w:rPr>
            </w:pPr>
            <w:r>
              <w:rPr>
                <w:rFonts w:ascii="Arial" w:cs="Arial" w:eastAsia="Arial" w:hAnsi="Arial"/>
                <w:sz w:val="10"/>
                <w:szCs w:val="10"/>
                <w:b w:val="1"/>
                <w:bCs w:val="1"/>
                <w:color w:val="auto"/>
              </w:rPr>
              <w:t>expense</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4"/>
          </w:tcPr>
          <w:p>
            <w:pPr>
              <w:jc w:val="center"/>
              <w:ind w:right="69"/>
              <w:spacing w:after="0"/>
              <w:rPr>
                <w:sz w:val="20"/>
                <w:szCs w:val="20"/>
                <w:color w:val="auto"/>
              </w:rPr>
            </w:pPr>
            <w:r>
              <w:rPr>
                <w:rFonts w:ascii="Arial" w:cs="Arial" w:eastAsia="Arial" w:hAnsi="Arial"/>
                <w:sz w:val="10"/>
                <w:szCs w:val="10"/>
                <w:b w:val="1"/>
                <w:bCs w:val="1"/>
                <w:color w:val="auto"/>
                <w:w w:val="90"/>
              </w:rPr>
              <w:t>fair value</w:t>
            </w:r>
          </w:p>
        </w:tc>
        <w:tc>
          <w:tcPr>
            <w:tcW w:w="200" w:type="dxa"/>
            <w:vAlign w:val="bottom"/>
          </w:tcPr>
          <w:p>
            <w:pPr>
              <w:spacing w:after="0"/>
              <w:rPr>
                <w:sz w:val="10"/>
                <w:szCs w:val="10"/>
                <w:color w:val="auto"/>
              </w:rPr>
            </w:pPr>
          </w:p>
        </w:tc>
        <w:tc>
          <w:tcPr>
            <w:tcW w:w="320" w:type="dxa"/>
            <w:vAlign w:val="bottom"/>
            <w:gridSpan w:val="3"/>
          </w:tcPr>
          <w:p>
            <w:pPr>
              <w:spacing w:after="0"/>
              <w:rPr>
                <w:sz w:val="20"/>
                <w:szCs w:val="20"/>
                <w:color w:val="auto"/>
              </w:rPr>
            </w:pPr>
            <w:r>
              <w:rPr>
                <w:rFonts w:ascii="Arial" w:cs="Arial" w:eastAsia="Arial" w:hAnsi="Arial"/>
                <w:sz w:val="10"/>
                <w:szCs w:val="10"/>
                <w:b w:val="1"/>
                <w:bCs w:val="1"/>
                <w:color w:val="auto"/>
              </w:rPr>
              <w:t>Other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spacing w:after="0"/>
              <w:rPr>
                <w:sz w:val="20"/>
                <w:szCs w:val="20"/>
                <w:color w:val="auto"/>
              </w:rPr>
            </w:pPr>
            <w:r>
              <w:rPr>
                <w:rFonts w:ascii="Arial" w:cs="Arial" w:eastAsia="Arial" w:hAnsi="Arial"/>
                <w:sz w:val="10"/>
                <w:szCs w:val="10"/>
                <w:b w:val="1"/>
                <w:bCs w:val="1"/>
                <w:color w:val="auto"/>
              </w:rPr>
              <w:t>effect</w:t>
            </w:r>
          </w:p>
        </w:tc>
        <w:tc>
          <w:tcPr>
            <w:tcW w:w="8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2"/>
              </w:rPr>
              <w:t>Non-GAAP</w:t>
            </w:r>
          </w:p>
        </w:tc>
        <w:tc>
          <w:tcPr>
            <w:tcW w:w="0" w:type="dxa"/>
            <w:vAlign w:val="bottom"/>
          </w:tcPr>
          <w:p>
            <w:pPr>
              <w:spacing w:after="0"/>
              <w:rPr>
                <w:sz w:val="1"/>
                <w:szCs w:val="1"/>
                <w:color w:val="auto"/>
              </w:rPr>
            </w:pPr>
          </w:p>
        </w:tc>
      </w:tr>
      <w:tr>
        <w:trPr>
          <w:trHeight w:val="132"/>
        </w:trPr>
        <w:tc>
          <w:tcPr>
            <w:tcW w:w="310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2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20"/>
                <w:szCs w:val="20"/>
                <w:color w:val="auto"/>
              </w:rPr>
            </w:pPr>
            <w:r>
              <w:rPr>
                <w:rFonts w:ascii="Arial" w:cs="Arial" w:eastAsia="Arial" w:hAnsi="Arial"/>
                <w:sz w:val="13"/>
                <w:szCs w:val="13"/>
                <w:color w:val="auto"/>
              </w:rPr>
              <w:t>Cost of revenue</w:t>
            </w:r>
          </w:p>
        </w:tc>
        <w:tc>
          <w:tcPr>
            <w:tcW w:w="480" w:type="dxa"/>
            <w:vAlign w:val="bottom"/>
            <w:gridSpan w:val="3"/>
          </w:tcPr>
          <w:p>
            <w:pPr>
              <w:jc w:val="right"/>
              <w:spacing w:after="0"/>
              <w:rPr>
                <w:sz w:val="20"/>
                <w:szCs w:val="20"/>
                <w:color w:val="auto"/>
              </w:rPr>
            </w:pPr>
            <w:r>
              <w:rPr>
                <w:rFonts w:ascii="Arial" w:cs="Arial" w:eastAsia="Arial" w:hAnsi="Arial"/>
                <w:sz w:val="13"/>
                <w:szCs w:val="13"/>
                <w:color w:val="auto"/>
                <w:w w:val="81"/>
              </w:rPr>
              <w:t>$741,257</w:t>
            </w: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2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00" w:type="dxa"/>
            <w:vAlign w:val="bottom"/>
            <w:gridSpan w:val="4"/>
          </w:tcPr>
          <w:p>
            <w:pPr>
              <w:jc w:val="right"/>
              <w:spacing w:after="0"/>
              <w:rPr>
                <w:sz w:val="20"/>
                <w:szCs w:val="20"/>
                <w:color w:val="auto"/>
              </w:rPr>
            </w:pPr>
            <w:r>
              <w:rPr>
                <w:rFonts w:ascii="Arial" w:cs="Arial" w:eastAsia="Arial" w:hAnsi="Arial"/>
                <w:sz w:val="13"/>
                <w:szCs w:val="13"/>
                <w:color w:val="auto"/>
                <w:w w:val="92"/>
              </w:rPr>
              <w:t>(8,070)</w:t>
            </w:r>
          </w:p>
        </w:tc>
        <w:tc>
          <w:tcPr>
            <w:tcW w:w="220" w:type="dxa"/>
            <w:vAlign w:val="bottom"/>
          </w:tcPr>
          <w:p>
            <w:pPr>
              <w:jc w:val="center"/>
              <w:ind w:left="98"/>
              <w:spacing w:after="0"/>
              <w:rPr>
                <w:sz w:val="20"/>
                <w:szCs w:val="20"/>
                <w:color w:val="auto"/>
              </w:rPr>
            </w:pPr>
            <w:r>
              <w:rPr>
                <w:rFonts w:ascii="Arial" w:cs="Arial" w:eastAsia="Arial" w:hAnsi="Arial"/>
                <w:sz w:val="13"/>
                <w:szCs w:val="13"/>
                <w:color w:val="auto"/>
                <w:w w:val="82"/>
              </w:rPr>
              <w:t>$</w:t>
            </w:r>
          </w:p>
        </w:tc>
        <w:tc>
          <w:tcPr>
            <w:tcW w:w="520" w:type="dxa"/>
            <w:vAlign w:val="bottom"/>
            <w:gridSpan w:val="4"/>
          </w:tcPr>
          <w:p>
            <w:pPr>
              <w:jc w:val="right"/>
              <w:spacing w:after="0"/>
              <w:rPr>
                <w:sz w:val="20"/>
                <w:szCs w:val="20"/>
                <w:color w:val="auto"/>
              </w:rPr>
            </w:pPr>
            <w:r>
              <w:rPr>
                <w:rFonts w:ascii="Arial" w:cs="Arial" w:eastAsia="Arial" w:hAnsi="Arial"/>
                <w:sz w:val="13"/>
                <w:szCs w:val="13"/>
                <w:color w:val="auto"/>
              </w:rPr>
              <w:t>(1,820)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200" w:type="dxa"/>
            <w:vAlign w:val="bottom"/>
            <w:gridSpan w:val="3"/>
          </w:tcPr>
          <w:p>
            <w:pPr>
              <w:ind w:left="120"/>
              <w:spacing w:after="0"/>
              <w:rPr>
                <w:sz w:val="20"/>
                <w:szCs w:val="20"/>
                <w:color w:val="auto"/>
              </w:rPr>
            </w:pPr>
            <w:r>
              <w:rPr>
                <w:rFonts w:ascii="Arial" w:cs="Arial" w:eastAsia="Arial" w:hAnsi="Arial"/>
                <w:sz w:val="13"/>
                <w:szCs w:val="13"/>
                <w:color w:val="auto"/>
                <w:w w:val="82"/>
              </w:rPr>
              <w:t>$</w:t>
            </w:r>
          </w:p>
        </w:tc>
        <w:tc>
          <w:tcPr>
            <w:tcW w:w="4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$ 731,367</w:t>
            </w: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87,064</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92"/>
              </w:rPr>
              <w:t>(1,375)</w:t>
            </w: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85,689</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480" w:type="dxa"/>
            <w:vAlign w:val="bottom"/>
            <w:gridSpan w:val="3"/>
          </w:tcPr>
          <w:p>
            <w:pPr>
              <w:jc w:val="right"/>
              <w:spacing w:after="0"/>
              <w:rPr>
                <w:sz w:val="20"/>
                <w:szCs w:val="20"/>
                <w:color w:val="auto"/>
              </w:rPr>
            </w:pPr>
            <w:r>
              <w:rPr>
                <w:rFonts w:ascii="Arial" w:cs="Arial" w:eastAsia="Arial" w:hAnsi="Arial"/>
                <w:sz w:val="13"/>
                <w:szCs w:val="13"/>
                <w:color w:val="auto"/>
                <w:w w:val="93"/>
              </w:rPr>
              <w:t>134,982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4"/>
          </w:tcPr>
          <w:p>
            <w:pPr>
              <w:jc w:val="right"/>
              <w:spacing w:after="0"/>
              <w:rPr>
                <w:sz w:val="20"/>
                <w:szCs w:val="20"/>
                <w:color w:val="auto"/>
              </w:rPr>
            </w:pPr>
            <w:r>
              <w:rPr>
                <w:rFonts w:ascii="Arial" w:cs="Arial" w:eastAsia="Arial" w:hAnsi="Arial"/>
                <w:sz w:val="13"/>
                <w:szCs w:val="13"/>
                <w:color w:val="auto"/>
                <w:w w:val="92"/>
              </w:rPr>
              <w:t>(8,392)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126,590</w:t>
            </w: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w w:val="99"/>
              </w:rPr>
              <w:t>Amortization of purchased intangible assets and other</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18,317</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(18,317)</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3"/>
                <w:szCs w:val="13"/>
                <w:color w:val="auto"/>
              </w:rPr>
              <w:t>Total operating expenses</w:t>
            </w:r>
          </w:p>
        </w:tc>
        <w:tc>
          <w:tcPr>
            <w:tcW w:w="4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vMerge w:val="continue"/>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w w:val="93"/>
              </w:rPr>
              <w:t>981,620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w w:val="82"/>
              </w:rPr>
              <w:t>(18,317)</w:t>
            </w:r>
          </w:p>
        </w:tc>
        <w:tc>
          <w:tcPr>
            <w:tcW w:w="800" w:type="dxa"/>
            <w:vAlign w:val="bottom"/>
            <w:gridSpan w:val="7"/>
          </w:tcPr>
          <w:p>
            <w:pPr>
              <w:jc w:val="right"/>
              <w:spacing w:after="0"/>
              <w:rPr>
                <w:sz w:val="20"/>
                <w:szCs w:val="20"/>
                <w:color w:val="auto"/>
              </w:rPr>
            </w:pPr>
            <w:r>
              <w:rPr>
                <w:rFonts w:ascii="Arial" w:cs="Arial" w:eastAsia="Arial" w:hAnsi="Arial"/>
                <w:sz w:val="13"/>
                <w:szCs w:val="13"/>
                <w:color w:val="auto"/>
              </w:rPr>
              <w:t>(17,837)</w:t>
            </w:r>
          </w:p>
        </w:tc>
        <w:tc>
          <w:tcPr>
            <w:tcW w:w="220" w:type="dxa"/>
            <w:vAlign w:val="bottom"/>
          </w:tcPr>
          <w:p>
            <w:pPr>
              <w:spacing w:after="0"/>
              <w:rPr>
                <w:sz w:val="13"/>
                <w:szCs w:val="13"/>
                <w:color w:val="auto"/>
              </w:rPr>
            </w:pPr>
          </w:p>
        </w:tc>
        <w:tc>
          <w:tcPr>
            <w:tcW w:w="520" w:type="dxa"/>
            <w:vAlign w:val="bottom"/>
            <w:gridSpan w:val="4"/>
          </w:tcPr>
          <w:p>
            <w:pPr>
              <w:jc w:val="right"/>
              <w:spacing w:after="0"/>
              <w:rPr>
                <w:sz w:val="20"/>
                <w:szCs w:val="20"/>
                <w:color w:val="auto"/>
              </w:rPr>
            </w:pPr>
            <w:r>
              <w:rPr>
                <w:rFonts w:ascii="Arial" w:cs="Arial" w:eastAsia="Arial" w:hAnsi="Arial"/>
                <w:sz w:val="13"/>
                <w:szCs w:val="13"/>
                <w:color w:val="auto"/>
              </w:rPr>
              <w:t>(1,820)</w:t>
            </w:r>
          </w:p>
        </w:tc>
        <w:tc>
          <w:tcPr>
            <w:tcW w:w="200" w:type="dxa"/>
            <w:vAlign w:val="bottom"/>
          </w:tcPr>
          <w:p>
            <w:pPr>
              <w:spacing w:after="0"/>
              <w:rPr>
                <w:sz w:val="13"/>
                <w:szCs w:val="13"/>
                <w:color w:val="auto"/>
              </w:rPr>
            </w:pPr>
          </w:p>
        </w:tc>
        <w:tc>
          <w:tcPr>
            <w:tcW w:w="32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943,646</w:t>
            </w:r>
          </w:p>
        </w:tc>
        <w:tc>
          <w:tcPr>
            <w:tcW w:w="0" w:type="dxa"/>
            <w:vAlign w:val="bottom"/>
          </w:tcPr>
          <w:p>
            <w:pPr>
              <w:spacing w:after="0"/>
              <w:rPr>
                <w:sz w:val="1"/>
                <w:szCs w:val="1"/>
                <w:color w:val="auto"/>
              </w:rPr>
            </w:pPr>
          </w:p>
        </w:tc>
      </w:tr>
      <w:tr>
        <w:trPr>
          <w:trHeight w:val="151"/>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w w:val="93"/>
              </w:rPr>
              <w:t>163,651</w:t>
            </w:r>
          </w:p>
        </w:tc>
        <w:tc>
          <w:tcPr>
            <w:tcW w:w="1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0"/>
              </w:rPr>
              <w:t>18,317</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5"/>
              </w:rPr>
              <w:t>17,837</w:t>
            </w:r>
          </w:p>
        </w:tc>
        <w:tc>
          <w:tcPr>
            <w:tcW w:w="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1,820</w:t>
            </w:r>
          </w:p>
        </w:tc>
        <w:tc>
          <w:tcPr>
            <w:tcW w:w="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201,625</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660" w:type="dxa"/>
            <w:vAlign w:val="bottom"/>
            <w:gridSpan w:val="4"/>
          </w:tcPr>
          <w:p>
            <w:pPr>
              <w:jc w:val="right"/>
              <w:ind w:right="99"/>
              <w:spacing w:after="0"/>
              <w:rPr>
                <w:sz w:val="20"/>
                <w:szCs w:val="20"/>
                <w:color w:val="auto"/>
              </w:rPr>
            </w:pPr>
            <w:r>
              <w:rPr>
                <w:rFonts w:ascii="Arial" w:cs="Arial" w:eastAsia="Arial" w:hAnsi="Arial"/>
                <w:sz w:val="13"/>
                <w:szCs w:val="13"/>
                <w:color w:val="auto"/>
              </w:rPr>
              <w:t>(8,619)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3"/>
                <w:szCs w:val="13"/>
                <w:color w:val="auto"/>
                <w:w w:val="79"/>
              </w:rPr>
              <w:t>1,100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(7,519)</w:t>
            </w: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 expense</w:t>
            </w:r>
          </w:p>
        </w:tc>
        <w:tc>
          <w:tcPr>
            <w:tcW w:w="660" w:type="dxa"/>
            <w:vAlign w:val="bottom"/>
            <w:gridSpan w:val="4"/>
            <w:shd w:val="clear" w:color="auto" w:fill="CCEEFF"/>
          </w:tcPr>
          <w:p>
            <w:pPr>
              <w:jc w:val="right"/>
              <w:ind w:right="99"/>
              <w:spacing w:after="0"/>
              <w:rPr>
                <w:sz w:val="20"/>
                <w:szCs w:val="20"/>
                <w:color w:val="auto"/>
              </w:rPr>
            </w:pPr>
            <w:r>
              <w:rPr>
                <w:rFonts w:ascii="Arial" w:cs="Arial" w:eastAsia="Arial" w:hAnsi="Arial"/>
                <w:sz w:val="13"/>
                <w:szCs w:val="13"/>
                <w:color w:val="auto"/>
              </w:rPr>
              <w:t>(3,465)</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79"/>
              </w:rPr>
              <w:t>6,627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3,162</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4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vMerge w:val="continue"/>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u w:val="single" w:color="auto"/>
                <w:color w:val="auto"/>
                <w:w w:val="81"/>
              </w:rPr>
              <w:t>$</w:t>
            </w:r>
            <w:r>
              <w:rPr>
                <w:rFonts w:ascii="Arial" w:cs="Arial" w:eastAsia="Arial" w:hAnsi="Arial"/>
                <w:sz w:val="13"/>
                <w:szCs w:val="13"/>
                <w:color w:val="auto"/>
                <w:w w:val="81"/>
              </w:rPr>
              <w:t>158,497</w:t>
            </w:r>
          </w:p>
        </w:tc>
        <w:tc>
          <w:tcPr>
            <w:tcW w:w="18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9"/>
                <w:szCs w:val="9"/>
                <w:color w:val="auto"/>
                <w:w w:val="78"/>
              </w:rPr>
              <w:t>$</w:t>
            </w:r>
          </w:p>
        </w:tc>
        <w:tc>
          <w:tcPr>
            <w:tcW w:w="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90"/>
              </w:rPr>
              <w:t>18,317</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w w:val="85"/>
              </w:rPr>
              <w:t>17,837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jc w:val="center"/>
              <w:ind w:left="98"/>
              <w:spacing w:after="0"/>
              <w:rPr>
                <w:sz w:val="20"/>
                <w:szCs w:val="20"/>
                <w:color w:val="auto"/>
              </w:rPr>
            </w:pPr>
            <w:r>
              <w:rPr>
                <w:rFonts w:ascii="Arial" w:cs="Arial" w:eastAsia="Arial" w:hAnsi="Arial"/>
                <w:sz w:val="13"/>
                <w:szCs w:val="13"/>
                <w:color w:val="auto"/>
                <w:w w:val="82"/>
              </w:rPr>
              <w:t>$</w:t>
            </w: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1,820</w:t>
            </w:r>
          </w:p>
        </w:tc>
        <w:tc>
          <w:tcPr>
            <w:tcW w:w="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u w:val="single" w:color="auto"/>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3"/>
                <w:szCs w:val="13"/>
                <w:color w:val="auto"/>
                <w:w w:val="79"/>
              </w:rPr>
              <w:t>1,100</w:t>
            </w:r>
          </w:p>
        </w:tc>
        <w:tc>
          <w:tcPr>
            <w:tcW w:w="640" w:type="dxa"/>
            <w:vAlign w:val="bottom"/>
            <w:gridSpan w:val="6"/>
          </w:tcPr>
          <w:p>
            <w:pPr>
              <w:ind w:left="12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(6,627)</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$ 190,944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383"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12"/>
          </w:tcPr>
          <w:p>
            <w:pPr>
              <w:spacing w:after="0"/>
              <w:rPr>
                <w:sz w:val="20"/>
                <w:szCs w:val="20"/>
                <w:color w:val="auto"/>
              </w:rPr>
            </w:pPr>
            <w:r>
              <w:rPr>
                <w:rFonts w:ascii="Arial" w:cs="Arial" w:eastAsia="Arial" w:hAnsi="Arial"/>
                <w:sz w:val="10"/>
                <w:szCs w:val="10"/>
                <w:b w:val="1"/>
                <w:bCs w:val="1"/>
                <w:color w:val="auto"/>
                <w:w w:val="98"/>
              </w:rPr>
              <w:t>Six Months Ended March 31, 2023</w:t>
            </w: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2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4"/>
          </w:tcPr>
          <w:p>
            <w:pPr>
              <w:jc w:val="center"/>
              <w:ind w:right="80"/>
              <w:spacing w:after="0" w:line="79" w:lineRule="exact"/>
              <w:rPr>
                <w:sz w:val="20"/>
                <w:szCs w:val="20"/>
                <w:color w:val="auto"/>
              </w:rPr>
            </w:pPr>
            <w:r>
              <w:rPr>
                <w:rFonts w:ascii="Arial" w:cs="Arial" w:eastAsia="Arial" w:hAnsi="Arial"/>
                <w:sz w:val="9"/>
                <w:szCs w:val="9"/>
                <w:b w:val="1"/>
                <w:bCs w:val="1"/>
                <w:color w:val="auto"/>
                <w:w w:val="98"/>
              </w:rPr>
              <w:t>Changes in</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4"/>
          </w:tcPr>
          <w:p>
            <w:pPr>
              <w:jc w:val="center"/>
              <w:ind w:right="60"/>
              <w:spacing w:after="0" w:line="104" w:lineRule="exact"/>
              <w:rPr>
                <w:sz w:val="20"/>
                <w:szCs w:val="20"/>
                <w:color w:val="auto"/>
              </w:rPr>
            </w:pPr>
            <w:r>
              <w:rPr>
                <w:rFonts w:ascii="Arial" w:cs="Arial" w:eastAsia="Arial" w:hAnsi="Arial"/>
                <w:sz w:val="10"/>
                <w:szCs w:val="10"/>
                <w:b w:val="1"/>
                <w:bCs w:val="1"/>
                <w:color w:val="auto"/>
                <w:w w:val="91"/>
              </w:rPr>
              <w:t>certain</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4"/>
          </w:tcPr>
          <w:p>
            <w:pPr>
              <w:jc w:val="center"/>
              <w:ind w:right="40"/>
              <w:spacing w:after="0" w:line="104" w:lineRule="exact"/>
              <w:rPr>
                <w:sz w:val="20"/>
                <w:szCs w:val="20"/>
                <w:color w:val="auto"/>
              </w:rPr>
            </w:pPr>
            <w:r>
              <w:rPr>
                <w:rFonts w:ascii="Arial" w:cs="Arial" w:eastAsia="Arial" w:hAnsi="Arial"/>
                <w:sz w:val="10"/>
                <w:szCs w:val="10"/>
                <w:b w:val="1"/>
                <w:bCs w:val="1"/>
                <w:color w:val="auto"/>
                <w:w w:val="94"/>
              </w:rPr>
              <w:t>Amortization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4"/>
          </w:tcPr>
          <w:p>
            <w:pPr>
              <w:jc w:val="center"/>
              <w:ind w:right="60"/>
              <w:spacing w:after="0" w:line="104" w:lineRule="exact"/>
              <w:rPr>
                <w:sz w:val="20"/>
                <w:szCs w:val="20"/>
                <w:color w:val="auto"/>
              </w:rPr>
            </w:pPr>
            <w:r>
              <w:rPr>
                <w:rFonts w:ascii="Arial" w:cs="Arial" w:eastAsia="Arial" w:hAnsi="Arial"/>
                <w:sz w:val="10"/>
                <w:szCs w:val="10"/>
                <w:b w:val="1"/>
                <w:bCs w:val="1"/>
                <w:color w:val="auto"/>
                <w:w w:val="85"/>
              </w:rPr>
              <w:t>acquisitions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4"/>
          </w:tcPr>
          <w:p>
            <w:pPr>
              <w:jc w:val="center"/>
              <w:ind w:right="20"/>
              <w:spacing w:after="0" w:line="104" w:lineRule="exact"/>
              <w:rPr>
                <w:sz w:val="20"/>
                <w:szCs w:val="20"/>
                <w:color w:val="auto"/>
              </w:rPr>
            </w:pPr>
            <w:r>
              <w:rPr>
                <w:rFonts w:ascii="Arial" w:cs="Arial" w:eastAsia="Arial" w:hAnsi="Arial"/>
                <w:sz w:val="10"/>
                <w:szCs w:val="10"/>
                <w:b w:val="1"/>
                <w:bCs w:val="1"/>
                <w:color w:val="auto"/>
                <w:w w:val="89"/>
              </w:rPr>
              <w:t>of purchased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4"/>
          </w:tcPr>
          <w:p>
            <w:pPr>
              <w:jc w:val="center"/>
              <w:ind w:right="60"/>
              <w:spacing w:after="0" w:line="104" w:lineRule="exact"/>
              <w:rPr>
                <w:sz w:val="20"/>
                <w:szCs w:val="20"/>
                <w:color w:val="auto"/>
              </w:rPr>
            </w:pPr>
            <w:r>
              <w:rPr>
                <w:rFonts w:ascii="Arial" w:cs="Arial" w:eastAsia="Arial" w:hAnsi="Arial"/>
                <w:sz w:val="10"/>
                <w:szCs w:val="10"/>
                <w:b w:val="1"/>
                <w:bCs w:val="1"/>
                <w:color w:val="auto"/>
                <w:w w:val="91"/>
              </w:rPr>
              <w:t>related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4"/>
          </w:tcPr>
          <w:p>
            <w:pPr>
              <w:jc w:val="center"/>
              <w:ind w:right="40"/>
              <w:spacing w:after="0" w:line="104" w:lineRule="exact"/>
              <w:rPr>
                <w:sz w:val="20"/>
                <w:szCs w:val="20"/>
                <w:color w:val="auto"/>
              </w:rPr>
            </w:pPr>
            <w:r>
              <w:rPr>
                <w:rFonts w:ascii="Arial" w:cs="Arial" w:eastAsia="Arial" w:hAnsi="Arial"/>
                <w:sz w:val="10"/>
                <w:szCs w:val="10"/>
                <w:b w:val="1"/>
                <w:bCs w:val="1"/>
                <w:color w:val="auto"/>
                <w:w w:val="88"/>
              </w:rPr>
              <w:t>intangible</w:t>
            </w:r>
          </w:p>
        </w:tc>
        <w:tc>
          <w:tcPr>
            <w:tcW w:w="140" w:type="dxa"/>
            <w:vAlign w:val="bottom"/>
          </w:tcPr>
          <w:p>
            <w:pPr>
              <w:spacing w:after="0"/>
              <w:rPr>
                <w:sz w:val="9"/>
                <w:szCs w:val="9"/>
                <w:color w:val="auto"/>
              </w:rPr>
            </w:pPr>
          </w:p>
        </w:tc>
        <w:tc>
          <w:tcPr>
            <w:tcW w:w="700" w:type="dxa"/>
            <w:vAlign w:val="bottom"/>
            <w:gridSpan w:val="6"/>
          </w:tcPr>
          <w:p>
            <w:pPr>
              <w:jc w:val="right"/>
              <w:ind w:right="100"/>
              <w:spacing w:after="0" w:line="104" w:lineRule="exact"/>
              <w:rPr>
                <w:sz w:val="20"/>
                <w:szCs w:val="20"/>
                <w:color w:val="auto"/>
              </w:rPr>
            </w:pPr>
            <w:r>
              <w:rPr>
                <w:rFonts w:ascii="Arial" w:cs="Arial" w:eastAsia="Arial" w:hAnsi="Arial"/>
                <w:sz w:val="10"/>
                <w:szCs w:val="10"/>
                <w:b w:val="1"/>
                <w:bCs w:val="1"/>
                <w:color w:val="auto"/>
                <w:w w:val="93"/>
              </w:rPr>
              <w:t>Equity based</w:t>
            </w:r>
          </w:p>
        </w:tc>
        <w:tc>
          <w:tcPr>
            <w:tcW w:w="100" w:type="dxa"/>
            <w:vAlign w:val="bottom"/>
          </w:tcPr>
          <w:p>
            <w:pPr>
              <w:spacing w:after="0"/>
              <w:rPr>
                <w:sz w:val="9"/>
                <w:szCs w:val="9"/>
                <w:color w:val="auto"/>
              </w:rPr>
            </w:pPr>
          </w:p>
        </w:tc>
        <w:tc>
          <w:tcPr>
            <w:tcW w:w="600" w:type="dxa"/>
            <w:vAlign w:val="bottom"/>
            <w:gridSpan w:val="4"/>
          </w:tcPr>
          <w:p>
            <w:pPr>
              <w:jc w:val="center"/>
              <w:ind w:right="80"/>
              <w:spacing w:after="0" w:line="104" w:lineRule="exact"/>
              <w:rPr>
                <w:sz w:val="20"/>
                <w:szCs w:val="20"/>
                <w:color w:val="auto"/>
              </w:rPr>
            </w:pPr>
            <w:r>
              <w:rPr>
                <w:rFonts w:ascii="Arial" w:cs="Arial" w:eastAsia="Arial" w:hAnsi="Arial"/>
                <w:sz w:val="10"/>
                <w:szCs w:val="10"/>
                <w:b w:val="1"/>
                <w:bCs w:val="1"/>
                <w:color w:val="auto"/>
                <w:w w:val="93"/>
              </w:rPr>
              <w:t>liabilities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4"/>
          </w:tcPr>
          <w:p>
            <w:pPr>
              <w:jc w:val="center"/>
              <w:ind w:right="40"/>
              <w:spacing w:after="0" w:line="104" w:lineRule="exact"/>
              <w:rPr>
                <w:sz w:val="20"/>
                <w:szCs w:val="20"/>
                <w:color w:val="auto"/>
              </w:rPr>
            </w:pPr>
            <w:r>
              <w:rPr>
                <w:rFonts w:ascii="Arial" w:cs="Arial" w:eastAsia="Arial" w:hAnsi="Arial"/>
                <w:sz w:val="10"/>
                <w:szCs w:val="10"/>
                <w:b w:val="1"/>
                <w:bCs w:val="1"/>
                <w:color w:val="auto"/>
                <w:w w:val="81"/>
              </w:rPr>
              <w:t>assets and</w:t>
            </w:r>
          </w:p>
        </w:tc>
        <w:tc>
          <w:tcPr>
            <w:tcW w:w="140" w:type="dxa"/>
            <w:vAlign w:val="bottom"/>
          </w:tcPr>
          <w:p>
            <w:pPr>
              <w:spacing w:after="0"/>
              <w:rPr>
                <w:sz w:val="9"/>
                <w:szCs w:val="9"/>
                <w:color w:val="auto"/>
              </w:rPr>
            </w:pPr>
          </w:p>
        </w:tc>
        <w:tc>
          <w:tcPr>
            <w:tcW w:w="700" w:type="dxa"/>
            <w:vAlign w:val="bottom"/>
            <w:gridSpan w:val="6"/>
          </w:tcPr>
          <w:p>
            <w:pPr>
              <w:ind w:left="20"/>
              <w:spacing w:after="0" w:line="104" w:lineRule="exact"/>
              <w:rPr>
                <w:sz w:val="20"/>
                <w:szCs w:val="20"/>
                <w:color w:val="auto"/>
              </w:rPr>
            </w:pPr>
            <w:r>
              <w:rPr>
                <w:rFonts w:ascii="Arial" w:cs="Arial" w:eastAsia="Arial" w:hAnsi="Arial"/>
                <w:sz w:val="10"/>
                <w:szCs w:val="10"/>
                <w:b w:val="1"/>
                <w:bCs w:val="1"/>
                <w:color w:val="auto"/>
                <w:w w:val="97"/>
              </w:rPr>
              <w:t>compensation</w:t>
            </w:r>
          </w:p>
        </w:tc>
        <w:tc>
          <w:tcPr>
            <w:tcW w:w="700" w:type="dxa"/>
            <w:vAlign w:val="bottom"/>
            <w:gridSpan w:val="5"/>
          </w:tcPr>
          <w:p>
            <w:pPr>
              <w:jc w:val="center"/>
              <w:spacing w:after="0" w:line="104" w:lineRule="exact"/>
              <w:rPr>
                <w:sz w:val="20"/>
                <w:szCs w:val="20"/>
                <w:color w:val="auto"/>
              </w:rPr>
            </w:pPr>
            <w:r>
              <w:rPr>
                <w:rFonts w:ascii="Arial" w:cs="Arial" w:eastAsia="Arial" w:hAnsi="Arial"/>
                <w:sz w:val="10"/>
                <w:szCs w:val="10"/>
                <w:b w:val="1"/>
                <w:bCs w:val="1"/>
                <w:color w:val="auto"/>
                <w:w w:val="91"/>
              </w:rPr>
              <w:t>measured at</w:t>
            </w:r>
          </w:p>
        </w:tc>
        <w:tc>
          <w:tcPr>
            <w:tcW w:w="920" w:type="dxa"/>
            <w:vAlign w:val="bottom"/>
            <w:gridSpan w:val="6"/>
          </w:tcPr>
          <w:p>
            <w:pPr>
              <w:jc w:val="center"/>
              <w:ind w:right="80"/>
              <w:spacing w:after="0" w:line="104" w:lineRule="exact"/>
              <w:rPr>
                <w:sz w:val="20"/>
                <w:szCs w:val="20"/>
                <w:color w:val="auto"/>
              </w:rPr>
            </w:pPr>
            <w:r>
              <w:rPr>
                <w:rFonts w:ascii="Arial" w:cs="Arial" w:eastAsia="Arial" w:hAnsi="Arial"/>
                <w:sz w:val="10"/>
                <w:szCs w:val="10"/>
                <w:b w:val="1"/>
                <w:bCs w:val="1"/>
                <w:color w:val="auto"/>
                <w:w w:val="91"/>
              </w:rPr>
              <w:t>Restructuring</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Tax</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gridSpan w:val="3"/>
          </w:tcPr>
          <w:p>
            <w:pPr>
              <w:jc w:val="right"/>
              <w:ind w:right="109"/>
              <w:spacing w:after="0"/>
              <w:rPr>
                <w:sz w:val="20"/>
                <w:szCs w:val="20"/>
                <w:color w:val="auto"/>
              </w:rPr>
            </w:pPr>
            <w:r>
              <w:rPr>
                <w:rFonts w:ascii="Arial" w:cs="Arial" w:eastAsia="Arial" w:hAnsi="Arial"/>
                <w:sz w:val="10"/>
                <w:szCs w:val="10"/>
                <w:b w:val="1"/>
                <w:bCs w:val="1"/>
                <w:color w:val="auto"/>
              </w:rPr>
              <w:t>GAAP</w:t>
            </w:r>
          </w:p>
        </w:tc>
        <w:tc>
          <w:tcPr>
            <w:tcW w:w="180" w:type="dxa"/>
            <w:vAlign w:val="bottom"/>
          </w:tcPr>
          <w:p>
            <w:pPr>
              <w:spacing w:after="0"/>
              <w:rPr>
                <w:sz w:val="10"/>
                <w:szCs w:val="10"/>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0"/>
                <w:szCs w:val="10"/>
                <w:b w:val="1"/>
                <w:bCs w:val="1"/>
                <w:color w:val="auto"/>
                <w:w w:val="87"/>
              </w:rPr>
              <w:t>other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5"/>
          </w:tcPr>
          <w:p>
            <w:pPr>
              <w:jc w:val="right"/>
              <w:ind w:right="220"/>
              <w:spacing w:after="0"/>
              <w:rPr>
                <w:sz w:val="20"/>
                <w:szCs w:val="20"/>
                <w:color w:val="auto"/>
              </w:rPr>
            </w:pPr>
            <w:r>
              <w:rPr>
                <w:rFonts w:ascii="Arial" w:cs="Arial" w:eastAsia="Arial" w:hAnsi="Arial"/>
                <w:sz w:val="10"/>
                <w:szCs w:val="10"/>
                <w:b w:val="1"/>
                <w:bCs w:val="1"/>
                <w:color w:val="auto"/>
                <w:w w:val="94"/>
              </w:rPr>
              <w:t>expense</w:t>
            </w:r>
          </w:p>
        </w:tc>
        <w:tc>
          <w:tcPr>
            <w:tcW w:w="100" w:type="dxa"/>
            <w:vAlign w:val="bottom"/>
          </w:tcPr>
          <w:p>
            <w:pPr>
              <w:spacing w:after="0"/>
              <w:rPr>
                <w:sz w:val="10"/>
                <w:szCs w:val="10"/>
                <w:color w:val="auto"/>
              </w:rPr>
            </w:pPr>
          </w:p>
        </w:tc>
        <w:tc>
          <w:tcPr>
            <w:tcW w:w="60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95"/>
              </w:rPr>
              <w:t>fair value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w w:val="88"/>
              </w:rPr>
              <w:t>charges</w:t>
            </w:r>
          </w:p>
        </w:tc>
        <w:tc>
          <w:tcPr>
            <w:tcW w:w="60" w:type="dxa"/>
            <w:vAlign w:val="bottom"/>
          </w:tcPr>
          <w:p>
            <w:pPr>
              <w:spacing w:after="0"/>
              <w:rPr>
                <w:sz w:val="10"/>
                <w:szCs w:val="10"/>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w w:val="97"/>
              </w:rPr>
              <w:t>effect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Non-GAAP</w:t>
            </w:r>
          </w:p>
        </w:tc>
        <w:tc>
          <w:tcPr>
            <w:tcW w:w="0" w:type="dxa"/>
            <w:vAlign w:val="bottom"/>
          </w:tcPr>
          <w:p>
            <w:pPr>
              <w:spacing w:after="0"/>
              <w:rPr>
                <w:sz w:val="1"/>
                <w:szCs w:val="1"/>
                <w:color w:val="auto"/>
              </w:rPr>
            </w:pPr>
          </w:p>
        </w:tc>
      </w:tr>
      <w:tr>
        <w:trPr>
          <w:trHeight w:val="141"/>
        </w:trPr>
        <w:tc>
          <w:tcPr>
            <w:tcW w:w="2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Operating expenses:</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lef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Arial" w:cs="Arial" w:eastAsia="Arial" w:hAnsi="Arial"/>
                <w:sz w:val="13"/>
                <w:szCs w:val="13"/>
                <w:color w:val="auto"/>
              </w:rPr>
              <w:t>Cost of revenue</w:t>
            </w:r>
          </w:p>
        </w:tc>
        <w:tc>
          <w:tcPr>
            <w:tcW w:w="960" w:type="dxa"/>
            <w:vAlign w:val="bottom"/>
            <w:gridSpan w:val="5"/>
          </w:tcPr>
          <w:p>
            <w:pPr>
              <w:jc w:val="right"/>
              <w:spacing w:after="0"/>
              <w:rPr>
                <w:sz w:val="20"/>
                <w:szCs w:val="20"/>
                <w:color w:val="auto"/>
              </w:rPr>
            </w:pPr>
            <w:r>
              <w:rPr>
                <w:rFonts w:ascii="Arial" w:cs="Arial" w:eastAsia="Arial" w:hAnsi="Arial"/>
                <w:sz w:val="13"/>
                <w:szCs w:val="13"/>
                <w:color w:val="auto"/>
              </w:rPr>
              <w:t>$1,552,334</w:t>
            </w:r>
          </w:p>
        </w:tc>
        <w:tc>
          <w:tcPr>
            <w:tcW w:w="440" w:type="dxa"/>
            <w:vAlign w:val="bottom"/>
            <w:gridSpan w:val="2"/>
          </w:tcPr>
          <w:p>
            <w:pPr>
              <w:jc w:val="right"/>
              <w:ind w:right="147"/>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center"/>
              <w:spacing w:after="0"/>
              <w:rPr>
                <w:sz w:val="20"/>
                <w:szCs w:val="20"/>
                <w:color w:val="auto"/>
              </w:rPr>
            </w:pPr>
            <w:r>
              <w:rPr>
                <w:rFonts w:ascii="Arial" w:cs="Arial" w:eastAsia="Arial" w:hAnsi="Arial"/>
                <w:sz w:val="13"/>
                <w:szCs w:val="13"/>
                <w:color w:val="auto"/>
                <w:w w:val="91"/>
              </w:rPr>
              <w:t>—</w:t>
            </w:r>
          </w:p>
        </w:tc>
        <w:tc>
          <w:tcPr>
            <w:tcW w:w="220" w:type="dxa"/>
            <w:vAlign w:val="bottom"/>
            <w:gridSpan w:val="2"/>
          </w:tcPr>
          <w:p>
            <w:pPr>
              <w:ind w:left="160"/>
              <w:spacing w:after="0"/>
              <w:rPr>
                <w:sz w:val="20"/>
                <w:szCs w:val="20"/>
                <w:color w:val="auto"/>
              </w:rPr>
            </w:pPr>
            <w:r>
              <w:rPr>
                <w:rFonts w:ascii="Arial" w:cs="Arial" w:eastAsia="Arial" w:hAnsi="Arial"/>
                <w:sz w:val="9"/>
                <w:szCs w:val="9"/>
                <w:color w:val="auto"/>
                <w:w w:val="78"/>
              </w:rPr>
              <w:t>$</w:t>
            </w:r>
          </w:p>
        </w:tc>
        <w:tc>
          <w:tcPr>
            <w:tcW w:w="620" w:type="dxa"/>
            <w:vAlign w:val="bottom"/>
            <w:gridSpan w:val="5"/>
          </w:tcPr>
          <w:p>
            <w:pPr>
              <w:jc w:val="right"/>
              <w:ind w:right="40"/>
              <w:spacing w:after="0"/>
              <w:rPr>
                <w:sz w:val="20"/>
                <w:szCs w:val="20"/>
                <w:color w:val="auto"/>
              </w:rPr>
            </w:pPr>
            <w:r>
              <w:rPr>
                <w:rFonts w:ascii="Arial" w:cs="Arial" w:eastAsia="Arial" w:hAnsi="Arial"/>
                <w:sz w:val="13"/>
                <w:szCs w:val="13"/>
                <w:color w:val="auto"/>
              </w:rPr>
              <w:t>(18,716)</w:t>
            </w:r>
          </w:p>
        </w:tc>
        <w:tc>
          <w:tcPr>
            <w:tcW w:w="28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20"/>
              <w:spacing w:after="0"/>
              <w:rPr>
                <w:sz w:val="20"/>
                <w:szCs w:val="20"/>
                <w:color w:val="auto"/>
              </w:rPr>
            </w:pPr>
            <w:r>
              <w:rPr>
                <w:rFonts w:ascii="Arial" w:cs="Arial" w:eastAsia="Arial" w:hAnsi="Arial"/>
                <w:sz w:val="13"/>
                <w:szCs w:val="13"/>
                <w:color w:val="auto"/>
                <w:w w:val="92"/>
              </w:rPr>
              <w:t>(1,284)</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 w:type="dxa"/>
            <w:vAlign w:val="bottom"/>
          </w:tcPr>
          <w:p>
            <w:pPr>
              <w:spacing w:after="0"/>
              <w:rPr>
                <w:sz w:val="13"/>
                <w:szCs w:val="1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$1,532,334</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185,000</w:t>
            </w:r>
          </w:p>
        </w:tc>
        <w:tc>
          <w:tcPr>
            <w:tcW w:w="1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87"/>
              </w:rPr>
              <w:t>(3,187)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181,813</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960" w:type="dxa"/>
            <w:vAlign w:val="bottom"/>
            <w:gridSpan w:val="5"/>
          </w:tcPr>
          <w:p>
            <w:pPr>
              <w:jc w:val="right"/>
              <w:spacing w:after="0"/>
              <w:rPr>
                <w:sz w:val="20"/>
                <w:szCs w:val="20"/>
                <w:color w:val="auto"/>
              </w:rPr>
            </w:pPr>
            <w:r>
              <w:rPr>
                <w:rFonts w:ascii="Arial" w:cs="Arial" w:eastAsia="Arial" w:hAnsi="Arial"/>
                <w:sz w:val="13"/>
                <w:szCs w:val="13"/>
                <w:color w:val="auto"/>
              </w:rPr>
              <w:t>286,550</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5"/>
          </w:tcPr>
          <w:p>
            <w:pPr>
              <w:jc w:val="right"/>
              <w:ind w:right="40"/>
              <w:spacing w:after="0"/>
              <w:rPr>
                <w:sz w:val="20"/>
                <w:szCs w:val="20"/>
                <w:color w:val="auto"/>
              </w:rPr>
            </w:pPr>
            <w:r>
              <w:rPr>
                <w:rFonts w:ascii="Arial" w:cs="Arial" w:eastAsia="Arial" w:hAnsi="Arial"/>
                <w:sz w:val="13"/>
                <w:szCs w:val="13"/>
                <w:color w:val="auto"/>
              </w:rPr>
              <w:t>(18,948)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267,602</w:t>
            </w:r>
          </w:p>
        </w:tc>
        <w:tc>
          <w:tcPr>
            <w:tcW w:w="0" w:type="dxa"/>
            <w:vAlign w:val="bottom"/>
          </w:tcPr>
          <w:p>
            <w:pPr>
              <w:spacing w:after="0"/>
              <w:rPr>
                <w:sz w:val="1"/>
                <w:szCs w:val="1"/>
                <w:color w:val="auto"/>
              </w:rPr>
            </w:pPr>
          </w:p>
        </w:tc>
      </w:tr>
      <w:tr>
        <w:trPr>
          <w:trHeight w:val="143"/>
        </w:trPr>
        <w:tc>
          <w:tcPr>
            <w:tcW w:w="2840" w:type="dxa"/>
            <w:vAlign w:val="bottom"/>
            <w:gridSpan w:val="4"/>
            <w:shd w:val="clear" w:color="auto" w:fill="CCEEFF"/>
          </w:tcPr>
          <w:p>
            <w:pPr>
              <w:spacing w:after="0" w:line="143" w:lineRule="exact"/>
              <w:rPr>
                <w:sz w:val="20"/>
                <w:szCs w:val="20"/>
                <w:color w:val="auto"/>
              </w:rPr>
            </w:pPr>
            <w:r>
              <w:rPr>
                <w:rFonts w:ascii="Arial" w:cs="Arial" w:eastAsia="Arial" w:hAnsi="Arial"/>
                <w:sz w:val="13"/>
                <w:szCs w:val="13"/>
                <w:color w:val="auto"/>
              </w:rPr>
              <w:t>Amortization of purchased intangible assets and</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28,253</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(28,253)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Arial" w:cs="Arial" w:eastAsia="Arial" w:hAnsi="Arial"/>
                <w:sz w:val="13"/>
                <w:szCs w:val="13"/>
                <w:color w:val="auto"/>
              </w:rPr>
              <w:t>Restructuring charges</w:t>
            </w:r>
          </w:p>
        </w:tc>
        <w:tc>
          <w:tcPr>
            <w:tcW w:w="960" w:type="dxa"/>
            <w:vAlign w:val="bottom"/>
            <w:gridSpan w:val="5"/>
          </w:tcPr>
          <w:p>
            <w:pPr>
              <w:jc w:val="right"/>
              <w:spacing w:after="0"/>
              <w:rPr>
                <w:sz w:val="20"/>
                <w:szCs w:val="20"/>
                <w:color w:val="auto"/>
              </w:rPr>
            </w:pPr>
            <w:r>
              <w:rPr>
                <w:rFonts w:ascii="Arial" w:cs="Arial" w:eastAsia="Arial" w:hAnsi="Arial"/>
                <w:sz w:val="13"/>
                <w:szCs w:val="13"/>
                <w:color w:val="auto"/>
              </w:rPr>
              <w:t>24,536</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(24,536)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380" w:type="dxa"/>
            <w:vAlign w:val="bottom"/>
            <w:gridSpan w:val="2"/>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3"/>
              </w:rPr>
              <w:t>2,076,673</w:t>
            </w:r>
          </w:p>
        </w:tc>
        <w:tc>
          <w:tcPr>
            <w:tcW w:w="18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(28,253)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(40,851)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92"/>
              </w:rPr>
              <w:t>(1,284)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(24,536)</w:t>
            </w:r>
          </w:p>
        </w:tc>
        <w:tc>
          <w:tcPr>
            <w:tcW w:w="1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1,981,749</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20" w:type="dxa"/>
            <w:vAlign w:val="bottom"/>
            <w:vMerge w:val="continue"/>
          </w:tcPr>
          <w:p>
            <w:pPr>
              <w:spacing w:after="0"/>
              <w:rPr>
                <w:sz w:val="13"/>
                <w:szCs w:val="13"/>
                <w:color w:val="auto"/>
              </w:rPr>
            </w:pPr>
          </w:p>
        </w:tc>
        <w:tc>
          <w:tcPr>
            <w:tcW w:w="380" w:type="dxa"/>
            <w:vAlign w:val="bottom"/>
            <w:gridSpan w:val="2"/>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332,351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color w:val="auto"/>
                <w:w w:val="75"/>
              </w:rPr>
              <w:t>28,253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w w:val="75"/>
              </w:rPr>
              <w:t>40,851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rPr>
              <w:t>1,284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24,536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427,275</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Interest and other expense, net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79"/>
              <w:spacing w:after="0"/>
              <w:rPr>
                <w:sz w:val="20"/>
                <w:szCs w:val="20"/>
                <w:color w:val="auto"/>
              </w:rPr>
            </w:pPr>
            <w:r>
              <w:rPr>
                <w:rFonts w:ascii="Arial" w:cs="Arial" w:eastAsia="Arial" w:hAnsi="Arial"/>
                <w:sz w:val="13"/>
                <w:szCs w:val="13"/>
                <w:color w:val="auto"/>
                <w:w w:val="87"/>
              </w:rPr>
              <w:t>(7,901)</w:t>
            </w:r>
          </w:p>
        </w:tc>
        <w:tc>
          <w:tcPr>
            <w:tcW w:w="2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(7,901)</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Arial" w:cs="Arial" w:eastAsia="Arial" w:hAnsi="Arial"/>
                <w:sz w:val="13"/>
                <w:szCs w:val="13"/>
                <w:color w:val="auto"/>
              </w:rPr>
              <w:t>Income taxes</w:t>
            </w:r>
          </w:p>
        </w:tc>
        <w:tc>
          <w:tcPr>
            <w:tcW w:w="960" w:type="dxa"/>
            <w:vAlign w:val="bottom"/>
            <w:gridSpan w:val="5"/>
          </w:tcPr>
          <w:p>
            <w:pPr>
              <w:jc w:val="right"/>
              <w:spacing w:after="0"/>
              <w:rPr>
                <w:sz w:val="20"/>
                <w:szCs w:val="20"/>
                <w:color w:val="auto"/>
              </w:rPr>
            </w:pPr>
            <w:r>
              <w:rPr>
                <w:rFonts w:ascii="Arial" w:cs="Arial" w:eastAsia="Arial" w:hAnsi="Arial"/>
                <w:sz w:val="13"/>
                <w:szCs w:val="13"/>
                <w:color w:val="auto"/>
              </w:rPr>
              <w:t>44,269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19,265</w:t>
            </w:r>
          </w:p>
        </w:tc>
        <w:tc>
          <w:tcPr>
            <w:tcW w:w="1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63,534</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280,181</w:t>
            </w:r>
          </w:p>
        </w:tc>
        <w:tc>
          <w:tcPr>
            <w:tcW w:w="1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75"/>
              </w:rPr>
              <w:t>28,253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75"/>
              </w:rPr>
              <w:t>40,851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1,284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24,536</w:t>
            </w:r>
          </w:p>
        </w:tc>
        <w:tc>
          <w:tcPr>
            <w:tcW w:w="180" w:type="dxa"/>
            <w:vAlign w:val="bottom"/>
            <w:tcBorders>
              <w:left w:val="single" w:sz="8" w:color="CCEEFF"/>
            </w:tcBorders>
            <w:shd w:val="clear" w:color="auto" w:fill="CCEEFF"/>
          </w:tcPr>
          <w:p>
            <w:pPr>
              <w:spacing w:after="0"/>
              <w:rPr>
                <w:sz w:val="13"/>
                <w:szCs w:val="13"/>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w w:val="99"/>
              </w:rPr>
              <w:t>(19,265)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355,840</w:t>
            </w:r>
          </w:p>
        </w:tc>
        <w:tc>
          <w:tcPr>
            <w:tcW w:w="0" w:type="dxa"/>
            <w:vAlign w:val="bottom"/>
          </w:tcPr>
          <w:p>
            <w:pPr>
              <w:spacing w:after="0"/>
              <w:rPr>
                <w:sz w:val="1"/>
                <w:szCs w:val="1"/>
                <w:color w:val="auto"/>
              </w:rPr>
            </w:pPr>
          </w:p>
        </w:tc>
      </w:tr>
      <w:tr>
        <w:trPr>
          <w:trHeight w:val="142"/>
        </w:trPr>
        <w:tc>
          <w:tcPr>
            <w:tcW w:w="2220" w:type="dxa"/>
            <w:vAlign w:val="bottom"/>
          </w:tcPr>
          <w:p>
            <w:pPr>
              <w:spacing w:after="0" w:line="142" w:lineRule="exact"/>
              <w:rPr>
                <w:sz w:val="20"/>
                <w:szCs w:val="20"/>
                <w:color w:val="auto"/>
              </w:rPr>
            </w:pPr>
            <w:r>
              <w:rPr>
                <w:rFonts w:ascii="Arial" w:cs="Arial" w:eastAsia="Arial" w:hAnsi="Arial"/>
                <w:sz w:val="13"/>
                <w:szCs w:val="13"/>
                <w:color w:val="auto"/>
                <w:w w:val="94"/>
              </w:rPr>
              <w:t>Net income attributable to noncontrolling</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20"/>
              <w:spacing w:after="0"/>
              <w:rPr>
                <w:sz w:val="20"/>
                <w:szCs w:val="20"/>
                <w:color w:val="auto"/>
              </w:rPr>
            </w:pPr>
            <w:r>
              <w:rPr>
                <w:rFonts w:ascii="Arial" w:cs="Arial" w:eastAsia="Arial" w:hAnsi="Arial"/>
                <w:sz w:val="13"/>
                <w:szCs w:val="13"/>
                <w:color w:val="auto"/>
              </w:rPr>
              <w:t>interests</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911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911</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w w:val="90"/>
              </w:rPr>
              <w:t>Net income attributable to Amdocs Limited</w:t>
            </w:r>
          </w:p>
        </w:tc>
        <w:tc>
          <w:tcPr>
            <w:tcW w:w="380" w:type="dxa"/>
            <w:vAlign w:val="bottom"/>
            <w:gridSpan w:val="2"/>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7"/>
              </w:rPr>
              <w:t>$  279,270</w:t>
            </w:r>
          </w:p>
        </w:tc>
        <w:tc>
          <w:tcPr>
            <w:tcW w:w="1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9"/>
                <w:szCs w:val="9"/>
                <w:color w:val="auto"/>
                <w:w w:val="78"/>
              </w:rPr>
              <w:t>$</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75"/>
              </w:rPr>
              <w:t>28,253</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9"/>
                <w:szCs w:val="9"/>
                <w:color w:val="auto"/>
                <w:w w:val="78"/>
              </w:rPr>
              <w:t>$</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75"/>
              </w:rPr>
              <w:t>40,851</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color w:val="auto"/>
              </w:rPr>
              <w:t>$</w:t>
            </w:r>
          </w:p>
        </w:tc>
        <w:tc>
          <w:tcPr>
            <w:tcW w:w="4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1,284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24,536</w:t>
            </w:r>
          </w:p>
        </w:tc>
        <w:tc>
          <w:tcPr>
            <w:tcW w:w="180" w:type="dxa"/>
            <w:vAlign w:val="bottom"/>
            <w:tcBorders>
              <w:left w:val="single" w:sz="8" w:color="CCEEFF"/>
            </w:tcBorders>
            <w:shd w:val="clear" w:color="auto" w:fill="CCEEFF"/>
          </w:tcPr>
          <w:p>
            <w:pPr>
              <w:spacing w:after="0"/>
              <w:rPr>
                <w:sz w:val="13"/>
                <w:szCs w:val="13"/>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u w:val="single" w:color="auto"/>
                <w:color w:val="auto"/>
                <w:w w:val="86"/>
              </w:rPr>
              <w:t>$</w:t>
            </w:r>
            <w:r>
              <w:rPr>
                <w:rFonts w:ascii="Arial" w:cs="Arial" w:eastAsia="Arial" w:hAnsi="Arial"/>
                <w:sz w:val="13"/>
                <w:szCs w:val="13"/>
                <w:color w:val="auto"/>
                <w:w w:val="86"/>
              </w:rPr>
              <w:t>(19,265)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  354,929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12"/>
          </w:tcPr>
          <w:p>
            <w:pPr>
              <w:jc w:val="right"/>
              <w:ind w:right="40"/>
              <w:spacing w:after="0"/>
              <w:rPr>
                <w:sz w:val="20"/>
                <w:szCs w:val="20"/>
                <w:color w:val="auto"/>
              </w:rPr>
            </w:pPr>
            <w:r>
              <w:rPr>
                <w:rFonts w:ascii="Arial" w:cs="Arial" w:eastAsia="Arial" w:hAnsi="Arial"/>
                <w:sz w:val="10"/>
                <w:szCs w:val="10"/>
                <w:b w:val="1"/>
                <w:bCs w:val="1"/>
                <w:color w:val="auto"/>
                <w:w w:val="92"/>
              </w:rPr>
              <w:t>Six Months Ended March 31, 2022</w:t>
            </w:r>
          </w:p>
        </w:tc>
        <w:tc>
          <w:tcPr>
            <w:tcW w:w="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22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gridSpan w:val="4"/>
          </w:tcPr>
          <w:p>
            <w:pPr>
              <w:jc w:val="center"/>
              <w:spacing w:after="0" w:line="79" w:lineRule="exact"/>
              <w:rPr>
                <w:sz w:val="20"/>
                <w:szCs w:val="20"/>
                <w:color w:val="auto"/>
              </w:rPr>
            </w:pPr>
            <w:r>
              <w:rPr>
                <w:rFonts w:ascii="Arial" w:cs="Arial" w:eastAsia="Arial" w:hAnsi="Arial"/>
                <w:sz w:val="9"/>
                <w:szCs w:val="9"/>
                <w:b w:val="1"/>
                <w:bCs w:val="1"/>
                <w:color w:val="auto"/>
                <w:w w:val="98"/>
              </w:rPr>
              <w:t>Changes in</w:t>
            </w: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4"/>
          </w:tcPr>
          <w:p>
            <w:pPr>
              <w:jc w:val="center"/>
              <w:spacing w:after="0" w:line="104" w:lineRule="exact"/>
              <w:rPr>
                <w:sz w:val="20"/>
                <w:szCs w:val="20"/>
                <w:color w:val="auto"/>
              </w:rPr>
            </w:pPr>
            <w:r>
              <w:rPr>
                <w:rFonts w:ascii="Arial" w:cs="Arial" w:eastAsia="Arial" w:hAnsi="Arial"/>
                <w:sz w:val="10"/>
                <w:szCs w:val="10"/>
                <w:b w:val="1"/>
                <w:bCs w:val="1"/>
                <w:color w:val="auto"/>
                <w:w w:val="91"/>
              </w:rPr>
              <w:t>certain</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4"/>
          </w:tcPr>
          <w:p>
            <w:pPr>
              <w:jc w:val="center"/>
              <w:ind w:left="99"/>
              <w:spacing w:after="0" w:line="104" w:lineRule="exact"/>
              <w:rPr>
                <w:sz w:val="20"/>
                <w:szCs w:val="20"/>
                <w:color w:val="auto"/>
              </w:rPr>
            </w:pPr>
            <w:r>
              <w:rPr>
                <w:rFonts w:ascii="Arial" w:cs="Arial" w:eastAsia="Arial" w:hAnsi="Arial"/>
                <w:sz w:val="10"/>
                <w:szCs w:val="10"/>
                <w:b w:val="1"/>
                <w:bCs w:val="1"/>
                <w:color w:val="auto"/>
                <w:w w:val="94"/>
              </w:rPr>
              <w:t>Amortization</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4"/>
          </w:tcPr>
          <w:p>
            <w:pPr>
              <w:jc w:val="center"/>
              <w:spacing w:after="0" w:line="104" w:lineRule="exact"/>
              <w:rPr>
                <w:sz w:val="20"/>
                <w:szCs w:val="20"/>
                <w:color w:val="auto"/>
              </w:rPr>
            </w:pPr>
            <w:r>
              <w:rPr>
                <w:rFonts w:ascii="Arial" w:cs="Arial" w:eastAsia="Arial" w:hAnsi="Arial"/>
                <w:sz w:val="10"/>
                <w:szCs w:val="10"/>
                <w:b w:val="1"/>
                <w:bCs w:val="1"/>
                <w:color w:val="auto"/>
                <w:w w:val="85"/>
              </w:rPr>
              <w:t>acquisitions</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89"/>
              </w:rPr>
              <w:t>of purchased</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4"/>
          </w:tcPr>
          <w:p>
            <w:pPr>
              <w:jc w:val="center"/>
              <w:spacing w:after="0" w:line="104" w:lineRule="exact"/>
              <w:rPr>
                <w:sz w:val="20"/>
                <w:szCs w:val="20"/>
                <w:color w:val="auto"/>
              </w:rPr>
            </w:pPr>
            <w:r>
              <w:rPr>
                <w:rFonts w:ascii="Arial" w:cs="Arial" w:eastAsia="Arial" w:hAnsi="Arial"/>
                <w:sz w:val="10"/>
                <w:szCs w:val="10"/>
                <w:b w:val="1"/>
                <w:bCs w:val="1"/>
                <w:color w:val="auto"/>
                <w:w w:val="91"/>
              </w:rPr>
              <w:t>related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88"/>
              </w:rPr>
              <w:t>intangible</w:t>
            </w:r>
          </w:p>
        </w:tc>
        <w:tc>
          <w:tcPr>
            <w:tcW w:w="160" w:type="dxa"/>
            <w:vAlign w:val="bottom"/>
          </w:tcPr>
          <w:p>
            <w:pPr>
              <w:spacing w:after="0"/>
              <w:rPr>
                <w:sz w:val="9"/>
                <w:szCs w:val="9"/>
                <w:color w:val="auto"/>
              </w:rPr>
            </w:pPr>
          </w:p>
        </w:tc>
        <w:tc>
          <w:tcPr>
            <w:tcW w:w="620" w:type="dxa"/>
            <w:vAlign w:val="bottom"/>
            <w:gridSpan w:val="6"/>
          </w:tcPr>
          <w:p>
            <w:pPr>
              <w:jc w:val="center"/>
              <w:ind w:right="20"/>
              <w:spacing w:after="0" w:line="104" w:lineRule="exact"/>
              <w:rPr>
                <w:sz w:val="20"/>
                <w:szCs w:val="20"/>
                <w:color w:val="auto"/>
              </w:rPr>
            </w:pPr>
            <w:r>
              <w:rPr>
                <w:rFonts w:ascii="Arial" w:cs="Arial" w:eastAsia="Arial" w:hAnsi="Arial"/>
                <w:sz w:val="10"/>
                <w:szCs w:val="10"/>
                <w:b w:val="1"/>
                <w:bCs w:val="1"/>
                <w:color w:val="auto"/>
                <w:w w:val="89"/>
              </w:rPr>
              <w:t>Equity based</w:t>
            </w:r>
          </w:p>
        </w:tc>
        <w:tc>
          <w:tcPr>
            <w:tcW w:w="160" w:type="dxa"/>
            <w:vAlign w:val="bottom"/>
          </w:tcPr>
          <w:p>
            <w:pPr>
              <w:spacing w:after="0"/>
              <w:rPr>
                <w:sz w:val="9"/>
                <w:szCs w:val="9"/>
                <w:color w:val="auto"/>
              </w:rPr>
            </w:pPr>
          </w:p>
        </w:tc>
        <w:tc>
          <w:tcPr>
            <w:tcW w:w="540" w:type="dxa"/>
            <w:vAlign w:val="bottom"/>
            <w:gridSpan w:val="4"/>
          </w:tcPr>
          <w:p>
            <w:pPr>
              <w:jc w:val="center"/>
              <w:spacing w:after="0" w:line="104" w:lineRule="exact"/>
              <w:rPr>
                <w:sz w:val="20"/>
                <w:szCs w:val="20"/>
                <w:color w:val="auto"/>
              </w:rPr>
            </w:pPr>
            <w:r>
              <w:rPr>
                <w:rFonts w:ascii="Arial" w:cs="Arial" w:eastAsia="Arial" w:hAnsi="Arial"/>
                <w:sz w:val="10"/>
                <w:szCs w:val="10"/>
                <w:b w:val="1"/>
                <w:bCs w:val="1"/>
                <w:color w:val="auto"/>
                <w:w w:val="88"/>
              </w:rPr>
              <w:t>liabilities</w:t>
            </w:r>
          </w:p>
        </w:tc>
        <w:tc>
          <w:tcPr>
            <w:tcW w:w="180" w:type="dxa"/>
            <w:vAlign w:val="bottom"/>
          </w:tcPr>
          <w:p>
            <w:pPr>
              <w:spacing w:after="0"/>
              <w:rPr>
                <w:sz w:val="9"/>
                <w:szCs w:val="9"/>
                <w:color w:val="auto"/>
              </w:rPr>
            </w:pPr>
          </w:p>
        </w:tc>
        <w:tc>
          <w:tcPr>
            <w:tcW w:w="460" w:type="dxa"/>
            <w:vAlign w:val="bottom"/>
            <w:gridSpan w:val="4"/>
          </w:tcPr>
          <w:p>
            <w:pPr>
              <w:jc w:val="right"/>
              <w:spacing w:after="0" w:line="104" w:lineRule="exact"/>
              <w:rPr>
                <w:sz w:val="20"/>
                <w:szCs w:val="20"/>
                <w:color w:val="auto"/>
              </w:rPr>
            </w:pPr>
            <w:r>
              <w:rPr>
                <w:rFonts w:ascii="Arial" w:cs="Arial" w:eastAsia="Arial" w:hAnsi="Arial"/>
                <w:sz w:val="10"/>
                <w:szCs w:val="10"/>
                <w:b w:val="1"/>
                <w:bCs w:val="1"/>
                <w:color w:val="auto"/>
                <w:w w:val="93"/>
              </w:rPr>
              <w:t>Gain from</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85"/>
              </w:rPr>
              <w:t>assets and</w:t>
            </w:r>
          </w:p>
        </w:tc>
        <w:tc>
          <w:tcPr>
            <w:tcW w:w="780" w:type="dxa"/>
            <w:vAlign w:val="bottom"/>
            <w:gridSpan w:val="7"/>
          </w:tcPr>
          <w:p>
            <w:pPr>
              <w:jc w:val="center"/>
              <w:ind w:left="79"/>
              <w:spacing w:after="0" w:line="104" w:lineRule="exact"/>
              <w:rPr>
                <w:sz w:val="20"/>
                <w:szCs w:val="20"/>
                <w:color w:val="auto"/>
              </w:rPr>
            </w:pPr>
            <w:r>
              <w:rPr>
                <w:rFonts w:ascii="Arial" w:cs="Arial" w:eastAsia="Arial" w:hAnsi="Arial"/>
                <w:sz w:val="10"/>
                <w:szCs w:val="10"/>
                <w:b w:val="1"/>
                <w:bCs w:val="1"/>
                <w:color w:val="auto"/>
                <w:w w:val="88"/>
              </w:rPr>
              <w:t>compensation</w:t>
            </w:r>
          </w:p>
        </w:tc>
        <w:tc>
          <w:tcPr>
            <w:tcW w:w="160" w:type="dxa"/>
            <w:vAlign w:val="bottom"/>
          </w:tcPr>
          <w:p>
            <w:pPr>
              <w:spacing w:after="0"/>
              <w:rPr>
                <w:sz w:val="9"/>
                <w:szCs w:val="9"/>
                <w:color w:val="auto"/>
              </w:rPr>
            </w:pPr>
          </w:p>
        </w:tc>
        <w:tc>
          <w:tcPr>
            <w:tcW w:w="540" w:type="dxa"/>
            <w:vAlign w:val="bottom"/>
            <w:gridSpan w:val="4"/>
          </w:tcPr>
          <w:p>
            <w:pPr>
              <w:jc w:val="center"/>
              <w:spacing w:after="0" w:line="104" w:lineRule="exact"/>
              <w:rPr>
                <w:sz w:val="20"/>
                <w:szCs w:val="20"/>
                <w:color w:val="auto"/>
              </w:rPr>
            </w:pPr>
            <w:r>
              <w:rPr>
                <w:rFonts w:ascii="Arial" w:cs="Arial" w:eastAsia="Arial" w:hAnsi="Arial"/>
                <w:sz w:val="10"/>
                <w:szCs w:val="10"/>
                <w:b w:val="1"/>
                <w:bCs w:val="1"/>
                <w:color w:val="auto"/>
                <w:w w:val="91"/>
              </w:rPr>
              <w:t>measured at</w:t>
            </w:r>
          </w:p>
        </w:tc>
        <w:tc>
          <w:tcPr>
            <w:tcW w:w="180" w:type="dxa"/>
            <w:vAlign w:val="bottom"/>
          </w:tcPr>
          <w:p>
            <w:pPr>
              <w:spacing w:after="0"/>
              <w:rPr>
                <w:sz w:val="9"/>
                <w:szCs w:val="9"/>
                <w:color w:val="auto"/>
              </w:rPr>
            </w:pPr>
          </w:p>
        </w:tc>
        <w:tc>
          <w:tcPr>
            <w:tcW w:w="460" w:type="dxa"/>
            <w:vAlign w:val="bottom"/>
            <w:gridSpan w:val="4"/>
          </w:tcPr>
          <w:p>
            <w:pPr>
              <w:jc w:val="right"/>
              <w:ind w:right="60"/>
              <w:spacing w:after="0" w:line="104" w:lineRule="exact"/>
              <w:rPr>
                <w:sz w:val="20"/>
                <w:szCs w:val="20"/>
                <w:color w:val="auto"/>
              </w:rPr>
            </w:pPr>
            <w:r>
              <w:rPr>
                <w:rFonts w:ascii="Arial" w:cs="Arial" w:eastAsia="Arial" w:hAnsi="Arial"/>
                <w:sz w:val="10"/>
                <w:szCs w:val="10"/>
                <w:b w:val="1"/>
                <w:bCs w:val="1"/>
                <w:color w:val="auto"/>
                <w:w w:val="94"/>
              </w:rPr>
              <w:t>sale of a</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300"/>
              <w:spacing w:after="0" w:line="104" w:lineRule="exact"/>
              <w:rPr>
                <w:sz w:val="20"/>
                <w:szCs w:val="20"/>
                <w:color w:val="auto"/>
              </w:rPr>
            </w:pPr>
            <w:r>
              <w:rPr>
                <w:rFonts w:ascii="Arial" w:cs="Arial" w:eastAsia="Arial" w:hAnsi="Arial"/>
                <w:sz w:val="10"/>
                <w:szCs w:val="10"/>
                <w:b w:val="1"/>
                <w:bCs w:val="1"/>
                <w:color w:val="auto"/>
              </w:rPr>
              <w:t>Tax</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GAAP</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2"/>
          </w:tcPr>
          <w:p>
            <w:pPr>
              <w:jc w:val="center"/>
              <w:ind w:right="127"/>
              <w:spacing w:after="0"/>
              <w:rPr>
                <w:sz w:val="20"/>
                <w:szCs w:val="20"/>
                <w:color w:val="auto"/>
              </w:rPr>
            </w:pPr>
            <w:r>
              <w:rPr>
                <w:rFonts w:ascii="Arial" w:cs="Arial" w:eastAsia="Arial" w:hAnsi="Arial"/>
                <w:sz w:val="10"/>
                <w:szCs w:val="10"/>
                <w:b w:val="1"/>
                <w:bCs w:val="1"/>
                <w:color w:val="auto"/>
                <w:w w:val="87"/>
              </w:rPr>
              <w:t>other</w:t>
            </w:r>
          </w:p>
        </w:tc>
        <w:tc>
          <w:tcPr>
            <w:tcW w:w="160" w:type="dxa"/>
            <w:vAlign w:val="bottom"/>
          </w:tcPr>
          <w:p>
            <w:pPr>
              <w:spacing w:after="0"/>
              <w:rPr>
                <w:sz w:val="10"/>
                <w:szCs w:val="10"/>
                <w:color w:val="auto"/>
              </w:rPr>
            </w:pPr>
          </w:p>
        </w:tc>
        <w:tc>
          <w:tcPr>
            <w:tcW w:w="620" w:type="dxa"/>
            <w:vAlign w:val="bottom"/>
            <w:gridSpan w:val="6"/>
          </w:tcPr>
          <w:p>
            <w:pPr>
              <w:jc w:val="center"/>
              <w:spacing w:after="0"/>
              <w:rPr>
                <w:sz w:val="20"/>
                <w:szCs w:val="20"/>
                <w:color w:val="auto"/>
              </w:rPr>
            </w:pPr>
            <w:r>
              <w:rPr>
                <w:rFonts w:ascii="Arial" w:cs="Arial" w:eastAsia="Arial" w:hAnsi="Arial"/>
                <w:sz w:val="10"/>
                <w:szCs w:val="10"/>
                <w:b w:val="1"/>
                <w:bCs w:val="1"/>
                <w:color w:val="auto"/>
                <w:w w:val="84"/>
              </w:rPr>
              <w:t>expense</w:t>
            </w:r>
          </w:p>
        </w:tc>
        <w:tc>
          <w:tcPr>
            <w:tcW w:w="160" w:type="dxa"/>
            <w:vAlign w:val="bottom"/>
          </w:tcPr>
          <w:p>
            <w:pPr>
              <w:spacing w:after="0"/>
              <w:rPr>
                <w:sz w:val="10"/>
                <w:szCs w:val="10"/>
                <w:color w:val="auto"/>
              </w:rPr>
            </w:pPr>
          </w:p>
        </w:tc>
        <w:tc>
          <w:tcPr>
            <w:tcW w:w="540" w:type="dxa"/>
            <w:vAlign w:val="bottom"/>
            <w:gridSpan w:val="4"/>
          </w:tcPr>
          <w:p>
            <w:pPr>
              <w:jc w:val="center"/>
              <w:spacing w:after="0"/>
              <w:rPr>
                <w:sz w:val="20"/>
                <w:szCs w:val="20"/>
                <w:color w:val="auto"/>
              </w:rPr>
            </w:pPr>
            <w:r>
              <w:rPr>
                <w:rFonts w:ascii="Arial" w:cs="Arial" w:eastAsia="Arial" w:hAnsi="Arial"/>
                <w:sz w:val="10"/>
                <w:szCs w:val="10"/>
                <w:b w:val="1"/>
                <w:bCs w:val="1"/>
                <w:color w:val="auto"/>
                <w:w w:val="95"/>
              </w:rPr>
              <w:t>fair value</w:t>
            </w:r>
          </w:p>
        </w:tc>
        <w:tc>
          <w:tcPr>
            <w:tcW w:w="180" w:type="dxa"/>
            <w:vAlign w:val="bottom"/>
          </w:tcPr>
          <w:p>
            <w:pPr>
              <w:spacing w:after="0"/>
              <w:rPr>
                <w:sz w:val="10"/>
                <w:szCs w:val="10"/>
                <w:color w:val="auto"/>
              </w:rPr>
            </w:pPr>
          </w:p>
        </w:tc>
        <w:tc>
          <w:tcPr>
            <w:tcW w:w="460" w:type="dxa"/>
            <w:vAlign w:val="bottom"/>
            <w:gridSpan w:val="4"/>
          </w:tcPr>
          <w:p>
            <w:pPr>
              <w:jc w:val="right"/>
              <w:ind w:right="40"/>
              <w:spacing w:after="0"/>
              <w:rPr>
                <w:sz w:val="20"/>
                <w:szCs w:val="20"/>
                <w:color w:val="auto"/>
              </w:rPr>
            </w:pPr>
            <w:r>
              <w:rPr>
                <w:rFonts w:ascii="Arial" w:cs="Arial" w:eastAsia="Arial" w:hAnsi="Arial"/>
                <w:sz w:val="10"/>
                <w:szCs w:val="10"/>
                <w:b w:val="1"/>
                <w:bCs w:val="1"/>
                <w:color w:val="auto"/>
                <w:w w:val="92"/>
              </w:rPr>
              <w:t>business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Other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effect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Non-GAAP</w:t>
            </w:r>
          </w:p>
        </w:tc>
        <w:tc>
          <w:tcPr>
            <w:tcW w:w="0" w:type="dxa"/>
            <w:vAlign w:val="bottom"/>
          </w:tcPr>
          <w:p>
            <w:pPr>
              <w:spacing w:after="0"/>
              <w:rPr>
                <w:sz w:val="1"/>
                <w:szCs w:val="1"/>
                <w:color w:val="auto"/>
              </w:rPr>
            </w:pPr>
          </w:p>
        </w:tc>
      </w:tr>
      <w:tr>
        <w:trPr>
          <w:trHeight w:val="132"/>
        </w:trPr>
        <w:tc>
          <w:tcPr>
            <w:tcW w:w="222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right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Arial" w:cs="Arial" w:eastAsia="Arial" w:hAnsi="Arial"/>
                <w:sz w:val="13"/>
                <w:szCs w:val="13"/>
                <w:color w:val="auto"/>
              </w:rPr>
              <w:t>Cost of revenue</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w w:val="89"/>
              </w:rPr>
              <w:t>$1,457,975</w:t>
            </w:r>
          </w:p>
        </w:tc>
        <w:tc>
          <w:tcPr>
            <w:tcW w:w="34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60" w:type="dxa"/>
            <w:vAlign w:val="bottom"/>
          </w:tcPr>
          <w:p>
            <w:pPr>
              <w:jc w:val="right"/>
              <w:ind w:right="27"/>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3"/>
                <w:szCs w:val="13"/>
                <w:color w:val="auto"/>
              </w:rPr>
            </w:pPr>
          </w:p>
        </w:tc>
        <w:tc>
          <w:tcPr>
            <w:tcW w:w="580" w:type="dxa"/>
            <w:vAlign w:val="bottom"/>
            <w:gridSpan w:val="5"/>
          </w:tcPr>
          <w:p>
            <w:pPr>
              <w:jc w:val="right"/>
              <w:ind w:right="79"/>
              <w:spacing w:after="0"/>
              <w:rPr>
                <w:sz w:val="20"/>
                <w:szCs w:val="20"/>
                <w:color w:val="auto"/>
              </w:rPr>
            </w:pPr>
            <w:r>
              <w:rPr>
                <w:rFonts w:ascii="Arial" w:cs="Arial" w:eastAsia="Arial" w:hAnsi="Arial"/>
                <w:sz w:val="13"/>
                <w:szCs w:val="13"/>
                <w:color w:val="auto"/>
                <w:w w:val="86"/>
              </w:rPr>
              <w:t>(15,217)</w:t>
            </w:r>
          </w:p>
        </w:tc>
        <w:tc>
          <w:tcPr>
            <w:tcW w:w="160" w:type="dxa"/>
            <w:vAlign w:val="bottom"/>
          </w:tcPr>
          <w:p>
            <w:pPr>
              <w:jc w:val="right"/>
              <w:ind w:right="27"/>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w w:val="98"/>
              </w:rPr>
              <w:t>(793)</w:t>
            </w:r>
          </w:p>
        </w:tc>
        <w:tc>
          <w:tcPr>
            <w:tcW w:w="3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center"/>
              <w:ind w:left="118"/>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6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$1,441,965</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169,009</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5"/>
            <w:shd w:val="clear" w:color="auto" w:fill="CCEEFF"/>
          </w:tcPr>
          <w:p>
            <w:pPr>
              <w:jc w:val="right"/>
              <w:ind w:right="79"/>
              <w:spacing w:after="0"/>
              <w:rPr>
                <w:sz w:val="20"/>
                <w:szCs w:val="20"/>
                <w:color w:val="auto"/>
              </w:rPr>
            </w:pPr>
            <w:r>
              <w:rPr>
                <w:rFonts w:ascii="Arial" w:cs="Arial" w:eastAsia="Arial" w:hAnsi="Arial"/>
                <w:sz w:val="13"/>
                <w:szCs w:val="13"/>
                <w:color w:val="auto"/>
              </w:rPr>
              <w:t>(2,598)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166,411</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263,058</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5"/>
          </w:tcPr>
          <w:p>
            <w:pPr>
              <w:jc w:val="right"/>
              <w:ind w:right="79"/>
              <w:spacing w:after="0"/>
              <w:rPr>
                <w:sz w:val="20"/>
                <w:szCs w:val="20"/>
                <w:color w:val="auto"/>
              </w:rPr>
            </w:pPr>
            <w:r>
              <w:rPr>
                <w:rFonts w:ascii="Arial" w:cs="Arial" w:eastAsia="Arial" w:hAnsi="Arial"/>
                <w:sz w:val="13"/>
                <w:szCs w:val="13"/>
                <w:color w:val="auto"/>
                <w:w w:val="86"/>
              </w:rPr>
              <w:t>(16,763)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246,295</w:t>
            </w: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Amortization of purchased intangible</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assets and other</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36,064</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79"/>
              <w:spacing w:after="0"/>
              <w:rPr>
                <w:sz w:val="20"/>
                <w:szCs w:val="20"/>
                <w:color w:val="auto"/>
              </w:rPr>
            </w:pPr>
            <w:r>
              <w:rPr>
                <w:rFonts w:ascii="Arial" w:cs="Arial" w:eastAsia="Arial" w:hAnsi="Arial"/>
                <w:sz w:val="13"/>
                <w:szCs w:val="13"/>
                <w:color w:val="auto"/>
                <w:w w:val="90"/>
              </w:rPr>
              <w:t>(36,064)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3"/>
                <w:szCs w:val="13"/>
                <w:color w:val="auto"/>
              </w:rPr>
              <w:t>Total operating expenses</w:t>
            </w:r>
          </w:p>
        </w:tc>
        <w:tc>
          <w:tcPr>
            <w:tcW w:w="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w w:val="93"/>
              </w:rPr>
              <w:t>1,926,106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79"/>
              <w:spacing w:after="0"/>
              <w:rPr>
                <w:sz w:val="20"/>
                <w:szCs w:val="20"/>
                <w:color w:val="auto"/>
              </w:rPr>
            </w:pPr>
            <w:r>
              <w:rPr>
                <w:rFonts w:ascii="Arial" w:cs="Arial" w:eastAsia="Arial" w:hAnsi="Arial"/>
                <w:sz w:val="13"/>
                <w:szCs w:val="13"/>
                <w:color w:val="auto"/>
                <w:w w:val="90"/>
              </w:rPr>
              <w:t>(36,064)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5"/>
          </w:tcPr>
          <w:p>
            <w:pPr>
              <w:jc w:val="right"/>
              <w:ind w:right="79"/>
              <w:spacing w:after="0"/>
              <w:rPr>
                <w:sz w:val="20"/>
                <w:szCs w:val="20"/>
                <w:color w:val="auto"/>
              </w:rPr>
            </w:pPr>
            <w:r>
              <w:rPr>
                <w:rFonts w:ascii="Arial" w:cs="Arial" w:eastAsia="Arial" w:hAnsi="Arial"/>
                <w:sz w:val="13"/>
                <w:szCs w:val="13"/>
                <w:color w:val="auto"/>
                <w:w w:val="86"/>
              </w:rPr>
              <w:t>(34,578)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w w:val="98"/>
              </w:rPr>
              <w:t>(793)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1,854,671</w:t>
            </w:r>
          </w:p>
        </w:tc>
        <w:tc>
          <w:tcPr>
            <w:tcW w:w="0" w:type="dxa"/>
            <w:vAlign w:val="bottom"/>
          </w:tcPr>
          <w:p>
            <w:pPr>
              <w:spacing w:after="0"/>
              <w:rPr>
                <w:sz w:val="1"/>
                <w:szCs w:val="1"/>
                <w:color w:val="auto"/>
              </w:rPr>
            </w:pPr>
          </w:p>
        </w:tc>
      </w:tr>
      <w:tr>
        <w:trPr>
          <w:trHeight w:val="151"/>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323,797</w:t>
            </w:r>
          </w:p>
        </w:tc>
        <w:tc>
          <w:tcPr>
            <w:tcW w:w="1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36,064</w:t>
            </w:r>
          </w:p>
        </w:tc>
        <w:tc>
          <w:tcPr>
            <w:tcW w:w="1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95"/>
              </w:rPr>
              <w:t>34,578</w:t>
            </w:r>
          </w:p>
        </w:tc>
        <w:tc>
          <w:tcPr>
            <w:tcW w:w="1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793</w:t>
            </w:r>
          </w:p>
        </w:tc>
        <w:tc>
          <w:tcPr>
            <w:tcW w:w="180" w:type="dxa"/>
            <w:vAlign w:val="bottom"/>
            <w:tcBorders>
              <w:lef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395,232</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800" w:type="dxa"/>
            <w:vAlign w:val="bottom"/>
            <w:gridSpan w:val="4"/>
          </w:tcPr>
          <w:p>
            <w:pPr>
              <w:jc w:val="right"/>
              <w:ind w:right="99"/>
              <w:spacing w:after="0"/>
              <w:rPr>
                <w:sz w:val="20"/>
                <w:szCs w:val="20"/>
                <w:color w:val="auto"/>
              </w:rPr>
            </w:pPr>
            <w:r>
              <w:rPr>
                <w:rFonts w:ascii="Arial" w:cs="Arial" w:eastAsia="Arial" w:hAnsi="Arial"/>
                <w:sz w:val="13"/>
                <w:szCs w:val="13"/>
                <w:color w:val="auto"/>
              </w:rPr>
              <w:t>(11,181)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(2,505)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(13,686)</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Gain from sale of a business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tcBorders>
              <w:left w:val="single" w:sz="8" w:color="CCEEFF"/>
            </w:tcBorders>
            <w:gridSpan w:val="5"/>
            <w:shd w:val="clear" w:color="auto" w:fill="CCEEFF"/>
          </w:tcPr>
          <w:p>
            <w:pPr>
              <w:ind w:left="180"/>
              <w:spacing w:after="0"/>
              <w:rPr>
                <w:sz w:val="20"/>
                <w:szCs w:val="20"/>
                <w:color w:val="auto"/>
              </w:rPr>
            </w:pPr>
            <w:r>
              <w:rPr>
                <w:rFonts w:ascii="Arial" w:cs="Arial" w:eastAsia="Arial" w:hAnsi="Arial"/>
                <w:sz w:val="13"/>
                <w:szCs w:val="13"/>
                <w:color w:val="auto"/>
                <w:w w:val="75"/>
              </w:rPr>
              <w:t>$(10,000)</w:t>
            </w: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Arial" w:cs="Arial" w:eastAsia="Arial" w:hAnsi="Arial"/>
                <w:sz w:val="13"/>
                <w:szCs w:val="13"/>
                <w:color w:val="auto"/>
              </w:rPr>
              <w:t>Income tax (benefit) expense</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30,517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9,950</w:t>
            </w: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40,467</w:t>
            </w:r>
          </w:p>
        </w:tc>
        <w:tc>
          <w:tcPr>
            <w:tcW w:w="0" w:type="dxa"/>
            <w:vAlign w:val="bottom"/>
          </w:tcPr>
          <w:p>
            <w:pPr>
              <w:spacing w:after="0"/>
              <w:rPr>
                <w:sz w:val="1"/>
                <w:szCs w:val="1"/>
                <w:color w:val="auto"/>
              </w:rPr>
            </w:pPr>
          </w:p>
        </w:tc>
      </w:tr>
      <w:tr>
        <w:trPr>
          <w:trHeight w:val="151"/>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4"/>
              </w:rPr>
              <w:t>$  292,099</w:t>
            </w:r>
          </w:p>
        </w:tc>
        <w:tc>
          <w:tcPr>
            <w:tcW w:w="34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36,064</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40" w:type="dxa"/>
            <w:vAlign w:val="bottom"/>
            <w:shd w:val="clear" w:color="auto" w:fill="CCEEFF"/>
          </w:tcPr>
          <w:p>
            <w:pPr>
              <w:spacing w:after="0"/>
              <w:rPr>
                <w:sz w:val="13"/>
                <w:szCs w:val="13"/>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95"/>
              </w:rPr>
              <w:t>34,578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7"/>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793</w:t>
            </w:r>
          </w:p>
        </w:tc>
        <w:tc>
          <w:tcPr>
            <w:tcW w:w="640" w:type="dxa"/>
            <w:vAlign w:val="bottom"/>
            <w:tcBorders>
              <w:left w:val="single" w:sz="8" w:color="CCEEFF"/>
            </w:tcBorders>
            <w:gridSpan w:val="5"/>
            <w:shd w:val="clear" w:color="auto" w:fill="CCEEFF"/>
          </w:tcPr>
          <w:p>
            <w:pPr>
              <w:ind w:left="180"/>
              <w:spacing w:after="0"/>
              <w:rPr>
                <w:sz w:val="20"/>
                <w:szCs w:val="20"/>
                <w:color w:val="auto"/>
              </w:rPr>
            </w:pPr>
            <w:r>
              <w:rPr>
                <w:rFonts w:ascii="Arial" w:cs="Arial" w:eastAsia="Arial" w:hAnsi="Arial"/>
                <w:sz w:val="13"/>
                <w:szCs w:val="13"/>
                <w:u w:val="single" w:color="auto"/>
                <w:color w:val="auto"/>
                <w:w w:val="75"/>
              </w:rPr>
              <w:t>$</w:t>
            </w:r>
            <w:r>
              <w:rPr>
                <w:rFonts w:ascii="Arial" w:cs="Arial" w:eastAsia="Arial" w:hAnsi="Arial"/>
                <w:sz w:val="13"/>
                <w:szCs w:val="13"/>
                <w:color w:val="auto"/>
                <w:w w:val="75"/>
              </w:rPr>
              <w:t>(10,000)</w:t>
            </w:r>
          </w:p>
        </w:tc>
        <w:tc>
          <w:tcPr>
            <w:tcW w:w="260" w:type="dxa"/>
            <w:vAlign w:val="bottom"/>
            <w:tcBorders>
              <w:left w:val="single" w:sz="8" w:color="CCEEFF"/>
            </w:tcBorders>
            <w:gridSpan w:val="2"/>
            <w:shd w:val="clear" w:color="auto" w:fill="CCEEFF"/>
          </w:tcPr>
          <w:p>
            <w:pPr>
              <w:jc w:val="center"/>
              <w:ind w:left="118"/>
              <w:spacing w:after="0"/>
              <w:rPr>
                <w:sz w:val="20"/>
                <w:szCs w:val="20"/>
                <w:color w:val="auto"/>
              </w:rPr>
            </w:pPr>
            <w:r>
              <w:rPr>
                <w:rFonts w:ascii="Arial" w:cs="Arial" w:eastAsia="Arial" w:hAnsi="Arial"/>
                <w:sz w:val="13"/>
                <w:szCs w:val="13"/>
                <w:u w:val="single" w:color="auto"/>
                <w:color w:val="auto"/>
              </w:rPr>
              <w:t>$</w:t>
            </w:r>
          </w:p>
        </w:tc>
        <w:tc>
          <w:tcPr>
            <w:tcW w:w="4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7"/>
              </w:rPr>
              <w:t>(2,505)</w:t>
            </w: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u w:val="single" w:color="auto"/>
                <w:color w:val="auto"/>
                <w:w w:val="99"/>
              </w:rPr>
              <w:t>$</w:t>
            </w:r>
            <w:r>
              <w:rPr>
                <w:rFonts w:ascii="Arial" w:cs="Arial" w:eastAsia="Arial" w:hAnsi="Arial"/>
                <w:sz w:val="13"/>
                <w:szCs w:val="13"/>
                <w:color w:val="auto"/>
                <w:w w:val="99"/>
              </w:rPr>
              <w:t>(9,950)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341,079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383"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95"/>
              </w:rPr>
              <w:t>As of</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9"/>
        </w:trPr>
        <w:tc>
          <w:tcPr>
            <w:tcW w:w="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jc w:val="right"/>
              <w:spacing w:after="0" w:line="79" w:lineRule="exact"/>
              <w:rPr>
                <w:sz w:val="20"/>
                <w:szCs w:val="20"/>
                <w:color w:val="auto"/>
              </w:rPr>
            </w:pPr>
            <w:r>
              <w:rPr>
                <w:rFonts w:ascii="Arial" w:cs="Arial" w:eastAsia="Arial" w:hAnsi="Arial"/>
                <w:sz w:val="9"/>
                <w:szCs w:val="9"/>
                <w:b w:val="1"/>
                <w:bCs w:val="1"/>
                <w:color w:val="auto"/>
              </w:rPr>
              <w:t>March 31,</w:t>
            </w:r>
          </w:p>
        </w:tc>
        <w:tc>
          <w:tcPr>
            <w:tcW w:w="800" w:type="dxa"/>
            <w:vAlign w:val="bottom"/>
            <w:gridSpan w:val="3"/>
          </w:tcPr>
          <w:p>
            <w:pPr>
              <w:ind w:left="180"/>
              <w:spacing w:after="0" w:line="79" w:lineRule="exact"/>
              <w:rPr>
                <w:sz w:val="20"/>
                <w:szCs w:val="20"/>
                <w:color w:val="auto"/>
              </w:rPr>
            </w:pPr>
            <w:r>
              <w:rPr>
                <w:rFonts w:ascii="Arial" w:cs="Arial" w:eastAsia="Arial" w:hAnsi="Arial"/>
                <w:sz w:val="9"/>
                <w:szCs w:val="9"/>
                <w:b w:val="1"/>
                <w:bCs w:val="1"/>
                <w:color w:val="auto"/>
                <w:w w:val="97"/>
              </w:rPr>
              <w:t>September 30,</w:t>
            </w:r>
          </w:p>
        </w:tc>
        <w:tc>
          <w:tcPr>
            <w:tcW w:w="40" w:type="dxa"/>
            <w:vAlign w:val="bottom"/>
          </w:tcPr>
          <w:p>
            <w:pPr>
              <w:spacing w:after="0"/>
              <w:rPr>
                <w:sz w:val="6"/>
                <w:szCs w:val="6"/>
                <w:color w:val="auto"/>
              </w:rPr>
            </w:pPr>
          </w:p>
        </w:tc>
      </w:tr>
      <w:tr>
        <w:trPr>
          <w:trHeight w:val="119"/>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2023</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2022</w:t>
            </w:r>
          </w:p>
        </w:tc>
        <w:tc>
          <w:tcPr>
            <w:tcW w:w="40" w:type="dxa"/>
            <w:vAlign w:val="bottom"/>
          </w:tcPr>
          <w:p>
            <w:pPr>
              <w:spacing w:after="0"/>
              <w:rPr>
                <w:sz w:val="10"/>
                <w:szCs w:val="10"/>
                <w:color w:val="auto"/>
              </w:rPr>
            </w:pPr>
          </w:p>
        </w:tc>
      </w:tr>
      <w:tr>
        <w:trPr>
          <w:trHeight w:val="141"/>
        </w:trPr>
        <w:tc>
          <w:tcPr>
            <w:tcW w:w="20" w:type="dxa"/>
            <w:vAlign w:val="bottom"/>
          </w:tcPr>
          <w:p>
            <w:pPr>
              <w:spacing w:after="0"/>
              <w:rPr>
                <w:sz w:val="12"/>
                <w:szCs w:val="12"/>
                <w:color w:val="auto"/>
              </w:rPr>
            </w:pPr>
          </w:p>
        </w:tc>
        <w:tc>
          <w:tcPr>
            <w:tcW w:w="630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623,404</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573,377</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Short-term interest-bearing investments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238,163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244,603</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 net, including unbilled of $166,866 and $157,165, respectively</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991,486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946,777</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Prepaid expenses and other current assets</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251,883</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238,390</w:t>
            </w:r>
          </w:p>
        </w:tc>
        <w:tc>
          <w:tcPr>
            <w:tcW w:w="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current 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2,104,936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2,003,147</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797,023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794,287</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Lease 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157,587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176,884</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Goodwill and other intangible assets, net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2,798,295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2,841,137</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assets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606,329</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574,938</w:t>
            </w:r>
          </w:p>
        </w:tc>
        <w:tc>
          <w:tcPr>
            <w:tcW w:w="40" w:type="dxa"/>
            <w:vAlign w:val="bottom"/>
            <w:shd w:val="clear" w:color="auto" w:fill="CCEEFF"/>
          </w:tcPr>
          <w:p>
            <w:pPr>
              <w:spacing w:after="0"/>
              <w:rPr>
                <w:sz w:val="13"/>
                <w:szCs w:val="13"/>
                <w:color w:val="auto"/>
              </w:rPr>
            </w:pPr>
          </w:p>
        </w:tc>
      </w:tr>
      <w:tr>
        <w:trPr>
          <w:trHeight w:val="168"/>
        </w:trPr>
        <w:tc>
          <w:tcPr>
            <w:tcW w:w="6320" w:type="dxa"/>
            <w:vAlign w:val="bottom"/>
            <w:gridSpan w:val="2"/>
          </w:tcPr>
          <w:p>
            <w:pPr>
              <w:spacing w:after="0"/>
              <w:rPr>
                <w:sz w:val="20"/>
                <w:szCs w:val="20"/>
                <w:color w:val="auto"/>
              </w:rPr>
            </w:pPr>
            <w:r>
              <w:rPr>
                <w:rFonts w:ascii="Arial" w:cs="Arial" w:eastAsia="Arial" w:hAnsi="Arial"/>
                <w:sz w:val="13"/>
                <w:szCs w:val="13"/>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3"/>
                <w:szCs w:val="13"/>
                <w:u w:val="single" w:color="auto"/>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82"/>
              </w:rPr>
              <w:t>6,464,170</w:t>
            </w:r>
          </w:p>
        </w:tc>
        <w:tc>
          <w:tcPr>
            <w:tcW w:w="260" w:type="dxa"/>
            <w:vAlign w:val="bottom"/>
            <w:gridSpan w:val="2"/>
          </w:tcPr>
          <w:p>
            <w:pPr>
              <w:ind w:left="18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6,390,393</w:t>
            </w:r>
          </w:p>
        </w:tc>
        <w:tc>
          <w:tcPr>
            <w:tcW w:w="4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Current liabilities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 accruals and other</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934,907</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955,658</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Lease liabilities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38,319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43,336</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351,671</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253,686</w:t>
            </w:r>
          </w:p>
        </w:tc>
        <w:tc>
          <w:tcPr>
            <w:tcW w:w="40" w:type="dxa"/>
            <w:vAlign w:val="bottom"/>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6300" w:type="dxa"/>
            <w:vAlign w:val="bottom"/>
          </w:tcPr>
          <w:p>
            <w:pPr>
              <w:ind w:left="240"/>
              <w:spacing w:after="0"/>
              <w:rPr>
                <w:sz w:val="20"/>
                <w:szCs w:val="20"/>
                <w:color w:val="auto"/>
              </w:rPr>
            </w:pPr>
            <w:r>
              <w:rPr>
                <w:rFonts w:ascii="Arial" w:cs="Arial" w:eastAsia="Arial" w:hAnsi="Arial"/>
                <w:sz w:val="13"/>
                <w:szCs w:val="13"/>
                <w:b w:val="1"/>
                <w:bCs w:val="1"/>
                <w:color w:val="auto"/>
              </w:rPr>
              <w:t>Total current liabilities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1,324,897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1,252,680</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Lease liabilities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120,170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138,378</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Long-term debt, net of unamortized debt issuance costs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645,404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645,117</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744,138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793,940</w:t>
            </w:r>
          </w:p>
        </w:tc>
        <w:tc>
          <w:tcPr>
            <w:tcW w:w="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b w:val="1"/>
                <w:bCs w:val="1"/>
                <w:color w:val="auto"/>
              </w:rPr>
              <w:t>Total Amdocs Limited Shareholders’ equity</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3,586,141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3,517,769</w:t>
            </w: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43,420</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42,509</w:t>
            </w:r>
          </w:p>
        </w:tc>
        <w:tc>
          <w:tcPr>
            <w:tcW w:w="40" w:type="dxa"/>
            <w:vAlign w:val="bottom"/>
            <w:shd w:val="clear" w:color="auto" w:fill="CCEEFF"/>
          </w:tcPr>
          <w:p>
            <w:pPr>
              <w:spacing w:after="0"/>
              <w:rPr>
                <w:sz w:val="13"/>
                <w:szCs w:val="13"/>
                <w:color w:val="auto"/>
              </w:rPr>
            </w:pPr>
          </w:p>
        </w:tc>
      </w:tr>
      <w:tr>
        <w:trPr>
          <w:trHeight w:val="151"/>
        </w:trPr>
        <w:tc>
          <w:tcPr>
            <w:tcW w:w="6320" w:type="dxa"/>
            <w:vAlign w:val="bottom"/>
            <w:gridSpan w:val="2"/>
          </w:tcPr>
          <w:p>
            <w:pPr>
              <w:spacing w:after="0"/>
              <w:rPr>
                <w:sz w:val="20"/>
                <w:szCs w:val="20"/>
                <w:color w:val="auto"/>
              </w:rPr>
            </w:pPr>
            <w:r>
              <w:rPr>
                <w:rFonts w:ascii="Arial" w:cs="Arial" w:eastAsia="Arial" w:hAnsi="Arial"/>
                <w:sz w:val="13"/>
                <w:szCs w:val="13"/>
                <w:b w:val="1"/>
                <w:bCs w:val="1"/>
                <w:color w:val="auto"/>
              </w:rPr>
              <w:t>Total equity</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3,629,561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3,560,278</w:t>
            </w:r>
          </w:p>
        </w:tc>
        <w:tc>
          <w:tcPr>
            <w:tcW w:w="4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liabilities and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6,464,170</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6,390,393</w:t>
            </w:r>
          </w:p>
        </w:tc>
        <w:tc>
          <w:tcPr>
            <w:tcW w:w="4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383"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7" w:lineRule="exact"/>
        <w:rPr>
          <w:sz w:val="20"/>
          <w:szCs w:val="20"/>
          <w:color w:val="auto"/>
        </w:rPr>
      </w:pPr>
    </w:p>
    <w:p>
      <w:pPr>
        <w:jc w:val="center"/>
        <w:ind w:left="6200"/>
        <w:spacing w:after="0"/>
        <w:rPr>
          <w:sz w:val="20"/>
          <w:szCs w:val="20"/>
          <w:color w:val="auto"/>
        </w:rPr>
      </w:pPr>
      <w:r>
        <w:rPr>
          <w:rFonts w:ascii="Arial" w:cs="Arial" w:eastAsia="Arial" w:hAnsi="Arial"/>
          <w:sz w:val="10"/>
          <w:szCs w:val="10"/>
          <w:b w:val="1"/>
          <w:bCs w:val="1"/>
          <w:color w:val="auto"/>
        </w:rPr>
        <w:t>Six months ended</w:t>
      </w:r>
    </w:p>
    <w:p>
      <w:pPr>
        <w:jc w:val="center"/>
        <w:ind w:left="6200"/>
        <w:spacing w:after="0" w:line="227" w:lineRule="auto"/>
        <w:rPr>
          <w:sz w:val="20"/>
          <w:szCs w:val="20"/>
          <w:color w:val="auto"/>
        </w:rPr>
      </w:pPr>
      <w:r>
        <w:rPr>
          <w:rFonts w:ascii="Arial" w:cs="Arial" w:eastAsia="Arial" w:hAnsi="Arial"/>
          <w:sz w:val="10"/>
          <w:szCs w:val="10"/>
          <w:b w:val="1"/>
          <w:bCs w:val="1"/>
          <w:color w:val="auto"/>
        </w:rPr>
        <w:t>March 31,</w:t>
      </w:r>
    </w:p>
    <w:tbl>
      <w:tblPr>
        <w:tblLayout w:type="fixed"/>
        <w:tblInd w:w="640" w:type="dxa"/>
        <w:tblCellMar>
          <w:top w:w="0" w:type="dxa"/>
          <w:left w:w="0" w:type="dxa"/>
          <w:bottom w:w="0" w:type="dxa"/>
          <w:right w:w="0" w:type="dxa"/>
        </w:tblCellMar>
      </w:tblPr>
      <w:tr>
        <w:trPr>
          <w:trHeight w:val="94"/>
        </w:trPr>
        <w:tc>
          <w:tcPr>
            <w:tcW w:w="6280" w:type="dxa"/>
            <w:vAlign w:val="bottom"/>
          </w:tcPr>
          <w:p>
            <w:pPr>
              <w:spacing w:after="0"/>
              <w:rPr>
                <w:sz w:val="8"/>
                <w:szCs w:val="8"/>
                <w:color w:val="auto"/>
              </w:rPr>
            </w:pPr>
          </w:p>
        </w:tc>
        <w:tc>
          <w:tcPr>
            <w:tcW w:w="560" w:type="dxa"/>
            <w:vAlign w:val="bottom"/>
            <w:tcBorders>
              <w:top w:val="single" w:sz="8" w:color="auto"/>
            </w:tcBorders>
          </w:tcPr>
          <w:p>
            <w:pPr>
              <w:jc w:val="right"/>
              <w:ind w:right="111"/>
              <w:spacing w:after="0" w:line="94" w:lineRule="exact"/>
              <w:rPr>
                <w:sz w:val="20"/>
                <w:szCs w:val="20"/>
                <w:color w:val="auto"/>
              </w:rPr>
            </w:pPr>
            <w:r>
              <w:rPr>
                <w:rFonts w:ascii="Arial" w:cs="Arial" w:eastAsia="Arial" w:hAnsi="Arial"/>
                <w:sz w:val="10"/>
                <w:szCs w:val="10"/>
                <w:b w:val="1"/>
                <w:bCs w:val="1"/>
                <w:color w:val="auto"/>
              </w:rPr>
              <w:t>2023</w:t>
            </w: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right"/>
              <w:ind w:right="111"/>
              <w:spacing w:after="0" w:line="94" w:lineRule="exact"/>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8"/>
                <w:szCs w:val="8"/>
                <w:color w:val="auto"/>
              </w:rPr>
            </w:pPr>
          </w:p>
        </w:tc>
      </w:tr>
      <w:tr>
        <w:trPr>
          <w:trHeight w:val="141"/>
        </w:trPr>
        <w:tc>
          <w:tcPr>
            <w:tcW w:w="628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Cash Flow from Operating Activities:</w:t>
            </w: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1"/>
        </w:trPr>
        <w:tc>
          <w:tcPr>
            <w:tcW w:w="6280" w:type="dxa"/>
            <w:vAlign w:val="bottom"/>
          </w:tcPr>
          <w:p>
            <w:pPr>
              <w:spacing w:after="0"/>
              <w:rPr>
                <w:sz w:val="20"/>
                <w:szCs w:val="20"/>
                <w:color w:val="auto"/>
              </w:rPr>
            </w:pPr>
            <w:r>
              <w:rPr>
                <w:rFonts w:ascii="Arial" w:cs="Arial" w:eastAsia="Arial" w:hAnsi="Arial"/>
                <w:sz w:val="13"/>
                <w:szCs w:val="13"/>
                <w:color w:val="auto"/>
              </w:rPr>
              <w:t>Net income</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89"/>
              </w:rPr>
              <w:t>$ 280,181</w:t>
            </w:r>
          </w:p>
        </w:tc>
        <w:tc>
          <w:tcPr>
            <w:tcW w:w="140" w:type="dxa"/>
            <w:vAlign w:val="bottom"/>
          </w:tcPr>
          <w:p>
            <w:pPr>
              <w:spacing w:after="0"/>
              <w:rPr>
                <w:sz w:val="14"/>
                <w:szCs w:val="14"/>
                <w:color w:val="auto"/>
              </w:rPr>
            </w:pPr>
          </w:p>
        </w:tc>
        <w:tc>
          <w:tcPr>
            <w:tcW w:w="740" w:type="dxa"/>
            <w:vAlign w:val="bottom"/>
            <w:gridSpan w:val="3"/>
          </w:tcPr>
          <w:p>
            <w:pPr>
              <w:jc w:val="right"/>
              <w:ind w:right="31"/>
              <w:spacing w:after="0"/>
              <w:rPr>
                <w:sz w:val="20"/>
                <w:szCs w:val="20"/>
                <w:color w:val="auto"/>
              </w:rPr>
            </w:pPr>
            <w:r>
              <w:rPr>
                <w:rFonts w:ascii="Arial" w:cs="Arial" w:eastAsia="Arial" w:hAnsi="Arial"/>
                <w:sz w:val="14"/>
                <w:szCs w:val="14"/>
                <w:color w:val="auto"/>
                <w:w w:val="99"/>
              </w:rPr>
              <w:t>$ 292,099</w:t>
            </w:r>
          </w:p>
        </w:tc>
      </w:tr>
      <w:tr>
        <w:trPr>
          <w:trHeight w:val="152"/>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Reconciliation of net income to net cash provided by operating activities:</w:t>
            </w: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1"/>
        </w:trPr>
        <w:tc>
          <w:tcPr>
            <w:tcW w:w="6280" w:type="dxa"/>
            <w:vAlign w:val="bottom"/>
          </w:tcPr>
          <w:p>
            <w:pPr>
              <w:ind w:left="260"/>
              <w:spacing w:after="0"/>
              <w:rPr>
                <w:sz w:val="20"/>
                <w:szCs w:val="20"/>
                <w:color w:val="auto"/>
              </w:rPr>
            </w:pPr>
            <w:r>
              <w:rPr>
                <w:rFonts w:ascii="Arial" w:cs="Arial" w:eastAsia="Arial" w:hAnsi="Arial"/>
                <w:sz w:val="13"/>
                <w:szCs w:val="13"/>
                <w:color w:val="auto"/>
              </w:rPr>
              <w:t>Depreciation, amortization and impairment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103,086</w:t>
            </w:r>
          </w:p>
        </w:tc>
        <w:tc>
          <w:tcPr>
            <w:tcW w:w="140" w:type="dxa"/>
            <w:vAlign w:val="bottom"/>
          </w:tcPr>
          <w:p>
            <w:pPr>
              <w:spacing w:after="0"/>
              <w:rPr>
                <w:sz w:val="14"/>
                <w:szCs w:val="14"/>
                <w:color w:val="auto"/>
              </w:rPr>
            </w:pPr>
          </w:p>
        </w:tc>
        <w:tc>
          <w:tcPr>
            <w:tcW w:w="740" w:type="dxa"/>
            <w:vAlign w:val="bottom"/>
            <w:gridSpan w:val="3"/>
          </w:tcPr>
          <w:p>
            <w:pPr>
              <w:jc w:val="right"/>
              <w:ind w:right="31"/>
              <w:spacing w:after="0"/>
              <w:rPr>
                <w:sz w:val="20"/>
                <w:szCs w:val="20"/>
                <w:color w:val="auto"/>
              </w:rPr>
            </w:pPr>
            <w:r>
              <w:rPr>
                <w:rFonts w:ascii="Arial" w:cs="Arial" w:eastAsia="Arial" w:hAnsi="Arial"/>
                <w:sz w:val="14"/>
                <w:szCs w:val="14"/>
                <w:color w:val="auto"/>
              </w:rPr>
              <w:t>101,071</w:t>
            </w:r>
          </w:p>
        </w:tc>
      </w:tr>
      <w:tr>
        <w:trPr>
          <w:trHeight w:val="161"/>
        </w:trPr>
        <w:tc>
          <w:tcPr>
            <w:tcW w:w="6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debt issuance cost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1"/>
              <w:spacing w:after="0"/>
              <w:rPr>
                <w:sz w:val="20"/>
                <w:szCs w:val="20"/>
                <w:color w:val="auto"/>
              </w:rPr>
            </w:pPr>
            <w:r>
              <w:rPr>
                <w:rFonts w:ascii="Arial" w:cs="Arial" w:eastAsia="Arial" w:hAnsi="Arial"/>
                <w:sz w:val="14"/>
                <w:szCs w:val="14"/>
                <w:color w:val="auto"/>
              </w:rPr>
              <w:t>279</w:t>
            </w:r>
          </w:p>
        </w:tc>
      </w:tr>
      <w:tr>
        <w:trPr>
          <w:trHeight w:val="161"/>
        </w:trPr>
        <w:tc>
          <w:tcPr>
            <w:tcW w:w="6280" w:type="dxa"/>
            <w:vAlign w:val="bottom"/>
          </w:tcPr>
          <w:p>
            <w:pPr>
              <w:ind w:left="260"/>
              <w:spacing w:after="0"/>
              <w:rPr>
                <w:sz w:val="20"/>
                <w:szCs w:val="20"/>
                <w:color w:val="auto"/>
              </w:rPr>
            </w:pPr>
            <w:r>
              <w:rPr>
                <w:rFonts w:ascii="Arial" w:cs="Arial" w:eastAsia="Arial" w:hAnsi="Arial"/>
                <w:sz w:val="13"/>
                <w:szCs w:val="13"/>
                <w:color w:val="auto"/>
              </w:rPr>
              <w:t>Equity-based compensation expense</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40,851</w:t>
            </w:r>
          </w:p>
        </w:tc>
        <w:tc>
          <w:tcPr>
            <w:tcW w:w="140" w:type="dxa"/>
            <w:vAlign w:val="bottom"/>
          </w:tcPr>
          <w:p>
            <w:pPr>
              <w:spacing w:after="0"/>
              <w:rPr>
                <w:sz w:val="14"/>
                <w:szCs w:val="14"/>
                <w:color w:val="auto"/>
              </w:rPr>
            </w:pPr>
          </w:p>
        </w:tc>
        <w:tc>
          <w:tcPr>
            <w:tcW w:w="740" w:type="dxa"/>
            <w:vAlign w:val="bottom"/>
            <w:gridSpan w:val="3"/>
          </w:tcPr>
          <w:p>
            <w:pPr>
              <w:jc w:val="right"/>
              <w:ind w:right="31"/>
              <w:spacing w:after="0"/>
              <w:rPr>
                <w:sz w:val="20"/>
                <w:szCs w:val="20"/>
                <w:color w:val="auto"/>
              </w:rPr>
            </w:pPr>
            <w:r>
              <w:rPr>
                <w:rFonts w:ascii="Arial" w:cs="Arial" w:eastAsia="Arial" w:hAnsi="Arial"/>
                <w:sz w:val="14"/>
                <w:szCs w:val="14"/>
                <w:color w:val="auto"/>
              </w:rPr>
              <w:t>34,578</w:t>
            </w:r>
          </w:p>
        </w:tc>
      </w:tr>
      <w:tr>
        <w:trPr>
          <w:trHeight w:val="161"/>
        </w:trPr>
        <w:tc>
          <w:tcPr>
            <w:tcW w:w="6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Gain from sale of a business</w:t>
            </w:r>
          </w:p>
        </w:tc>
        <w:tc>
          <w:tcPr>
            <w:tcW w:w="720" w:type="dxa"/>
            <w:vAlign w:val="bottom"/>
            <w:gridSpan w:val="3"/>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161"/>
        </w:trPr>
        <w:tc>
          <w:tcPr>
            <w:tcW w:w="628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720" w:type="dxa"/>
            <w:vAlign w:val="bottom"/>
            <w:gridSpan w:val="3"/>
          </w:tcPr>
          <w:p>
            <w:pPr>
              <w:jc w:val="right"/>
              <w:ind w:right="59"/>
              <w:spacing w:after="0"/>
              <w:rPr>
                <w:sz w:val="20"/>
                <w:szCs w:val="20"/>
                <w:color w:val="auto"/>
              </w:rPr>
            </w:pPr>
            <w:r>
              <w:rPr>
                <w:rFonts w:ascii="Arial" w:cs="Arial" w:eastAsia="Arial" w:hAnsi="Arial"/>
                <w:sz w:val="14"/>
                <w:szCs w:val="14"/>
                <w:color w:val="auto"/>
              </w:rPr>
              <w:t>(27,357)</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(35,879)</w:t>
            </w:r>
          </w:p>
        </w:tc>
      </w:tr>
      <w:tr>
        <w:trPr>
          <w:trHeight w:val="161"/>
        </w:trPr>
        <w:tc>
          <w:tcPr>
            <w:tcW w:w="6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 from short-term interest-bearing investments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1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1"/>
              <w:spacing w:after="0"/>
              <w:rPr>
                <w:sz w:val="20"/>
                <w:szCs w:val="20"/>
                <w:color w:val="auto"/>
              </w:rPr>
            </w:pPr>
            <w:r>
              <w:rPr>
                <w:rFonts w:ascii="Arial" w:cs="Arial" w:eastAsia="Arial" w:hAnsi="Arial"/>
                <w:sz w:val="14"/>
                <w:szCs w:val="14"/>
                <w:color w:val="auto"/>
              </w:rPr>
              <w:t>1,333</w:t>
            </w:r>
          </w:p>
        </w:tc>
      </w:tr>
      <w:tr>
        <w:trPr>
          <w:trHeight w:val="152"/>
        </w:trPr>
        <w:tc>
          <w:tcPr>
            <w:tcW w:w="6280" w:type="dxa"/>
            <w:vAlign w:val="bottom"/>
          </w:tcPr>
          <w:p>
            <w:pPr>
              <w:spacing w:after="0"/>
              <w:rPr>
                <w:sz w:val="20"/>
                <w:szCs w:val="20"/>
                <w:color w:val="auto"/>
              </w:rPr>
            </w:pPr>
            <w:r>
              <w:rPr>
                <w:rFonts w:ascii="Arial" w:cs="Arial" w:eastAsia="Arial" w:hAnsi="Arial"/>
                <w:sz w:val="13"/>
                <w:szCs w:val="13"/>
                <w:color w:val="auto"/>
              </w:rPr>
              <w:t>Net changes in operating assets and liabilities, net of amounts acquired:</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6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receivable, net</w:t>
            </w:r>
          </w:p>
        </w:tc>
        <w:tc>
          <w:tcPr>
            <w:tcW w:w="72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(53,485)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(140,863)</w:t>
            </w:r>
          </w:p>
        </w:tc>
      </w:tr>
      <w:tr>
        <w:trPr>
          <w:trHeight w:val="161"/>
        </w:trPr>
        <w:tc>
          <w:tcPr>
            <w:tcW w:w="6280" w:type="dxa"/>
            <w:vAlign w:val="bottom"/>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720" w:type="dxa"/>
            <w:vAlign w:val="bottom"/>
            <w:gridSpan w:val="3"/>
          </w:tcPr>
          <w:p>
            <w:pPr>
              <w:jc w:val="right"/>
              <w:ind w:right="59"/>
              <w:spacing w:after="0"/>
              <w:rPr>
                <w:sz w:val="20"/>
                <w:szCs w:val="20"/>
                <w:color w:val="auto"/>
              </w:rPr>
            </w:pPr>
            <w:r>
              <w:rPr>
                <w:rFonts w:ascii="Arial" w:cs="Arial" w:eastAsia="Arial" w:hAnsi="Arial"/>
                <w:sz w:val="14"/>
                <w:szCs w:val="14"/>
                <w:color w:val="auto"/>
              </w:rPr>
              <w:t>(20,416)</w:t>
            </w:r>
          </w:p>
        </w:tc>
        <w:tc>
          <w:tcPr>
            <w:tcW w:w="740" w:type="dxa"/>
            <w:vAlign w:val="bottom"/>
            <w:gridSpan w:val="3"/>
          </w:tcPr>
          <w:p>
            <w:pPr>
              <w:jc w:val="right"/>
              <w:ind w:right="31"/>
              <w:spacing w:after="0"/>
              <w:rPr>
                <w:sz w:val="20"/>
                <w:szCs w:val="20"/>
                <w:color w:val="auto"/>
              </w:rPr>
            </w:pPr>
            <w:r>
              <w:rPr>
                <w:rFonts w:ascii="Arial" w:cs="Arial" w:eastAsia="Arial" w:hAnsi="Arial"/>
                <w:sz w:val="14"/>
                <w:szCs w:val="14"/>
                <w:color w:val="auto"/>
              </w:rPr>
              <w:t>3,848</w:t>
            </w:r>
          </w:p>
        </w:tc>
      </w:tr>
      <w:tr>
        <w:trPr>
          <w:trHeight w:val="161"/>
        </w:trPr>
        <w:tc>
          <w:tcPr>
            <w:tcW w:w="6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noncurrent assets</w:t>
            </w:r>
          </w:p>
        </w:tc>
        <w:tc>
          <w:tcPr>
            <w:tcW w:w="72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(245)</w:t>
            </w:r>
          </w:p>
        </w:tc>
        <w:tc>
          <w:tcPr>
            <w:tcW w:w="740" w:type="dxa"/>
            <w:vAlign w:val="bottom"/>
            <w:gridSpan w:val="3"/>
            <w:shd w:val="clear" w:color="auto" w:fill="CCEEFF"/>
          </w:tcPr>
          <w:p>
            <w:pPr>
              <w:jc w:val="right"/>
              <w:ind w:right="31"/>
              <w:spacing w:after="0"/>
              <w:rPr>
                <w:sz w:val="20"/>
                <w:szCs w:val="20"/>
                <w:color w:val="auto"/>
              </w:rPr>
            </w:pPr>
            <w:r>
              <w:rPr>
                <w:rFonts w:ascii="Arial" w:cs="Arial" w:eastAsia="Arial" w:hAnsi="Arial"/>
                <w:sz w:val="14"/>
                <w:szCs w:val="14"/>
                <w:color w:val="auto"/>
              </w:rPr>
              <w:t>3,042</w:t>
            </w:r>
          </w:p>
        </w:tc>
      </w:tr>
      <w:tr>
        <w:trPr>
          <w:trHeight w:val="161"/>
        </w:trPr>
        <w:tc>
          <w:tcPr>
            <w:tcW w:w="6280" w:type="dxa"/>
            <w:vAlign w:val="bottom"/>
          </w:tcPr>
          <w:p>
            <w:pPr>
              <w:ind w:left="260"/>
              <w:spacing w:after="0"/>
              <w:rPr>
                <w:sz w:val="20"/>
                <w:szCs w:val="20"/>
                <w:color w:val="auto"/>
              </w:rPr>
            </w:pPr>
            <w:r>
              <w:rPr>
                <w:rFonts w:ascii="Arial" w:cs="Arial" w:eastAsia="Arial" w:hAnsi="Arial"/>
                <w:sz w:val="13"/>
                <w:szCs w:val="13"/>
                <w:color w:val="auto"/>
              </w:rPr>
              <w:t>Lease assets and liabilities, net</w:t>
            </w:r>
          </w:p>
        </w:tc>
        <w:tc>
          <w:tcPr>
            <w:tcW w:w="720" w:type="dxa"/>
            <w:vAlign w:val="bottom"/>
            <w:gridSpan w:val="3"/>
          </w:tcPr>
          <w:p>
            <w:pPr>
              <w:jc w:val="right"/>
              <w:ind w:right="59"/>
              <w:spacing w:after="0"/>
              <w:rPr>
                <w:sz w:val="20"/>
                <w:szCs w:val="20"/>
                <w:color w:val="auto"/>
              </w:rPr>
            </w:pPr>
            <w:r>
              <w:rPr>
                <w:rFonts w:ascii="Arial" w:cs="Arial" w:eastAsia="Arial" w:hAnsi="Arial"/>
                <w:sz w:val="14"/>
                <w:szCs w:val="14"/>
                <w:color w:val="auto"/>
              </w:rPr>
              <w:t>(3,928)</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(67)</w:t>
            </w:r>
          </w:p>
        </w:tc>
      </w:tr>
      <w:tr>
        <w:trPr>
          <w:trHeight w:val="161"/>
        </w:trPr>
        <w:tc>
          <w:tcPr>
            <w:tcW w:w="6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 accrued expenses and accrued personnel</w:t>
            </w:r>
          </w:p>
        </w:tc>
        <w:tc>
          <w:tcPr>
            <w:tcW w:w="72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(38,602)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(22,006)</w:t>
            </w:r>
          </w:p>
        </w:tc>
      </w:tr>
      <w:tr>
        <w:trPr>
          <w:trHeight w:val="161"/>
        </w:trPr>
        <w:tc>
          <w:tcPr>
            <w:tcW w:w="6280" w:type="dxa"/>
            <w:vAlign w:val="bottom"/>
          </w:tcPr>
          <w:p>
            <w:pPr>
              <w:ind w:left="260"/>
              <w:spacing w:after="0"/>
              <w:rPr>
                <w:sz w:val="20"/>
                <w:szCs w:val="20"/>
                <w:color w:val="auto"/>
              </w:rPr>
            </w:pPr>
            <w:r>
              <w:rPr>
                <w:rFonts w:ascii="Arial" w:cs="Arial" w:eastAsia="Arial" w:hAnsi="Arial"/>
                <w:sz w:val="13"/>
                <w:szCs w:val="13"/>
                <w:color w:val="auto"/>
              </w:rPr>
              <w:t>Deferred revenue</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81,959</w:t>
            </w:r>
          </w:p>
        </w:tc>
        <w:tc>
          <w:tcPr>
            <w:tcW w:w="140" w:type="dxa"/>
            <w:vAlign w:val="bottom"/>
          </w:tcPr>
          <w:p>
            <w:pPr>
              <w:spacing w:after="0"/>
              <w:rPr>
                <w:sz w:val="14"/>
                <w:szCs w:val="14"/>
                <w:color w:val="auto"/>
              </w:rPr>
            </w:pPr>
          </w:p>
        </w:tc>
        <w:tc>
          <w:tcPr>
            <w:tcW w:w="740" w:type="dxa"/>
            <w:vAlign w:val="bottom"/>
            <w:gridSpan w:val="3"/>
          </w:tcPr>
          <w:p>
            <w:pPr>
              <w:jc w:val="right"/>
              <w:ind w:right="31"/>
              <w:spacing w:after="0"/>
              <w:rPr>
                <w:sz w:val="20"/>
                <w:szCs w:val="20"/>
                <w:color w:val="auto"/>
              </w:rPr>
            </w:pPr>
            <w:r>
              <w:rPr>
                <w:rFonts w:ascii="Arial" w:cs="Arial" w:eastAsia="Arial" w:hAnsi="Arial"/>
                <w:sz w:val="14"/>
                <w:szCs w:val="14"/>
                <w:color w:val="auto"/>
              </w:rPr>
              <w:t>102,997</w:t>
            </w:r>
          </w:p>
        </w:tc>
      </w:tr>
      <w:tr>
        <w:trPr>
          <w:trHeight w:val="161"/>
        </w:trPr>
        <w:tc>
          <w:tcPr>
            <w:tcW w:w="6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Income taxes payable, net</w:t>
            </w:r>
          </w:p>
        </w:tc>
        <w:tc>
          <w:tcPr>
            <w:tcW w:w="72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(11,245)</w:t>
            </w:r>
          </w:p>
        </w:tc>
        <w:tc>
          <w:tcPr>
            <w:tcW w:w="740" w:type="dxa"/>
            <w:vAlign w:val="bottom"/>
            <w:gridSpan w:val="3"/>
            <w:shd w:val="clear" w:color="auto" w:fill="CCEEFF"/>
          </w:tcPr>
          <w:p>
            <w:pPr>
              <w:jc w:val="right"/>
              <w:ind w:right="31"/>
              <w:spacing w:after="0"/>
              <w:rPr>
                <w:sz w:val="20"/>
                <w:szCs w:val="20"/>
                <w:color w:val="auto"/>
              </w:rPr>
            </w:pPr>
            <w:r>
              <w:rPr>
                <w:rFonts w:ascii="Arial" w:cs="Arial" w:eastAsia="Arial" w:hAnsi="Arial"/>
                <w:sz w:val="14"/>
                <w:szCs w:val="14"/>
                <w:color w:val="auto"/>
              </w:rPr>
              <w:t>27,378</w:t>
            </w:r>
          </w:p>
        </w:tc>
      </w:tr>
      <w:tr>
        <w:trPr>
          <w:trHeight w:val="161"/>
        </w:trPr>
        <w:tc>
          <w:tcPr>
            <w:tcW w:w="6280" w:type="dxa"/>
            <w:vAlign w:val="bottom"/>
          </w:tcPr>
          <w:p>
            <w:pPr>
              <w:ind w:left="260"/>
              <w:spacing w:after="0"/>
              <w:rPr>
                <w:sz w:val="20"/>
                <w:szCs w:val="20"/>
                <w:color w:val="auto"/>
              </w:rPr>
            </w:pPr>
            <w:r>
              <w:rPr>
                <w:rFonts w:ascii="Arial" w:cs="Arial" w:eastAsia="Arial" w:hAnsi="Arial"/>
                <w:sz w:val="13"/>
                <w:szCs w:val="13"/>
                <w:color w:val="auto"/>
              </w:rPr>
              <w:t>Other noncurrent liabilities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24,991</w:t>
            </w:r>
          </w:p>
        </w:tc>
        <w:tc>
          <w:tcPr>
            <w:tcW w:w="140" w:type="dxa"/>
            <w:vAlign w:val="bottom"/>
          </w:tcPr>
          <w:p>
            <w:pPr>
              <w:spacing w:after="0"/>
              <w:rPr>
                <w:sz w:val="14"/>
                <w:szCs w:val="14"/>
                <w:color w:val="auto"/>
              </w:rPr>
            </w:pPr>
          </w:p>
        </w:tc>
        <w:tc>
          <w:tcPr>
            <w:tcW w:w="740" w:type="dxa"/>
            <w:vAlign w:val="bottom"/>
            <w:gridSpan w:val="3"/>
          </w:tcPr>
          <w:p>
            <w:pPr>
              <w:jc w:val="right"/>
              <w:ind w:right="31"/>
              <w:spacing w:after="0"/>
              <w:rPr>
                <w:sz w:val="20"/>
                <w:szCs w:val="20"/>
                <w:color w:val="auto"/>
              </w:rPr>
            </w:pPr>
            <w:r>
              <w:rPr>
                <w:rFonts w:ascii="Arial" w:cs="Arial" w:eastAsia="Arial" w:hAnsi="Arial"/>
                <w:sz w:val="14"/>
                <w:szCs w:val="14"/>
                <w:color w:val="auto"/>
              </w:rPr>
              <w:t>15,164</w:t>
            </w:r>
          </w:p>
        </w:tc>
      </w:tr>
      <w:tr>
        <w:trPr>
          <w:trHeight w:val="160"/>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377,702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372,974</w:t>
            </w:r>
          </w:p>
        </w:tc>
        <w:tc>
          <w:tcPr>
            <w:tcW w:w="100" w:type="dxa"/>
            <w:vAlign w:val="bottom"/>
            <w:shd w:val="clear" w:color="auto" w:fill="CCEEFF"/>
          </w:tcPr>
          <w:p>
            <w:pPr>
              <w:spacing w:after="0"/>
              <w:rPr>
                <w:sz w:val="13"/>
                <w:szCs w:val="13"/>
                <w:color w:val="auto"/>
              </w:rPr>
            </w:pPr>
          </w:p>
        </w:tc>
      </w:tr>
      <w:tr>
        <w:trPr>
          <w:trHeight w:val="151"/>
        </w:trPr>
        <w:tc>
          <w:tcPr>
            <w:tcW w:w="6280" w:type="dxa"/>
            <w:vAlign w:val="bottom"/>
          </w:tcPr>
          <w:p>
            <w:pPr>
              <w:spacing w:after="0"/>
              <w:rPr>
                <w:sz w:val="20"/>
                <w:szCs w:val="20"/>
                <w:color w:val="auto"/>
              </w:rPr>
            </w:pPr>
            <w:r>
              <w:rPr>
                <w:rFonts w:ascii="Arial" w:cs="Arial" w:eastAsia="Arial" w:hAnsi="Arial"/>
                <w:sz w:val="13"/>
                <w:szCs w:val="13"/>
                <w:b w:val="1"/>
                <w:bCs w:val="1"/>
                <w:color w:val="auto"/>
              </w:rPr>
              <w:t>Cash Flow from Investing Activities:</w:t>
            </w: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Purchase of property and equipment, net (a)</w:t>
            </w:r>
          </w:p>
        </w:tc>
        <w:tc>
          <w:tcPr>
            <w:tcW w:w="72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(68,822)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(104,496)</w:t>
            </w:r>
          </w:p>
        </w:tc>
      </w:tr>
      <w:tr>
        <w:trPr>
          <w:trHeight w:val="161"/>
        </w:trPr>
        <w:tc>
          <w:tcPr>
            <w:tcW w:w="6280" w:type="dxa"/>
            <w:vAlign w:val="bottom"/>
          </w:tcPr>
          <w:p>
            <w:pPr>
              <w:spacing w:after="0"/>
              <w:rPr>
                <w:sz w:val="20"/>
                <w:szCs w:val="20"/>
                <w:color w:val="auto"/>
              </w:rPr>
            </w:pPr>
            <w:r>
              <w:rPr>
                <w:rFonts w:ascii="Arial" w:cs="Arial" w:eastAsia="Arial" w:hAnsi="Arial"/>
                <w:sz w:val="13"/>
                <w:szCs w:val="13"/>
                <w:color w:val="auto"/>
              </w:rPr>
              <w:t>Proceeds from sale of short-term interest-bearing investments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10,360</w:t>
            </w:r>
          </w:p>
        </w:tc>
        <w:tc>
          <w:tcPr>
            <w:tcW w:w="140" w:type="dxa"/>
            <w:vAlign w:val="bottom"/>
          </w:tcPr>
          <w:p>
            <w:pPr>
              <w:spacing w:after="0"/>
              <w:rPr>
                <w:sz w:val="14"/>
                <w:szCs w:val="14"/>
                <w:color w:val="auto"/>
              </w:rPr>
            </w:pPr>
          </w:p>
        </w:tc>
        <w:tc>
          <w:tcPr>
            <w:tcW w:w="740" w:type="dxa"/>
            <w:vAlign w:val="bottom"/>
            <w:gridSpan w:val="3"/>
          </w:tcPr>
          <w:p>
            <w:pPr>
              <w:jc w:val="right"/>
              <w:ind w:right="31"/>
              <w:spacing w:after="0"/>
              <w:rPr>
                <w:sz w:val="20"/>
                <w:szCs w:val="20"/>
                <w:color w:val="auto"/>
              </w:rPr>
            </w:pPr>
            <w:r>
              <w:rPr>
                <w:rFonts w:ascii="Arial" w:cs="Arial" w:eastAsia="Arial" w:hAnsi="Arial"/>
                <w:sz w:val="14"/>
                <w:szCs w:val="14"/>
                <w:color w:val="auto"/>
              </w:rPr>
              <w:t>13,142</w:t>
            </w:r>
          </w:p>
        </w:tc>
      </w:tr>
      <w:tr>
        <w:trPr>
          <w:trHeight w:val="161"/>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Purchase of short-term interest-bearing investments</w:t>
            </w:r>
          </w:p>
        </w:tc>
        <w:tc>
          <w:tcPr>
            <w:tcW w:w="720" w:type="dxa"/>
            <w:vAlign w:val="bottom"/>
            <w:gridSpan w:val="3"/>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(34,275)</w:t>
            </w:r>
          </w:p>
        </w:tc>
      </w:tr>
      <w:tr>
        <w:trPr>
          <w:trHeight w:val="161"/>
        </w:trPr>
        <w:tc>
          <w:tcPr>
            <w:tcW w:w="6280" w:type="dxa"/>
            <w:vAlign w:val="bottom"/>
          </w:tcPr>
          <w:p>
            <w:pPr>
              <w:spacing w:after="0"/>
              <w:rPr>
                <w:sz w:val="20"/>
                <w:szCs w:val="20"/>
                <w:color w:val="auto"/>
              </w:rPr>
            </w:pPr>
            <w:r>
              <w:rPr>
                <w:rFonts w:ascii="Arial" w:cs="Arial" w:eastAsia="Arial" w:hAnsi="Arial"/>
                <w:sz w:val="13"/>
                <w:szCs w:val="13"/>
                <w:color w:val="auto"/>
              </w:rPr>
              <w:t>Net cash paid for business acquisitions</w:t>
            </w:r>
          </w:p>
        </w:tc>
        <w:tc>
          <w:tcPr>
            <w:tcW w:w="72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(24,497)</w:t>
            </w:r>
          </w:p>
        </w:tc>
      </w:tr>
      <w:tr>
        <w:trPr>
          <w:trHeight w:val="161"/>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Net cash received from sale of a business</w:t>
            </w:r>
          </w:p>
        </w:tc>
        <w:tc>
          <w:tcPr>
            <w:tcW w:w="720" w:type="dxa"/>
            <w:vAlign w:val="bottom"/>
            <w:gridSpan w:val="3"/>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31"/>
              <w:spacing w:after="0"/>
              <w:rPr>
                <w:sz w:val="20"/>
                <w:szCs w:val="20"/>
                <w:color w:val="auto"/>
              </w:rPr>
            </w:pPr>
            <w:r>
              <w:rPr>
                <w:rFonts w:ascii="Arial" w:cs="Arial" w:eastAsia="Arial" w:hAnsi="Arial"/>
                <w:sz w:val="14"/>
                <w:szCs w:val="14"/>
                <w:color w:val="auto"/>
              </w:rPr>
              <w:t>10,000</w:t>
            </w:r>
          </w:p>
        </w:tc>
      </w:tr>
      <w:tr>
        <w:trPr>
          <w:trHeight w:val="161"/>
        </w:trPr>
        <w:tc>
          <w:tcPr>
            <w:tcW w:w="6280" w:type="dxa"/>
            <w:vAlign w:val="bottom"/>
          </w:tcPr>
          <w:p>
            <w:pPr>
              <w:spacing w:after="0"/>
              <w:rPr>
                <w:sz w:val="20"/>
                <w:szCs w:val="20"/>
                <w:color w:val="auto"/>
              </w:rPr>
            </w:pPr>
            <w:r>
              <w:rPr>
                <w:rFonts w:ascii="Arial" w:cs="Arial" w:eastAsia="Arial" w:hAnsi="Arial"/>
                <w:sz w:val="13"/>
                <w:szCs w:val="13"/>
                <w:color w:val="auto"/>
              </w:rPr>
              <w:t>Other</w:t>
            </w:r>
          </w:p>
        </w:tc>
        <w:tc>
          <w:tcPr>
            <w:tcW w:w="720" w:type="dxa"/>
            <w:vAlign w:val="bottom"/>
            <w:gridSpan w:val="3"/>
          </w:tcPr>
          <w:p>
            <w:pPr>
              <w:jc w:val="right"/>
              <w:ind w:right="59"/>
              <w:spacing w:after="0"/>
              <w:rPr>
                <w:sz w:val="20"/>
                <w:szCs w:val="20"/>
                <w:color w:val="auto"/>
              </w:rPr>
            </w:pPr>
            <w:r>
              <w:rPr>
                <w:rFonts w:ascii="Arial" w:cs="Arial" w:eastAsia="Arial" w:hAnsi="Arial"/>
                <w:sz w:val="14"/>
                <w:szCs w:val="14"/>
                <w:color w:val="auto"/>
              </w:rPr>
              <w:t>(2,593)</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(2,958)</w:t>
            </w:r>
          </w:p>
        </w:tc>
      </w:tr>
      <w:tr>
        <w:trPr>
          <w:trHeight w:val="160"/>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(61,055)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(143,084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r>
      <w:tr>
        <w:trPr>
          <w:trHeight w:val="151"/>
        </w:trPr>
        <w:tc>
          <w:tcPr>
            <w:tcW w:w="6280" w:type="dxa"/>
            <w:vAlign w:val="bottom"/>
          </w:tcPr>
          <w:p>
            <w:pPr>
              <w:spacing w:after="0"/>
              <w:rPr>
                <w:sz w:val="20"/>
                <w:szCs w:val="20"/>
                <w:color w:val="auto"/>
              </w:rPr>
            </w:pPr>
            <w:r>
              <w:rPr>
                <w:rFonts w:ascii="Arial" w:cs="Arial" w:eastAsia="Arial" w:hAnsi="Arial"/>
                <w:sz w:val="13"/>
                <w:szCs w:val="13"/>
                <w:b w:val="1"/>
                <w:bCs w:val="1"/>
                <w:color w:val="auto"/>
              </w:rPr>
              <w:t>Cash Flow from Financing Activities:</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Repurchase of shares</w:t>
            </w:r>
          </w:p>
        </w:tc>
        <w:tc>
          <w:tcPr>
            <w:tcW w:w="72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(205,637)</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(300,929)</w:t>
            </w:r>
          </w:p>
        </w:tc>
      </w:tr>
      <w:tr>
        <w:trPr>
          <w:trHeight w:val="161"/>
        </w:trPr>
        <w:tc>
          <w:tcPr>
            <w:tcW w:w="6280" w:type="dxa"/>
            <w:vAlign w:val="bottom"/>
          </w:tcPr>
          <w:p>
            <w:pPr>
              <w:spacing w:after="0"/>
              <w:rPr>
                <w:sz w:val="20"/>
                <w:szCs w:val="20"/>
                <w:color w:val="auto"/>
              </w:rPr>
            </w:pPr>
            <w:r>
              <w:rPr>
                <w:rFonts w:ascii="Arial" w:cs="Arial" w:eastAsia="Arial" w:hAnsi="Arial"/>
                <w:sz w:val="13"/>
                <w:szCs w:val="13"/>
                <w:color w:val="auto"/>
              </w:rPr>
              <w:t>Proceeds from employee stock option exercises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34,840</w:t>
            </w:r>
          </w:p>
        </w:tc>
        <w:tc>
          <w:tcPr>
            <w:tcW w:w="140" w:type="dxa"/>
            <w:vAlign w:val="bottom"/>
          </w:tcPr>
          <w:p>
            <w:pPr>
              <w:spacing w:after="0"/>
              <w:rPr>
                <w:sz w:val="14"/>
                <w:szCs w:val="14"/>
                <w:color w:val="auto"/>
              </w:rPr>
            </w:pPr>
          </w:p>
        </w:tc>
        <w:tc>
          <w:tcPr>
            <w:tcW w:w="740" w:type="dxa"/>
            <w:vAlign w:val="bottom"/>
            <w:gridSpan w:val="3"/>
          </w:tcPr>
          <w:p>
            <w:pPr>
              <w:jc w:val="right"/>
              <w:ind w:right="31"/>
              <w:spacing w:after="0"/>
              <w:rPr>
                <w:sz w:val="20"/>
                <w:szCs w:val="20"/>
                <w:color w:val="auto"/>
              </w:rPr>
            </w:pPr>
            <w:r>
              <w:rPr>
                <w:rFonts w:ascii="Arial" w:cs="Arial" w:eastAsia="Arial" w:hAnsi="Arial"/>
                <w:sz w:val="14"/>
                <w:szCs w:val="14"/>
                <w:color w:val="auto"/>
              </w:rPr>
              <w:t>50,550</w:t>
            </w:r>
          </w:p>
        </w:tc>
      </w:tr>
      <w:tr>
        <w:trPr>
          <w:trHeight w:val="161"/>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Payments of dividends</w:t>
            </w:r>
          </w:p>
        </w:tc>
        <w:tc>
          <w:tcPr>
            <w:tcW w:w="72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(95,370)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(89,366)</w:t>
            </w:r>
          </w:p>
        </w:tc>
      </w:tr>
      <w:tr>
        <w:trPr>
          <w:trHeight w:val="161"/>
        </w:trPr>
        <w:tc>
          <w:tcPr>
            <w:tcW w:w="6280" w:type="dxa"/>
            <w:vAlign w:val="bottom"/>
          </w:tcPr>
          <w:p>
            <w:pPr>
              <w:spacing w:after="0"/>
              <w:rPr>
                <w:sz w:val="20"/>
                <w:szCs w:val="20"/>
                <w:color w:val="auto"/>
              </w:rPr>
            </w:pPr>
            <w:r>
              <w:rPr>
                <w:rFonts w:ascii="Arial" w:cs="Arial" w:eastAsia="Arial" w:hAnsi="Arial"/>
                <w:sz w:val="13"/>
                <w:szCs w:val="13"/>
                <w:color w:val="auto"/>
              </w:rPr>
              <w:t>Payment of contingent consideration from a business acquisition</w:t>
            </w:r>
          </w:p>
        </w:tc>
        <w:tc>
          <w:tcPr>
            <w:tcW w:w="720" w:type="dxa"/>
            <w:vAlign w:val="bottom"/>
            <w:gridSpan w:val="3"/>
          </w:tcPr>
          <w:p>
            <w:pPr>
              <w:jc w:val="right"/>
              <w:ind w:right="59"/>
              <w:spacing w:after="0"/>
              <w:rPr>
                <w:sz w:val="20"/>
                <w:szCs w:val="20"/>
                <w:color w:val="auto"/>
              </w:rPr>
            </w:pPr>
            <w:r>
              <w:rPr>
                <w:rFonts w:ascii="Arial" w:cs="Arial" w:eastAsia="Arial" w:hAnsi="Arial"/>
                <w:sz w:val="14"/>
                <w:szCs w:val="14"/>
                <w:color w:val="auto"/>
              </w:rPr>
              <w:t>(453)</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(6,153)</w:t>
            </w:r>
          </w:p>
        </w:tc>
      </w:tr>
      <w:tr>
        <w:trPr>
          <w:trHeight w:val="160"/>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(266,620</w:t>
            </w:r>
          </w:p>
        </w:tc>
        <w:tc>
          <w:tcPr>
            <w:tcW w:w="14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(345,898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r>
      <w:tr>
        <w:trPr>
          <w:trHeight w:val="160"/>
        </w:trPr>
        <w:tc>
          <w:tcPr>
            <w:tcW w:w="6280" w:type="dxa"/>
            <w:vAlign w:val="bottom"/>
          </w:tcPr>
          <w:p>
            <w:pPr>
              <w:spacing w:after="0"/>
              <w:rPr>
                <w:sz w:val="20"/>
                <w:szCs w:val="20"/>
                <w:color w:val="auto"/>
              </w:rPr>
            </w:pPr>
            <w:r>
              <w:rPr>
                <w:rFonts w:ascii="Arial" w:cs="Arial" w:eastAsia="Arial" w:hAnsi="Arial"/>
                <w:sz w:val="13"/>
                <w:szCs w:val="13"/>
                <w:color w:val="auto"/>
              </w:rPr>
              <w:t>Net increase (decrease) in cash and cash equivalents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50,027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(116,008)</w:t>
            </w:r>
          </w:p>
        </w:tc>
        <w:tc>
          <w:tcPr>
            <w:tcW w:w="100" w:type="dxa"/>
            <w:vAlign w:val="bottom"/>
          </w:tcPr>
          <w:p>
            <w:pPr>
              <w:spacing w:after="0"/>
              <w:rPr>
                <w:sz w:val="13"/>
                <w:szCs w:val="13"/>
                <w:color w:val="auto"/>
              </w:rPr>
            </w:pPr>
          </w:p>
        </w:tc>
      </w:tr>
      <w:tr>
        <w:trPr>
          <w:trHeight w:val="161"/>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573,377</w:t>
            </w:r>
          </w:p>
        </w:tc>
        <w:tc>
          <w:tcPr>
            <w:tcW w:w="1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1"/>
              <w:spacing w:after="0"/>
              <w:rPr>
                <w:sz w:val="20"/>
                <w:szCs w:val="20"/>
                <w:color w:val="auto"/>
              </w:rPr>
            </w:pPr>
            <w:r>
              <w:rPr>
                <w:rFonts w:ascii="Arial" w:cs="Arial" w:eastAsia="Arial" w:hAnsi="Arial"/>
                <w:sz w:val="14"/>
                <w:szCs w:val="14"/>
                <w:color w:val="auto"/>
              </w:rPr>
              <w:t>709,064</w:t>
            </w:r>
          </w:p>
        </w:tc>
      </w:tr>
      <w:tr>
        <w:trPr>
          <w:trHeight w:val="168"/>
        </w:trPr>
        <w:tc>
          <w:tcPr>
            <w:tcW w:w="6280" w:type="dxa"/>
            <w:vAlign w:val="bottom"/>
          </w:tcPr>
          <w:p>
            <w:pPr>
              <w:spacing w:after="0"/>
              <w:rPr>
                <w:sz w:val="20"/>
                <w:szCs w:val="20"/>
                <w:color w:val="auto"/>
              </w:rPr>
            </w:pPr>
            <w:r>
              <w:rPr>
                <w:rFonts w:ascii="Arial" w:cs="Arial" w:eastAsia="Arial" w:hAnsi="Arial"/>
                <w:sz w:val="13"/>
                <w:szCs w:val="13"/>
                <w:color w:val="auto"/>
              </w:rPr>
              <w:t>Cash and cash equivalents at end of period</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$ 623,404</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$ 593,056</w:t>
            </w:r>
          </w:p>
        </w:tc>
        <w:tc>
          <w:tcPr>
            <w:tcW w:w="100" w:type="dxa"/>
            <w:vAlign w:val="bottom"/>
          </w:tcPr>
          <w:p>
            <w:pPr>
              <w:spacing w:after="0"/>
              <w:rPr>
                <w:sz w:val="14"/>
                <w:szCs w:val="14"/>
                <w:color w:val="auto"/>
              </w:rPr>
            </w:pPr>
          </w:p>
        </w:tc>
      </w:tr>
    </w:tbl>
    <w:p>
      <w:pPr>
        <w:sectPr>
          <w:pgSz w:w="11900" w:h="16838" w:orient="portrait"/>
          <w:cols w:equalWidth="0" w:num="1">
            <w:col w:w="9019"/>
          </w:cols>
          <w:pgMar w:left="1440" w:top="383"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Supplementary Information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millions)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29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5"/>
          </w:tcPr>
          <w:p>
            <w:pPr>
              <w:jc w:val="center"/>
              <w:ind w:left="263"/>
              <w:spacing w:after="0"/>
              <w:rPr>
                <w:sz w:val="20"/>
                <w:szCs w:val="20"/>
                <w:color w:val="auto"/>
              </w:rPr>
            </w:pPr>
            <w:r>
              <w:rPr>
                <w:rFonts w:ascii="Arial" w:cs="Arial" w:eastAsia="Arial" w:hAnsi="Arial"/>
                <w:sz w:val="10"/>
                <w:szCs w:val="10"/>
                <w:b w:val="1"/>
                <w:bCs w:val="1"/>
                <w:color w:val="auto"/>
                <w:w w:val="89"/>
              </w:rPr>
              <w:t>Three months ended</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9"/>
        </w:trPr>
        <w:tc>
          <w:tcPr>
            <w:tcW w:w="29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4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160" w:type="dxa"/>
            <w:vAlign w:val="bottom"/>
          </w:tcPr>
          <w:p>
            <w:pPr>
              <w:spacing w:after="0"/>
              <w:rPr>
                <w:sz w:val="6"/>
                <w:szCs w:val="6"/>
                <w:color w:val="auto"/>
              </w:rPr>
            </w:pPr>
          </w:p>
        </w:tc>
        <w:tc>
          <w:tcPr>
            <w:tcW w:w="600" w:type="dxa"/>
            <w:vAlign w:val="bottom"/>
            <w:gridSpan w:val="2"/>
          </w:tcPr>
          <w:p>
            <w:pPr>
              <w:ind w:left="20"/>
              <w:spacing w:after="0" w:line="79" w:lineRule="exact"/>
              <w:rPr>
                <w:sz w:val="20"/>
                <w:szCs w:val="20"/>
                <w:color w:val="auto"/>
              </w:rPr>
            </w:pPr>
            <w:r>
              <w:rPr>
                <w:rFonts w:ascii="Arial" w:cs="Arial" w:eastAsia="Arial" w:hAnsi="Arial"/>
                <w:sz w:val="9"/>
                <w:szCs w:val="9"/>
                <w:b w:val="1"/>
                <w:bCs w:val="1"/>
                <w:color w:val="auto"/>
                <w:w w:val="95"/>
              </w:rPr>
              <w:t>December 31,</w:t>
            </w:r>
          </w:p>
        </w:tc>
        <w:tc>
          <w:tcPr>
            <w:tcW w:w="180" w:type="dxa"/>
            <w:vAlign w:val="bottom"/>
          </w:tcPr>
          <w:p>
            <w:pPr>
              <w:spacing w:after="0"/>
              <w:rPr>
                <w:sz w:val="6"/>
                <w:szCs w:val="6"/>
                <w:color w:val="auto"/>
              </w:rPr>
            </w:pPr>
          </w:p>
        </w:tc>
        <w:tc>
          <w:tcPr>
            <w:tcW w:w="80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September 30,</w:t>
            </w:r>
          </w:p>
        </w:tc>
        <w:tc>
          <w:tcPr>
            <w:tcW w:w="620" w:type="dxa"/>
            <w:vAlign w:val="bottom"/>
            <w:gridSpan w:val="3"/>
          </w:tcPr>
          <w:p>
            <w:pPr>
              <w:jc w:val="center"/>
              <w:ind w:right="180"/>
              <w:spacing w:after="0" w:line="79" w:lineRule="exact"/>
              <w:rPr>
                <w:sz w:val="20"/>
                <w:szCs w:val="20"/>
                <w:color w:val="auto"/>
              </w:rPr>
            </w:pPr>
            <w:r>
              <w:rPr>
                <w:rFonts w:ascii="Arial" w:cs="Arial" w:eastAsia="Arial" w:hAnsi="Arial"/>
                <w:sz w:val="9"/>
                <w:szCs w:val="9"/>
                <w:b w:val="1"/>
                <w:bCs w:val="1"/>
                <w:color w:val="auto"/>
                <w:w w:val="99"/>
              </w:rPr>
              <w:t>June 30,</w:t>
            </w:r>
          </w:p>
        </w:tc>
        <w:tc>
          <w:tcPr>
            <w:tcW w:w="44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40" w:type="dxa"/>
            <w:vAlign w:val="bottom"/>
          </w:tcPr>
          <w:p>
            <w:pPr>
              <w:spacing w:after="0"/>
              <w:rPr>
                <w:sz w:val="6"/>
                <w:szCs w:val="6"/>
                <w:color w:val="auto"/>
              </w:rPr>
            </w:pPr>
          </w:p>
        </w:tc>
      </w:tr>
      <w:tr>
        <w:trPr>
          <w:trHeight w:val="119"/>
        </w:trPr>
        <w:tc>
          <w:tcPr>
            <w:tcW w:w="29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2023</w:t>
            </w: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2022</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rPr>
              <w:t>2022</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2022</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2022</w:t>
            </w:r>
          </w:p>
        </w:tc>
        <w:tc>
          <w:tcPr>
            <w:tcW w:w="40" w:type="dxa"/>
            <w:vAlign w:val="bottom"/>
          </w:tcPr>
          <w:p>
            <w:pPr>
              <w:spacing w:after="0"/>
              <w:rPr>
                <w:sz w:val="10"/>
                <w:szCs w:val="10"/>
                <w:color w:val="auto"/>
              </w:rPr>
            </w:pPr>
          </w:p>
        </w:tc>
      </w:tr>
      <w:tr>
        <w:trPr>
          <w:trHeight w:val="141"/>
        </w:trPr>
        <w:tc>
          <w:tcPr>
            <w:tcW w:w="2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North America</w:t>
            </w:r>
          </w:p>
        </w:tc>
        <w:tc>
          <w:tcPr>
            <w:tcW w:w="1620" w:type="dxa"/>
            <w:vAlign w:val="bottom"/>
            <w:gridSpan w:val="2"/>
            <w:shd w:val="clear" w:color="auto" w:fill="CCEEFF"/>
          </w:tcPr>
          <w:p>
            <w:pPr>
              <w:ind w:left="1540"/>
              <w:spacing w:after="0" w:line="141"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829.0</w:t>
            </w:r>
          </w:p>
        </w:tc>
        <w:tc>
          <w:tcPr>
            <w:tcW w:w="30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812.7</w:t>
            </w:r>
          </w:p>
        </w:tc>
        <w:tc>
          <w:tcPr>
            <w:tcW w:w="28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794.4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788.0</w:t>
            </w:r>
          </w:p>
        </w:tc>
        <w:tc>
          <w:tcPr>
            <w:tcW w:w="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772.2</w:t>
            </w:r>
          </w:p>
        </w:tc>
        <w:tc>
          <w:tcPr>
            <w:tcW w:w="40" w:type="dxa"/>
            <w:vAlign w:val="bottom"/>
            <w:shd w:val="clear" w:color="auto" w:fill="CCEEFF"/>
          </w:tcPr>
          <w:p>
            <w:pPr>
              <w:spacing w:after="0"/>
              <w:rPr>
                <w:sz w:val="12"/>
                <w:szCs w:val="12"/>
                <w:color w:val="auto"/>
              </w:rPr>
            </w:pPr>
          </w:p>
        </w:tc>
      </w:tr>
      <w:tr>
        <w:trPr>
          <w:trHeight w:val="152"/>
        </w:trPr>
        <w:tc>
          <w:tcPr>
            <w:tcW w:w="2920" w:type="dxa"/>
            <w:vAlign w:val="bottom"/>
          </w:tcPr>
          <w:p>
            <w:pPr>
              <w:spacing w:after="0"/>
              <w:rPr>
                <w:sz w:val="20"/>
                <w:szCs w:val="20"/>
                <w:color w:val="auto"/>
              </w:rPr>
            </w:pPr>
            <w:r>
              <w:rPr>
                <w:rFonts w:ascii="Arial" w:cs="Arial" w:eastAsia="Arial" w:hAnsi="Arial"/>
                <w:sz w:val="13"/>
                <w:szCs w:val="13"/>
                <w:color w:val="auto"/>
              </w:rPr>
              <w:t>Europe</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171.7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168.7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146.4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146.1</w:t>
            </w: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147.2</w:t>
            </w:r>
          </w:p>
        </w:tc>
        <w:tc>
          <w:tcPr>
            <w:tcW w:w="40" w:type="dxa"/>
            <w:vAlign w:val="bottom"/>
          </w:tcPr>
          <w:p>
            <w:pPr>
              <w:spacing w:after="0"/>
              <w:rPr>
                <w:sz w:val="13"/>
                <w:szCs w:val="13"/>
                <w:color w:val="auto"/>
              </w:rPr>
            </w:pPr>
          </w:p>
        </w:tc>
      </w:tr>
      <w:tr>
        <w:trPr>
          <w:trHeight w:val="152"/>
        </w:trPr>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15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222.6</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204.3</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225.7</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226.2</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225.9</w:t>
            </w:r>
          </w:p>
        </w:tc>
        <w:tc>
          <w:tcPr>
            <w:tcW w:w="40" w:type="dxa"/>
            <w:vAlign w:val="bottom"/>
            <w:shd w:val="clear" w:color="auto" w:fill="CCEEFF"/>
          </w:tcPr>
          <w:p>
            <w:pPr>
              <w:spacing w:after="0"/>
              <w:rPr>
                <w:sz w:val="13"/>
                <w:szCs w:val="13"/>
                <w:color w:val="auto"/>
              </w:rPr>
            </w:pPr>
          </w:p>
        </w:tc>
      </w:tr>
      <w:tr>
        <w:trPr>
          <w:trHeight w:val="151"/>
        </w:trPr>
        <w:tc>
          <w:tcPr>
            <w:tcW w:w="2920" w:type="dxa"/>
            <w:vAlign w:val="bottom"/>
          </w:tcPr>
          <w:p>
            <w:pPr>
              <w:spacing w:after="0"/>
              <w:rPr>
                <w:sz w:val="20"/>
                <w:szCs w:val="20"/>
                <w:color w:val="auto"/>
              </w:rPr>
            </w:pPr>
            <w:r>
              <w:rPr>
                <w:rFonts w:ascii="Arial" w:cs="Arial" w:eastAsia="Arial" w:hAnsi="Arial"/>
                <w:sz w:val="13"/>
                <w:szCs w:val="13"/>
                <w:color w:val="auto"/>
              </w:rPr>
              <w:t>Total Revenue</w:t>
            </w:r>
          </w:p>
        </w:tc>
        <w:tc>
          <w:tcPr>
            <w:tcW w:w="1980" w:type="dxa"/>
            <w:vAlign w:val="bottom"/>
            <w:gridSpan w:val="3"/>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1,223.3</w:t>
            </w:r>
          </w:p>
        </w:tc>
        <w:tc>
          <w:tcPr>
            <w:tcW w:w="3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1,185.7</w:t>
            </w:r>
          </w:p>
        </w:tc>
        <w:tc>
          <w:tcPr>
            <w:tcW w:w="2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1,166.5</w:t>
            </w:r>
          </w:p>
        </w:tc>
        <w:tc>
          <w:tcPr>
            <w:tcW w:w="180" w:type="dxa"/>
            <w:vAlign w:val="bottom"/>
          </w:tcPr>
          <w:p>
            <w:pPr>
              <w:spacing w:after="0"/>
              <w:rPr>
                <w:sz w:val="13"/>
                <w:szCs w:val="1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1,160.3</w:t>
            </w:r>
          </w:p>
        </w:tc>
        <w:tc>
          <w:tcPr>
            <w:tcW w:w="440" w:type="dxa"/>
            <w:vAlign w:val="bottom"/>
            <w:gridSpan w:val="2"/>
          </w:tcPr>
          <w:p>
            <w:pPr>
              <w:jc w:val="right"/>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1,145.3</w:t>
            </w:r>
          </w:p>
        </w:tc>
        <w:tc>
          <w:tcPr>
            <w:tcW w:w="40" w:type="dxa"/>
            <w:vAlign w:val="bottom"/>
          </w:tcPr>
          <w:p>
            <w:pPr>
              <w:spacing w:after="0"/>
              <w:rPr>
                <w:sz w:val="13"/>
                <w:szCs w:val="13"/>
                <w:color w:val="auto"/>
              </w:rPr>
            </w:pPr>
          </w:p>
        </w:tc>
      </w:tr>
      <w:tr>
        <w:trPr>
          <w:trHeight w:val="28"/>
        </w:trPr>
        <w:tc>
          <w:tcPr>
            <w:tcW w:w="2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5"/>
        </w:trPr>
        <w:tc>
          <w:tcPr>
            <w:tcW w:w="29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5"/>
          </w:tcPr>
          <w:p>
            <w:pPr>
              <w:jc w:val="center"/>
              <w:ind w:left="263"/>
              <w:spacing w:after="0"/>
              <w:rPr>
                <w:sz w:val="20"/>
                <w:szCs w:val="20"/>
                <w:color w:val="auto"/>
              </w:rPr>
            </w:pPr>
            <w:r>
              <w:rPr>
                <w:rFonts w:ascii="Arial" w:cs="Arial" w:eastAsia="Arial" w:hAnsi="Arial"/>
                <w:sz w:val="10"/>
                <w:szCs w:val="10"/>
                <w:b w:val="1"/>
                <w:bCs w:val="1"/>
                <w:color w:val="auto"/>
                <w:w w:val="89"/>
              </w:rPr>
              <w:t>Three months ended</w:t>
            </w: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79"/>
        </w:trPr>
        <w:tc>
          <w:tcPr>
            <w:tcW w:w="29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4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160" w:type="dxa"/>
            <w:vAlign w:val="bottom"/>
          </w:tcPr>
          <w:p>
            <w:pPr>
              <w:spacing w:after="0"/>
              <w:rPr>
                <w:sz w:val="6"/>
                <w:szCs w:val="6"/>
                <w:color w:val="auto"/>
              </w:rPr>
            </w:pPr>
          </w:p>
        </w:tc>
        <w:tc>
          <w:tcPr>
            <w:tcW w:w="600" w:type="dxa"/>
            <w:vAlign w:val="bottom"/>
            <w:gridSpan w:val="2"/>
          </w:tcPr>
          <w:p>
            <w:pPr>
              <w:ind w:left="20"/>
              <w:spacing w:after="0" w:line="79" w:lineRule="exact"/>
              <w:rPr>
                <w:sz w:val="20"/>
                <w:szCs w:val="20"/>
                <w:color w:val="auto"/>
              </w:rPr>
            </w:pPr>
            <w:r>
              <w:rPr>
                <w:rFonts w:ascii="Arial" w:cs="Arial" w:eastAsia="Arial" w:hAnsi="Arial"/>
                <w:sz w:val="9"/>
                <w:szCs w:val="9"/>
                <w:b w:val="1"/>
                <w:bCs w:val="1"/>
                <w:color w:val="auto"/>
                <w:w w:val="95"/>
              </w:rPr>
              <w:t>December 31,</w:t>
            </w:r>
          </w:p>
        </w:tc>
        <w:tc>
          <w:tcPr>
            <w:tcW w:w="180" w:type="dxa"/>
            <w:vAlign w:val="bottom"/>
          </w:tcPr>
          <w:p>
            <w:pPr>
              <w:spacing w:after="0"/>
              <w:rPr>
                <w:sz w:val="6"/>
                <w:szCs w:val="6"/>
                <w:color w:val="auto"/>
              </w:rPr>
            </w:pPr>
          </w:p>
        </w:tc>
        <w:tc>
          <w:tcPr>
            <w:tcW w:w="80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September 30,</w:t>
            </w:r>
          </w:p>
        </w:tc>
        <w:tc>
          <w:tcPr>
            <w:tcW w:w="620" w:type="dxa"/>
            <w:vAlign w:val="bottom"/>
            <w:gridSpan w:val="3"/>
          </w:tcPr>
          <w:p>
            <w:pPr>
              <w:jc w:val="center"/>
              <w:ind w:right="180"/>
              <w:spacing w:after="0" w:line="79" w:lineRule="exact"/>
              <w:rPr>
                <w:sz w:val="20"/>
                <w:szCs w:val="20"/>
                <w:color w:val="auto"/>
              </w:rPr>
            </w:pPr>
            <w:r>
              <w:rPr>
                <w:rFonts w:ascii="Arial" w:cs="Arial" w:eastAsia="Arial" w:hAnsi="Arial"/>
                <w:sz w:val="9"/>
                <w:szCs w:val="9"/>
                <w:b w:val="1"/>
                <w:bCs w:val="1"/>
                <w:color w:val="auto"/>
                <w:w w:val="99"/>
              </w:rPr>
              <w:t>June 30,</w:t>
            </w:r>
          </w:p>
        </w:tc>
        <w:tc>
          <w:tcPr>
            <w:tcW w:w="44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40" w:type="dxa"/>
            <w:vAlign w:val="bottom"/>
          </w:tcPr>
          <w:p>
            <w:pPr>
              <w:spacing w:after="0"/>
              <w:rPr>
                <w:sz w:val="6"/>
                <w:szCs w:val="6"/>
                <w:color w:val="auto"/>
              </w:rPr>
            </w:pPr>
          </w:p>
        </w:tc>
      </w:tr>
      <w:tr>
        <w:trPr>
          <w:trHeight w:val="119"/>
        </w:trPr>
        <w:tc>
          <w:tcPr>
            <w:tcW w:w="29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2023</w:t>
            </w: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2022</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rPr>
              <w:t>2022</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2022</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2022</w:t>
            </w:r>
          </w:p>
        </w:tc>
        <w:tc>
          <w:tcPr>
            <w:tcW w:w="40" w:type="dxa"/>
            <w:vAlign w:val="bottom"/>
          </w:tcPr>
          <w:p>
            <w:pPr>
              <w:spacing w:after="0"/>
              <w:rPr>
                <w:sz w:val="10"/>
                <w:szCs w:val="10"/>
                <w:color w:val="auto"/>
              </w:rPr>
            </w:pPr>
          </w:p>
        </w:tc>
      </w:tr>
      <w:tr>
        <w:trPr>
          <w:trHeight w:val="141"/>
        </w:trPr>
        <w:tc>
          <w:tcPr>
            <w:tcW w:w="2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Managed Services Revenue</w:t>
            </w:r>
          </w:p>
        </w:tc>
        <w:tc>
          <w:tcPr>
            <w:tcW w:w="1620" w:type="dxa"/>
            <w:vAlign w:val="bottom"/>
            <w:gridSpan w:val="2"/>
            <w:shd w:val="clear" w:color="auto" w:fill="CCEEFF"/>
          </w:tcPr>
          <w:p>
            <w:pPr>
              <w:ind w:left="1540"/>
              <w:spacing w:after="0" w:line="141"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718.9</w:t>
            </w:r>
          </w:p>
        </w:tc>
        <w:tc>
          <w:tcPr>
            <w:tcW w:w="30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699.8</w:t>
            </w:r>
          </w:p>
        </w:tc>
        <w:tc>
          <w:tcPr>
            <w:tcW w:w="28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714.6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717.9</w:t>
            </w:r>
          </w:p>
        </w:tc>
        <w:tc>
          <w:tcPr>
            <w:tcW w:w="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663.4</w:t>
            </w:r>
          </w:p>
        </w:tc>
        <w:tc>
          <w:tcPr>
            <w:tcW w:w="40" w:type="dxa"/>
            <w:vAlign w:val="bottom"/>
            <w:shd w:val="clear" w:color="auto" w:fill="CCEEFF"/>
          </w:tcPr>
          <w:p>
            <w:pPr>
              <w:spacing w:after="0"/>
              <w:rPr>
                <w:sz w:val="12"/>
                <w:szCs w:val="12"/>
                <w:color w:val="auto"/>
              </w:rPr>
            </w:pPr>
          </w:p>
        </w:tc>
      </w:tr>
      <w:tr>
        <w:trPr>
          <w:trHeight w:val="255"/>
        </w:trPr>
        <w:tc>
          <w:tcPr>
            <w:tcW w:w="29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5"/>
              </w:rPr>
              <w:t>as of</w:t>
            </w:r>
          </w:p>
        </w:tc>
        <w:tc>
          <w:tcPr>
            <w:tcW w:w="180" w:type="dxa"/>
            <w:vAlign w:val="bottom"/>
            <w:tcBorders>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79"/>
        </w:trPr>
        <w:tc>
          <w:tcPr>
            <w:tcW w:w="29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4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160" w:type="dxa"/>
            <w:vAlign w:val="bottom"/>
          </w:tcPr>
          <w:p>
            <w:pPr>
              <w:spacing w:after="0"/>
              <w:rPr>
                <w:sz w:val="6"/>
                <w:szCs w:val="6"/>
                <w:color w:val="auto"/>
              </w:rPr>
            </w:pPr>
          </w:p>
        </w:tc>
        <w:tc>
          <w:tcPr>
            <w:tcW w:w="600" w:type="dxa"/>
            <w:vAlign w:val="bottom"/>
            <w:gridSpan w:val="2"/>
          </w:tcPr>
          <w:p>
            <w:pPr>
              <w:ind w:left="20"/>
              <w:spacing w:after="0" w:line="79" w:lineRule="exact"/>
              <w:rPr>
                <w:sz w:val="20"/>
                <w:szCs w:val="20"/>
                <w:color w:val="auto"/>
              </w:rPr>
            </w:pPr>
            <w:r>
              <w:rPr>
                <w:rFonts w:ascii="Arial" w:cs="Arial" w:eastAsia="Arial" w:hAnsi="Arial"/>
                <w:sz w:val="9"/>
                <w:szCs w:val="9"/>
                <w:b w:val="1"/>
                <w:bCs w:val="1"/>
                <w:color w:val="auto"/>
                <w:w w:val="95"/>
              </w:rPr>
              <w:t>December 31,</w:t>
            </w:r>
          </w:p>
        </w:tc>
        <w:tc>
          <w:tcPr>
            <w:tcW w:w="180" w:type="dxa"/>
            <w:vAlign w:val="bottom"/>
          </w:tcPr>
          <w:p>
            <w:pPr>
              <w:spacing w:after="0"/>
              <w:rPr>
                <w:sz w:val="6"/>
                <w:szCs w:val="6"/>
                <w:color w:val="auto"/>
              </w:rPr>
            </w:pPr>
          </w:p>
        </w:tc>
        <w:tc>
          <w:tcPr>
            <w:tcW w:w="80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September 30,</w:t>
            </w:r>
          </w:p>
        </w:tc>
        <w:tc>
          <w:tcPr>
            <w:tcW w:w="620" w:type="dxa"/>
            <w:vAlign w:val="bottom"/>
            <w:gridSpan w:val="3"/>
          </w:tcPr>
          <w:p>
            <w:pPr>
              <w:jc w:val="center"/>
              <w:ind w:right="180"/>
              <w:spacing w:after="0" w:line="79" w:lineRule="exact"/>
              <w:rPr>
                <w:sz w:val="20"/>
                <w:szCs w:val="20"/>
                <w:color w:val="auto"/>
              </w:rPr>
            </w:pPr>
            <w:r>
              <w:rPr>
                <w:rFonts w:ascii="Arial" w:cs="Arial" w:eastAsia="Arial" w:hAnsi="Arial"/>
                <w:sz w:val="9"/>
                <w:szCs w:val="9"/>
                <w:b w:val="1"/>
                <w:bCs w:val="1"/>
                <w:color w:val="auto"/>
                <w:w w:val="99"/>
              </w:rPr>
              <w:t>June 30,</w:t>
            </w:r>
          </w:p>
        </w:tc>
        <w:tc>
          <w:tcPr>
            <w:tcW w:w="44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40" w:type="dxa"/>
            <w:vAlign w:val="bottom"/>
          </w:tcPr>
          <w:p>
            <w:pPr>
              <w:spacing w:after="0"/>
              <w:rPr>
                <w:sz w:val="6"/>
                <w:szCs w:val="6"/>
                <w:color w:val="auto"/>
              </w:rPr>
            </w:pPr>
          </w:p>
        </w:tc>
      </w:tr>
      <w:tr>
        <w:trPr>
          <w:trHeight w:val="119"/>
        </w:trPr>
        <w:tc>
          <w:tcPr>
            <w:tcW w:w="29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2023</w:t>
            </w: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2022</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rPr>
              <w:t>2022</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2022</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2022</w:t>
            </w:r>
          </w:p>
        </w:tc>
        <w:tc>
          <w:tcPr>
            <w:tcW w:w="40" w:type="dxa"/>
            <w:vAlign w:val="bottom"/>
          </w:tcPr>
          <w:p>
            <w:pPr>
              <w:spacing w:after="0"/>
              <w:rPr>
                <w:sz w:val="10"/>
                <w:szCs w:val="10"/>
                <w:color w:val="auto"/>
              </w:rPr>
            </w:pPr>
          </w:p>
        </w:tc>
      </w:tr>
      <w:tr>
        <w:trPr>
          <w:trHeight w:val="141"/>
        </w:trPr>
        <w:tc>
          <w:tcPr>
            <w:tcW w:w="2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12-Month Backlog</w:t>
            </w:r>
          </w:p>
        </w:tc>
        <w:tc>
          <w:tcPr>
            <w:tcW w:w="1620" w:type="dxa"/>
            <w:vAlign w:val="bottom"/>
            <w:gridSpan w:val="2"/>
            <w:shd w:val="clear" w:color="auto" w:fill="CCEEFF"/>
          </w:tcPr>
          <w:p>
            <w:pPr>
              <w:ind w:left="1540"/>
              <w:spacing w:after="0" w:line="141"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4,110</w:t>
            </w:r>
          </w:p>
        </w:tc>
        <w:tc>
          <w:tcPr>
            <w:tcW w:w="30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4,090</w:t>
            </w:r>
          </w:p>
        </w:tc>
        <w:tc>
          <w:tcPr>
            <w:tcW w:w="28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3,970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3,950</w:t>
            </w:r>
          </w:p>
        </w:tc>
        <w:tc>
          <w:tcPr>
            <w:tcW w:w="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3,890</w:t>
            </w:r>
          </w:p>
        </w:tc>
        <w:tc>
          <w:tcPr>
            <w:tcW w:w="40" w:type="dxa"/>
            <w:vAlign w:val="bottom"/>
            <w:shd w:val="clear" w:color="auto" w:fill="CCEEFF"/>
          </w:tcPr>
          <w:p>
            <w:pPr>
              <w:spacing w:after="0"/>
              <w:rPr>
                <w:sz w:val="12"/>
                <w:szCs w:val="12"/>
                <w:color w:val="auto"/>
              </w:rPr>
            </w:pPr>
          </w:p>
        </w:tc>
      </w:tr>
      <w:tr>
        <w:trPr>
          <w:trHeight w:val="20"/>
        </w:trPr>
        <w:tc>
          <w:tcPr>
            <w:tcW w:w="2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120650</wp:posOffset>
            </wp:positionV>
            <wp:extent cx="491045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 # #</w:t>
      </w:r>
    </w:p>
    <w:p>
      <w:pPr>
        <w:sectPr>
          <w:pgSz w:w="11900" w:h="16838" w:orient="portrait"/>
          <w:cols w:equalWidth="0" w:num="1">
            <w:col w:w="9019"/>
          </w:cols>
          <w:pgMar w:left="1440" w:top="383" w:right="1440"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185420</wp:posOffset>
            </wp:positionV>
            <wp:extent cx="7221220" cy="4062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2122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ind w:right="639"/>
        <w:spacing w:after="0"/>
        <w:rPr>
          <w:sz w:val="20"/>
          <w:szCs w:val="20"/>
          <w:color w:val="auto"/>
        </w:rPr>
      </w:pPr>
      <w:r>
        <w:rPr>
          <w:rFonts w:ascii="Arial" w:cs="Arial" w:eastAsia="Arial" w:hAnsi="Arial"/>
          <w:sz w:val="13"/>
          <w:szCs w:val="13"/>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1504315" cy="234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04315" cy="23495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118110</wp:posOffset>
            </wp:positionV>
            <wp:extent cx="1384300" cy="300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84300" cy="300990"/>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532765</wp:posOffset>
            </wp:positionV>
            <wp:extent cx="491680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168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Amdocs to Acquire Service Assurance Business of TEOCO to Assure and Enable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Monetization of Next Generation Dynamic Customer Experiences</w:t>
      </w:r>
    </w:p>
    <w:p>
      <w:pPr>
        <w:spacing w:after="0" w:line="141" w:lineRule="exact"/>
        <w:rPr>
          <w:sz w:val="20"/>
          <w:szCs w:val="20"/>
          <w:color w:val="auto"/>
        </w:rPr>
      </w:pPr>
    </w:p>
    <w:p>
      <w:pPr>
        <w:ind w:left="640" w:right="859"/>
        <w:spacing w:after="0" w:line="251" w:lineRule="auto"/>
        <w:rPr>
          <w:sz w:val="20"/>
          <w:szCs w:val="20"/>
          <w:color w:val="auto"/>
        </w:rPr>
      </w:pPr>
      <w:r>
        <w:rPr>
          <w:rFonts w:ascii="Arial" w:cs="Arial" w:eastAsia="Arial" w:hAnsi="Arial"/>
          <w:sz w:val="13"/>
          <w:szCs w:val="13"/>
          <w:b w:val="1"/>
          <w:bCs w:val="1"/>
          <w:color w:val="auto"/>
        </w:rPr>
        <w:t>JERSEY CITY, NJ – May 10, 2023 –</w:t>
      </w:r>
      <w:r>
        <w:rPr>
          <w:rFonts w:ascii="Arial" w:cs="Arial" w:eastAsia="Arial" w:hAnsi="Arial"/>
          <w:sz w:val="13"/>
          <w:szCs w:val="13"/>
          <w:u w:val="single" w:color="auto"/>
          <w:color w:val="auto"/>
        </w:rPr>
        <w:t>Amdocs</w:t>
      </w:r>
      <w:r>
        <w:rPr>
          <w:rFonts w:ascii="Arial" w:cs="Arial" w:eastAsia="Arial" w:hAnsi="Arial"/>
          <w:sz w:val="13"/>
          <w:szCs w:val="13"/>
          <w:b w:val="1"/>
          <w:bCs w:val="1"/>
          <w:color w:val="auto"/>
        </w:rPr>
        <w:t xml:space="preserve"> </w:t>
      </w:r>
      <w:r>
        <w:rPr>
          <w:rFonts w:ascii="Arial" w:cs="Arial" w:eastAsia="Arial" w:hAnsi="Arial"/>
          <w:sz w:val="13"/>
          <w:szCs w:val="13"/>
          <w:color w:val="auto"/>
        </w:rPr>
        <w:t>(NASDAQ: DOX), a leading provider of software and services to communications and media</w:t>
      </w:r>
      <w:r>
        <w:rPr>
          <w:rFonts w:ascii="Arial" w:cs="Arial" w:eastAsia="Arial" w:hAnsi="Arial"/>
          <w:sz w:val="13"/>
          <w:szCs w:val="13"/>
          <w:b w:val="1"/>
          <w:bCs w:val="1"/>
          <w:color w:val="auto"/>
        </w:rPr>
        <w:t xml:space="preserve"> </w:t>
      </w:r>
      <w:r>
        <w:rPr>
          <w:rFonts w:ascii="Arial" w:cs="Arial" w:eastAsia="Arial" w:hAnsi="Arial"/>
          <w:sz w:val="13"/>
          <w:szCs w:val="13"/>
          <w:color w:val="auto"/>
        </w:rPr>
        <w:t>companies, today announced that it has entered into a definitive agreement to acquire the service assurance business of TEOCO. The acquisition will enable Amdocs to provide service providers with a unique end-to-end service orchestration offering, assuring the quality of service and enabling the monetization of next generation dynamic customer experiences.</w:t>
      </w:r>
    </w:p>
    <w:p>
      <w:pPr>
        <w:spacing w:after="0" w:line="137" w:lineRule="exact"/>
        <w:rPr>
          <w:sz w:val="20"/>
          <w:szCs w:val="20"/>
          <w:color w:val="auto"/>
        </w:rPr>
      </w:pPr>
    </w:p>
    <w:p>
      <w:pPr>
        <w:ind w:left="640" w:right="739"/>
        <w:spacing w:after="0" w:line="247" w:lineRule="auto"/>
        <w:rPr>
          <w:sz w:val="20"/>
          <w:szCs w:val="20"/>
          <w:color w:val="auto"/>
        </w:rPr>
      </w:pPr>
      <w:r>
        <w:rPr>
          <w:rFonts w:ascii="Arial" w:cs="Arial" w:eastAsia="Arial" w:hAnsi="Arial"/>
          <w:sz w:val="13"/>
          <w:szCs w:val="13"/>
          <w:color w:val="auto"/>
        </w:rPr>
        <w:t>“The move will enhance Amdocs’ offering by bringing key assurance expertise and capabilities in-house, enabling us to offer truly end-to-end service orchestration. In today’s dynamic and complex 5G era, such a holistic, end-to-end approach is key to delivering on the promise of amazing experiences our customers’ end users expect.” said Shuky Sheffer, President and CEO of Amdocs Management Limited. “Amdocs and TEOCO already partner in some opportunities within the service assurance domain, and this acquisition and the new seamlessly integrated offering will enable us to better serve existing and new customers.”</w:t>
      </w:r>
    </w:p>
    <w:p>
      <w:pPr>
        <w:spacing w:after="0" w:line="141" w:lineRule="exact"/>
        <w:rPr>
          <w:sz w:val="20"/>
          <w:szCs w:val="20"/>
          <w:color w:val="auto"/>
        </w:rPr>
      </w:pPr>
    </w:p>
    <w:p>
      <w:pPr>
        <w:ind w:left="640" w:right="659"/>
        <w:spacing w:after="0" w:line="283" w:lineRule="auto"/>
        <w:rPr>
          <w:sz w:val="20"/>
          <w:szCs w:val="20"/>
          <w:color w:val="auto"/>
        </w:rPr>
      </w:pPr>
      <w:r>
        <w:rPr>
          <w:rFonts w:ascii="Arial" w:cs="Arial" w:eastAsia="Arial" w:hAnsi="Arial"/>
          <w:sz w:val="12"/>
          <w:szCs w:val="12"/>
          <w:color w:val="auto"/>
        </w:rPr>
        <w:t>Amdocs is acquiring the service assurance business of TEOCO for a consideration of approximately $90 million in cash, subject to the satisfaction of the conditions to closing. Additional consideration may be paid later based on the achievement of certain performance metrics. Revenue from TEOCO is expected to be immaterial in fiscal 2023 and expected to add approximately 0.5% to total revenue in fiscal year 2024.</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impact on GAAP diluted EPS will not be known until after Amdocs completes the purchase price allocation.</w:t>
      </w:r>
    </w:p>
    <w:p>
      <w:pPr>
        <w:spacing w:after="0" w:line="154" w:lineRule="exact"/>
        <w:rPr>
          <w:sz w:val="20"/>
          <w:szCs w:val="20"/>
          <w:color w:val="auto"/>
        </w:rPr>
      </w:pPr>
    </w:p>
    <w:p>
      <w:pPr>
        <w:ind w:left="640" w:right="879"/>
        <w:spacing w:after="0" w:line="320" w:lineRule="auto"/>
        <w:rPr>
          <w:sz w:val="20"/>
          <w:szCs w:val="20"/>
          <w:color w:val="auto"/>
        </w:rPr>
      </w:pPr>
      <w:r>
        <w:rPr>
          <w:rFonts w:ascii="Arial" w:cs="Arial" w:eastAsia="Arial" w:hAnsi="Arial"/>
          <w:sz w:val="11"/>
          <w:szCs w:val="11"/>
          <w:color w:val="auto"/>
        </w:rPr>
        <w:t>The impact of the acquisition on Amdocs’ non-GAAP diluted earnings per share is expected to be neutral in the full fiscal years 2023 and 2024. Non-GAAP diluted earnings per share excludes amortization of purchased intangible assets and other acquisition-related costs, changes in certain acquisitions related liabilities measured at fair value, restructuring charges, equity-based compensation expenses and other, net of related tax effects.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Supporting Resources</w:t>
      </w:r>
    </w:p>
    <w:p>
      <w:pPr>
        <w:spacing w:after="0" w:line="91" w:lineRule="exact"/>
        <w:rPr>
          <w:sz w:val="20"/>
          <w:szCs w:val="20"/>
          <w:color w:val="auto"/>
        </w:rPr>
      </w:pPr>
    </w:p>
    <w:p>
      <w:pPr>
        <w:ind w:left="1340" w:hanging="316"/>
        <w:spacing w:after="0"/>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Keep up with Amdocs news by visiting the company’s </w:t>
      </w:r>
      <w:r>
        <w:rPr>
          <w:rFonts w:ascii="Arial" w:cs="Arial" w:eastAsia="Arial" w:hAnsi="Arial"/>
          <w:sz w:val="13"/>
          <w:szCs w:val="13"/>
          <w:u w:val="single" w:color="auto"/>
          <w:color w:val="auto"/>
        </w:rPr>
        <w:t>website</w:t>
      </w:r>
    </w:p>
    <w:p>
      <w:pPr>
        <w:spacing w:after="0" w:line="87" w:lineRule="exact"/>
        <w:rPr>
          <w:rFonts w:ascii="Arial" w:cs="Arial" w:eastAsia="Arial" w:hAnsi="Arial"/>
          <w:sz w:val="13"/>
          <w:szCs w:val="13"/>
          <w:color w:val="auto"/>
        </w:rPr>
      </w:pPr>
    </w:p>
    <w:p>
      <w:pPr>
        <w:ind w:left="1340" w:hanging="316"/>
        <w:spacing w:after="0"/>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Follow us on </w:t>
      </w:r>
      <w:r>
        <w:rPr>
          <w:rFonts w:ascii="Arial" w:cs="Arial" w:eastAsia="Arial" w:hAnsi="Arial"/>
          <w:sz w:val="13"/>
          <w:szCs w:val="13"/>
          <w:u w:val="single" w:color="auto"/>
          <w:color w:val="auto"/>
        </w:rPr>
        <w:t>Twitter</w:t>
      </w:r>
      <w:r>
        <w:rPr>
          <w:rFonts w:ascii="Arial" w:cs="Arial" w:eastAsia="Arial" w:hAnsi="Arial"/>
          <w:sz w:val="13"/>
          <w:szCs w:val="13"/>
          <w:color w:val="auto"/>
        </w:rPr>
        <w:t xml:space="preserve">, </w:t>
      </w:r>
      <w:r>
        <w:rPr>
          <w:rFonts w:ascii="Arial" w:cs="Arial" w:eastAsia="Arial" w:hAnsi="Arial"/>
          <w:sz w:val="13"/>
          <w:szCs w:val="13"/>
          <w:u w:val="single" w:color="auto"/>
          <w:color w:val="auto"/>
        </w:rPr>
        <w:t>Facebook</w:t>
      </w:r>
      <w:r>
        <w:rPr>
          <w:rFonts w:ascii="Arial" w:cs="Arial" w:eastAsia="Arial" w:hAnsi="Arial"/>
          <w:sz w:val="13"/>
          <w:szCs w:val="13"/>
          <w:color w:val="auto"/>
        </w:rPr>
        <w:t xml:space="preserve">, </w:t>
      </w:r>
      <w:r>
        <w:rPr>
          <w:rFonts w:ascii="Arial" w:cs="Arial" w:eastAsia="Arial" w:hAnsi="Arial"/>
          <w:sz w:val="13"/>
          <w:szCs w:val="13"/>
          <w:u w:val="single" w:color="auto"/>
          <w:color w:val="auto"/>
        </w:rPr>
        <w:t>LinkedIn</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YouTube</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Amdocs</w:t>
      </w:r>
    </w:p>
    <w:p>
      <w:pPr>
        <w:spacing w:after="0" w:line="82" w:lineRule="exact"/>
        <w:rPr>
          <w:sz w:val="20"/>
          <w:szCs w:val="20"/>
          <w:color w:val="auto"/>
        </w:rPr>
      </w:pPr>
    </w:p>
    <w:p>
      <w:pPr>
        <w:ind w:left="640" w:right="819"/>
        <w:spacing w:after="0" w:line="273" w:lineRule="auto"/>
        <w:rPr>
          <w:sz w:val="20"/>
          <w:szCs w:val="20"/>
          <w:color w:val="auto"/>
        </w:rPr>
      </w:pPr>
      <w:r>
        <w:rPr>
          <w:rFonts w:ascii="Arial" w:cs="Arial" w:eastAsia="Arial" w:hAnsi="Arial"/>
          <w:sz w:val="12"/>
          <w:szCs w:val="12"/>
          <w:color w:val="auto"/>
        </w:rPr>
        <w:t xml:space="preserve">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enterprise customers. Our 31,000 employees around the globe are here to accelerate service providers’ migration to the cloud, enable them to differentiate in the 5G era, and digitalize and automate their operations. Listed on the NASDAQ Global Select Market, Amdocs had revenue of $4.58 billion in fiscal 2022. For more information, visit </w:t>
      </w:r>
      <w:r>
        <w:rPr>
          <w:rFonts w:ascii="Arial" w:cs="Arial" w:eastAsia="Arial" w:hAnsi="Arial"/>
          <w:sz w:val="12"/>
          <w:szCs w:val="12"/>
          <w:u w:val="single" w:color="auto"/>
          <w:color w:val="auto"/>
        </w:rPr>
        <w:t>www.amdocs.com</w:t>
      </w:r>
    </w:p>
    <w:p>
      <w:pPr>
        <w:sectPr>
          <w:pgSz w:w="11900" w:h="16838" w:orient="portrait"/>
          <w:cols w:equalWidth="0" w:num="1">
            <w:col w:w="9019"/>
          </w:cols>
          <w:pgMar w:left="1440" w:top="127" w:right="1440" w:bottom="1440" w:gutter="0" w:footer="0" w:header="0"/>
        </w:sectPr>
      </w:pPr>
    </w:p>
    <w:bookmarkStart w:id="51" w:name="page52"/>
    <w:bookmarkEnd w:id="51"/>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43180"/>
                    </a:xfrm>
                    <a:prstGeom prst="rect">
                      <a:avLst/>
                    </a:prstGeom>
                    <a:noFill/>
                  </pic:spPr>
                </pic:pic>
              </a:graphicData>
            </a:graphic>
          </wp:anchor>
        </w:drawing>
        <w:t>Amdocs’ Forward-Looking Statement</w:t>
      </w:r>
    </w:p>
    <w:p>
      <w:pPr>
        <w:spacing w:after="0" w:line="82" w:lineRule="exact"/>
        <w:rPr>
          <w:sz w:val="20"/>
          <w:szCs w:val="20"/>
          <w:color w:val="auto"/>
        </w:rPr>
      </w:pPr>
    </w:p>
    <w:p>
      <w:pPr>
        <w:ind w:left="640" w:right="659"/>
        <w:spacing w:after="0" w:line="293" w:lineRule="auto"/>
        <w:rPr>
          <w:sz w:val="20"/>
          <w:szCs w:val="20"/>
          <w:color w:val="auto"/>
        </w:rPr>
      </w:pPr>
      <w:r>
        <w:rPr>
          <w:rFonts w:ascii="Arial" w:cs="Arial" w:eastAsia="Arial" w:hAnsi="Arial"/>
          <w:sz w:val="11"/>
          <w:szCs w:val="11"/>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global or regional events such as the COVID-19 pandemic, as well as the current inflationary environment, and the effects of these conditions on the company’s clients’ businesses and levels of business activity,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2022 filed on December 13, 2022 and our Form 6-K furnished for the first quarter of fiscal 2023 on February 13, 2023.</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Media Contacts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Jeff Barak</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Amdocs Public Relations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Tel: +972 645 3637</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Jeff.Barak@amdocs.com</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Holly Abbott</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Babel PR for Amdocs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Tel: +44 (0)7527 521057</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amdocs@babelpr.com</w:t>
      </w:r>
      <w:r>
        <w:rPr>
          <w:rFonts w:ascii="Arial" w:cs="Arial" w:eastAsia="Arial" w:hAnsi="Arial"/>
          <w:sz w:val="13"/>
          <w:szCs w:val="13"/>
          <w:color w:val="auto"/>
        </w:rPr>
        <w:t xml:space="preserve"> / </w:t>
      </w:r>
      <w:r>
        <w:rPr>
          <w:rFonts w:ascii="Arial" w:cs="Arial" w:eastAsia="Arial" w:hAnsi="Arial"/>
          <w:sz w:val="13"/>
          <w:szCs w:val="13"/>
          <w:u w:val="single" w:color="auto"/>
          <w:color w:val="auto"/>
        </w:rPr>
        <w:t>holly.abbott@babelpr.com</w:t>
      </w:r>
    </w:p>
    <w:sectPr>
      <w:pgSz w:w="11900" w:h="16838" w:orient="portrait"/>
      <w:cols w:equalWidth="0" w:num="1">
        <w:col w:w="9019"/>
      </w:cols>
      <w:pgMar w:left="1440" w:top="3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2023-05-11T06:25:51Z</dcterms:created>
  <dcterms:modified xsi:type="dcterms:W3CDTF">2023-05-11T06:25:51Z</dcterms:modified>
</cp:coreProperties>
</file>