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Amdocs Limited</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Ordinary Shares, par value £0.01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G02602103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12/31/2009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399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399280"/>
                    </a:xfrm>
                    <a:prstGeom prst="rect">
                      <a:avLst/>
                    </a:prstGeom>
                    <a:noFill/>
                  </pic:spPr>
                </pic:pic>
              </a:graphicData>
            </a:graphic>
          </wp:anchor>
        </w:drawing>
        <w:t>CUSIP No.: G02602103</w:t>
      </w:r>
    </w:p>
    <w:p>
      <w:pPr>
        <w:spacing w:after="0" w:line="239" w:lineRule="exact"/>
        <w:rPr>
          <w:sz w:val="20"/>
          <w:szCs w:val="20"/>
          <w:color w:val="auto"/>
        </w:rPr>
      </w:pPr>
    </w:p>
    <w:p>
      <w:pPr>
        <w:ind w:left="480" w:hanging="263"/>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Manning &amp; Napier Advisors, Inc.</w:t>
      </w:r>
    </w:p>
    <w:p>
      <w:pPr>
        <w:spacing w:after="0" w:line="90"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 16-0995736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1040" w:type="dxa"/>
            <w:vAlign w:val="bottom"/>
            <w:gridSpan w:val="3"/>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2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8"/>
        </w:trPr>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4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 New York</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40" w:type="dxa"/>
            <w:vAlign w:val="bottom"/>
          </w:tcPr>
          <w:p>
            <w:pPr>
              <w:ind w:left="80"/>
              <w:spacing w:after="0"/>
              <w:rPr>
                <w:sz w:val="20"/>
                <w:szCs w:val="20"/>
                <w:color w:val="auto"/>
              </w:rPr>
            </w:pPr>
            <w:r>
              <w:rPr>
                <w:rFonts w:ascii="Arial" w:cs="Arial" w:eastAsia="Arial" w:hAnsi="Arial"/>
                <w:sz w:val="18"/>
                <w:szCs w:val="18"/>
                <w:color w:val="auto"/>
              </w:rPr>
              <w:t>Sole Voting Power: 11,326,615</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71"/>
              <w:spacing w:after="0"/>
              <w:rPr>
                <w:sz w:val="20"/>
                <w:szCs w:val="20"/>
                <w:color w:val="auto"/>
              </w:rPr>
            </w:pPr>
            <w:r>
              <w:rPr>
                <w:rFonts w:ascii="Arial" w:cs="Arial" w:eastAsia="Arial" w:hAnsi="Arial"/>
                <w:sz w:val="18"/>
                <w:szCs w:val="18"/>
                <w:color w:val="auto"/>
                <w:w w:val="80"/>
              </w:rPr>
              <w:t>Shares</w:t>
            </w:r>
          </w:p>
        </w:tc>
        <w:tc>
          <w:tcPr>
            <w:tcW w:w="280" w:type="dxa"/>
            <w:vAlign w:val="bottom"/>
            <w:tcBorders>
              <w:bottom w:val="single" w:sz="8" w:color="auto"/>
              <w:right w:val="single" w:sz="8" w:color="auto"/>
            </w:tcBorders>
          </w:tcPr>
          <w:p>
            <w:pPr>
              <w:spacing w:after="0"/>
              <w:rPr>
                <w:sz w:val="18"/>
                <w:szCs w:val="18"/>
                <w:color w:val="auto"/>
              </w:rPr>
            </w:pPr>
          </w:p>
        </w:tc>
        <w:tc>
          <w:tcPr>
            <w:tcW w:w="10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00" w:type="dxa"/>
            <w:vAlign w:val="bottom"/>
            <w:tcBorders>
              <w:right w:val="single" w:sz="8" w:color="auto"/>
            </w:tcBorders>
            <w:gridSpan w:val="2"/>
          </w:tcPr>
          <w:p>
            <w:pPr>
              <w:jc w:val="center"/>
              <w:ind w:left="32"/>
              <w:spacing w:after="0" w:line="201" w:lineRule="exact"/>
              <w:rPr>
                <w:sz w:val="20"/>
                <w:szCs w:val="20"/>
                <w:color w:val="auto"/>
              </w:rPr>
            </w:pPr>
            <w:r>
              <w:rPr>
                <w:rFonts w:ascii="Arial" w:cs="Arial" w:eastAsia="Arial" w:hAnsi="Arial"/>
                <w:sz w:val="18"/>
                <w:szCs w:val="18"/>
                <w:color w:val="auto"/>
                <w:w w:val="94"/>
              </w:rPr>
              <w:t>Beneficially</w:t>
            </w:r>
          </w:p>
        </w:tc>
        <w:tc>
          <w:tcPr>
            <w:tcW w:w="2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10040" w:type="dxa"/>
            <w:vAlign w:val="bottom"/>
          </w:tcPr>
          <w:p>
            <w:pPr>
              <w:ind w:left="80"/>
              <w:spacing w:after="0" w:line="201" w:lineRule="exact"/>
              <w:rPr>
                <w:sz w:val="20"/>
                <w:szCs w:val="20"/>
                <w:color w:val="auto"/>
              </w:rPr>
            </w:pPr>
            <w:r>
              <w:rPr>
                <w:rFonts w:ascii="Arial" w:cs="Arial" w:eastAsia="Arial" w:hAnsi="Arial"/>
                <w:sz w:val="18"/>
                <w:szCs w:val="18"/>
                <w:color w:val="auto"/>
              </w:rPr>
              <w:t>Shared Voting Power: -0-</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280" w:type="dxa"/>
            <w:vAlign w:val="bottom"/>
            <w:tcBorders>
              <w:bottom w:val="single" w:sz="8" w:color="auto"/>
              <w:right w:val="single" w:sz="8" w:color="auto"/>
            </w:tcBorders>
          </w:tcPr>
          <w:p>
            <w:pPr>
              <w:spacing w:after="0"/>
              <w:rPr>
                <w:sz w:val="19"/>
                <w:szCs w:val="19"/>
                <w:color w:val="auto"/>
              </w:rPr>
            </w:pPr>
          </w:p>
        </w:tc>
        <w:tc>
          <w:tcPr>
            <w:tcW w:w="10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71"/>
              <w:spacing w:after="0" w:line="190" w:lineRule="exact"/>
              <w:rPr>
                <w:sz w:val="20"/>
                <w:szCs w:val="20"/>
                <w:color w:val="auto"/>
              </w:rPr>
            </w:pPr>
            <w:r>
              <w:rPr>
                <w:rFonts w:ascii="Arial" w:cs="Arial" w:eastAsia="Arial" w:hAnsi="Arial"/>
                <w:sz w:val="18"/>
                <w:szCs w:val="18"/>
                <w:color w:val="auto"/>
                <w:w w:val="82"/>
              </w:rPr>
              <w:t>Each</w:t>
            </w: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 12,111,330</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28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80" w:type="dxa"/>
            <w:vAlign w:val="bottom"/>
          </w:tcPr>
          <w:p>
            <w:pPr>
              <w:spacing w:after="0" w:line="20" w:lineRule="exact"/>
              <w:rPr>
                <w:sz w:val="1"/>
                <w:szCs w:val="1"/>
                <w:color w:val="auto"/>
              </w:rPr>
            </w:pPr>
          </w:p>
        </w:tc>
        <w:tc>
          <w:tcPr>
            <w:tcW w:w="720" w:type="dxa"/>
            <w:vAlign w:val="bottom"/>
            <w:tcBorders>
              <w:right w:val="single" w:sz="8" w:color="auto"/>
            </w:tcBorders>
            <w:vMerge w:val="restart"/>
          </w:tcPr>
          <w:p>
            <w:pPr>
              <w:jc w:val="center"/>
              <w:ind w:right="171"/>
              <w:spacing w:after="0"/>
              <w:rPr>
                <w:sz w:val="20"/>
                <w:szCs w:val="20"/>
                <w:color w:val="auto"/>
              </w:rPr>
            </w:pPr>
            <w:r>
              <w:rPr>
                <w:rFonts w:ascii="Arial" w:cs="Arial" w:eastAsia="Arial" w:hAnsi="Arial"/>
                <w:sz w:val="18"/>
                <w:szCs w:val="18"/>
                <w:color w:val="auto"/>
                <w:w w:val="80"/>
              </w:rPr>
              <w:t>Person</w:t>
            </w: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0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80" w:type="dxa"/>
            <w:vAlign w:val="bottom"/>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2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8"/>
                <w:szCs w:val="18"/>
                <w:color w:val="auto"/>
              </w:rPr>
              <w:t>8.</w:t>
            </w:r>
          </w:p>
        </w:tc>
        <w:tc>
          <w:tcPr>
            <w:tcW w:w="10040" w:type="dxa"/>
            <w:vAlign w:val="bottom"/>
          </w:tcPr>
          <w:p>
            <w:pPr>
              <w:ind w:left="80"/>
              <w:spacing w:after="0" w:line="174" w:lineRule="exact"/>
              <w:rPr>
                <w:sz w:val="20"/>
                <w:szCs w:val="20"/>
                <w:color w:val="auto"/>
              </w:rPr>
            </w:pPr>
            <w:r>
              <w:rPr>
                <w:rFonts w:ascii="Arial" w:cs="Arial" w:eastAsia="Arial" w:hAnsi="Arial"/>
                <w:sz w:val="18"/>
                <w:szCs w:val="18"/>
                <w:color w:val="auto"/>
              </w:rPr>
              <w:t>Shared Dispositive Power: -0-</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71"/>
              <w:spacing w:after="0"/>
              <w:rPr>
                <w:sz w:val="20"/>
                <w:szCs w:val="20"/>
                <w:color w:val="auto"/>
              </w:rPr>
            </w:pPr>
            <w:r>
              <w:rPr>
                <w:rFonts w:ascii="Arial" w:cs="Arial" w:eastAsia="Arial" w:hAnsi="Arial"/>
                <w:sz w:val="18"/>
                <w:szCs w:val="18"/>
                <w:color w:val="auto"/>
                <w:w w:val="92"/>
              </w:rPr>
              <w:t>With:</w:t>
            </w:r>
          </w:p>
        </w:tc>
        <w:tc>
          <w:tcPr>
            <w:tcW w:w="280" w:type="dxa"/>
            <w:vAlign w:val="bottom"/>
            <w:tcBorders>
              <w:right w:val="single" w:sz="8" w:color="auto"/>
            </w:tcBorders>
          </w:tcPr>
          <w:p>
            <w:pPr>
              <w:spacing w:after="0"/>
              <w:rPr>
                <w:sz w:val="19"/>
                <w:szCs w:val="19"/>
                <w:color w:val="auto"/>
              </w:rPr>
            </w:pPr>
          </w:p>
        </w:tc>
        <w:tc>
          <w:tcPr>
            <w:tcW w:w="10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104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 12,111,330</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right w:val="single" w:sz="8" w:color="auto"/>
            </w:tcBorders>
          </w:tcPr>
          <w:p>
            <w:pPr>
              <w:spacing w:after="0"/>
              <w:rPr>
                <w:sz w:val="18"/>
                <w:szCs w:val="18"/>
                <w:color w:val="auto"/>
              </w:rPr>
            </w:pPr>
          </w:p>
        </w:tc>
        <w:tc>
          <w:tcPr>
            <w:tcW w:w="1104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40" w:type="dxa"/>
            <w:vAlign w:val="bottom"/>
            <w:gridSpan w:val="3"/>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4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 5.91%</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right w:val="single" w:sz="8" w:color="auto"/>
            </w:tcBorders>
          </w:tcPr>
          <w:p>
            <w:pPr>
              <w:spacing w:after="0"/>
              <w:rPr>
                <w:sz w:val="18"/>
                <w:szCs w:val="18"/>
                <w:color w:val="auto"/>
              </w:rPr>
            </w:pPr>
          </w:p>
        </w:tc>
        <w:tc>
          <w:tcPr>
            <w:tcW w:w="1104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4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 (See Instructions): IA</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6" w:right="23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5"/>
          <w:szCs w:val="15"/>
          <w:color w:val="auto"/>
        </w:rPr>
        <w:t>Name of Issuer:</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Amdocs Limited</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Tower Hill House Le Bordage, Ste. 5</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 Peter Port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Island of Guernsey, GY1 3QT Channel Islands</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Manning &amp; Napier Advisors, Inc.</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color w:val="auto"/>
        </w:rPr>
        <w:t>Address of Principal Business Office, or, if none, Residence:</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290 Woodcliff Drive</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Fairport, NY 14450</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color w:val="auto"/>
        </w:rPr>
        <w:t>Citizenship:</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color w:val="auto"/>
        </w:rPr>
        <w:t>Title of Class of Securities:</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Ordinary Shares, par value £0.01</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color w:val="auto"/>
        </w:rPr>
        <w:t>CUSIP Number:</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G02602103</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91" w:lineRule="exact"/>
        <w:rPr>
          <w:sz w:val="20"/>
          <w:szCs w:val="20"/>
          <w:color w:val="auto"/>
        </w:rPr>
      </w:pPr>
    </w:p>
    <w:p>
      <w:pPr>
        <w:spacing w:after="0" w:line="207" w:lineRule="exact"/>
        <w:tabs>
          <w:tab w:leader="none" w:pos="560" w:val="left"/>
        </w:tabs>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An Investment Adviser in accordance with 240.13d-1(b)(1)(ii)(E);</w:t>
      </w:r>
    </w:p>
    <w:p>
      <w:pPr>
        <w:spacing w:after="0" w:line="360" w:lineRule="exact"/>
        <w:rPr>
          <w:sz w:val="20"/>
          <w:szCs w:val="20"/>
          <w:color w:val="auto"/>
        </w:rPr>
      </w:pPr>
    </w:p>
    <w:p>
      <w:pPr>
        <w:ind w:left="1040" w:hanging="1039"/>
        <w:spacing w:after="0" w:line="268" w:lineRule="auto"/>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color w:val="auto"/>
        </w:rPr>
        <w:t>Ownership: Provide the following information regarding the aggregate number and percentage of the class of securities of the issuer identified in Item 1.</w:t>
      </w:r>
    </w:p>
    <w:p>
      <w:pPr>
        <w:spacing w:after="0" w:line="84"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12,111,330</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5.91%</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820" w:hanging="380"/>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11,326,615</w:t>
      </w:r>
    </w:p>
    <w:p>
      <w:pPr>
        <w:spacing w:after="0" w:line="117" w:lineRule="exact"/>
        <w:rPr>
          <w:rFonts w:ascii="Arial" w:cs="Arial" w:eastAsia="Arial" w:hAnsi="Arial"/>
          <w:sz w:val="18"/>
          <w:szCs w:val="18"/>
          <w:color w:val="auto"/>
        </w:rPr>
      </w:pPr>
    </w:p>
    <w:p>
      <w:pPr>
        <w:ind w:left="840" w:hanging="400"/>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u w:val="single" w:color="auto"/>
          <w:color w:val="auto"/>
        </w:rPr>
        <w:t>-0-</w:t>
      </w:r>
    </w:p>
    <w:p>
      <w:pPr>
        <w:spacing w:after="0" w:line="117" w:lineRule="exact"/>
        <w:rPr>
          <w:rFonts w:ascii="Arial" w:cs="Arial" w:eastAsia="Arial" w:hAnsi="Arial"/>
          <w:sz w:val="18"/>
          <w:szCs w:val="18"/>
          <w:color w:val="auto"/>
        </w:rPr>
      </w:pPr>
    </w:p>
    <w:p>
      <w:pPr>
        <w:ind w:left="800" w:hanging="360"/>
        <w:spacing w:after="0"/>
        <w:tabs>
          <w:tab w:leader="none" w:pos="8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12,111,330</w:t>
      </w:r>
    </w:p>
    <w:p>
      <w:pPr>
        <w:spacing w:after="0" w:line="117" w:lineRule="exact"/>
        <w:rPr>
          <w:rFonts w:ascii="Arial" w:cs="Arial" w:eastAsia="Arial" w:hAnsi="Arial"/>
          <w:sz w:val="18"/>
          <w:szCs w:val="18"/>
          <w:color w:val="auto"/>
        </w:rPr>
      </w:pPr>
    </w:p>
    <w:p>
      <w:pPr>
        <w:ind w:left="820" w:hanging="380"/>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u w:val="single" w:color="auto"/>
          <w:color w:val="auto"/>
        </w:rPr>
        <w:t>-0-</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20"/>
          </w:cols>
          <w:pgMar w:left="240" w:top="274" w:right="43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1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color w:val="auto"/>
        </w:rPr>
        <w:t>Notice of Dissolution of a Group:</w:t>
      </w:r>
    </w:p>
    <w:p>
      <w:pPr>
        <w:spacing w:after="0" w:line="1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3" w:lineRule="exact"/>
        <w:rPr>
          <w:sz w:val="20"/>
          <w:szCs w:val="20"/>
          <w:color w:val="auto"/>
        </w:rPr>
      </w:pPr>
    </w:p>
    <w:p>
      <w:pPr>
        <w:ind w:left="820"/>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6/18/2010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8100"/>
        <w:spacing w:after="0"/>
        <w:tabs>
          <w:tab w:leader="none" w:pos="84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ICHELLE</w:t>
      </w:r>
      <w:r>
        <w:rPr>
          <w:rFonts w:ascii="Arial" w:cs="Arial" w:eastAsia="Arial" w:hAnsi="Arial"/>
          <w:sz w:val="18"/>
          <w:szCs w:val="18"/>
          <w:color w:val="auto"/>
        </w:rPr>
        <w:t xml:space="preserve">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Signature</w:t>
      </w:r>
    </w:p>
    <w:p>
      <w:pPr>
        <w:spacing w:after="0" w:line="20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Michelle Thomas,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Name/Title</w:t>
      </w:r>
    </w:p>
    <w:sectPr>
      <w:pgSz w:w="11900" w:h="16838" w:orient="portrait"/>
      <w:cols w:equalWidth="0" w:num="1">
        <w:col w:w="11220"/>
      </w:cols>
      <w:pgMar w:left="240" w:top="38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2019-12-10T17:36:16Z</dcterms:created>
  <dcterms:modified xsi:type="dcterms:W3CDTF">2019-12-10T17:36:16Z</dcterms:modified>
</cp:coreProperties>
</file>