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As filed with the Securities and Exchange Commission on September 21, 2004</w:t>
      </w:r>
    </w:p>
    <w:p>
      <w:pPr>
        <w:spacing w:after="0" w:line="359"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Registration Statement No. 333-114079</w:t>
      </w:r>
    </w:p>
    <w:p>
      <w:pPr>
        <w:spacing w:after="0" w:line="6"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AMENDMENT NO. 3 TO</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F-3</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REGISTRATION STATEMENT UNDER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0" w:right="1440" w:bottom="1069" w:gutter="0" w:footer="0" w:header="0"/>
        </w:sectPr>
      </w:pPr>
    </w:p>
    <w:p>
      <w:pPr>
        <w:spacing w:after="0" w:line="182" w:lineRule="exact"/>
        <w:rPr>
          <w:sz w:val="24"/>
          <w:szCs w:val="24"/>
          <w:color w:val="auto"/>
        </w:rPr>
      </w:pPr>
    </w:p>
    <w:p>
      <w:pPr>
        <w:ind w:right="460" w:firstLine="550"/>
        <w:spacing w:after="0" w:line="249" w:lineRule="auto"/>
        <w:rPr>
          <w:sz w:val="20"/>
          <w:szCs w:val="20"/>
          <w:color w:val="auto"/>
        </w:rPr>
      </w:pPr>
      <w:r>
        <w:rPr>
          <w:rFonts w:ascii="Courier New" w:cs="Courier New" w:eastAsia="Courier New" w:hAnsi="Courier New"/>
          <w:sz w:val="15"/>
          <w:szCs w:val="15"/>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300" w:space="720"/>
            <w:col w:w="6199"/>
          </w:cols>
          <w:pgMar w:left="240" w:top="940" w:right="1440" w:bottom="1069"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011-44-1481-728444</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(314) 212-8328</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ROBERT A. SCHWED, ESQ.</w:t>
      </w:r>
    </w:p>
    <w:p>
      <w:pPr>
        <w:spacing w:after="0" w:line="6"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WILMER CUTLER PICKERING HALE AND DORR LLP</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300 PARK AVENUE</w:t>
      </w:r>
    </w:p>
    <w:p>
      <w:pPr>
        <w:spacing w:after="0" w:line="6"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10022</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(212) 937-7200</w:t>
      </w:r>
    </w:p>
    <w:p>
      <w:pPr>
        <w:spacing w:after="0" w:line="182" w:lineRule="exact"/>
        <w:rPr>
          <w:sz w:val="24"/>
          <w:szCs w:val="24"/>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5" w:lineRule="exact"/>
        <w:rPr>
          <w:sz w:val="24"/>
          <w:szCs w:val="24"/>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360" w:right="2979" w:firstLine="366"/>
        <w:spacing w:after="0" w:line="249" w:lineRule="auto"/>
        <w:rPr>
          <w:sz w:val="20"/>
          <w:szCs w:val="20"/>
          <w:color w:val="auto"/>
        </w:rPr>
      </w:pPr>
      <w:r>
        <w:rPr>
          <w:rFonts w:ascii="Courier New" w:cs="Courier New" w:eastAsia="Courier New" w:hAnsi="Courier New"/>
          <w:sz w:val="15"/>
          <w:szCs w:val="15"/>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0" w:right="1440" w:bottom="106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560,777 ORDINARY SHARES</w:t>
      </w:r>
    </w:p>
    <w:p>
      <w:pPr>
        <w:spacing w:after="0" w:line="182"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Amdocs Limited to former shareholders of XACCT Technologies Ltd. in connection with our acquisition of that company.</w:t>
      </w:r>
    </w:p>
    <w:p>
      <w:pPr>
        <w:spacing w:after="0" w:line="176"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We will not receive any proceeds from sales of the ordinary shares offered by this prospectus.</w:t>
      </w:r>
    </w:p>
    <w:p>
      <w:pPr>
        <w:spacing w:after="0" w:line="175"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The selling securityholders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35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September 20, 2004, the closing sale price of our ordinary shares on the New York Stock Exchange was $22.97 per share. You are urged to obtain current market quotations for our ordinary shares.</w:t>
      </w:r>
    </w:p>
    <w:p>
      <w:pPr>
        <w:spacing w:after="0" w:line="35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"RISK FACTORS" BEGINNING ON PAGE 4 TO READ ABOUT FACTORS YOU SHOULD</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CONSIDER BEFORE INVESTING IN OUR ORDINARY SHARES.</w:t>
      </w:r>
    </w:p>
    <w:p>
      <w:pPr>
        <w:spacing w:after="0" w:line="182" w:lineRule="exact"/>
        <w:rPr>
          <w:sz w:val="20"/>
          <w:szCs w:val="20"/>
          <w:color w:val="auto"/>
        </w:rPr>
      </w:pPr>
    </w:p>
    <w:p>
      <w:pPr>
        <w:jc w:val="center"/>
        <w:ind w:right="2899"/>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THE DATE OF THIS PROSPECTUS IS SEPTEMBER, 2004.</w:t>
      </w:r>
    </w:p>
    <w:p>
      <w:pPr>
        <w:sectPr>
          <w:pgSz w:w="11900" w:h="16838" w:orient="portrait"/>
          <w:cols w:equalWidth="0" w:num="1">
            <w:col w:w="10219"/>
          </w:cols>
          <w:pgMar w:left="240" w:top="647"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6"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THE OFFERING</w:t>
      </w:r>
      <w:r>
        <w:rPr>
          <w:sz w:val="20"/>
          <w:szCs w:val="20"/>
          <w:color w:val="auto"/>
        </w:rPr>
        <w:tab/>
      </w:r>
      <w:r>
        <w:rPr>
          <w:rFonts w:ascii="Courier New" w:cs="Courier New" w:eastAsia="Courier New" w:hAnsi="Courier New"/>
          <w:sz w:val="13"/>
          <w:szCs w:val="13"/>
          <w:color w:val="auto"/>
        </w:rPr>
        <w:t>3</w:t>
      </w:r>
    </w:p>
    <w:p>
      <w:pPr>
        <w:spacing w:after="0" w:line="6"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SPECIAL NOTE REGARDING FORWARD-LOOKING INFORMATION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OFFERING STATISTICS AND TIMETABLE</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REASONS FOR THE OFFER AND USE OF PROCEEDS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MATERIAL CHANGES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17</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CAPITALIZATION</w:t>
        <w:tab/>
        <w:t>..................................................................</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19</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23</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COMPARISON OF UNITED STATES AND GUERNSEY CORPORATE LAW</w:t>
      </w:r>
      <w:r>
        <w:rPr>
          <w:sz w:val="20"/>
          <w:szCs w:val="20"/>
          <w:color w:val="auto"/>
        </w:rPr>
        <w:tab/>
      </w:r>
      <w:r>
        <w:rPr>
          <w:rFonts w:ascii="Courier New" w:cs="Courier New" w:eastAsia="Courier New" w:hAnsi="Courier New"/>
          <w:sz w:val="15"/>
          <w:szCs w:val="15"/>
          <w:color w:val="auto"/>
        </w:rPr>
        <w:t>25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26</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27</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27</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ENFORCEABILITY OF CIVIL LIABILITIES</w:t>
      </w:r>
      <w:r>
        <w:rPr>
          <w:sz w:val="20"/>
          <w:szCs w:val="20"/>
          <w:color w:val="auto"/>
        </w:rPr>
        <w:tab/>
      </w:r>
      <w:r>
        <w:rPr>
          <w:rFonts w:ascii="Courier New" w:cs="Courier New" w:eastAsia="Courier New" w:hAnsi="Courier New"/>
          <w:sz w:val="15"/>
          <w:szCs w:val="15"/>
          <w:color w:val="auto"/>
        </w:rPr>
        <w:t>28</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UNAUDITED PRO FORMA CONDENSED CONSOLIDATED FINANCIAL STATEMENTS</w:t>
      </w:r>
      <w:r>
        <w:rPr>
          <w:sz w:val="20"/>
          <w:szCs w:val="20"/>
          <w:color w:val="auto"/>
        </w:rPr>
        <w:tab/>
      </w:r>
      <w:r>
        <w:rPr>
          <w:rFonts w:ascii="Courier New" w:cs="Courier New" w:eastAsia="Courier New" w:hAnsi="Courier New"/>
          <w:sz w:val="15"/>
          <w:szCs w:val="15"/>
          <w:color w:val="auto"/>
        </w:rPr>
        <w:t>31</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UNAUDITED FINANCIAL STATEMENTS OF CERTEN INC</w:t>
      </w:r>
      <w:r>
        <w:rPr>
          <w:sz w:val="20"/>
          <w:szCs w:val="20"/>
          <w:color w:val="auto"/>
        </w:rPr>
        <w:tab/>
      </w:r>
      <w:r>
        <w:rPr>
          <w:rFonts w:ascii="Courier New" w:cs="Courier New" w:eastAsia="Courier New" w:hAnsi="Courier New"/>
          <w:sz w:val="15"/>
          <w:szCs w:val="15"/>
          <w:color w:val="auto"/>
        </w:rPr>
        <w:t>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CONSOLIDATED FINANCIAL STATEMENTS FOR THE THREE AND NINE MONTH</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PERIODS ENDED JUNE 30, 2004</w:t>
      </w:r>
      <w:r>
        <w:rPr>
          <w:sz w:val="20"/>
          <w:szCs w:val="20"/>
          <w:color w:val="auto"/>
        </w:rPr>
        <w:tab/>
      </w:r>
      <w:r>
        <w:rPr>
          <w:rFonts w:ascii="Courier New" w:cs="Courier New" w:eastAsia="Courier New" w:hAnsi="Courier New"/>
          <w:sz w:val="15"/>
          <w:szCs w:val="15"/>
          <w:color w:val="auto"/>
        </w:rPr>
        <w:t>41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REVIEW AND PROSPECTS FOR THE THREE AND NINE MONTH</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PERIODS ENDED JUNE 30, 2004</w:t>
      </w:r>
      <w:r>
        <w:rPr>
          <w:sz w:val="20"/>
          <w:szCs w:val="20"/>
          <w:color w:val="auto"/>
        </w:rPr>
        <w:tab/>
      </w: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have not authorized anyone to provide you with information different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that contained or incorporated by reference in this prospectus. The selling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securityholders are offering to sell, and seeking offers to buy, our ordinary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only in jurisdictions where offers and sales are permitted.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contained in this prospectus is accurate only as of the date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regardless of the time of delivery of this prospectus or of any sale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ordinary shares.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7" w:right="1440" w:bottom="1440" w:gutter="0" w:footer="0" w:header="0"/>
        </w:sectPr>
      </w:pPr>
    </w:p>
    <w:bookmarkStart w:id="3" w:name="page4"/>
    <w:bookmarkEnd w:id="3"/>
    <w:p>
      <w:pPr>
        <w:ind w:left="2840"/>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This summary describes the most significant terms of this offering and the information included or incorporated by reference in this prospectus. This summary does not contain all of the information that you should consider before investing in our ordinary shares. You should read the entire prospectus carefully, especially the risks of investing in our ordinary shares discussed under "Risk Factors."</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8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17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4" w:name="page5"/>
    <w:bookmarkEnd w:id="4"/>
    <w:p>
      <w:pPr>
        <w:ind w:left="1100" w:right="2899"/>
        <w:spacing w:after="0" w:line="249" w:lineRule="auto"/>
        <w:rPr>
          <w:sz w:val="20"/>
          <w:szCs w:val="20"/>
          <w:color w:val="auto"/>
        </w:rPr>
      </w:pPr>
      <w:r>
        <w:rPr>
          <w:rFonts w:ascii="Courier New" w:cs="Courier New" w:eastAsia="Courier New" w:hAnsi="Courier New"/>
          <w:sz w:val="15"/>
          <w:szCs w:val="15"/>
          <w:color w:val="auto"/>
        </w:rPr>
        <w:t>strength of our business. By targeting industry leaders that require the most sophisticated information systems solutions, we believe that we are best able to ensure that we remain at the forefront of developments in the industry.</w:t>
      </w:r>
    </w:p>
    <w:p>
      <w:pPr>
        <w:spacing w:after="0" w:line="176" w:lineRule="exact"/>
        <w:rPr>
          <w:sz w:val="20"/>
          <w:szCs w:val="20"/>
          <w:color w:val="auto"/>
        </w:rPr>
      </w:pPr>
    </w:p>
    <w:p>
      <w:pPr>
        <w:ind w:left="1100" w:right="297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On February 19, 2004, we acquired XACCT Technologies Ltd., or XACCT, a privately-held company organized under the laws of the State of Israel and a provider of mediation software to communications service providers. We acquired the outstanding capital stock of XACCT for a combination of cash and our ordinary shares. All of the ordinary shares covered by this prospectus were issued to shareholders of XACCT in connection with the acquisition.</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3"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17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7" w:right="1440" w:bottom="1440" w:gutter="0" w:footer="0" w:header="0"/>
        </w:sectPr>
      </w:pPr>
    </w:p>
    <w:bookmarkStart w:id="5" w:name="page6"/>
    <w:bookmarkEnd w:id="5"/>
    <w:p>
      <w:pPr>
        <w:ind w:right="2979"/>
        <w:spacing w:after="0" w:line="249" w:lineRule="auto"/>
        <w:rPr>
          <w:sz w:val="20"/>
          <w:szCs w:val="20"/>
          <w:color w:val="auto"/>
        </w:rPr>
      </w:pPr>
      <w:r>
        <w:rPr>
          <w:rFonts w:ascii="Courier New" w:cs="Courier New" w:eastAsia="Courier New" w:hAnsi="Courier New"/>
          <w:sz w:val="15"/>
          <w:szCs w:val="15"/>
          <w:color w:val="auto"/>
        </w:rPr>
        <w:t>ordinary shares, and we elected to pay for the 2% Notes solely with cash. As of April 30, 2004, there was $395.5 million aggregate principal amount of notes outstanding.</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35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352" w:lineRule="exact"/>
        <w:rPr>
          <w:sz w:val="20"/>
          <w:szCs w:val="20"/>
          <w:color w:val="auto"/>
        </w:rPr>
      </w:pPr>
    </w:p>
    <w:p>
      <w:pPr>
        <w:jc w:val="both"/>
        <w:ind w:right="3179" w:firstLine="550"/>
        <w:spacing w:after="0" w:line="250" w:lineRule="auto"/>
        <w:rPr>
          <w:sz w:val="20"/>
          <w:szCs w:val="20"/>
          <w:color w:val="auto"/>
        </w:rPr>
      </w:pPr>
      <w:r>
        <w:rPr>
          <w:rFonts w:ascii="Courier New" w:cs="Courier New" w:eastAsia="Courier New" w:hAnsi="Courier New"/>
          <w:sz w:val="15"/>
          <w:szCs w:val="15"/>
          <w:color w:val="auto"/>
        </w:rPr>
        <w:t>Unless the context otherwise requires, references in this prospectus to "Amdocs," "we," "us," and "our" refer to Amdocs Limited and its subsidiaries.</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47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offered by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560,777 ordinary shares</w:t>
      </w:r>
    </w:p>
    <w:p>
      <w:pPr>
        <w:spacing w:after="0" w:line="182"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419"/>
        <w:spacing w:after="0" w:line="250" w:lineRule="auto"/>
        <w:rPr>
          <w:sz w:val="20"/>
          <w:szCs w:val="20"/>
          <w:color w:val="auto"/>
        </w:rPr>
      </w:pPr>
      <w:r>
        <w:rPr>
          <w:rFonts w:ascii="Courier New" w:cs="Courier New" w:eastAsia="Courier New" w:hAnsi="Courier New"/>
          <w:sz w:val="15"/>
          <w:szCs w:val="15"/>
          <w:color w:val="auto"/>
        </w:rPr>
        <w:t>We will not receive any proceeds from the sale of shares in this offering</w:t>
      </w:r>
    </w:p>
    <w:p>
      <w:pPr>
        <w:spacing w:after="0" w:line="175"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line="1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type w:val="continuous"/>
        </w:sectPr>
      </w:pPr>
    </w:p>
    <w:bookmarkStart w:id="6" w:name="page7"/>
    <w:bookmarkEnd w:id="6"/>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Investing in our ordinary shares involves a high degree of risk. You should carefully consider the following discussion of the most significant factors that make this offering risky, in addition to the other information presented in this prospectus and the documents incorporated by reference in this prospectus, in evaluating our business and an investment in our ordinary shares. Any of the following risks, as well as other risks and uncertainties, could seriously harm our business and financial results and cause the value of our ordinary shares to decline, which in turn could cause you to lose all or part of your investment.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82" w:lineRule="exact"/>
        <w:rPr>
          <w:sz w:val="20"/>
          <w:szCs w:val="20"/>
          <w:color w:val="auto"/>
        </w:rPr>
      </w:pPr>
    </w:p>
    <w:p>
      <w:pPr>
        <w:ind w:left="360" w:right="3999"/>
        <w:spacing w:after="0" w:line="250" w:lineRule="auto"/>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51" w:lineRule="exact"/>
        <w:rPr>
          <w:sz w:val="20"/>
          <w:szCs w:val="20"/>
          <w:color w:val="auto"/>
        </w:rPr>
      </w:pPr>
    </w:p>
    <w:p>
      <w:pPr>
        <w:ind w:left="360" w:right="2899"/>
        <w:spacing w:after="0" w:line="250" w:lineRule="auto"/>
        <w:rPr>
          <w:sz w:val="20"/>
          <w:szCs w:val="20"/>
          <w:color w:val="auto"/>
        </w:rPr>
      </w:pPr>
      <w:r>
        <w:rPr>
          <w:rFonts w:ascii="Courier New" w:cs="Courier New" w:eastAsia="Courier New" w:hAnsi="Courier New"/>
          <w:sz w:val="15"/>
          <w:szCs w:val="15"/>
          <w:color w:val="auto"/>
        </w:rPr>
        <w:t>IF WE FAIL TO ADAPT TO CHANGING MARKET CONDITIONS AND CANNOT COMPETE SUCCESSFULLY WITH EXISTING OR NEW COMPETITORS, OUR BUSINESS COULD BE HARMED.</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75" w:lineRule="exact"/>
        <w:rPr>
          <w:sz w:val="20"/>
          <w:szCs w:val="20"/>
          <w:color w:val="auto"/>
        </w:rPr>
      </w:pPr>
    </w:p>
    <w:p>
      <w:pPr>
        <w:ind w:right="3259" w:firstLine="550"/>
        <w:spacing w:after="0" w:line="250" w:lineRule="auto"/>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5" w:lineRule="exact"/>
        <w:rPr>
          <w:sz w:val="20"/>
          <w:szCs w:val="20"/>
          <w:color w:val="auto"/>
        </w:rPr>
      </w:pPr>
    </w:p>
    <w:p>
      <w:pPr>
        <w:ind w:left="1100" w:right="3079" w:hanging="556"/>
        <w:spacing w:after="0" w:line="250" w:lineRule="auto"/>
        <w:tabs>
          <w:tab w:leader="none" w:pos="11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7" w:name="page8"/>
    <w:bookmarkEnd w:id="7"/>
    <w:p>
      <w:pPr>
        <w:ind w:left="1100" w:hanging="556"/>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2" w:lineRule="exact"/>
        <w:rPr>
          <w:rFonts w:ascii="Courier New" w:cs="Courier New" w:eastAsia="Courier New" w:hAnsi="Courier New"/>
          <w:sz w:val="15"/>
          <w:szCs w:val="15"/>
          <w:color w:val="auto"/>
        </w:rPr>
      </w:pPr>
    </w:p>
    <w:p>
      <w:pPr>
        <w:ind w:left="1100" w:right="3359" w:hanging="556"/>
        <w:spacing w:after="0" w:line="250" w:lineRule="auto"/>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6" w:lineRule="exact"/>
        <w:rPr>
          <w:sz w:val="20"/>
          <w:szCs w:val="20"/>
          <w:color w:val="auto"/>
        </w:rPr>
      </w:pPr>
    </w:p>
    <w:p>
      <w:pPr>
        <w:ind w:left="360" w:right="2979"/>
        <w:spacing w:after="0" w:line="250" w:lineRule="auto"/>
        <w:rPr>
          <w:sz w:val="20"/>
          <w:szCs w:val="20"/>
          <w:color w:val="auto"/>
        </w:rPr>
      </w:pPr>
      <w:r>
        <w:rPr>
          <w:rFonts w:ascii="Courier New" w:cs="Courier New" w:eastAsia="Courier New" w:hAnsi="Courier New"/>
          <w:sz w:val="15"/>
          <w:szCs w:val="15"/>
          <w:color w:val="auto"/>
        </w:rPr>
        <w:t>IF WE DO NOT CONTINUALLY ENHANCE OUR PRODUCTS AND SERVICE OFFERINGS, WE MAY HAVE DIFFICULTY RETAINING EXISTING CUSTOMERS AND ATTRACTING NEW CUSTOMERS.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75" w:lineRule="exact"/>
        <w:rPr>
          <w:sz w:val="20"/>
          <w:szCs w:val="20"/>
          <w:color w:val="auto"/>
        </w:rPr>
      </w:pPr>
    </w:p>
    <w:p>
      <w:pPr>
        <w:ind w:left="360" w:right="2899"/>
        <w:spacing w:after="0" w:line="249"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6"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84" w:lineRule="exact"/>
        <w:rPr>
          <w:sz w:val="20"/>
          <w:szCs w:val="20"/>
          <w:color w:val="auto"/>
        </w:rPr>
      </w:pPr>
    </w:p>
    <w:p>
      <w:pPr>
        <w:jc w:val="both"/>
        <w:ind w:left="360" w:right="3079"/>
        <w:spacing w:after="0" w:line="249" w:lineRule="auto"/>
        <w:rPr>
          <w:sz w:val="20"/>
          <w:szCs w:val="20"/>
          <w:color w:val="auto"/>
        </w:rPr>
      </w:pPr>
      <w:r>
        <w:rPr>
          <w:rFonts w:ascii="Courier New" w:cs="Courier New" w:eastAsia="Courier New" w:hAnsi="Courier New"/>
          <w:sz w:val="15"/>
          <w:szCs w:val="15"/>
          <w:color w:val="auto"/>
        </w:rPr>
        <w:t>OUR BUSINESS IS DEPENDENT ON A LIMITED NUMBER OF SIGNIFICANT CUSTOMERS AND THE LOSS OF ANY ONE OF OUR SIGNIFICANT CUSTOMERS COULD HARM OUR RESULTS OF OPERATIONS.</w:t>
      </w:r>
    </w:p>
    <w:p>
      <w:pPr>
        <w:spacing w:after="0" w:line="352"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August 31, 2004, it beneficially owned approximately</w:t>
      </w:r>
    </w:p>
    <w:p>
      <w:pPr>
        <w:spacing w:after="0" w:line="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7.3% of our outstanding ordinary shares. The loss of any significant customer or a significant decrease in business from any such customer could harm our results of operations and financial condition.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8" w:name="page9"/>
    <w:bookmarkEnd w:id="8"/>
    <w:p>
      <w:pPr>
        <w:ind w:right="2979" w:firstLine="550"/>
        <w:spacing w:after="0" w:line="249"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175" w:lineRule="exact"/>
        <w:rPr>
          <w:sz w:val="20"/>
          <w:szCs w:val="20"/>
          <w:color w:val="auto"/>
        </w:rPr>
      </w:pPr>
    </w:p>
    <w:p>
      <w:pPr>
        <w:jc w:val="both"/>
        <w:ind w:left="360" w:right="3819"/>
        <w:spacing w:after="0" w:line="249" w:lineRule="auto"/>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 AND TO MEET THEIR EXPECTATIONS IN PROVIDING PRODUCTS AND PERFORMING SERVICES.</w:t>
      </w:r>
    </w:p>
    <w:p>
      <w:pPr>
        <w:spacing w:after="0" w:line="176" w:lineRule="exact"/>
        <w:rPr>
          <w:sz w:val="20"/>
          <w:szCs w:val="20"/>
          <w:color w:val="auto"/>
        </w:rPr>
      </w:pPr>
    </w:p>
    <w:p>
      <w:pPr>
        <w:jc w:val="both"/>
        <w:ind w:right="2899" w:firstLine="550"/>
        <w:spacing w:after="0" w:line="248"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w:t>
      </w:r>
    </w:p>
    <w:p>
      <w:pPr>
        <w:spacing w:after="0" w:line="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If we are unable to meet customers' expectations in providing products or performing services, our business and results of operations could be harmed.</w:t>
      </w:r>
    </w:p>
    <w:p>
      <w:pPr>
        <w:spacing w:after="0" w:line="175" w:lineRule="exact"/>
        <w:rPr>
          <w:sz w:val="20"/>
          <w:szCs w:val="20"/>
          <w:color w:val="auto"/>
        </w:rPr>
      </w:pPr>
    </w:p>
    <w:p>
      <w:pPr>
        <w:ind w:left="360" w:right="3079"/>
        <w:spacing w:after="0" w:line="250" w:lineRule="auto"/>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176" w:lineRule="exact"/>
        <w:rPr>
          <w:sz w:val="20"/>
          <w:szCs w:val="20"/>
          <w:color w:val="auto"/>
        </w:rPr>
      </w:pPr>
    </w:p>
    <w:p>
      <w:pPr>
        <w:ind w:left="360" w:right="3359"/>
        <w:spacing w:after="0" w:line="249" w:lineRule="auto"/>
        <w:rPr>
          <w:sz w:val="20"/>
          <w:szCs w:val="20"/>
          <w:color w:val="auto"/>
        </w:rPr>
      </w:pPr>
      <w:r>
        <w:rPr>
          <w:rFonts w:ascii="Courier New" w:cs="Courier New" w:eastAsia="Courier New" w:hAnsi="Courier New"/>
          <w:sz w:val="15"/>
          <w:szCs w:val="15"/>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88"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76" w:lineRule="exact"/>
        <w:rPr>
          <w:sz w:val="20"/>
          <w:szCs w:val="20"/>
          <w:color w:val="auto"/>
        </w:rPr>
      </w:pPr>
    </w:p>
    <w:p>
      <w:pPr>
        <w:ind w:left="360" w:right="3079"/>
        <w:spacing w:after="0" w:line="249" w:lineRule="auto"/>
        <w:rPr>
          <w:sz w:val="20"/>
          <w:szCs w:val="20"/>
          <w:color w:val="auto"/>
        </w:rPr>
      </w:pPr>
      <w:r>
        <w:rPr>
          <w:rFonts w:ascii="Courier New" w:cs="Courier New" w:eastAsia="Courier New" w:hAnsi="Courier New"/>
          <w:sz w:val="15"/>
          <w:szCs w:val="15"/>
          <w:color w:val="auto"/>
        </w:rPr>
        <w:t>OUR QUARTERLY OPERATING RESULTS MAY FLUCTUATE, AND A DECLINE IN REVENUE IN ANY QUARTER COULD RESULT IN LOWER PROFITABILITY FOR THAT QUARTER AND FLUCTUATIONS IN THE MARKET PRICE OF OUR ORDINARY SHARES.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6" w:lineRule="exact"/>
        <w:rPr>
          <w:sz w:val="20"/>
          <w:szCs w:val="20"/>
          <w:color w:val="auto"/>
        </w:rPr>
      </w:pPr>
    </w:p>
    <w:p>
      <w:pPr>
        <w:ind w:left="1100" w:right="3259" w:hanging="556"/>
        <w:spacing w:after="0" w:line="250"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3560" w:right="3259" w:hanging="3016"/>
        <w:spacing w:after="0" w:line="499" w:lineRule="auto"/>
        <w:tabs>
          <w:tab w:leader="none" w:pos="10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 6</w:t>
      </w:r>
    </w:p>
    <w:p>
      <w:pPr>
        <w:sectPr>
          <w:pgSz w:w="11900" w:h="16838" w:orient="portrait"/>
          <w:cols w:equalWidth="0" w:num="1">
            <w:col w:w="10219"/>
          </w:cols>
          <w:pgMar w:left="240" w:top="647" w:right="1440" w:bottom="1440" w:gutter="0" w:footer="0" w:header="0"/>
        </w:sectPr>
      </w:pPr>
    </w:p>
    <w:bookmarkStart w:id="9" w:name="page10"/>
    <w:bookmarkEnd w:id="9"/>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75" w:lineRule="exact"/>
        <w:rPr>
          <w:sz w:val="20"/>
          <w:szCs w:val="20"/>
          <w:color w:val="auto"/>
        </w:rPr>
      </w:pPr>
    </w:p>
    <w:p>
      <w:pPr>
        <w:jc w:val="both"/>
        <w:ind w:left="360" w:right="3079"/>
        <w:spacing w:after="0" w:line="249" w:lineRule="auto"/>
        <w:rPr>
          <w:sz w:val="20"/>
          <w:szCs w:val="20"/>
          <w:color w:val="auto"/>
        </w:rPr>
      </w:pPr>
      <w:r>
        <w:rPr>
          <w:rFonts w:ascii="Courier New" w:cs="Courier New" w:eastAsia="Courier New" w:hAnsi="Courier New"/>
          <w:sz w:val="15"/>
          <w:szCs w:val="15"/>
          <w:color w:val="auto"/>
        </w:rPr>
        <w:t>OUR REVENUE, EARNINGS AND PROFITABILITY ARE IMPACTED BY THE LENGTH OF OUR SALES CYCLE AND A LONGER SALES CYCLE COULD ADVERSELY AFFECT OUR RESULTS OF OPERATIONS AND FINANCIAL CONDITION.</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86" w:lineRule="exact"/>
        <w:rPr>
          <w:sz w:val="20"/>
          <w:szCs w:val="20"/>
          <w:color w:val="auto"/>
        </w:rPr>
      </w:pPr>
    </w:p>
    <w:p>
      <w:pPr>
        <w:ind w:left="360" w:right="3619"/>
        <w:spacing w:after="0" w:line="250" w:lineRule="auto"/>
        <w:rPr>
          <w:sz w:val="20"/>
          <w:szCs w:val="20"/>
          <w:color w:val="auto"/>
        </w:rPr>
      </w:pPr>
      <w:r>
        <w:rPr>
          <w:rFonts w:ascii="Courier New" w:cs="Courier New" w:eastAsia="Courier New" w:hAnsi="Courier New"/>
          <w:sz w:val="15"/>
          <w:szCs w:val="15"/>
          <w:color w:val="auto"/>
        </w:rPr>
        <w:t>IF THE MARKET FOR OUR PRODUCTS DETERIORATES, WE MAY INCUR ADDITIONAL RESTRUCTURING CHARGES.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351" w:lineRule="exact"/>
        <w:rPr>
          <w:sz w:val="20"/>
          <w:szCs w:val="20"/>
          <w:color w:val="auto"/>
        </w:rPr>
      </w:pPr>
    </w:p>
    <w:p>
      <w:pPr>
        <w:ind w:left="360" w:right="3539"/>
        <w:spacing w:after="0" w:line="250" w:lineRule="auto"/>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10" w:name="page11"/>
    <w:bookmarkEnd w:id="10"/>
    <w:p>
      <w:pPr>
        <w:ind w:right="3359"/>
        <w:spacing w:after="0" w:line="250" w:lineRule="auto"/>
        <w:rPr>
          <w:sz w:val="20"/>
          <w:szCs w:val="20"/>
          <w:color w:val="auto"/>
        </w:rPr>
      </w:pPr>
      <w:r>
        <w:rPr>
          <w:rFonts w:ascii="Courier New" w:cs="Courier New" w:eastAsia="Courier New" w:hAnsi="Courier New"/>
          <w:sz w:val="15"/>
          <w:szCs w:val="15"/>
          <w:color w:val="auto"/>
        </w:rPr>
        <w:t>changes and plan and manage any future changes in the size and scope of our operations, our business will suffer.</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86" w:lineRule="exact"/>
        <w:rPr>
          <w:sz w:val="20"/>
          <w:szCs w:val="20"/>
          <w:color w:val="auto"/>
        </w:rPr>
      </w:pPr>
    </w:p>
    <w:p>
      <w:pPr>
        <w:ind w:left="360" w:right="3539"/>
        <w:spacing w:after="0" w:line="250" w:lineRule="auto"/>
        <w:rPr>
          <w:sz w:val="20"/>
          <w:szCs w:val="20"/>
          <w:color w:val="auto"/>
        </w:rPr>
      </w:pPr>
      <w:r>
        <w:rPr>
          <w:rFonts w:ascii="Courier New" w:cs="Courier New" w:eastAsia="Courier New" w:hAnsi="Courier New"/>
          <w:sz w:val="15"/>
          <w:szCs w:val="15"/>
          <w:color w:val="auto"/>
        </w:rPr>
        <w:t>OUR INTERNATIONAL PRESENCE EXPOSES US TO RISKS ASSOCIATED WITH VARIED AND CHANGING POLITICAL, CULTURAL AND ECONOMIC CONDITIONS WORLDWIDE.</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75" w:lineRule="exact"/>
        <w:rPr>
          <w:sz w:val="20"/>
          <w:szCs w:val="20"/>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2"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2" w:lineRule="exact"/>
        <w:rPr>
          <w:rFonts w:ascii="Courier New" w:cs="Courier New" w:eastAsia="Courier New" w:hAnsi="Courier New"/>
          <w:sz w:val="15"/>
          <w:szCs w:val="15"/>
          <w:color w:val="auto"/>
        </w:rPr>
      </w:pPr>
    </w:p>
    <w:p>
      <w:pPr>
        <w:ind w:left="1100" w:right="361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2" w:lineRule="exact"/>
        <w:rPr>
          <w:rFonts w:ascii="Courier New" w:cs="Courier New" w:eastAsia="Courier New" w:hAnsi="Courier New"/>
          <w:sz w:val="15"/>
          <w:szCs w:val="15"/>
          <w:color w:val="auto"/>
        </w:rPr>
      </w:pPr>
    </w:p>
    <w:p>
      <w:pPr>
        <w:ind w:left="1100" w:right="317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176" w:lineRule="exact"/>
        <w:rPr>
          <w:sz w:val="20"/>
          <w:szCs w:val="20"/>
          <w:color w:val="auto"/>
        </w:rPr>
      </w:pPr>
    </w:p>
    <w:p>
      <w:pPr>
        <w:ind w:left="360" w:right="3179"/>
        <w:spacing w:after="0" w:line="249" w:lineRule="auto"/>
        <w:rPr>
          <w:sz w:val="20"/>
          <w:szCs w:val="20"/>
          <w:color w:val="auto"/>
        </w:rPr>
      </w:pPr>
      <w:r>
        <w:rPr>
          <w:rFonts w:ascii="Courier New" w:cs="Courier New" w:eastAsia="Courier New" w:hAnsi="Courier New"/>
          <w:sz w:val="15"/>
          <w:szCs w:val="15"/>
          <w:color w:val="auto"/>
        </w:rPr>
        <w:t>POLITICAL AND ECONOMIC CONDITIONS IN THE MIDDLE EAST MAY ADVERSELY AFFECT OUR BUSINESS AND OUR DEVELOPMENT FACILITY IN CYPRUS MAY BE ADVERSELY AFFECTED BY POLITICAL CONDITIONS IN THAT COUNTRY.</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1" w:name="page12"/>
    <w:bookmarkEnd w:id="11"/>
    <w:p>
      <w:pPr>
        <w:ind w:right="2979"/>
        <w:spacing w:after="0" w:line="249" w:lineRule="auto"/>
        <w:rPr>
          <w:sz w:val="20"/>
          <w:szCs w:val="20"/>
          <w:color w:val="auto"/>
        </w:rPr>
      </w:pPr>
      <w:r>
        <w:rPr>
          <w:rFonts w:ascii="Courier New" w:cs="Courier New" w:eastAsia="Courier New" w:hAnsi="Courier New"/>
          <w:sz w:val="15"/>
          <w:szCs w:val="15"/>
          <w:color w:val="auto"/>
        </w:rPr>
        <w:t>outside of Israel. If we have to implement these plans, our operations would be disrupted and we would incur significant additional expenditures, which would adversely affect our business and results of operations.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51" w:lineRule="exact"/>
        <w:rPr>
          <w:sz w:val="20"/>
          <w:szCs w:val="20"/>
          <w:color w:val="auto"/>
        </w:rPr>
      </w:pPr>
    </w:p>
    <w:p>
      <w:pPr>
        <w:jc w:val="both"/>
        <w:ind w:left="260" w:right="2979"/>
        <w:spacing w:after="0" w:line="250" w:lineRule="auto"/>
        <w:rPr>
          <w:sz w:val="20"/>
          <w:szCs w:val="20"/>
          <w:color w:val="auto"/>
        </w:rPr>
      </w:pPr>
      <w:r>
        <w:rPr>
          <w:rFonts w:ascii="Courier New" w:cs="Courier New" w:eastAsia="Courier New" w:hAnsi="Courier New"/>
          <w:sz w:val="15"/>
          <w:szCs w:val="15"/>
          <w:color w:val="auto"/>
        </w:rPr>
        <w:t>OUR INTERNATIONAL OPERATIONS EXPOSE US TO RISKS ASSOCIATED WITH FLUCTUATIONS IN FOREIGN CURRENCY EXCHANGE RATES THAT COULD ADVERSELY AFFECT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8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6" w:lineRule="exact"/>
        <w:rPr>
          <w:sz w:val="20"/>
          <w:szCs w:val="20"/>
          <w:color w:val="auto"/>
        </w:rPr>
      </w:pPr>
    </w:p>
    <w:p>
      <w:pPr>
        <w:ind w:left="260" w:right="2899"/>
        <w:spacing w:after="0" w:line="250" w:lineRule="auto"/>
        <w:rPr>
          <w:sz w:val="20"/>
          <w:szCs w:val="20"/>
          <w:color w:val="auto"/>
        </w:rPr>
      </w:pPr>
      <w:r>
        <w:rPr>
          <w:rFonts w:ascii="Courier New" w:cs="Courier New" w:eastAsia="Courier New" w:hAnsi="Courier New"/>
          <w:sz w:val="15"/>
          <w:szCs w:val="15"/>
          <w:color w:val="auto"/>
        </w:rPr>
        <w:t>IF WE ARE UNABLE TO PROTECT OUR PROPRIETARY TECHNOLOGY FROM MISAPPROPRIATION, OUR BUSINESS MAY BE HARMED.</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12" w:name="page13"/>
    <w:bookmarkEnd w:id="12"/>
    <w:p>
      <w:pPr>
        <w:ind w:right="3179"/>
        <w:spacing w:after="0" w:line="249" w:lineRule="auto"/>
        <w:rPr>
          <w:sz w:val="20"/>
          <w:szCs w:val="20"/>
          <w:color w:val="auto"/>
        </w:rPr>
      </w:pPr>
      <w:r>
        <w:rPr>
          <w:rFonts w:ascii="Courier New" w:cs="Courier New" w:eastAsia="Courier New" w:hAnsi="Courier New"/>
          <w:sz w:val="15"/>
          <w:szCs w:val="15"/>
          <w:color w:val="auto"/>
        </w:rPr>
        <w:t>or inhibit unauthorized use, but we generally enter into confidentiality agreements with our employees, consultants, subcontractors, customers and potential customers and limit access to, and distribution of, our proprietary information.</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176"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4"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3" w:name="page14"/>
    <w:bookmarkEnd w:id="13"/>
    <w:p>
      <w:pPr>
        <w:spacing w:after="0" w:line="42" w:lineRule="exact"/>
        <w:rPr>
          <w:sz w:val="20"/>
          <w:szCs w:val="20"/>
          <w:color w:val="auto"/>
        </w:rPr>
      </w:pPr>
    </w:p>
    <w:p>
      <w:pPr>
        <w:jc w:val="both"/>
        <w:ind w:left="360" w:right="3359"/>
        <w:spacing w:after="0" w:line="249" w:lineRule="auto"/>
        <w:rPr>
          <w:sz w:val="20"/>
          <w:szCs w:val="20"/>
          <w:color w:val="auto"/>
        </w:rPr>
      </w:pPr>
      <w:r>
        <w:rPr>
          <w:rFonts w:ascii="Courier New" w:cs="Courier New" w:eastAsia="Courier New" w:hAnsi="Courier New"/>
          <w:sz w:val="15"/>
          <w:szCs w:val="15"/>
          <w:color w:val="auto"/>
        </w:rPr>
        <w:t>SYSTEM DISRUPTIONS AND FAILURES MAY RESULT IN CUSTOMER DISSATISFACTION, CUSTOMER LOSS OR BOTH, WHICH COULD MATERIALLY AND ADVERSELY AFFECT OUR REPUTATION AND BUSINESS.</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75" w:lineRule="exact"/>
        <w:rPr>
          <w:sz w:val="20"/>
          <w:szCs w:val="20"/>
          <w:color w:val="auto"/>
        </w:rPr>
      </w:pPr>
    </w:p>
    <w:p>
      <w:pPr>
        <w:ind w:left="360" w:right="2899"/>
        <w:spacing w:after="0" w:line="250"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8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5" w:lineRule="exact"/>
        <w:rPr>
          <w:sz w:val="20"/>
          <w:szCs w:val="20"/>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2"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4" w:lineRule="exact"/>
        <w:rPr>
          <w:rFonts w:ascii="Courier New" w:cs="Courier New" w:eastAsia="Courier New" w:hAnsi="Courier New"/>
          <w:sz w:val="15"/>
          <w:szCs w:val="15"/>
          <w:color w:val="auto"/>
        </w:rPr>
      </w:pPr>
    </w:p>
    <w:p>
      <w:pPr>
        <w:jc w:val="both"/>
        <w:ind w:left="1100" w:right="3079" w:hanging="556"/>
        <w:spacing w:after="0" w:line="249"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5" w:lineRule="exact"/>
        <w:rPr>
          <w:rFonts w:ascii="Courier New" w:cs="Courier New" w:eastAsia="Courier New" w:hAnsi="Courier New"/>
          <w:sz w:val="15"/>
          <w:szCs w:val="15"/>
          <w:color w:val="auto"/>
        </w:rPr>
      </w:pPr>
    </w:p>
    <w:p>
      <w:pPr>
        <w:ind w:left="1100" w:right="30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175" w:lineRule="exact"/>
        <w:rPr>
          <w:sz w:val="20"/>
          <w:szCs w:val="20"/>
          <w:color w:val="auto"/>
        </w:rPr>
      </w:pPr>
    </w:p>
    <w:p>
      <w:pPr>
        <w:ind w:left="360" w:right="2979"/>
        <w:spacing w:after="0" w:line="249" w:lineRule="auto"/>
        <w:rPr>
          <w:sz w:val="20"/>
          <w:szCs w:val="20"/>
          <w:color w:val="auto"/>
        </w:rPr>
      </w:pPr>
      <w:r>
        <w:rPr>
          <w:rFonts w:ascii="Courier New" w:cs="Courier New" w:eastAsia="Courier New" w:hAnsi="Courier New"/>
          <w:sz w:val="15"/>
          <w:szCs w:val="15"/>
          <w:color w:val="auto"/>
        </w:rPr>
        <w:t>WE ARE CURRENTLY A PARTY TO SECURITIES LITIGATION CLASS ACTION LAWSUITS AND A SECURITIES EXCHANGE COMMISSION INVESTIGATION, WHICH COULD NEGATIVELY AFFECT OUR BUSINESS AND RESULTS OF OPERATIONS.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Beginning in June 2002, a number of complaints were filed by holders of our ordinary shares against us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w:t>
      </w:r>
    </w:p>
    <w:p>
      <w:pPr>
        <w:sectPr>
          <w:pgSz w:w="11900" w:h="16880" w:orient="portrait"/>
          <w:cols w:equalWidth="0" w:num="1">
            <w:col w:w="10219"/>
          </w:cols>
          <w:pgMar w:left="240" w:top="647" w:right="1440" w:bottom="0" w:gutter="0" w:footer="0" w:header="0"/>
        </w:sectPr>
      </w:pPr>
    </w:p>
    <w:bookmarkStart w:id="14" w:name="page15"/>
    <w:bookmarkEnd w:id="14"/>
    <w:p>
      <w:pPr>
        <w:ind w:right="3439"/>
        <w:spacing w:after="0" w:line="250" w:lineRule="auto"/>
        <w:rPr>
          <w:sz w:val="20"/>
          <w:szCs w:val="20"/>
          <w:color w:val="auto"/>
        </w:rPr>
      </w:pPr>
      <w:r>
        <w:rPr>
          <w:rFonts w:ascii="Courier New" w:cs="Courier New" w:eastAsia="Courier New" w:hAnsi="Courier New"/>
          <w:sz w:val="15"/>
          <w:szCs w:val="15"/>
          <w:color w:val="auto"/>
        </w:rPr>
        <w:t>the action alleged that we and the individual defendants had made false or misleading statements about our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2" w:right="1440" w:bottom="1440" w:gutter="0" w:footer="0" w:header="0"/>
        </w:sectPr>
      </w:pPr>
    </w:p>
    <w:bookmarkStart w:id="15" w:name="page16"/>
    <w:bookmarkEnd w:id="15"/>
    <w:p>
      <w:pPr>
        <w:ind w:right="2899"/>
        <w:spacing w:after="0" w:line="249" w:lineRule="auto"/>
        <w:rPr>
          <w:sz w:val="20"/>
          <w:szCs w:val="20"/>
          <w:color w:val="auto"/>
        </w:rPr>
      </w:pPr>
      <w:r>
        <w:rPr>
          <w:rFonts w:ascii="Courier New" w:cs="Courier New" w:eastAsia="Courier New" w:hAnsi="Courier New"/>
          <w:sz w:val="15"/>
          <w:szCs w:val="15"/>
          <w:color w:val="auto"/>
        </w:rPr>
        <w:t>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In addition, we have been informed that the Midwest Regional Office of the United States Securities and Exchange Commission (the "SEC") is conducting a private investigation into the events leading up to our announcement in June</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75" w:lineRule="exact"/>
        <w:rPr>
          <w:sz w:val="20"/>
          <w:szCs w:val="20"/>
          <w:color w:val="auto"/>
        </w:rPr>
      </w:pPr>
    </w:p>
    <w:p>
      <w:pPr>
        <w:jc w:val="both"/>
        <w:ind w:left="360" w:right="2899"/>
        <w:spacing w:after="0" w:line="250" w:lineRule="auto"/>
        <w:rPr>
          <w:sz w:val="20"/>
          <w:szCs w:val="20"/>
          <w:color w:val="auto"/>
        </w:rPr>
      </w:pPr>
      <w:r>
        <w:rPr>
          <w:rFonts w:ascii="Courier New" w:cs="Courier New" w:eastAsia="Courier New" w:hAnsi="Courier New"/>
          <w:sz w:val="15"/>
          <w:szCs w:val="15"/>
          <w:color w:val="auto"/>
        </w:rPr>
        <w:t>IT MAY BE DIFFICULT FOR OUR SHAREHOLDERS TO ENFORCE ANY JUDGMENT OBTAINED IN THE UNITED STATES AGAINST US, THE SELLING SECURITYHOLDERS OR OUR AFFILIATES.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many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CAPITAL STRUCTURE</w:t>
      </w:r>
    </w:p>
    <w:p>
      <w:pPr>
        <w:spacing w:after="0" w:line="182"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351"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September 20, 2004, the closing price of our ordinary shares was $22.97 per share. Many factors could cause the market price of our ordinary shares to rise and fall, including:</w:t>
      </w:r>
    </w:p>
    <w:p>
      <w:pPr>
        <w:spacing w:after="0" w:line="352" w:lineRule="exact"/>
        <w:rPr>
          <w:sz w:val="20"/>
          <w:szCs w:val="20"/>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2" w:lineRule="exact"/>
        <w:rPr>
          <w:rFonts w:ascii="Courier New" w:cs="Courier New" w:eastAsia="Courier New" w:hAnsi="Courier New"/>
          <w:sz w:val="15"/>
          <w:szCs w:val="15"/>
          <w:color w:val="auto"/>
        </w:rPr>
      </w:pPr>
    </w:p>
    <w:p>
      <w:pPr>
        <w:ind w:left="1100" w:right="307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introductions of new products or new pricing policies by us or our competitors,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2" w:lineRule="exact"/>
        <w:rPr>
          <w:rFonts w:ascii="Courier New" w:cs="Courier New" w:eastAsia="Courier New" w:hAnsi="Courier New"/>
          <w:sz w:val="15"/>
          <w:szCs w:val="15"/>
          <w:color w:val="auto"/>
        </w:rPr>
      </w:pPr>
    </w:p>
    <w:p>
      <w:pPr>
        <w:ind w:left="1100" w:right="353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6" w:name="page17"/>
    <w:bookmarkEnd w:id="16"/>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7" w:name="page18"/>
    <w:bookmarkEnd w:id="17"/>
    <w:p>
      <w:pPr>
        <w:ind w:left="1360"/>
        <w:spacing w:after="0"/>
        <w:rPr>
          <w:sz w:val="20"/>
          <w:szCs w:val="20"/>
          <w:color w:val="auto"/>
        </w:rPr>
      </w:pPr>
      <w:r>
        <w:rPr>
          <w:rFonts w:ascii="Courier New" w:cs="Courier New" w:eastAsia="Courier New" w:hAnsi="Courier New"/>
          <w:sz w:val="15"/>
          <w:szCs w:val="15"/>
          <w:color w:val="auto"/>
        </w:rPr>
        <w:t>SPECIAL NOTE REGARDING FORWARD-LOOKING INFORMATION</w:t>
      </w:r>
    </w:p>
    <w:p>
      <w:pPr>
        <w:spacing w:after="0" w:line="359" w:lineRule="exact"/>
        <w:rPr>
          <w:sz w:val="20"/>
          <w:szCs w:val="20"/>
          <w:color w:val="auto"/>
        </w:rPr>
      </w:pPr>
    </w:p>
    <w:p>
      <w:pPr>
        <w:ind w:right="3359" w:firstLine="550"/>
        <w:spacing w:after="0" w:line="248" w:lineRule="auto"/>
        <w:rPr>
          <w:sz w:val="20"/>
          <w:szCs w:val="20"/>
          <w:color w:val="auto"/>
        </w:rPr>
      </w:pPr>
      <w:r>
        <w:rPr>
          <w:rFonts w:ascii="Courier New" w:cs="Courier New" w:eastAsia="Courier New" w:hAnsi="Courier New"/>
          <w:sz w:val="15"/>
          <w:szCs w:val="15"/>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"anticipate," "believe," "seek," "estimate," "project," "forecast," "continue," "potential," "should," "would," "could" and "may," and other words that convey uncertainty of future events or outcome. Statements that we make that are not statements of historical fact may also be forward looking statements. Statements regarding our future business and/or results, including, without limitation, the statements under the captions "Summary," "Risk Factors," and "Operating and Financial Review and Prospects for the Three and Nine Month Periods Ended 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63"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8" w:name="page19"/>
    <w:bookmarkEnd w:id="18"/>
    <w:p>
      <w:pPr>
        <w:jc w:val="center"/>
        <w:ind w:right="2819"/>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560,777 ordinary shares being offered hereby are being sold by the selling securityholders listed under the caption "Selling Securityholders" beginning on page 20. The offer will be open until the earliest to occur of (1) the date on which all of the ordinary shares being offered hereby have been sold pursuant to the Registration Statement of which this prospectus constitutes a part or pursuant to Rule 144 under the Securities Act of 1933, as amended, which we refer to as to the Securities Act, (2) the date on which all of the shares being offered hereby can be sold without registration without regard to the volume restrictions of Rule 144 under the Securities Act and (3) February 19, 2006.</w:t>
      </w:r>
    </w:p>
    <w:p>
      <w:pPr>
        <w:spacing w:after="0" w:line="17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REASONS FOR THE OFFER AND USE OF PROCEEDS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us to former shareholders of XACCT in connection with our acquisition of that company. We acquired XACCT's outstanding shares for approximately $28.4 million, of which approximately $13.3 million was paid in cash, with the balance paid in 560,777 of our ordinary shares. The shares were issued in a private placement we believe satisfied the conditions exemptions from registration provided by Section 4(2) and Regulation S under the Securities Act. We will not receive any proceeds from the sale of ordinary shares by the selling securityholders.</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MATERIAL CHANGES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On March 5, 2004, we sold $450.0 million aggregate principal amount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0.50% Convertible Senior Notes due 2024, referred to herein as the 0.50% 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a private placement to qualified institutional buyers pursuant to Rule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144A under the Securities Act. We used approximately $170.1 million of the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the sale of the 0.50% Notes to repurchase approximately 6.1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ordinary shares sold short by purchasers of the 0.50% Notes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negotiated transactions concurrently with the offering. We intend to use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of the net proceeds for general corporate purposes, including working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capital expenditures, as well as for future possible strategic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 including acquisitions. We also used net proceeds and other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to repurchase approximately $395.1 million in aggregate principal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our 2% Notes through a cash tender offer that we announced on May 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and which expired on June 1, 2004. The untendered principal amount of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remain as obligations of the Company, due June 1, 2008, in accordance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terms.</w:t>
      </w:r>
    </w:p>
    <w:p>
      <w:pPr>
        <w:spacing w:after="0" w:line="18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In connection with the sale of the 0.50% Notes, we entered into an Indenture, dated as of March 5, 2004, by and between us and The Bank of New York, as Trustee, and a Registration Rights Agreement, dated as of March 5, 2004, with the initial purchasers of the 0.50% Notes, pursuant to which we agreed to file a registration statement on Form F-3 with respect to the 0.50% Notes and the ordinary shares issuable upon conversion of the 0.50% Notes. We filed three reports on Form 6-K with respect to the 0.50%</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9" w:name="page20"/>
    <w:bookmarkEnd w:id="19"/>
    <w:p>
      <w:pPr>
        <w:ind w:right="3359"/>
        <w:spacing w:after="0" w:line="250" w:lineRule="auto"/>
        <w:rPr>
          <w:sz w:val="20"/>
          <w:szCs w:val="20"/>
          <w:color w:val="auto"/>
        </w:rPr>
      </w:pPr>
      <w:r>
        <w:rPr>
          <w:rFonts w:ascii="Courier New" w:cs="Courier New" w:eastAsia="Courier New" w:hAnsi="Courier New"/>
          <w:sz w:val="15"/>
          <w:szCs w:val="15"/>
          <w:color w:val="auto"/>
        </w:rPr>
        <w:t>Notes, on each of March 1, March 2 and March 5, 2004. See "Incorporation of Documents by Reference" and "Where You Can Find More Information."</w:t>
      </w:r>
    </w:p>
    <w:p>
      <w:pPr>
        <w:spacing w:after="0" w:line="175"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351"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352" w:lineRule="exact"/>
        <w:rPr>
          <w:sz w:val="20"/>
          <w:szCs w:val="20"/>
          <w:color w:val="auto"/>
        </w:rPr>
      </w:pPr>
    </w:p>
    <w:p>
      <w:pPr>
        <w:ind w:right="3439" w:firstLine="550"/>
        <w:spacing w:after="0" w:line="249" w:lineRule="auto"/>
        <w:rPr>
          <w:sz w:val="20"/>
          <w:szCs w:val="20"/>
          <w:color w:val="auto"/>
        </w:rPr>
      </w:pPr>
      <w:r>
        <w:rPr>
          <w:rFonts w:ascii="Courier New" w:cs="Courier New" w:eastAsia="Courier New" w:hAnsi="Courier New"/>
          <w:sz w:val="15"/>
          <w:szCs w:val="15"/>
          <w:color w:val="auto"/>
        </w:rPr>
        <w:t>Pursuant to a previous share repurchase program, in fiscal 2002 we purchased 7.7 million of our ordinary share at a weighted average price of $14.13 per share.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20" w:name="page21"/>
    <w:bookmarkEnd w:id="20"/>
    <w:p>
      <w:pPr>
        <w:ind w:left="2740"/>
        <w:spacing w:after="0"/>
        <w:rPr>
          <w:sz w:val="20"/>
          <w:szCs w:val="20"/>
          <w:color w:val="auto"/>
        </w:rPr>
      </w:pPr>
      <w:r>
        <w:rPr>
          <w:rFonts w:ascii="Courier New" w:cs="Courier New" w:eastAsia="Courier New" w:hAnsi="Courier New"/>
          <w:sz w:val="15"/>
          <w:szCs w:val="15"/>
          <w:color w:val="auto"/>
        </w:rPr>
        <w:t>THE OFFER AND LISTING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HIGH</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r>
      <w:tr>
        <w:trPr>
          <w:trHeight w:val="176"/>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$ 8.75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$ 6.10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$ 5.85</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35.90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$ 6.62</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$ 6.10</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$ 5.85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$ 9.86</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$18.55</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2004:</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$22.17</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(through September 20,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$18.08</w:t>
            </w:r>
          </w:p>
        </w:tc>
      </w:tr>
      <w:tr>
        <w:trPr>
          <w:trHeight w:val="352"/>
        </w:trPr>
        <w:tc>
          <w:tcPr>
            <w:tcW w:w="54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Most Recent Six Months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2"/>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March,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April,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May,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$23.62</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June,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July,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August,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$18.08</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As of August 31, 2004, we had 207,183,394 ordinary shares outstanding and there were 242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328"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On September 20, 2004, the last reported sale price of our ordinary shares on the NYSE was $22.97.</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EXPENSES OF THE ISSUE</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selling securityholders will pay any underwriting discounts and commissions and expenses incurred by them for brokerage, accounting, tax or legal services (other than the reasonable fees, costs and expenses of one counsel for the selling securityholders up to an aggregate of $10,000)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Filing Fee - Securities and Exchange Commission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Legal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Miscellaneous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9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$ 63,385</w:t>
            </w:r>
          </w:p>
        </w:tc>
      </w:tr>
      <w:tr>
        <w:trPr>
          <w:trHeight w:val="176"/>
        </w:trPr>
        <w:tc>
          <w:tcPr>
            <w:tcW w:w="59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90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2" w:name="page23"/>
    <w:bookmarkEnd w:id="22"/>
    <w:p>
      <w:pPr>
        <w:jc w:val="center"/>
        <w:ind w:right="2893"/>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The following table sets forth our unaudited consolidated capitalization as of June 30, 2004.</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328"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AS OF JUNE 30, 2004 ------------------- (UNAUDITED) (IN THOUSANDS) -----------------</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Short-term portion of capital lease obligations -- 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$ 9,991 Short-term portion of capital lease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obligations -- secured and guaranteed...................... 9,872 Capital lease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obligations, less current portion -- secured and unguaranteed....................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9,168 Short-term financing arrangements -- unsecured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2,076 2% Convertible notes due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2008.................................................................. 344 0.50%</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Convertible Senior Notes due 2024 -- unsecured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450,000 ------------------- Total</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indebtedness.......................................................................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481,451 Shareholders' equity: Preferred Shares -- Authorized 25,000 shares; L0.01</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par value; 0 shares issued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outstanding..........................................................................</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Ordinary Shares -- Authorized 550,000 shares; L0.01 par value; 224,854 issued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206,135</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outstanding(1)............................................................... 3,599</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Additional paid-in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capital.................................................................. 1,836,743</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Treasury Stock, at cost -- 18,719 ordinary</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shares........................................... (402,360) Accumulated and other</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comprehensive loss.................................................... (358)</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Unearned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(571) Retained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earnings...........................................................................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45,908 ------------------- Total shareholders'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equity............................................................... 1,482,961 ----</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Total</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capitalization.....................................................................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$1,964,412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6" w:right="2899" w:hanging="546"/>
        <w:spacing w:after="0" w:line="249" w:lineRule="auto"/>
        <w:tabs>
          <w:tab w:leader="none" w:pos="5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ordinary shares issued and outstanding as of June 30, 2004. Does not include 25,969 ordinary shares reserved for issuance upon the exercise of stock options that have been granted under our stock option plan and by companies we have acquired. As of August 31, 2004, there were 207,183,394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4" w:top="647" w:right="1440" w:bottom="1440" w:gutter="0" w:footer="0" w:header="0"/>
        </w:sectPr>
      </w:pPr>
    </w:p>
    <w:bookmarkStart w:id="23" w:name="page24"/>
    <w:bookmarkEnd w:id="23"/>
    <w:p>
      <w:pPr>
        <w:ind w:left="2660"/>
        <w:spacing w:after="0"/>
        <w:rPr>
          <w:sz w:val="20"/>
          <w:szCs w:val="20"/>
          <w:color w:val="auto"/>
        </w:rPr>
      </w:pPr>
      <w:r>
        <w:rPr>
          <w:rFonts w:ascii="Courier New" w:cs="Courier New" w:eastAsia="Courier New" w:hAnsi="Courier New"/>
          <w:sz w:val="15"/>
          <w:szCs w:val="15"/>
          <w:color w:val="auto"/>
        </w:rPr>
        <w:t>SELLING SECURITYHOLDERS</w:t>
      </w:r>
    </w:p>
    <w:p>
      <w:pPr>
        <w:spacing w:after="0" w:line="359" w:lineRule="exact"/>
        <w:rPr>
          <w:sz w:val="20"/>
          <w:szCs w:val="20"/>
          <w:color w:val="auto"/>
        </w:rPr>
      </w:pPr>
    </w:p>
    <w:p>
      <w:pPr>
        <w:ind w:right="4120" w:firstLine="550"/>
        <w:spacing w:after="0" w:line="249" w:lineRule="auto"/>
        <w:rPr>
          <w:sz w:val="20"/>
          <w:szCs w:val="20"/>
          <w:color w:val="auto"/>
        </w:rPr>
      </w:pPr>
      <w:r>
        <w:rPr>
          <w:rFonts w:ascii="Courier New" w:cs="Courier New" w:eastAsia="Courier New" w:hAnsi="Courier New"/>
          <w:sz w:val="15"/>
          <w:szCs w:val="15"/>
          <w:color w:val="auto"/>
        </w:rPr>
        <w:t>We issued the ordinary shares covered by this prospectus in a private placement in connection with our acquisition of XACCT in February 2004. The following table sets forth, to our knowledge and as of September 21, 2004, certain information about the selling securityholders based on information provided by or on behalf of the selling securityholders in a questionnaire and supplementally. The percentages set forth below are based on 207,183,394 of our ordinary shares outstanding as of August 31, 2004.</w:t>
      </w:r>
    </w:p>
    <w:p>
      <w:pPr>
        <w:spacing w:after="0" w:line="352" w:lineRule="exact"/>
        <w:rPr>
          <w:sz w:val="20"/>
          <w:szCs w:val="20"/>
          <w:color w:val="auto"/>
        </w:rPr>
      </w:pPr>
    </w:p>
    <w:p>
      <w:pPr>
        <w:ind w:right="4040" w:firstLine="550"/>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or investment power with respect to shares. Unless otherwise indicated below, to our knowledge, all persons named in the table have sole voting and investment power with respect to their ordinary shares,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ORDINARY SHARES</w:t>
            </w:r>
          </w:p>
        </w:tc>
        <w:tc>
          <w:tcPr>
            <w:tcW w:w="1420" w:type="dxa"/>
            <w:vAlign w:val="bottom"/>
          </w:tcPr>
          <w:p>
            <w:pPr>
              <w:spacing w:after="0"/>
              <w:rPr>
                <w:sz w:val="15"/>
                <w:szCs w:val="15"/>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5540" w:type="dxa"/>
            <w:vAlign w:val="bottom"/>
          </w:tcPr>
          <w:p>
            <w:pPr>
              <w:spacing w:after="0"/>
              <w:rPr>
                <w:sz w:val="15"/>
                <w:szCs w:val="15"/>
                <w:color w:val="auto"/>
              </w:rPr>
            </w:pPr>
          </w:p>
        </w:tc>
        <w:tc>
          <w:tcPr>
            <w:tcW w:w="2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BENEFICIALLY OWNED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tcPr>
          <w:p>
            <w:pPr>
              <w:spacing w:after="0"/>
              <w:rPr>
                <w:sz w:val="15"/>
                <w:szCs w:val="15"/>
                <w:color w:val="auto"/>
              </w:rPr>
            </w:pPr>
          </w:p>
        </w:tc>
        <w:tc>
          <w:tcPr>
            <w:tcW w:w="1200" w:type="dxa"/>
            <w:vAlign w:val="bottom"/>
          </w:tcPr>
          <w:p>
            <w:pPr>
              <w:jc w:val="center"/>
              <w:ind w:right="664"/>
              <w:spacing w:after="0"/>
              <w:rPr>
                <w:sz w:val="20"/>
                <w:szCs w:val="20"/>
                <w:color w:val="auto"/>
              </w:rPr>
            </w:pPr>
            <w:r>
              <w:rPr>
                <w:rFonts w:ascii="Courier New" w:cs="Courier New" w:eastAsia="Courier New" w:hAnsi="Courier New"/>
                <w:sz w:val="15"/>
                <w:szCs w:val="15"/>
                <w:color w:val="auto"/>
              </w:rPr>
              <w:t>AFTER</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PRIOR TO OFFERING (1)</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ORDINARY</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OFFERING (1)(2)</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SHARES</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ind w:left="820"/>
              <w:spacing w:after="0"/>
              <w:rPr>
                <w:sz w:val="20"/>
                <w:szCs w:val="20"/>
                <w:color w:val="auto"/>
              </w:rPr>
            </w:pPr>
            <w:r>
              <w:rPr>
                <w:rFonts w:ascii="Courier New" w:cs="Courier New" w:eastAsia="Courier New" w:hAnsi="Courier New"/>
                <w:sz w:val="15"/>
                <w:szCs w:val="15"/>
                <w:color w:val="auto"/>
              </w:rPr>
              <w:t>NAME OF SELLING SECURITYHOLDER (3)</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PERCENTAGE</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BEING OFFERED</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5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Ampal - American Israel Corporation(4)...................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8,058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8,058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Ampal Industries (Israel) Ltd.(4)........................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74,682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74,682</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Marinera Ltd.(5).........................................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2,095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2,095</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Inveco International, Inc.(6)............................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845</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Israel Seed Limited Partnership(7).......................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7,610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Israel Seed II, L.P.(7)..................................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9,883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9,883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Technorov Holdings (1993) Ltd.(8)........................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9,754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9,754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WSG Capital, L.P.(9).....................................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5,071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5,071</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WSG Capital II, L.P.(9)..................................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4,823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Information Associates-II, L.P.(10)......................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61,698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61,698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IA-II Affiliates Fund, L.L.C.(10)........................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3,599</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3,599</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21,966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(Israel)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1,104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(Cayman)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(Affiliated)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(GP)(12).........................................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401</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1,904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(Q),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50,613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50,613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Strategic Partners,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2,292</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IV,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71,987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71,987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IV Strategic Partners,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2,684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Deutsche Bank AG, London Branch(13)......................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415,794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248,074</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Globe LinQ International Fund I, LLC(14).................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9,647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9,647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Infocom Corporation(15)..................................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6,493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6,493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Sun Microsystems, Inc.(16)...............................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Dell Ventures L.P.(17)...................................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32,466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Old Point International Corporation(18)..................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Credit Suisse First Boston Venture Fund I, L.P.(19)......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1,948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John D. Sternfield.......................................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Edward &amp; Marie Jackson...................................</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529"/>
        </w:trPr>
        <w:tc>
          <w:tcPr>
            <w:tcW w:w="5540" w:type="dxa"/>
            <w:vAlign w:val="bottom"/>
          </w:tcPr>
          <w:p>
            <w:pPr>
              <w:ind w:left="3560"/>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60"/>
          </w:cols>
          <w:pgMar w:left="240" w:top="647" w:right="299" w:bottom="1440" w:gutter="0" w:footer="0" w:header="0"/>
        </w:sectPr>
      </w:pPr>
    </w:p>
    <w:bookmarkStart w:id="24" w:name="page25"/>
    <w:bookmarkEnd w:id="24"/>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ORDINARY SHARES</w:t>
            </w:r>
          </w:p>
        </w:tc>
      </w:tr>
      <w:tr>
        <w:trPr>
          <w:trHeight w:val="176"/>
        </w:trPr>
        <w:tc>
          <w:tcPr>
            <w:tcW w:w="5540" w:type="dxa"/>
            <w:vAlign w:val="bottom"/>
          </w:tcPr>
          <w:p>
            <w:pPr>
              <w:spacing w:after="0"/>
              <w:rPr>
                <w:sz w:val="15"/>
                <w:szCs w:val="15"/>
                <w:color w:val="auto"/>
              </w:rPr>
            </w:pPr>
          </w:p>
        </w:tc>
        <w:tc>
          <w:tcPr>
            <w:tcW w:w="22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55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PRIOR TO OFFERING (1)</w:t>
            </w:r>
          </w:p>
        </w:tc>
      </w:tr>
      <w:tr>
        <w:trPr>
          <w:trHeight w:val="176"/>
        </w:trPr>
        <w:tc>
          <w:tcPr>
            <w:tcW w:w="55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NAME OF SELLING SECURITYHOLDER (CONTINUED) (3)</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Tad W. Piper(20).........................................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H&amp;Q Employee Venture Fund 2000, L.P.(21).................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Hambrecht &amp; Quist California(21).........................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Eric Zimits..............................................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Mark Zanoli(22)..........................................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Erez Levy(23)............................................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Werner Robert Genieser...................................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Bill Duff................................................</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Plenus Technologies Ltd.(24).............................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4,545</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529"/>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957,084</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2" w:lineRule="exact"/>
        <w:rPr>
          <w:sz w:val="20"/>
          <w:szCs w:val="20"/>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ordinary shares listed as owned by the selling securityholders, a total of 68,529 ordinary shares are held in an escrow account to secure indemnification obligations of the former shareholders of XACCT to us. We expect that these ordinary shares, less any ordinary shares that may be distributed from the escrow account to us in satisfaction of indemnification claims, will be released from escrow and distributed to the selling securityholders on August 19, 2005. The number of ordinary shares indicated as owned by each selling securityholder includes those ordinary shares that such selling securityholder is entitled to receive upon distribution of these shares from the escrow account.</w:t>
      </w:r>
    </w:p>
    <w:p>
      <w:pPr>
        <w:spacing w:after="0" w:line="175"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when or in what amounts a selling securityholder may offer ordinary shares for sale. The selling securityholders might not sell any or all of the shares offered by this prospectus. Because the selling securityholders may offer all or some of the shares pursuant to this offering, and because there are currently no agreements, arrangements or understandings with respect to the sale of any of the shares, we cannot estimate the number of the ordinary shares that will be held by the selling securityholders after completion of the offering. However, for purposes of this table, we have assumed that, after completion of this offering, none of the ordinary shares covered by this prospectus will be held by the selling securityholder.</w:t>
      </w:r>
    </w:p>
    <w:p>
      <w:pPr>
        <w:spacing w:after="0" w:line="174"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XACCT appointed Fahn Kanne Trust Limited as their agents and representatives. The address of each of the selling securityholders is c/o Fahn Kanne Trust Limited, 23 Menachem Begin Road, Tel Aviv 66184, Israel.</w:t>
      </w:r>
    </w:p>
    <w:p>
      <w:pPr>
        <w:spacing w:after="0" w:line="175"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Ampal Industries (Israel) Ltd. is owned by Ampal Industries Inc., which is owned by Ampal American-Israel Corporation. Ampal American Israel Corporation is a public company traded on the Nasdaq National Market. Mr. Yosef A. Maiman is the beneficial owner of 59.58% of the outstanding shares of Class A stock of Ampal American Israel Corporation.</w:t>
      </w:r>
    </w:p>
    <w:p>
      <w:pPr>
        <w:spacing w:after="0" w:line="175" w:lineRule="exact"/>
        <w:rPr>
          <w:rFonts w:ascii="Courier New" w:cs="Courier New" w:eastAsia="Courier New" w:hAnsi="Courier New"/>
          <w:sz w:val="15"/>
          <w:szCs w:val="15"/>
          <w:color w:val="auto"/>
        </w:rPr>
      </w:pPr>
    </w:p>
    <w:p>
      <w:pPr>
        <w:ind w:left="1106" w:right="64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Daniel Steinmetz holds voting and dispositive power over the ordinary shares held by Marinera Ltd. Mr. Steinmetz disclaims beneficial ownership of any shares held by Marinera Ltd. except to the extent of his pecuniary interest therein.</w:t>
      </w:r>
    </w:p>
    <w:p>
      <w:pPr>
        <w:spacing w:after="0" w:line="175" w:lineRule="exact"/>
        <w:rPr>
          <w:rFonts w:ascii="Courier New" w:cs="Courier New" w:eastAsia="Courier New" w:hAnsi="Courier New"/>
          <w:sz w:val="15"/>
          <w:szCs w:val="15"/>
          <w:color w:val="auto"/>
        </w:rPr>
      </w:pPr>
    </w:p>
    <w:p>
      <w:pPr>
        <w:ind w:left="1106" w:hanging="556"/>
        <w:spacing w:after="0"/>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Inveco International, Inc. is owned and controlled by Hillel Peled.</w:t>
      </w:r>
    </w:p>
    <w:p>
      <w:pPr>
        <w:spacing w:after="0" w:line="182"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sole General Partner of each of Israel Seed Limited Partnership and Israel Seed II, L.P. (the "Israel Seed Entities") is Seed Venture Partners Ltd. which has sole investment control with respect to the Israel Seed Entities. The sole principals of the investment advisors to Seed Venture Partners Ltd. are Jonathan Medved, Neil Cohen and Michael Eisenberg and, as such, they may be deemed to share voting power over the ordinary shares held by the Israel Seed Entities. Each individual disclaims beneficial ownership of any shares held by the Israel Seed Entities except to the extent of their respective pecuniary interests.</w:t>
      </w:r>
    </w:p>
    <w:p>
      <w:pPr>
        <w:spacing w:after="0" w:line="175" w:lineRule="exact"/>
        <w:rPr>
          <w:rFonts w:ascii="Courier New" w:cs="Courier New" w:eastAsia="Courier New" w:hAnsi="Courier New"/>
          <w:sz w:val="15"/>
          <w:szCs w:val="15"/>
          <w:color w:val="auto"/>
        </w:rPr>
      </w:pPr>
    </w:p>
    <w:p>
      <w:pPr>
        <w:ind w:left="1106" w:right="920" w:hanging="556"/>
        <w:spacing w:after="0" w:line="250"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Technorov Holdings (1993) Ltd. is a subsidiary of Alrov Ltd., a widely-held company listed on the Tel Aviv Stock Exchange.</w:t>
      </w:r>
    </w:p>
    <w:p>
      <w:pPr>
        <w:spacing w:after="0" w:line="174"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WSG Capital, L.P. and WSG Capital II, L.P. is WSG Management, LLC. All of the membership interests of WSG Management, LLC are held in equal parts by Eran Wagner, Limor Schweitzer and Eric Gries. Eran Wagner is the general manager, and Eran Wagner, Limor Schweitzer and Eric Gries are managers of WSG Management, LLC. Eran Wagner, Limor Schweitzer and Eric Gries were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0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1340" w:type="dxa"/>
            <w:vAlign w:val="bottom"/>
          </w:tcPr>
          <w:p>
            <w:pPr>
              <w:spacing w:after="0"/>
              <w:rPr>
                <w:sz w:val="15"/>
                <w:szCs w:val="15"/>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820" w:type="dxa"/>
            <w:vAlign w:val="bottom"/>
          </w:tcPr>
          <w:p>
            <w:pPr>
              <w:spacing w:after="0"/>
              <w:rPr>
                <w:sz w:val="15"/>
                <w:szCs w:val="15"/>
                <w:color w:val="auto"/>
              </w:rPr>
            </w:pPr>
          </w:p>
        </w:tc>
        <w:tc>
          <w:tcPr>
            <w:tcW w:w="1240" w:type="dxa"/>
            <w:vAlign w:val="bottom"/>
          </w:tcPr>
          <w:p>
            <w:pPr>
              <w:jc w:val="center"/>
              <w:ind w:right="624"/>
              <w:spacing w:after="0"/>
              <w:rPr>
                <w:sz w:val="20"/>
                <w:szCs w:val="20"/>
                <w:color w:val="auto"/>
              </w:rPr>
            </w:pPr>
            <w:r>
              <w:rPr>
                <w:rFonts w:ascii="Courier New" w:cs="Courier New" w:eastAsia="Courier New" w:hAnsi="Courier New"/>
                <w:sz w:val="15"/>
                <w:szCs w:val="15"/>
                <w:color w:val="auto"/>
              </w:rPr>
              <w:t>AFTER</w:t>
            </w:r>
          </w:p>
        </w:tc>
      </w:tr>
      <w:tr>
        <w:trPr>
          <w:trHeight w:val="176"/>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OFFERING (1)(2)</w:t>
            </w:r>
          </w:p>
        </w:tc>
      </w:tr>
      <w:tr>
        <w:trPr>
          <w:trHeight w:val="176"/>
        </w:trPr>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SHARES</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176"/>
        </w:trPr>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BEING OFFERED</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4,545</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529"/>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560,777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bl>
    <w:p>
      <w:pPr>
        <w:sectPr>
          <w:pgSz w:w="11900" w:h="16880" w:orient="portrait"/>
          <w:cols w:equalWidth="0" w:num="2">
            <w:col w:w="7786" w:space="180"/>
            <w:col w:w="3400"/>
          </w:cols>
          <w:pgMar w:left="234" w:top="999" w:right="299" w:bottom="0" w:gutter="0" w:footer="0" w:header="0"/>
        </w:sectPr>
      </w:pPr>
    </w:p>
    <w:bookmarkStart w:id="25" w:name="page26"/>
    <w:bookmarkEnd w:id="25"/>
    <w:p>
      <w:pPr>
        <w:ind w:right="3359"/>
        <w:spacing w:after="0" w:line="250" w:lineRule="auto"/>
        <w:rPr>
          <w:sz w:val="20"/>
          <w:szCs w:val="20"/>
          <w:color w:val="auto"/>
        </w:rPr>
      </w:pPr>
      <w:r>
        <w:rPr>
          <w:rFonts w:ascii="Courier New" w:cs="Courier New" w:eastAsia="Courier New" w:hAnsi="Courier New"/>
          <w:sz w:val="15"/>
          <w:szCs w:val="15"/>
          <w:color w:val="auto"/>
        </w:rPr>
        <w:t>each significant shareholders of XACCT. In addition, Mr. Wagner served as Chairman of the Board of Directors and Executive Vice</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119"/>
          </w:cols>
          <w:pgMar w:left="1340" w:top="141" w:right="1440" w:bottom="1440" w:gutter="0" w:footer="0" w:header="0"/>
        </w:sectPr>
      </w:pPr>
    </w:p>
    <w:bookmarkStart w:id="26" w:name="page27"/>
    <w:bookmarkEnd w:id="26"/>
    <w:p>
      <w:pPr>
        <w:spacing w:after="0" w:line="42" w:lineRule="exact"/>
        <w:rPr>
          <w:sz w:val="20"/>
          <w:szCs w:val="20"/>
          <w:color w:val="auto"/>
        </w:rPr>
      </w:pPr>
    </w:p>
    <w:p>
      <w:pPr>
        <w:ind w:left="556" w:right="2899"/>
        <w:spacing w:after="0" w:line="249" w:lineRule="auto"/>
        <w:rPr>
          <w:sz w:val="20"/>
          <w:szCs w:val="20"/>
          <w:color w:val="auto"/>
        </w:rPr>
      </w:pPr>
      <w:r>
        <w:rPr>
          <w:rFonts w:ascii="Courier New" w:cs="Courier New" w:eastAsia="Courier New" w:hAnsi="Courier New"/>
          <w:sz w:val="15"/>
          <w:szCs w:val="15"/>
          <w:color w:val="auto"/>
        </w:rPr>
        <w:t>President-Technologies, Mr. Schweitzer served as Chief Technology Officer and a director, and Mr. Gries served as President and Chief Executive Officer. Each of these persons is currently employed by us or our affiliates. Each of these persons disclaims beneficial ownership of such shares except to the extent of his pecuniary interest therein.</w:t>
      </w:r>
    </w:p>
    <w:p>
      <w:pPr>
        <w:spacing w:after="0" w:line="176" w:lineRule="exact"/>
        <w:rPr>
          <w:sz w:val="20"/>
          <w:szCs w:val="20"/>
          <w:color w:val="auto"/>
        </w:rPr>
      </w:pPr>
    </w:p>
    <w:p>
      <w:pPr>
        <w:ind w:left="556" w:right="2899" w:hanging="556"/>
        <w:spacing w:after="0" w:line="248"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Information Associates-II, L.P. and IA-II Affiliates Fund, LLC is Trident Capital Management-II, LLC. Donald R. Dixon, Christopher P. Marshall, John H. Moragne, Robert C. McCormack, Bonnie N. Kennedy and Venetia Kontogouris are Managing Directors of Trident Capital Management-II, LLC and may be deemed to share voting power on behalf of Trident Capital Management-II, LLC. Each individual disclaims beneficial ownership of any shares held by Information Associates-II, L.P. and IA-II Affiliates Fund, LLC except to the extent of their pecuniary interest therein. In addition, Todd A. Springer is a former Managing Director of Trident Capital Management, L.L.C. and a former Managing Director and Member of IA-II Affiliates, L.L.C. Mr. Springer served as a director of XACCT from October 1998 until its acquisition. Mr. Springer disclaims beneficial ownership of such shares except to the extent of his pecuniary interest therein.</w:t>
      </w:r>
    </w:p>
    <w:p>
      <w:pPr>
        <w:spacing w:after="0" w:line="18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Eucalyptus Ventures Management LLC is the general partner of Eucalyptus Ventures L.P., Eucalyptus Ventures (Israel) L.P., Eucalyptus Ventures (Cayman), L.P. and Eucalyptus Ventures (Affiliated) L.P. (the "Eucalyptus Entities"). Eldad Tamir, Danny Fishman, Bruce Crocker and Aaron Mankovski are members of the investment committee of Eucalyptus Ventures Management LLC and may be deemed to share voting power over the ordinary shares held by the Eucalyptus Entities. Each individual disclaims beneficial ownership of any shares held by the Eucalyptus Entities except to the extent of their respective pecuniary interests.</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Q. Reynolds, Jr. is a non-managing Member of Technology Crossover Management III, L.L.C. which is the Managing General Partner of TCV III (GP) and the sole General Partner of TCV III, L.P., TCV III (Q), L.P. and TCV III Strategic Partners, L.P. He is also a non-managing Member of Technology Crossover Management IV, L.L.C. which is the sole General Partner of TCV IV, L.P. and TCV IV Strategic Partners, L.P. Mr. Reynolds was a director of XACCT from October 1999 until its acquisition. Mr. Reynolds disclaims beneficial ownership of such shares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Deutsche Bank AG, London Branch is an affiliate of a registered-broker dealer and may be deemed to be an underwriter. The ordinary shares were acquired in the ordinary course of the selling shareholder's investment business and not for the purpose of resale or distribution. Deutsche Bank AG, London Branch has not participated in the distribution of the shares on behalf of the issuer. Deutsche Bank AG, the shares of which are traded on the New York Stock Exchange, is widely held and a reporting company under the Exchange Act.</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NAIC-IT, LLC is the managing member of Globe LinQ International Fund I, LLC. Shinichi G. Kawaratani is the President of NAIC-IT, LLC and, by virute of his position, may be deemed to hold voting and dispositive power over the ordinary shares. Mr. Kawaratani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Atsushi Numa is the Chief Executive Officer of Infocom Corporation and, by virtue of his position, may be deemed to have voting and dispositive power over the ordinary shares. Mr. Numa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jc w:val="both"/>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 Microsystems, Inc., the shares of which are traded on the Nasdaq National Market, is widely held and is a reporting company under the Exchange Act.</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Ventures L.P. is a wholly-owned subsidiary of Dell Inc. Dell Inc., the shares of which are traded on the Nasdaq National Market, is widely held and is a reporting company under the Exchange Act.</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Sage Capital Ltd. is the investment manager of Old Point International Corporation. Daniel Golan is the Chief Executive Officer of Sage Capital Ltd. and, by virtue of his position, may be deemed to have voting and dispositive power over the ordinary shares. Mr. Golan disclaims beneficial ownership of any shares held by Old Point International Corporation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Suisse First Boston Venture Fund I, L.P. is an affiliate of a registered-broker dealer and may be deemed to be an underwriter. The ordinary shares were acquired in the ordinary course of the selling shareholder's investment business and not for the purpose of resale or distribution. Credit Suisse First Boston Venture Fund I, L.P. has not participated in the distribution of the shares on behalf of the issuer. The beneficial owner of the ordinary shares is CSFB</w:t>
      </w:r>
    </w:p>
    <w:p>
      <w:pPr>
        <w:sectPr>
          <w:pgSz w:w="11900" w:h="16880" w:orient="portrait"/>
          <w:cols w:equalWidth="0" w:num="1">
            <w:col w:w="9676"/>
          </w:cols>
          <w:pgMar w:left="784" w:top="647" w:right="1440" w:bottom="0" w:gutter="0" w:footer="0" w:header="0"/>
        </w:sectPr>
      </w:pPr>
    </w:p>
    <w:bookmarkStart w:id="27" w:name="page28"/>
    <w:bookmarkEnd w:id="27"/>
    <w:p>
      <w:pPr>
        <w:ind w:left="556" w:right="2899"/>
        <w:spacing w:after="0" w:line="249" w:lineRule="auto"/>
        <w:rPr>
          <w:sz w:val="20"/>
          <w:szCs w:val="20"/>
          <w:color w:val="auto"/>
        </w:rPr>
      </w:pPr>
      <w:r>
        <w:rPr>
          <w:rFonts w:ascii="Courier New" w:cs="Courier New" w:eastAsia="Courier New" w:hAnsi="Courier New"/>
          <w:sz w:val="15"/>
          <w:szCs w:val="15"/>
          <w:color w:val="auto"/>
        </w:rPr>
        <w:t>Technology Holdings 2000, LLC. George F. Boutros and William J.B. Brady, III, each a managing director at Credit Suisse First Boston LLC, are co-presidents of CSFB Technology Holdings 2000, LLC and may be deemed to share voting and dispositive power over the ordinary share. Each individual disclaims beneficial ownership except to the extent of his pecuniary interest therein.</w:t>
      </w:r>
    </w:p>
    <w:p>
      <w:pPr>
        <w:spacing w:after="0" w:line="176" w:lineRule="exact"/>
        <w:rPr>
          <w:sz w:val="20"/>
          <w:szCs w:val="20"/>
          <w:color w:val="auto"/>
        </w:rPr>
      </w:pPr>
    </w:p>
    <w:p>
      <w:pPr>
        <w:ind w:left="556" w:right="2899" w:hanging="556"/>
        <w:spacing w:after="0" w:line="249" w:lineRule="auto"/>
        <w:tabs>
          <w:tab w:leader="none" w:pos="55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Tad W. Piper is affiliated with a registered broker-dealer and may be deemed to be an underwriter. The ordinary shares were acquired by the selling shareholder for investment purposes and not for the purpose of resale or distribution. Mr. Piper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Hambrecht &amp; Quist California and Hambrecht &amp; Quist Employee Venture Fund 2000, LP are affiliates of a registered-broker dealer, J.P. Morgan Securities Inc., and may be deemed to be underwriters. The ordinary shares were acquired in the ordinary course of the selling shareholders' investment business and not for the purpose of resale or distribution. Hambrecht &amp; Quist California and Hambrecht &amp; Quist Employee Venture Fund 2000, LP have not participated in the distribution of the shares on behalf of the issuer. Hambrecht &amp;</w:t>
      </w:r>
    </w:p>
    <w:p>
      <w:pPr>
        <w:spacing w:after="0" w:line="175" w:lineRule="exact"/>
        <w:rPr>
          <w:sz w:val="20"/>
          <w:szCs w:val="20"/>
          <w:color w:val="auto"/>
        </w:rPr>
      </w:pPr>
    </w:p>
    <w:p>
      <w:pPr>
        <w:ind w:left="301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676"/>
          </w:cols>
          <w:pgMar w:left="784" w:top="142" w:right="1440" w:bottom="1440" w:gutter="0" w:footer="0" w:header="0"/>
        </w:sectPr>
      </w:pPr>
    </w:p>
    <w:bookmarkStart w:id="28" w:name="page29"/>
    <w:bookmarkEnd w:id="28"/>
    <w:p>
      <w:pPr>
        <w:ind w:left="1100" w:right="2899"/>
        <w:spacing w:after="0" w:line="249" w:lineRule="auto"/>
        <w:rPr>
          <w:sz w:val="20"/>
          <w:szCs w:val="20"/>
          <w:color w:val="auto"/>
        </w:rPr>
      </w:pPr>
      <w:r>
        <w:rPr>
          <w:rFonts w:ascii="Courier New" w:cs="Courier New" w:eastAsia="Courier New" w:hAnsi="Courier New"/>
          <w:sz w:val="15"/>
          <w:szCs w:val="15"/>
          <w:color w:val="auto"/>
        </w:rPr>
        <w:t>Quist Employee Venture Fund 2000, LP is a limited partnership whose general partner is H&amp;Q Venture Management LLC, a wholly owned entity of Hambrecht &amp; Quist California. Hambrecht &amp; Quist California is a wholly owned entity of J.P. Morgan Chase &amp; Co, the shares of which are traded on the New York Stock Exchange. J.P. Morgan Chase &amp; Co is widely held and is a reporting company under the Exchange Act.</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Zanoli is affiliated with a registered broker-dealer and may be deemed to be an underwriter. The ordinary shares were acquired by the selling shareholder for investment purposes and not for the purpose of resale or distribution. Mr. Zanoli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Erez Levy is affiliated with a registered broker-dealer and may be deemed to be an underwriter. The ordinary shares were acquired by the selling shareholder for investment purposes and not for the purpose of resale or distribution. Mr. Levy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Plenus Venture Lending Fund is Plenus Technology Ltd. Aharon Dovrat, Shlomo Dovrat, Oded Exelrod, Edna Peres Lahish, Arie Savir, Moti Weiss and Ruth Simha are members of the investment committee of Plenus Technology Ltd. and may be deemed to share voting or dispositive power over the ordinary shares held by Plenus Venture Lending Fund. Each individual disclaims beneficial ownership of any shares held by Plenus Venture Lending Fund except to the extent of his or her pecuniary interest therein.</w:t>
      </w:r>
    </w:p>
    <w:p>
      <w:pPr>
        <w:spacing w:after="0" w:line="35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Except as noted above, none of the selling securityholders has held any position or office with, or has otherwise had a material relationship with, us or any of our subsidiaries within the past three years. In addition, to the Company's knowledge, based on information provided by or on behalf of the selling securityholders that are affiliates of registered broker-dealers, at the time of the purchase of the securities to be resold, such sellers had no agreements, plans or understandings, directly or indirectly, with any person to distribute the securities.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9" w:name="page30"/>
    <w:bookmarkEnd w:id="29"/>
    <w:p>
      <w:pPr>
        <w:ind w:left="2380"/>
        <w:spacing w:after="0"/>
        <w:rPr>
          <w:sz w:val="20"/>
          <w:szCs w:val="20"/>
          <w:color w:val="auto"/>
        </w:rPr>
      </w:pPr>
      <w:r>
        <w:rPr>
          <w:rFonts w:ascii="Courier New" w:cs="Courier New" w:eastAsia="Courier New" w:hAnsi="Courier New"/>
          <w:sz w:val="15"/>
          <w:szCs w:val="15"/>
          <w:color w:val="auto"/>
        </w:rPr>
        <w:t>DESCRIPTION OF SHARE CAPITAL</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35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August 31, 2004, 207,183,394 ordinary shares were outstanding (net of treasury shares) and no non-voting ordinary shares or preferred shares were outstanding. The rights, preferences and restrictions attaching to each class of the shares are as follows:</w:t>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SHARES</w:t>
      </w:r>
    </w:p>
    <w:p>
      <w:pPr>
        <w:spacing w:after="0" w:line="182" w:lineRule="exact"/>
        <w:rPr>
          <w:sz w:val="20"/>
          <w:szCs w:val="20"/>
          <w:color w:val="auto"/>
        </w:rPr>
      </w:pPr>
    </w:p>
    <w:p>
      <w:pPr>
        <w:ind w:left="1100" w:right="2899" w:hanging="556"/>
        <w:spacing w:after="0" w:line="250"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 the preferred shares may be issued from time to time in one or more series of any number of shares up to the amount authorized.</w:t>
      </w:r>
    </w:p>
    <w:p>
      <w:pPr>
        <w:spacing w:after="0" w:line="174"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30" w:name="page31"/>
    <w:bookmarkEnd w:id="30"/>
    <w:p>
      <w:pPr>
        <w:ind w:left="556" w:right="2979" w:hanging="556"/>
        <w:spacing w:after="0" w:line="249"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75" w:lineRule="exact"/>
        <w:rPr>
          <w:rFonts w:ascii="Courier New" w:cs="Courier New" w:eastAsia="Courier New" w:hAnsi="Courier New"/>
          <w:sz w:val="15"/>
          <w:szCs w:val="15"/>
          <w:color w:val="auto"/>
        </w:rPr>
      </w:pPr>
    </w:p>
    <w:p>
      <w:pPr>
        <w:ind w:left="556" w:right="2899" w:hanging="556"/>
        <w:spacing w:after="0" w:line="250"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349"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176" w:lineRule="exact"/>
        <w:rPr>
          <w:sz w:val="20"/>
          <w:szCs w:val="20"/>
          <w:color w:val="auto"/>
        </w:rPr>
      </w:pPr>
    </w:p>
    <w:p>
      <w:pPr>
        <w:ind w:left="301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676"/>
          </w:cols>
          <w:pgMar w:left="784" w:top="647" w:right="1440" w:bottom="1440" w:gutter="0" w:footer="0" w:header="0"/>
        </w:sectPr>
      </w:pPr>
    </w:p>
    <w:bookmarkStart w:id="31" w:name="page32"/>
    <w:bookmarkEnd w:id="31"/>
    <w:p>
      <w:pPr>
        <w:ind w:left="1180"/>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following discussion is a summary of the material differences between United States and Guernsey corporate law relevant to an investment in the ordinary shares. The following discussion is based upon laws and relevant interpretations thereof in effect as of the date hereof, all of which are subject to change.</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6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7" w:right="1440" w:bottom="1440" w:gutter="0" w:footer="0" w:header="0"/>
        </w:sectPr>
      </w:pPr>
    </w:p>
    <w:bookmarkStart w:id="32" w:name="page33"/>
    <w:bookmarkEnd w:id="32"/>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selling securityholders may offer and sell the ordinary shares covered by this prospectus from time to time.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ordinary shares by one or more of, or a combination of, the following methods:</w:t>
      </w:r>
    </w:p>
    <w:p>
      <w:pPr>
        <w:spacing w:after="0" w:line="352" w:lineRule="exact"/>
        <w:rPr>
          <w:sz w:val="20"/>
          <w:szCs w:val="20"/>
          <w:color w:val="auto"/>
        </w:rPr>
      </w:pPr>
    </w:p>
    <w:p>
      <w:pPr>
        <w:ind w:left="1100" w:right="3439" w:hanging="556"/>
        <w:spacing w:after="0" w:line="250"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U.S. inter-dealer system of a registered national securities association on which our ordinary shares may be listed or quoted at the time of sale;</w:t>
      </w:r>
    </w:p>
    <w:p>
      <w:pPr>
        <w:spacing w:after="0" w:line="175"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2"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In addition, the selling securityholders may sell any shares that qualify for sale under Rule 144 rather than pursuant to this prospectus.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In connection with distributions of the ordinary shares covered by this prospectus or otherwise, the selling securityholders may enter into hedging transactions with broker-dealers or other financial institutions. In connection with such transactions, broker-dealers or other financial institutions may engage in short sales of the ordinary shares in the course of hedging the positions they assume with selling securityholders. The selling securityholders may also sell ordinary shares short and deliver the shares offered by this prospectus to close out such short positions. The selling securityholders may also enter into option or other transactions with broker-dealers or other financial institutions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offering the ordinary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treated as underwriting discounts and commissions.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Our ordinary shares are listed on the New York Stock Exchange.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7" w:right="1440" w:bottom="1440" w:gutter="0" w:footer="0" w:header="0"/>
        </w:sectPr>
      </w:pPr>
    </w:p>
    <w:bookmarkStart w:id="33" w:name="page34"/>
    <w:bookmarkEnd w:id="33"/>
    <w:p>
      <w:pPr>
        <w:ind w:left="6" w:right="2899" w:firstLine="550"/>
        <w:spacing w:after="0" w:line="249" w:lineRule="auto"/>
        <w:rPr>
          <w:sz w:val="20"/>
          <w:szCs w:val="20"/>
          <w:color w:val="auto"/>
        </w:rPr>
      </w:pPr>
      <w:r>
        <w:rPr>
          <w:rFonts w:ascii="Courier New" w:cs="Courier New" w:eastAsia="Courier New" w:hAnsi="Courier New"/>
          <w:sz w:val="15"/>
          <w:szCs w:val="15"/>
          <w:color w:val="auto"/>
        </w:rPr>
        <w:t>In order to comply with the securities laws of some states, the selling securityholders may be required to sell their shares in such jurisdictions only through registered or licensed brokers or dealers. In addition, some states may restrict the selling securityholders from selling their shares unless the shares have been registered or qualified for sale in the applicable state or an exemption from the registration or qualification requirement is available and is complied with.</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NYSE pursuant to Rule 153 under the Securities Act. The selling securityholders may indemnify any broker-dealer that participates in transactions involving the sale of the shares against certain liabilities, including liabilities arising under the Securities Act.</w:t>
      </w:r>
    </w:p>
    <w:p>
      <w:pPr>
        <w:spacing w:after="0" w:line="175"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At the time a particular offer of shares is made, if required, we will distribute a prospectus supplement that will set forth the number of ordinary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351"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In addition, upon receiving notice from a selling securityholder that a donee, pledgee or transferee or other successor-in-interest intends to sell ordinary shares covered by this prospectus, we will file a supplement to this prospectus pursuant to Rule 424(b) under the Securities Act to identify the transferee.</w:t>
      </w:r>
    </w:p>
    <w:p>
      <w:pPr>
        <w:spacing w:after="0" w:line="352" w:lineRule="exact"/>
        <w:rPr>
          <w:sz w:val="20"/>
          <w:szCs w:val="20"/>
          <w:color w:val="auto"/>
        </w:rPr>
      </w:pPr>
    </w:p>
    <w:p>
      <w:pPr>
        <w:ind w:left="6" w:right="3179" w:firstLine="550"/>
        <w:spacing w:after="0" w:line="250" w:lineRule="auto"/>
        <w:rPr>
          <w:sz w:val="20"/>
          <w:szCs w:val="20"/>
          <w:color w:val="auto"/>
        </w:rPr>
      </w:pPr>
      <w:r>
        <w:rPr>
          <w:rFonts w:ascii="Courier New" w:cs="Courier New" w:eastAsia="Courier New" w:hAnsi="Courier New"/>
          <w:sz w:val="15"/>
          <w:szCs w:val="15"/>
          <w:color w:val="auto"/>
        </w:rPr>
        <w:t>We have agreed to indemnify the selling securityholders against certain liabilities, including certain liabilities under the Securities Act.</w:t>
      </w:r>
    </w:p>
    <w:p>
      <w:pPr>
        <w:spacing w:after="0" w:line="175" w:lineRule="exact"/>
        <w:rPr>
          <w:sz w:val="20"/>
          <w:szCs w:val="20"/>
          <w:color w:val="auto"/>
        </w:rPr>
      </w:pPr>
    </w:p>
    <w:p>
      <w:pPr>
        <w:ind w:left="6" w:right="2979" w:firstLine="550"/>
        <w:spacing w:after="0" w:line="248" w:lineRule="auto"/>
        <w:rPr>
          <w:sz w:val="20"/>
          <w:szCs w:val="20"/>
          <w:color w:val="auto"/>
        </w:rPr>
      </w:pPr>
      <w:r>
        <w:rPr>
          <w:rFonts w:ascii="Courier New" w:cs="Courier New" w:eastAsia="Courier New" w:hAnsi="Courier New"/>
          <w:sz w:val="15"/>
          <w:szCs w:val="15"/>
          <w:color w:val="auto"/>
        </w:rPr>
        <w:t>We have agreed with the selling securityholders to keep the Registration Statement of which this prospectus constitutes a part effective until the earliest to occur of (1) the date on which all of the shares being offered hereby have been sold pursuant to the Registration Statement of which this prospectus constitutes a part or pursuant to Rule 144 under the Securities Act,</w:t>
      </w:r>
    </w:p>
    <w:p>
      <w:pPr>
        <w:spacing w:after="0" w:line="3" w:lineRule="exact"/>
        <w:rPr>
          <w:sz w:val="20"/>
          <w:szCs w:val="20"/>
          <w:color w:val="auto"/>
        </w:rPr>
      </w:pPr>
    </w:p>
    <w:p>
      <w:pPr>
        <w:ind w:left="6" w:right="2899" w:hanging="6"/>
        <w:spacing w:after="0" w:line="249" w:lineRule="auto"/>
        <w:tabs>
          <w:tab w:leader="none" w:pos="3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of the shares being offered hereby can be sold without registration without regard to the volume restrictions of Rule 144 under the Securities Act and (3) February 19, 2006.</w:t>
      </w:r>
    </w:p>
    <w:p>
      <w:pPr>
        <w:spacing w:after="0" w:line="176"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left="6" w:right="2899" w:firstLine="550"/>
        <w:spacing w:after="0" w:line="250"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Olsen, Island of Guernsey.</w:t>
      </w:r>
    </w:p>
    <w:p>
      <w:pPr>
        <w:spacing w:after="0" w:line="175"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647" w:right="1440" w:bottom="1440" w:gutter="0" w:footer="0" w:header="0"/>
        </w:sectPr>
      </w:pPr>
    </w:p>
    <w:bookmarkStart w:id="34" w:name="page35"/>
    <w:bookmarkEnd w:id="34"/>
    <w:p>
      <w:pPr>
        <w:ind w:left="2106"/>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76" w:lineRule="exact"/>
        <w:rPr>
          <w:sz w:val="20"/>
          <w:szCs w:val="20"/>
          <w:color w:val="auto"/>
        </w:rPr>
      </w:pPr>
    </w:p>
    <w:p>
      <w:pPr>
        <w:ind w:left="6" w:right="3079" w:firstLine="550"/>
        <w:spacing w:after="0" w:line="249" w:lineRule="auto"/>
        <w:rPr>
          <w:sz w:val="20"/>
          <w:szCs w:val="20"/>
          <w:color w:val="auto"/>
        </w:rPr>
      </w:pPr>
      <w:r>
        <w:rPr>
          <w:rFonts w:ascii="Courier New" w:cs="Courier New" w:eastAsia="Courier New" w:hAnsi="Courier New"/>
          <w:sz w:val="15"/>
          <w:szCs w:val="15"/>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76"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76" w:lineRule="exact"/>
        <w:rPr>
          <w:sz w:val="20"/>
          <w:szCs w:val="20"/>
          <w:color w:val="auto"/>
        </w:rPr>
      </w:pPr>
    </w:p>
    <w:p>
      <w:pPr>
        <w:jc w:val="both"/>
        <w:ind w:left="6" w:right="2979" w:firstLine="550"/>
        <w:spacing w:after="0" w:line="249" w:lineRule="auto"/>
        <w:rPr>
          <w:sz w:val="20"/>
          <w:szCs w:val="20"/>
          <w:color w:val="auto"/>
        </w:rPr>
      </w:pPr>
      <w:r>
        <w:rPr>
          <w:rFonts w:ascii="Courier New" w:cs="Courier New" w:eastAsia="Courier New" w:hAnsi="Courier New"/>
          <w:sz w:val="15"/>
          <w:szCs w:val="15"/>
          <w:color w:val="auto"/>
        </w:rPr>
        <w:t>In order for the Royal Court of Guernsey to entertain an action to sue on a foreign judgment, it is expected that the following criteria would have to be met:</w:t>
      </w:r>
    </w:p>
    <w:p>
      <w:pPr>
        <w:spacing w:after="0" w:line="176" w:lineRule="exact"/>
        <w:rPr>
          <w:sz w:val="20"/>
          <w:szCs w:val="20"/>
          <w:color w:val="auto"/>
        </w:rPr>
      </w:pPr>
    </w:p>
    <w:p>
      <w:pPr>
        <w:ind w:left="546" w:right="2899" w:hanging="546"/>
        <w:spacing w:after="0" w:line="249" w:lineRule="auto"/>
        <w:tabs>
          <w:tab w:leader="none" w:pos="5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court is recognized by the Royal Court of Guernsey as having jurisdiction to determine the dispute. It is likely that such jurisdiction will be recognized in the following circumstances:</w:t>
      </w:r>
    </w:p>
    <w:p>
      <w:pPr>
        <w:spacing w:after="0" w:line="175" w:lineRule="exact"/>
        <w:rPr>
          <w:rFonts w:ascii="Courier New" w:cs="Courier New" w:eastAsia="Courier New" w:hAnsi="Courier New"/>
          <w:sz w:val="15"/>
          <w:szCs w:val="15"/>
          <w:color w:val="auto"/>
        </w:rPr>
      </w:pPr>
    </w:p>
    <w:p>
      <w:pPr>
        <w:ind w:left="546" w:right="2979" w:hanging="363"/>
        <w:spacing w:after="0" w:line="250" w:lineRule="auto"/>
        <w:tabs>
          <w:tab w:leader="none" w:pos="54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present in the foreign country at the time the foreign proceedings were instituted;</w:t>
      </w:r>
    </w:p>
    <w:p>
      <w:pPr>
        <w:spacing w:after="0" w:line="174" w:lineRule="exact"/>
        <w:rPr>
          <w:rFonts w:ascii="Courier New" w:cs="Courier New" w:eastAsia="Courier New" w:hAnsi="Courier New"/>
          <w:sz w:val="15"/>
          <w:szCs w:val="15"/>
          <w:color w:val="auto"/>
        </w:rPr>
      </w:pPr>
    </w:p>
    <w:p>
      <w:pPr>
        <w:ind w:left="546" w:right="2979" w:hanging="363"/>
        <w:spacing w:after="0" w:line="250" w:lineRule="auto"/>
        <w:tabs>
          <w:tab w:leader="none" w:pos="54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claimant or counterclaimant in the proceedings in the foreign court;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647" w:right="1440" w:bottom="1440" w:gutter="0" w:footer="0" w:header="0"/>
        </w:sectPr>
      </w:pPr>
    </w:p>
    <w:bookmarkStart w:id="35" w:name="page36"/>
    <w:bookmarkEnd w:id="35"/>
    <w:p>
      <w:pPr>
        <w:ind w:left="546" w:right="2979" w:hanging="363"/>
        <w:spacing w:after="0" w:line="249" w:lineRule="auto"/>
        <w:tabs>
          <w:tab w:leader="none" w:pos="5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foreign court, submitted to the jurisdiction of that court by voluntarily appearing in the proceedings; or</w:t>
      </w:r>
    </w:p>
    <w:p>
      <w:pPr>
        <w:spacing w:after="0" w:line="175" w:lineRule="exact"/>
        <w:rPr>
          <w:rFonts w:ascii="Courier New" w:cs="Courier New" w:eastAsia="Courier New" w:hAnsi="Courier New"/>
          <w:sz w:val="15"/>
          <w:szCs w:val="15"/>
          <w:color w:val="auto"/>
        </w:rPr>
      </w:pPr>
    </w:p>
    <w:p>
      <w:pPr>
        <w:ind w:left="546" w:right="3179" w:hanging="363"/>
        <w:spacing w:after="0" w:line="249" w:lineRule="auto"/>
        <w:tabs>
          <w:tab w:leader="none" w:pos="5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75"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must be final and conclusive on the merits and is for a definite sum of money, other than a sum in respect of taxes, fines or other penalties.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647" w:right="1440" w:bottom="1440" w:gutter="0" w:footer="0" w:header="0"/>
        </w:sectPr>
      </w:pPr>
    </w:p>
    <w:bookmarkStart w:id="36" w:name="page37"/>
    <w:bookmarkEnd w:id="36"/>
    <w:p>
      <w:pPr>
        <w:jc w:val="center"/>
        <w:ind w:right="2813"/>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left="6" w:right="2979" w:firstLine="550"/>
        <w:spacing w:after="0" w:line="249" w:lineRule="auto"/>
        <w:rPr>
          <w:sz w:val="20"/>
          <w:szCs w:val="20"/>
          <w:color w:val="auto"/>
        </w:rPr>
      </w:pPr>
      <w:r>
        <w:rPr>
          <w:rFonts w:ascii="Courier New" w:cs="Courier New" w:eastAsia="Courier New" w:hAnsi="Courier New"/>
          <w:sz w:val="15"/>
          <w:szCs w:val="15"/>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75" w:lineRule="exact"/>
        <w:rPr>
          <w:sz w:val="20"/>
          <w:szCs w:val="20"/>
          <w:color w:val="auto"/>
        </w:rPr>
      </w:pPr>
    </w:p>
    <w:p>
      <w:pPr>
        <w:ind w:left="1106" w:right="3079" w:hanging="556"/>
        <w:spacing w:after="0" w:line="250"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September 30, 2003, filed on December 24, 2003;</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9" w:lineRule="exact"/>
        <w:rPr>
          <w:rFonts w:ascii="Courier New" w:cs="Courier New" w:eastAsia="Courier New" w:hAnsi="Courier New"/>
          <w:sz w:val="15"/>
          <w:szCs w:val="15"/>
          <w:color w:val="auto"/>
        </w:rPr>
      </w:pPr>
    </w:p>
    <w:p>
      <w:pPr>
        <w:ind w:left="1106" w:right="3259" w:hanging="556"/>
        <w:spacing w:after="0" w:line="249"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on Form 6-K with respect to our offering of 0.50% Convertible Senior Notes due 2024, filed on March 1, March 2 and March 5, 2004; and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0" w:lineRule="exact"/>
        <w:rPr>
          <w:rFonts w:ascii="Courier New" w:cs="Courier New" w:eastAsia="Courier New" w:hAnsi="Courier New"/>
          <w:sz w:val="15"/>
          <w:szCs w:val="15"/>
          <w:color w:val="auto"/>
        </w:rPr>
      </w:pPr>
    </w:p>
    <w:p>
      <w:pPr>
        <w:ind w:left="1106" w:right="2899" w:hanging="556"/>
        <w:spacing w:after="0" w:line="249"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Exchange Act, including any amendment or report updating this description.</w:t>
      </w:r>
    </w:p>
    <w:p>
      <w:pPr>
        <w:spacing w:after="0" w:line="176" w:lineRule="exact"/>
        <w:rPr>
          <w:sz w:val="20"/>
          <w:szCs w:val="20"/>
          <w:color w:val="auto"/>
        </w:rPr>
      </w:pPr>
    </w:p>
    <w:p>
      <w:pPr>
        <w:ind w:left="6" w:right="3179" w:firstLine="550"/>
        <w:spacing w:after="0" w:line="248" w:lineRule="auto"/>
        <w:rPr>
          <w:sz w:val="20"/>
          <w:szCs w:val="20"/>
          <w:color w:val="auto"/>
        </w:rPr>
      </w:pPr>
      <w:r>
        <w:rPr>
          <w:rFonts w:ascii="Courier New" w:cs="Courier New" w:eastAsia="Courier New" w:hAnsi="Courier New"/>
          <w:sz w:val="15"/>
          <w:szCs w:val="15"/>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left="6" w:right="2899" w:hanging="6"/>
        <w:spacing w:after="0" w:line="250" w:lineRule="auto"/>
        <w:tabs>
          <w:tab w:leader="none" w:pos="3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subsequently filed document that is incorporated by reference into this prospectus modifies or supersedes such statement.</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5"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4" w:top="647" w:right="1440" w:bottom="1440" w:gutter="0" w:footer="0" w:header="0"/>
        </w:sectPr>
      </w:pPr>
    </w:p>
    <w:bookmarkStart w:id="37" w:name="page38"/>
    <w:bookmarkEnd w:id="37"/>
    <w:p>
      <w:pPr>
        <w:ind w:left="8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twelve months ended September 30, 2003, gives effect to the acquisition from Bell Canada of its 90% ownership interest in Certen Inc., which we refer to as Certen, which closed on July 2, 2003, as if it had occurred on October 1, 2002.</w:t>
      </w:r>
    </w:p>
    <w:p>
      <w:pPr>
        <w:spacing w:after="0" w:line="176"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based upon, and should be read in conjunction with, (i) our historical audited financial statements for the year ended September 30, 2003, (ii) the historical audited financial statements of Certen for the year ended December 31, 2002 (together with the reconciliation to U.S. GAAP), and (iii) the historical unaudited financial statements of Certen for the six months ended June 30, 2003 (together with the reconciliation to U.S. GAAP).</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historical financial statements of Certen have been prepared in accordance with Canadian GAAP. For the purpose of presenting the unaudited pro forma condensed consolidated financial statements, financial statements relating to Certen have been adjusted to conform with accounting policies under U.S. GAAP. In addition, the historical financial information of Certen has been presented in accordance with Amdocs' fiscal year.</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The historical financial statements of Certen were presented in Canadian dollars. For the purpose of presenting the unaudited pro forma condensed consolidated statements, the adjusted income statements of Certen for the nine months ended June 30, 2003 have been translated into U.S. dollars using the average Canadian dollar/U.S. dollar exchange rates for the period presented as listed on Bloomberg. The average Canadian dollar/U.S. dollar exchange rate was 1.493 for the nine months ended June 30, 2003.</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pro forma financial information has been prepared to provide an analysis of the financial effects of the acquisition of Certen for purposes of illustration only. The pro forma financial information is not intended to be a projection of future results and is not necessarily indicative of the results that would have occurred if the business combination had been in effect on the period presented.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38" w:name="page39"/>
    <w:bookmarkEnd w:id="38"/>
    <w:p>
      <w:pPr>
        <w:jc w:val="center"/>
        <w:ind w:right="4114"/>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6"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FOR THE TWELVE MONTHS ENDED SEPTEMBER 30, 2003</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AMDOCS</w:t>
            </w:r>
          </w:p>
        </w:tc>
        <w:tc>
          <w:tcPr>
            <w:tcW w:w="320" w:type="dxa"/>
            <w:vAlign w:val="bottom"/>
          </w:tcPr>
          <w:p>
            <w:pPr>
              <w:spacing w:after="0"/>
              <w:rPr>
                <w:sz w:val="14"/>
                <w:szCs w:val="14"/>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CERTEN</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518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HISTORICAL</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54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CONSOLIDATED</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U.S. GAAP</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U.S. GAAP (*)</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U.S. GAAP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U.S. GAAP</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$1,483,327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226,579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(87,949)</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$ 1,621,957</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913,359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214,437</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(27,767)</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(35,196)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1,064,833</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24"/>
                <w:szCs w:val="24"/>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119,256</w:t>
            </w:r>
          </w:p>
        </w:tc>
        <w:tc>
          <w:tcPr>
            <w:tcW w:w="32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206,265</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8,333</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19,940</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3,738</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23,678</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Restructuring charges and other........................</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14,089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(4,133)</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1,272,909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222,824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(63,358)</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1,432,375</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210,418</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3,755</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(24,591)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189,582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income (expense) and other, net...............</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14,759</w:t>
            </w:r>
          </w:p>
        </w:tc>
        <w:tc>
          <w:tcPr>
            <w:tcW w:w="32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(311)</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(1,314)</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11,979</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(1,931)</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225,177</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3,444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(27,060)</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201,561</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56,294</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2,322</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(8,226)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50,390</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168,883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1,122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(18,834)</w:t>
            </w: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151,171</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0.78</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0.70</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0.77</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0.69</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215,849</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215,849</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219,876</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219,876</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546" w:right="4120" w:hanging="546"/>
        <w:spacing w:after="0" w:line="249" w:lineRule="auto"/>
        <w:tabs>
          <w:tab w:leader="none" w:pos="5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Certen historical U.S. GAAP statement reflects Certen's results for the nine months ended June 30, 2003. Certen's results for the period from July 1, 2003 to September 30, 2003 are included and consolidated in the historical consolidated financial statement column.</w:t>
      </w:r>
    </w:p>
    <w:p>
      <w:pPr>
        <w:spacing w:after="0" w:line="17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See Notes to Unaudited Pro Forma Condensed Consolidated Financial</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Statements for discussion of adjustments.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446"/>
          </w:cols>
          <w:pgMar w:left="234" w:top="647" w:right="219" w:bottom="1440" w:gutter="0" w:footer="0" w:header="0"/>
        </w:sectPr>
      </w:pPr>
    </w:p>
    <w:bookmarkStart w:id="39" w:name="page40"/>
    <w:bookmarkEnd w:id="39"/>
    <w:p>
      <w:pPr>
        <w:jc w:val="center"/>
        <w:ind w:right="2893"/>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2" w:lineRule="exact"/>
        <w:rPr>
          <w:sz w:val="20"/>
          <w:szCs w:val="20"/>
          <w:color w:val="auto"/>
        </w:rPr>
      </w:pPr>
    </w:p>
    <w:p>
      <w:pPr>
        <w:ind w:left="546" w:right="2899" w:hanging="546"/>
        <w:spacing w:after="0" w:line="249" w:lineRule="auto"/>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 2003, Amdocs acquired from Bell Canada its 90% ownership interest in Certen for approximately U.S. $66 million in cash, pursuant to an Acquisition Agreement, dated as of May 28, 2003. Amdocs and Bell Canada formed Certen, which commenced operations in January 2001, to provide customer care and billing solutions to Bell Canada and a number of Bell Canada's affiliated companies. Prior to the acquisition of Certen, Bell Canada's ownership interest in Certen was 90% and Amdocs owned the remainder. Accordingly, Certen's operations are included in the historical results of Amdocs from July 2, 2003. Since Certen's inception, Amdocs has provided customer care and billing software required by Certen, including related customization, installation, maintenance and other services.</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acquisition of Certen, Amdocs accounted for the investment in Certen under the cost method for its 10% ownership. In the fourth quarter of 2003, Amdocs recognized the cumulative effect of its 10% interest in Certen prior to the acquisition of Certen. The cumulative effect is a loss of $4,133.</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Certen increased the amount of goodwill on the Company's consolidated financial statements by approximately $102,830, an increase of 14% from September 30, 2002. In addition to goodwill, approximately $36,385 of the purchase price was allocated to an intangible for a customer arrangement and approximately $74,307 was allocated to deferred income taxes.</w:t>
      </w:r>
    </w:p>
    <w:p>
      <w:pPr>
        <w:spacing w:after="0" w:line="175"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the revised preliminary allocation of the purchase price:</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Purchase price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65,887</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Estimated transaction costs</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Total purchase price</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70,887</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Write-off of deferred revenue and allowance on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books, net of tax</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amount for purchase price allocation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37,221</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90% of tangible assets acquired, net of capitalized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system on Certen's books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80,929</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90% of liabilities assumed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(241,760)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(160,831)</w:t>
            </w:r>
          </w:p>
        </w:tc>
      </w:tr>
      <w:tr>
        <w:trPr>
          <w:trHeight w:val="35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Customer arrangement</w:t>
            </w:r>
          </w:p>
        </w:tc>
        <w:tc>
          <w:tcPr>
            <w:tcW w:w="4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36,385</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Adjustment to fair value of pension and other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post-employment benefit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(10,534)</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EITF 95-3 and other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Deferred taxes, resulting from the difference between the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assigned value of certain assets and liabilities and</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their respective tax bases</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74,307</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fair value of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(65,609)</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102,830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37,221</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5860" w:type="dxa"/>
            <w:vAlign w:val="bottom"/>
          </w:tcPr>
          <w:p>
            <w:pPr>
              <w:ind w:left="3560"/>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40" w:name="page41"/>
    <w:bookmarkEnd w:id="40"/>
    <w:p>
      <w:pPr>
        <w:ind w:left="546" w:right="29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revenue to Amdocs attributable to license and services provided to Certen.</w:t>
      </w:r>
    </w:p>
    <w:p>
      <w:pPr>
        <w:spacing w:after="0" w:line="174"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expenses incurred by Certen attributable to Amdocs services that were not capitalized.</w:t>
      </w:r>
    </w:p>
    <w:p>
      <w:pPr>
        <w:spacing w:after="0" w:line="174" w:lineRule="exact"/>
        <w:rPr>
          <w:rFonts w:ascii="Courier New" w:cs="Courier New" w:eastAsia="Courier New" w:hAnsi="Courier New"/>
          <w:sz w:val="15"/>
          <w:szCs w:val="15"/>
          <w:color w:val="auto"/>
        </w:rPr>
      </w:pPr>
    </w:p>
    <w:p>
      <w:pPr>
        <w:ind w:left="546" w:right="343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depreciation related to Amdocs system on Certen's books.</w:t>
      </w:r>
    </w:p>
    <w:p>
      <w:pPr>
        <w:spacing w:after="0" w:line="174" w:lineRule="exact"/>
        <w:rPr>
          <w:rFonts w:ascii="Courier New" w:cs="Courier New" w:eastAsia="Courier New" w:hAnsi="Courier New"/>
          <w:sz w:val="15"/>
          <w:szCs w:val="15"/>
          <w:color w:val="auto"/>
        </w:rPr>
      </w:pPr>
    </w:p>
    <w:p>
      <w:pPr>
        <w:ind w:left="546" w:right="30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purchased customer arrangements incurred in the acquisition of Certen.</w:t>
      </w:r>
    </w:p>
    <w:p>
      <w:pPr>
        <w:spacing w:after="0" w:line="174" w:lineRule="exact"/>
        <w:rPr>
          <w:rFonts w:ascii="Courier New" w:cs="Courier New" w:eastAsia="Courier New" w:hAnsi="Courier New"/>
          <w:sz w:val="15"/>
          <w:szCs w:val="15"/>
          <w:color w:val="auto"/>
        </w:rPr>
      </w:pPr>
    </w:p>
    <w:p>
      <w:pPr>
        <w:ind w:left="546" w:right="29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cumulative effect of Amdocs' 10% interest in Certen results prior to the acquisition of Certen.</w:t>
      </w:r>
    </w:p>
    <w:p>
      <w:pPr>
        <w:spacing w:after="0" w:line="174"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 of Certen.</w:t>
      </w:r>
    </w:p>
    <w:p>
      <w:pPr>
        <w:spacing w:after="0" w:line="174" w:lineRule="exact"/>
        <w:rPr>
          <w:rFonts w:ascii="Courier New" w:cs="Courier New" w:eastAsia="Courier New" w:hAnsi="Courier New"/>
          <w:sz w:val="15"/>
          <w:szCs w:val="15"/>
          <w:color w:val="auto"/>
        </w:rPr>
      </w:pPr>
    </w:p>
    <w:p>
      <w:pPr>
        <w:ind w:left="546" w:right="289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capitalized interest expense in Certen related to the convertible debentures issued to Amdocs.</w:t>
      </w:r>
    </w:p>
    <w:p>
      <w:pPr>
        <w:spacing w:after="0" w:line="174" w:lineRule="exact"/>
        <w:rPr>
          <w:rFonts w:ascii="Courier New" w:cs="Courier New" w:eastAsia="Courier New" w:hAnsi="Courier New"/>
          <w:sz w:val="15"/>
          <w:szCs w:val="15"/>
          <w:color w:val="auto"/>
        </w:rPr>
      </w:pPr>
    </w:p>
    <w:p>
      <w:pPr>
        <w:ind w:left="546" w:right="289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liability related to adjustment to fair value of capital lease obligations on Certen's books.</w:t>
      </w:r>
    </w:p>
    <w:p>
      <w:pPr>
        <w:spacing w:after="0" w:line="174" w:lineRule="exact"/>
        <w:rPr>
          <w:rFonts w:ascii="Courier New" w:cs="Courier New" w:eastAsia="Courier New" w:hAnsi="Courier New"/>
          <w:sz w:val="15"/>
          <w:szCs w:val="15"/>
          <w:color w:val="auto"/>
        </w:rPr>
      </w:pPr>
    </w:p>
    <w:p>
      <w:pPr>
        <w:ind w:left="546" w:right="325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adjustment to reflect the combined results at Amdocs' effective tax rate.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5"/>
          </w:cols>
          <w:pgMar w:left="234" w:top="647" w:right="1440" w:bottom="1440" w:gutter="0" w:footer="0" w:header="0"/>
        </w:sectPr>
      </w:pPr>
    </w:p>
    <w:bookmarkStart w:id="41" w:name="page42"/>
    <w:bookmarkEnd w:id="41"/>
    <w:p>
      <w:pPr>
        <w:ind w:left="1640"/>
        <w:spacing w:after="0"/>
        <w:rPr>
          <w:sz w:val="20"/>
          <w:szCs w:val="20"/>
          <w:color w:val="auto"/>
        </w:rPr>
      </w:pPr>
      <w:r>
        <w:rPr>
          <w:rFonts w:ascii="Courier New" w:cs="Courier New" w:eastAsia="Courier New" w:hAnsi="Courier New"/>
          <w:sz w:val="15"/>
          <w:szCs w:val="15"/>
          <w:color w:val="auto"/>
        </w:rPr>
        <w:t>UNAUDITED FINANCIAL STATEMENTS OF CERTEN INC.</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financial statements of Certen for the six months ended June 30, 2003 and 2002, are based upon, and should be read in conjunction with, the historical audited financial statements of Certen for the year ended December 31, 2002 and 2001 (together with the reconciliation to U.S. GAAP). The historical financial statements of Certen have been prepared in accordance with Canadian GAAP and presented in Canadian dollars.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7" w:right="1440" w:bottom="1440" w:gutter="0" w:footer="0" w:header="0"/>
        </w:sectPr>
      </w:pPr>
    </w:p>
    <w:bookmarkStart w:id="42" w:name="page43"/>
    <w:bookmarkEnd w:id="42"/>
    <w:p>
      <w:pPr>
        <w:jc w:val="center"/>
        <w:ind w:right="2819"/>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STATEMENT OF OPERATIONS AND RETAINED EARNINGS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4"/>
                <w:szCs w:val="24"/>
                <w:color w:val="auto"/>
              </w:rPr>
            </w:pPr>
          </w:p>
        </w:tc>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Billing services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215,881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184,106</w:t>
            </w: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Professional services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11,799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29,642</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227,680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213,748</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Cost of services, selling and administrative expenses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169,270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159,297</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benefit plans expense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2,139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earnings before undernoted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56,271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53,814</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56,453</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30,843</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22,250</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Interest expense - long-term debt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3,623</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3,054</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2,286</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(5,517)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18,726</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Future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(9,534)</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(6,208)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9,192</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51,068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35,774</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RETAINED EARNINGS, END OF PERIOD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44,860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44,966</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300" w:type="dxa"/>
            <w:vAlign w:val="bottom"/>
          </w:tcPr>
          <w:p>
            <w:pPr>
              <w:ind w:left="3560"/>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CERTEN INC.</w:t>
            </w:r>
          </w:p>
        </w:tc>
        <w:tc>
          <w:tcPr>
            <w:tcW w:w="1180" w:type="dxa"/>
            <w:vAlign w:val="bottom"/>
          </w:tcPr>
          <w:p>
            <w:pPr>
              <w:spacing w:after="0"/>
              <w:rPr>
                <w:sz w:val="14"/>
                <w:szCs w:val="14"/>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BALANCE SHEET</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64"/>
              <w:spacing w:after="0"/>
              <w:rPr>
                <w:sz w:val="20"/>
                <w:szCs w:val="20"/>
                <w:color w:val="auto"/>
              </w:rPr>
            </w:pPr>
            <w:r>
              <w:rPr>
                <w:rFonts w:ascii="Courier New" w:cs="Courier New" w:eastAsia="Courier New" w:hAnsi="Courier New"/>
                <w:sz w:val="15"/>
                <w:szCs w:val="15"/>
                <w:color w:val="auto"/>
              </w:rPr>
              <w:t>AS AT JUNE 30, 2003</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(in thousands of dollars)</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5"/>
                <w:szCs w:val="15"/>
                <w:color w:val="auto"/>
              </w:rPr>
            </w:pPr>
          </w:p>
        </w:tc>
      </w:tr>
      <w:tr>
        <w:trPr>
          <w:trHeight w:val="881"/>
        </w:trPr>
        <w:tc>
          <w:tcPr>
            <w:tcW w:w="568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15"/>
                <w:szCs w:val="15"/>
                <w:color w:val="auto"/>
              </w:rPr>
            </w:pP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24"/>
                <w:szCs w:val="24"/>
                <w:color w:val="auto"/>
              </w:rPr>
            </w:pP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4,891</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receivables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24,292</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71,012</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53,495</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384,277</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10,082</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benefit asset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24"/>
                <w:szCs w:val="24"/>
                <w:color w:val="auto"/>
              </w:rPr>
            </w:pP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155,110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Income and other taxes payable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8,241</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loan payable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obligation under capital lease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27,740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198,987</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Convertible debentures due to related party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36,281</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Obligation under capital lease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25,179</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39,493</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10,318</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25,136</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336,923</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spacing w:after="0"/>
              <w:rPr>
                <w:sz w:val="24"/>
                <w:szCs w:val="24"/>
                <w:color w:val="auto"/>
              </w:rPr>
            </w:pPr>
          </w:p>
        </w:tc>
      </w:tr>
      <w:tr>
        <w:trPr>
          <w:trHeight w:val="352"/>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Option on convertible debentures due to related party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Common 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102,169</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44,860</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184,989</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521,912</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7" w:right="1440" w:bottom="1440" w:gutter="0" w:footer="0" w:header="0"/>
        </w:sectPr>
      </w:pPr>
    </w:p>
    <w:bookmarkStart w:id="44" w:name="page45"/>
    <w:bookmarkEnd w:id="44"/>
    <w:p>
      <w:pPr>
        <w:jc w:val="center"/>
        <w:ind w:right="2819"/>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STATEMENT OF CASH FLOWS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4"/>
                <w:szCs w:val="24"/>
                <w:color w:val="auto"/>
              </w:rPr>
            </w:pPr>
          </w:p>
        </w:tc>
        <w:tc>
          <w:tcPr>
            <w:tcW w:w="16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(6,208)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Amortization</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56,453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30,843</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3,054</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Gain from sale of property, plant and equipment</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Future income taxes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9,163</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Net benefit plans expense</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2,139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47,987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(17,535)</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104,105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34,586</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(79,311)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disposal of property, plant and equipment</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(78,979)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2"/>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Repayment of capital leases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(3,022)</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Issuance of convertible debentures due to related party</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33,859</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Issuance of Common shares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47,241</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78,078</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(15,159)</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33,590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57,693</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42,534</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6320" w:type="dxa"/>
            <w:vAlign w:val="bottom"/>
          </w:tcPr>
          <w:p>
            <w:pPr>
              <w:ind w:left="3560"/>
              <w:spacing w:after="0"/>
              <w:rPr>
                <w:sz w:val="20"/>
                <w:szCs w:val="20"/>
                <w:color w:val="auto"/>
              </w:rPr>
            </w:pPr>
            <w:r>
              <w:rPr>
                <w:rFonts w:ascii="Courier New" w:cs="Courier New" w:eastAsia="Courier New" w:hAnsi="Courier New"/>
                <w:sz w:val="15"/>
                <w:szCs w:val="15"/>
                <w:color w:val="auto"/>
              </w:rPr>
              <w:t>39</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5" w:name="page46"/>
    <w:bookmarkEnd w:id="45"/>
    <w:p>
      <w:pPr>
        <w:jc w:val="center"/>
        <w:ind w:right="2793"/>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(all tabular amounts are in thousands of dollars except where otherwise noted)</w:t>
      </w:r>
    </w:p>
    <w:p>
      <w:pPr>
        <w:spacing w:after="0" w:line="182" w:lineRule="exact"/>
        <w:rPr>
          <w:sz w:val="20"/>
          <w:szCs w:val="20"/>
          <w:color w:val="auto"/>
        </w:rPr>
      </w:pPr>
    </w:p>
    <w:p>
      <w:pPr>
        <w:ind w:left="546" w:right="3079" w:hanging="546"/>
        <w:spacing w:after="0" w:line="250" w:lineRule="auto"/>
        <w:tabs>
          <w:tab w:leader="none" w:pos="5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RESULTS REPORTED IN ACCORDANCE WITH CANADIAN GENERALLY ACCEPTED ACCOUNTING PRINCIPLES (GAAP) TO UNITED STATES GAAP</w:t>
      </w:r>
    </w:p>
    <w:p>
      <w:pPr>
        <w:spacing w:after="0" w:line="174" w:lineRule="exact"/>
        <w:rPr>
          <w:rFonts w:ascii="Courier New" w:cs="Courier New" w:eastAsia="Courier New" w:hAnsi="Courier New"/>
          <w:sz w:val="15"/>
          <w:szCs w:val="15"/>
          <w:color w:val="auto"/>
        </w:rPr>
      </w:pPr>
    </w:p>
    <w:p>
      <w:pPr>
        <w:ind w:left="5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differences between Canadian and United States GAAP affecting Certen's net earnings and shareholders' equity are detailed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Courier New" w:cs="Courier New" w:eastAsia="Courier New" w:hAnsi="Courier New"/>
                <w:sz w:val="15"/>
                <w:szCs w:val="15"/>
                <w:color w:val="auto"/>
              </w:rPr>
              <w:t>RECONCILIATION OF NET EARNINGS:</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ind w:left="72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72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6140" w:type="dxa"/>
            <w:vAlign w:val="bottom"/>
          </w:tcPr>
          <w:p>
            <w:pPr>
              <w:spacing w:after="0"/>
              <w:rPr>
                <w:sz w:val="24"/>
                <w:szCs w:val="24"/>
                <w:color w:val="auto"/>
              </w:rPr>
            </w:pPr>
          </w:p>
        </w:tc>
        <w:tc>
          <w:tcPr>
            <w:tcW w:w="17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CANADIAN GAAP - NET (LOSS) INCOME</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(6,208)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3,054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2,939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1,287</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UNITED STATES GAAP - NET (LOSS) INCOME</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(1,889)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12,341</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881"/>
        </w:trPr>
        <w:tc>
          <w:tcPr>
            <w:tcW w:w="6140" w:type="dxa"/>
            <w:vAlign w:val="bottom"/>
          </w:tcPr>
          <w:p>
            <w:pPr>
              <w:spacing w:after="0"/>
              <w:rPr>
                <w:sz w:val="20"/>
                <w:szCs w:val="20"/>
                <w:color w:val="auto"/>
              </w:rPr>
            </w:pPr>
            <w:r>
              <w:rPr>
                <w:rFonts w:ascii="Courier New" w:cs="Courier New" w:eastAsia="Courier New" w:hAnsi="Courier New"/>
                <w:sz w:val="15"/>
                <w:szCs w:val="15"/>
                <w:color w:val="auto"/>
              </w:rPr>
              <w:t>RECONCILIATION OF SHAREHOLDERS' EQUITY:</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ind w:left="64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352"/>
        </w:trPr>
        <w:tc>
          <w:tcPr>
            <w:tcW w:w="6140" w:type="dxa"/>
            <w:vAlign w:val="bottom"/>
          </w:tcPr>
          <w:p>
            <w:pPr>
              <w:spacing w:after="0"/>
              <w:rPr>
                <w:sz w:val="24"/>
                <w:szCs w:val="24"/>
                <w:color w:val="auto"/>
              </w:rPr>
            </w:pPr>
          </w:p>
        </w:tc>
        <w:tc>
          <w:tcPr>
            <w:tcW w:w="17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CANADIAN GAAP - SHAREHOLDERS' EQUITY</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184,989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185,096</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9,419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3,194</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Option on convertible debentures due to related party (a)</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(37,960)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(5,859)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6,915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1,366</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UNITED STATES GAAP - SHAREHOLDERS' EQUITY</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157,158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151,245</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Accretion on convertible debentures due to related party</w:t>
      </w:r>
    </w:p>
    <w:p>
      <w:pPr>
        <w:spacing w:after="0" w:line="182"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training costs</w:t>
      </w:r>
    </w:p>
    <w:p>
      <w:pPr>
        <w:spacing w:after="0" w:line="182" w:lineRule="exact"/>
        <w:rPr>
          <w:rFonts w:ascii="Courier New" w:cs="Courier New" w:eastAsia="Courier New" w:hAnsi="Courier New"/>
          <w:sz w:val="15"/>
          <w:szCs w:val="15"/>
          <w:color w:val="auto"/>
        </w:rPr>
      </w:pPr>
    </w:p>
    <w:p>
      <w:pPr>
        <w:ind w:left="546" w:right="33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training costs incurred in the development of internal-use software is capitalized. Under United States GAAP, these costs are expensed as incurred.</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interest expense</w:t>
      </w:r>
    </w:p>
    <w:p>
      <w:pPr>
        <w:spacing w:after="0" w:line="182"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interest expense related to internally developed capital assets must be capitalized. Canadian GAAP makes no such requirements and therefore, Certen has expensed all interest costs.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546" w:right="3439"/>
        <w:spacing w:after="0" w:line="250" w:lineRule="auto"/>
        <w:rPr>
          <w:sz w:val="20"/>
          <w:szCs w:val="20"/>
          <w:color w:val="auto"/>
        </w:rPr>
      </w:pPr>
      <w:r>
        <w:rPr>
          <w:rFonts w:ascii="Courier New" w:cs="Courier New" w:eastAsia="Courier New" w:hAnsi="Courier New"/>
          <w:sz w:val="15"/>
          <w:szCs w:val="15"/>
          <w:color w:val="auto"/>
        </w:rPr>
        <w:t>The income tax adjustment reflects the impact on income taxes of the United States GAAP adjustments described above.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5"/>
          </w:cols>
          <w:pgMar w:left="234" w:top="647" w:right="1440" w:bottom="1440" w:gutter="0" w:footer="0" w:header="0"/>
        </w:sectPr>
      </w:pPr>
    </w:p>
    <w:bookmarkStart w:id="46" w:name="page47"/>
    <w:bookmarkEnd w:id="46"/>
    <w:p>
      <w:pPr>
        <w:ind w:left="1280"/>
        <w:spacing w:after="0"/>
        <w:rPr>
          <w:sz w:val="20"/>
          <w:szCs w:val="20"/>
          <w:color w:val="auto"/>
        </w:rPr>
      </w:pPr>
      <w:r>
        <w:rPr>
          <w:rFonts w:ascii="Courier New" w:cs="Courier New" w:eastAsia="Courier New" w:hAnsi="Courier New"/>
          <w:sz w:val="15"/>
          <w:szCs w:val="15"/>
          <w:color w:val="auto"/>
        </w:rPr>
        <w:t>UNAUDITED CONSOLIDATED FINANCIAL STATEMENTS FOR THE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THREE AND NINE MONTH PERIODS</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ENDED JUNE 30, 2004</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ind w:left="2000"/>
              <w:spacing w:after="0"/>
              <w:rPr>
                <w:sz w:val="20"/>
                <w:szCs w:val="20"/>
                <w:color w:val="auto"/>
              </w:rPr>
            </w:pPr>
            <w:r>
              <w:rPr>
                <w:rFonts w:ascii="Courier New" w:cs="Courier New" w:eastAsia="Courier New" w:hAnsi="Courier New"/>
                <w:sz w:val="15"/>
                <w:szCs w:val="15"/>
                <w:color w:val="auto"/>
              </w:rPr>
              <w:t>(in thousands, except per share data)</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705"/>
        </w:trPr>
        <w:tc>
          <w:tcPr>
            <w:tcW w:w="8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As of</w:t>
            </w: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15"/>
                <w:szCs w:val="15"/>
                <w:color w:val="auto"/>
              </w:rPr>
            </w:pPr>
          </w:p>
        </w:tc>
        <w:tc>
          <w:tcPr>
            <w:tcW w:w="32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15"/>
                <w:szCs w:val="15"/>
                <w:color w:val="auto"/>
              </w:rPr>
            </w:pPr>
          </w:p>
        </w:tc>
        <w:tc>
          <w:tcPr>
            <w:tcW w:w="2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847,600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735,779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443,292</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68,180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60,868</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66,769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85,902</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1,633,734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1,635,936</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174,801</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203,467</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108,033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105,943</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803,606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797,134</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52,653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58,841</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125,145</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76,196</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101,116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141,044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123,223</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126,959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106,857</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2%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400,454</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Financing arrangements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2,179</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230,952</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174,616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27,140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161,376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133,002</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775,810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1,068,587</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37,424</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44,835</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151,777</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172,495</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1,415,011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1,285,917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shares;(pound)0.01 par value; 0 shares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224,854 and</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460"/>
              <w:spacing w:after="0"/>
              <w:rPr>
                <w:sz w:val="20"/>
                <w:szCs w:val="20"/>
                <w:color w:val="auto"/>
              </w:rPr>
            </w:pPr>
            <w:r>
              <w:rPr>
                <w:rFonts w:ascii="Courier New" w:cs="Courier New" w:eastAsia="Courier New" w:hAnsi="Courier New"/>
                <w:sz w:val="15"/>
                <w:szCs w:val="15"/>
                <w:color w:val="auto"/>
              </w:rPr>
              <w:t>223,790 issued and 206,135 and 216,058 outstanding, respectively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1,836,743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1,820,956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- 18,719 and 7,732 Ordinary Shares, respectively</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(402,360)</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3,715</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 (accumulated deficit)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45,908</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(127,370)</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shareholders' equity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1,482,961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1,591,600</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520"/>
          </w:cols>
          <w:pgMar w:left="240" w:top="823" w:right="139" w:bottom="1440" w:gutter="0" w:footer="0" w:header="0"/>
        </w:sectPr>
      </w:pPr>
    </w:p>
    <w:bookmarkStart w:id="47" w:name="page48"/>
    <w:bookmarkEnd w:id="47"/>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Three months ended</w:t>
            </w:r>
          </w:p>
        </w:tc>
        <w:tc>
          <w:tcPr>
            <w:tcW w:w="240" w:type="dxa"/>
            <w:vAlign w:val="bottom"/>
          </w:tcPr>
          <w:p>
            <w:pPr>
              <w:spacing w:after="0"/>
              <w:rPr>
                <w:sz w:val="14"/>
                <w:szCs w:val="14"/>
                <w:color w:val="auto"/>
              </w:rPr>
            </w:pPr>
          </w:p>
        </w:tc>
        <w:tc>
          <w:tcPr>
            <w:tcW w:w="20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880" w:type="dxa"/>
            <w:vAlign w:val="bottom"/>
          </w:tcPr>
          <w:p>
            <w:pPr>
              <w:spacing w:after="0"/>
              <w:rPr>
                <w:sz w:val="15"/>
                <w:szCs w:val="15"/>
                <w:color w:val="auto"/>
              </w:rPr>
            </w:pPr>
          </w:p>
        </w:tc>
        <w:tc>
          <w:tcPr>
            <w:tcW w:w="238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License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11,491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51,176</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432,926</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365,677</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1,269,251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1,020,392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450,224</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377,168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1,321,277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1,071,568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1,455</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4,137</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283,109</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230,323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833,470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646,389</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31,665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29,941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92,247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88,888</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52,745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50,943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159,078</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153,644</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 intangible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4,524</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13,423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14,303</w:t>
            </w:r>
          </w:p>
        </w:tc>
      </w:tr>
      <w:tr>
        <w:trPr>
          <w:trHeight w:val="176"/>
        </w:trPr>
        <w:tc>
          <w:tcPr>
            <w:tcW w:w="3880" w:type="dxa"/>
            <w:vAlign w:val="bottom"/>
          </w:tcPr>
          <w:p>
            <w:pPr>
              <w:ind w:left="46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373,525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317,186</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1,102,025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917,317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76,699</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59,982</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219,252</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154,251</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3,269</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2,899</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12,432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76,820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63,251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222,151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166,683</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15,813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48,873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59,920</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47,438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0.29</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206,093</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215,938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210,409</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215,786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211,801</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220,792</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216,186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See Note 4.</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7" w:right="1440" w:bottom="1440" w:gutter="0" w:footer="0" w:header="0"/>
        </w:sectPr>
      </w:pPr>
    </w:p>
    <w:bookmarkStart w:id="48" w:name="page49"/>
    <w:bookmarkEnd w:id="48"/>
    <w:p>
      <w:pPr>
        <w:spacing w:after="0" w:line="3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ectPr>
          <w:pgSz w:w="11900" w:h="16875" w:orient="portrait"/>
          <w:cols w:equalWidth="0" w:num="1">
            <w:col w:w="10260"/>
          </w:cols>
          <w:pgMar w:left="240" w:top="999"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Ordinary Shares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4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3200"/>
        <w:spacing w:after="0"/>
        <w:tabs>
          <w:tab w:leader="none" w:pos="4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92"/>
        <w:spacing w:after="0" w:line="24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Treasury</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 Other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sectPr>
          <w:pgSz w:w="11900" w:h="16875" w:orient="portrait"/>
          <w:cols w:equalWidth="0" w:num="4">
            <w:col w:w="5120" w:space="380"/>
            <w:col w:w="1000" w:space="360"/>
            <w:col w:w="1200" w:space="360"/>
            <w:col w:w="1840"/>
          </w:cols>
          <w:pgMar w:left="240" w:top="999" w:right="1399" w:bottom="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September</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216,058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$ 3,580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$ 1,820,956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(109,281)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3,715</w:t>
      </w:r>
    </w:p>
    <w:p>
      <w:pPr>
        <w:spacing w:after="0" w:line="6" w:lineRule="exact"/>
        <w:rPr>
          <w:sz w:val="20"/>
          <w:szCs w:val="20"/>
          <w:color w:val="auto"/>
        </w:rPr>
      </w:pPr>
    </w:p>
    <w:p>
      <w:pPr>
        <w:sectPr>
          <w:pgSz w:w="11900" w:h="16875" w:orient="portrait"/>
          <w:cols w:equalWidth="0" w:num="6">
            <w:col w:w="2480" w:space="720"/>
            <w:col w:w="640" w:space="640"/>
            <w:col w:w="640" w:space="380"/>
            <w:col w:w="1000" w:space="360"/>
            <w:col w:w="1300" w:space="720"/>
            <w:col w:w="138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1100" w:space="720"/>
            <w:col w:w="102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currency</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hedging contracts,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of $(991)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(2,846)</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 cash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equivalents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short-term</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interest-bearing</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investments, net of</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$(348)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(1,227)</w:t>
      </w:r>
    </w:p>
    <w:p>
      <w:pPr>
        <w:spacing w:after="0" w:line="182"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ordinary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747</w:t>
      </w:r>
      <w:r>
        <w:rPr>
          <w:sz w:val="20"/>
          <w:szCs w:val="20"/>
          <w:color w:val="auto"/>
        </w:rPr>
        <w:tab/>
      </w:r>
      <w:r>
        <w:rPr>
          <w:rFonts w:ascii="Courier New" w:cs="Courier New" w:eastAsia="Courier New" w:hAnsi="Courier New"/>
          <w:sz w:val="15"/>
          <w:szCs w:val="15"/>
          <w:color w:val="auto"/>
        </w:rPr>
        <w:t>14,392</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5">
            <w:col w:w="2840" w:space="720"/>
            <w:col w:w="480" w:space="720"/>
            <w:col w:w="740" w:space="720"/>
            <w:col w:w="2300" w:space="720"/>
            <w:col w:w="1020"/>
          </w:cols>
          <w:pgMar w:left="240" w:top="999" w:right="1399" w:bottom="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shares related to</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acquisition,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11,345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660" w:space="720"/>
            <w:col w:w="840" w:space="720"/>
            <w:col w:w="280" w:space="720"/>
            <w:col w:w="7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Tax benefit of stock</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options 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560" w:space="720"/>
            <w:col w:w="6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Repurchase of ordinary</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(11,548)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(307,471)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480" w:space="720"/>
            <w:col w:w="840" w:space="720"/>
            <w:col w:w="660" w:space="720"/>
            <w:col w:w="180" w:space="720"/>
            <w:col w:w="148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Expense related to vesting</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right="840" w:firstLine="275"/>
        <w:spacing w:after="0" w:line="248" w:lineRule="auto"/>
        <w:rPr>
          <w:sz w:val="20"/>
          <w:szCs w:val="20"/>
          <w:color w:val="auto"/>
        </w:rPr>
      </w:pPr>
      <w:r>
        <w:rPr>
          <w:rFonts w:ascii="Courier New" w:cs="Courier New" w:eastAsia="Courier New" w:hAnsi="Courier New"/>
          <w:sz w:val="15"/>
          <w:szCs w:val="15"/>
          <w:color w:val="auto"/>
        </w:rPr>
        <w:t>of stock options Stock options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5"/>
          <w:szCs w:val="15"/>
          <w:color w:val="auto"/>
        </w:rPr>
        <w:t>951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740" w:space="720"/>
            <w:col w:w="48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June 30, 2004</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206,135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$ 3,599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$ 1,836,743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(402,360)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75" w:orient="portrait"/>
          <w:cols w:equalWidth="0" w:num="6">
            <w:col w:w="2480" w:space="720"/>
            <w:col w:w="640" w:space="640"/>
            <w:col w:w="640" w:space="380"/>
            <w:col w:w="1000" w:space="360"/>
            <w:col w:w="1200" w:space="720"/>
            <w:col w:w="1480"/>
          </w:cols>
          <w:pgMar w:left="240" w:top="999" w:right="1399" w:bottom="0" w:gutter="0" w:footer="0" w:header="0"/>
          <w:type w:val="continuous"/>
        </w:sectPr>
      </w:pPr>
    </w:p>
    <w:p>
      <w:pPr>
        <w:spacing w:after="0" w:line="33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Retained</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Earnings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Unearned</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260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rPr>
              <w:t>Deficit)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600" w:type="dxa"/>
            <w:vAlign w:val="bottom"/>
          </w:tcPr>
          <w:p>
            <w:pPr>
              <w:spacing w:after="0"/>
              <w:rPr>
                <w:sz w:val="15"/>
                <w:szCs w:val="15"/>
                <w:color w:val="auto"/>
              </w:rPr>
            </w:pP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30, 2003</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  (127,370)</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$ 1,591,600</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173,278</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173,278</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hedging contracts,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net of $(991)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(2,846)</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cash</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equivalents and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short-term</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investments, net of</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$(348)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(1,227)</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169,205</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15,139</w:t>
            </w: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 related to</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acquisition, net</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11,364</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2,738</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Repurchase of ordinary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(307,471)</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(951)</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75" w:orient="portrait"/>
          <w:cols w:equalWidth="0" w:num="1">
            <w:col w:w="10260"/>
          </w:cols>
          <w:pgMar w:left="240" w:top="999" w:right="1399" w:bottom="0" w:gutter="0" w:footer="0" w:header="0"/>
          <w:type w:val="continuous"/>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640" w:type="dxa"/>
            <w:vAlign w:val="bottom"/>
          </w:tcPr>
          <w:p>
            <w:pPr>
              <w:spacing w:after="0"/>
              <w:rPr>
                <w:sz w:val="14"/>
                <w:szCs w:val="1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46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(571)</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45,908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$ 1,482,961</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142" w:right="1440" w:bottom="1440" w:gutter="0" w:footer="0" w:header="0"/>
        </w:sectPr>
      </w:pPr>
    </w:p>
    <w:bookmarkStart w:id="50" w:name="page51"/>
    <w:bookmarkEnd w:id="50"/>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5"/>
        </w:trPr>
        <w:tc>
          <w:tcPr>
            <w:tcW w:w="5180" w:type="dxa"/>
            <w:vAlign w:val="bottom"/>
          </w:tcPr>
          <w:p>
            <w:pPr>
              <w:spacing w:after="0"/>
              <w:rPr>
                <w:sz w:val="24"/>
                <w:szCs w:val="24"/>
                <w:color w:val="auto"/>
              </w:rPr>
            </w:pPr>
          </w:p>
        </w:tc>
        <w:tc>
          <w:tcPr>
            <w:tcW w:w="26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Nine months ended June 30,</w:t>
            </w:r>
          </w:p>
        </w:tc>
      </w:tr>
      <w:tr>
        <w:trPr>
          <w:trHeight w:val="176"/>
        </w:trPr>
        <w:tc>
          <w:tcPr>
            <w:tcW w:w="5180" w:type="dxa"/>
            <w:vAlign w:val="bottom"/>
          </w:tcPr>
          <w:p>
            <w:pPr>
              <w:spacing w:after="0"/>
              <w:rPr>
                <w:sz w:val="15"/>
                <w:szCs w:val="15"/>
                <w:color w:val="auto"/>
              </w:rPr>
            </w:pPr>
          </w:p>
        </w:tc>
        <w:tc>
          <w:tcPr>
            <w:tcW w:w="26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173,278</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76,944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69,973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(8,093)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2,738</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Realized  loss from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1,039</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(69,503)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32,365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14,879</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(12,597)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(41,941)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(18,795)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32,947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20,436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54,543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47,889</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27,735</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(6,442)</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257,667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284,017</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1,841</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(33,532)</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(47,192)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863,304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631,845</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(1,158,407)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(637,148)</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 reimbursement of cash in acquisition</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11,111</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(337,361)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(39,674)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11,364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2,024</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0.50% convertible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441,736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(307,471)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Redemption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(395,110)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(4,987)</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Borrowings under financing arrangements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(7,714)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(275,460)</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(5,690)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(355,154)</w:t>
            </w:r>
          </w:p>
        </w:tc>
        <w:tc>
          <w:tcPr>
            <w:tcW w:w="32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238,653</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847,600</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466,655</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705,308</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22,734</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9,733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9,323</w:t>
            </w:r>
          </w:p>
        </w:tc>
      </w:tr>
    </w:tbl>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In the nine months ended June 30, 2004, the Company issued 561 ordinary shares in connection with the acquisition of XACCT (as defined below). See Note 10.</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823" w:right="1440" w:bottom="305" w:gutter="0" w:footer="0" w:header="0"/>
        </w:sectPr>
      </w:pPr>
    </w:p>
    <w:bookmarkStart w:id="51" w:name="page52"/>
    <w:bookmarkEnd w:id="51"/>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466" w:hanging="466"/>
        <w:spacing w:after="0"/>
        <w:tabs>
          <w:tab w:leader="none" w:pos="4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75"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Reclassification</w:t>
      </w:r>
    </w:p>
    <w:p>
      <w:pPr>
        <w:spacing w:after="0" w:line="182" w:lineRule="exact"/>
        <w:rPr>
          <w:sz w:val="20"/>
          <w:szCs w:val="20"/>
          <w:color w:val="auto"/>
        </w:rPr>
      </w:pPr>
    </w:p>
    <w:p>
      <w:pPr>
        <w:ind w:left="6" w:right="3259" w:firstLine="824"/>
        <w:spacing w:after="0" w:line="250"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5" w:lineRule="exact"/>
        <w:rPr>
          <w:sz w:val="20"/>
          <w:szCs w:val="20"/>
          <w:color w:val="auto"/>
        </w:rPr>
      </w:pPr>
    </w:p>
    <w:p>
      <w:pPr>
        <w:ind w:left="826" w:right="5819" w:hanging="826"/>
        <w:spacing w:after="0" w:line="497" w:lineRule="auto"/>
        <w:tabs>
          <w:tab w:leader="none" w:pos="82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 Accounting for Stock-Based Compensation</w:t>
      </w:r>
    </w:p>
    <w:p>
      <w:pPr>
        <w:spacing w:after="0" w:line="1"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5"/>
          </w:cols>
          <w:pgMar w:left="234" w:top="647" w:right="1440" w:bottom="1440" w:gutter="0" w:footer="0" w:header="0"/>
        </w:sectPr>
      </w:pPr>
    </w:p>
    <w:bookmarkStart w:id="52" w:name="page53"/>
    <w:bookmarkEnd w:id="52"/>
    <w:p>
      <w:pPr>
        <w:jc w:val="center"/>
        <w:ind w:right="37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3300"/>
        <w:spacing w:after="0" w:line="249" w:lineRule="auto"/>
        <w:rPr>
          <w:sz w:val="20"/>
          <w:szCs w:val="20"/>
          <w:color w:val="auto"/>
        </w:rPr>
      </w:pPr>
      <w:r>
        <w:rPr>
          <w:rFonts w:ascii="Courier New" w:cs="Courier New" w:eastAsia="Courier New" w:hAnsi="Courier New"/>
          <w:sz w:val="15"/>
          <w:szCs w:val="15"/>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76" w:lineRule="exact"/>
        <w:rPr>
          <w:sz w:val="20"/>
          <w:szCs w:val="20"/>
          <w:color w:val="auto"/>
        </w:rPr>
      </w:pPr>
    </w:p>
    <w:p>
      <w:pPr>
        <w:jc w:val="both"/>
        <w:ind w:right="3580" w:firstLine="366"/>
        <w:spacing w:after="0" w:line="249"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7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69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06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30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14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3.10%</w:t>
            </w:r>
          </w:p>
        </w:tc>
        <w:tc>
          <w:tcPr>
            <w:tcW w:w="56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2.56%</w:t>
            </w:r>
          </w:p>
        </w:tc>
        <w:tc>
          <w:tcPr>
            <w:tcW w:w="460" w:type="dxa"/>
            <w:vAlign w:val="bottom"/>
          </w:tcPr>
          <w:p>
            <w:pPr>
              <w:spacing w:after="0"/>
              <w:rPr>
                <w:sz w:val="24"/>
                <w:szCs w:val="2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2.14%</w:t>
            </w:r>
          </w:p>
        </w:tc>
        <w:tc>
          <w:tcPr>
            <w:tcW w:w="4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3.00</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2.98</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3.00</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2.93</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44.1%</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51.1%</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44.3%</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None</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None</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11.2</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7.01</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10.4</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5.02</w:t>
            </w:r>
          </w:p>
        </w:tc>
      </w:tr>
    </w:tbl>
    <w:p>
      <w:pPr>
        <w:spacing w:after="0" w:line="357" w:lineRule="exact"/>
        <w:rPr>
          <w:sz w:val="20"/>
          <w:szCs w:val="20"/>
          <w:color w:val="auto"/>
        </w:rPr>
      </w:pPr>
    </w:p>
    <w:p>
      <w:pPr>
        <w:ind w:right="3380"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3"/>
          </w:tcPr>
          <w:p>
            <w:pPr>
              <w:jc w:val="center"/>
              <w:ind w:right="384"/>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7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center"/>
              <w:ind w:left="624"/>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336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1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12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60" w:type="dxa"/>
            <w:vAlign w:val="bottom"/>
          </w:tcPr>
          <w:p>
            <w:pPr>
              <w:spacing w:after="0"/>
              <w:rPr>
                <w:sz w:val="15"/>
                <w:szCs w:val="15"/>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59,920</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47,438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 included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in net income, net of related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tax effects</w:t>
            </w:r>
          </w:p>
        </w:tc>
        <w:tc>
          <w:tcPr>
            <w:tcW w:w="6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301</w:t>
            </w:r>
          </w:p>
        </w:tc>
        <w:tc>
          <w:tcPr>
            <w:tcW w:w="4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fair value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related tax effects</w:t>
            </w:r>
          </w:p>
        </w:tc>
        <w:tc>
          <w:tcPr>
            <w:tcW w:w="6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(7,131)</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(17,182)</w:t>
            </w:r>
          </w:p>
        </w:tc>
        <w:tc>
          <w:tcPr>
            <w:tcW w:w="36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(26,335)</w:t>
            </w:r>
          </w:p>
        </w:tc>
        <w:tc>
          <w:tcPr>
            <w:tcW w:w="40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(47,189)</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53,065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30,260</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77,846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0.29</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0.22</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0.26</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0.28</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00" w:firstLine="366"/>
        <w:spacing w:after="0" w:line="249" w:lineRule="auto"/>
        <w:rPr>
          <w:sz w:val="20"/>
          <w:szCs w:val="20"/>
          <w:color w:val="auto"/>
        </w:rPr>
      </w:pPr>
      <w:r>
        <w:rPr>
          <w:rFonts w:ascii="Courier New" w:cs="Courier New" w:eastAsia="Courier New" w:hAnsi="Courier New"/>
          <w:sz w:val="15"/>
          <w:szCs w:val="15"/>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60"/>
          </w:cols>
          <w:pgMar w:left="700" w:top="823" w:right="1039" w:bottom="129" w:gutter="0" w:footer="0" w:header="0"/>
        </w:sectPr>
      </w:pPr>
    </w:p>
    <w:bookmarkStart w:id="53" w:name="page54"/>
    <w:bookmarkEnd w:id="53"/>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826" w:right="7019" w:hanging="826"/>
        <w:spacing w:after="0" w:line="497"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 Variable Interest Entities</w:t>
      </w:r>
    </w:p>
    <w:p>
      <w:pPr>
        <w:spacing w:after="0" w:line="1"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75" w:lineRule="exact"/>
        <w:rPr>
          <w:sz w:val="20"/>
          <w:szCs w:val="20"/>
          <w:color w:val="auto"/>
        </w:rPr>
      </w:pPr>
    </w:p>
    <w:p>
      <w:pPr>
        <w:ind w:left="826" w:hanging="826"/>
        <w:spacing w:after="0"/>
        <w:tabs>
          <w:tab w:leader="none" w:pos="82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75"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revenue is included in the statements of income for the three months and nine months ended June 30, 2003:</w:t>
      </w:r>
    </w:p>
    <w:p>
      <w:pPr>
        <w:spacing w:after="0" w:line="17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Three months</w:t>
            </w:r>
          </w:p>
        </w:tc>
        <w:tc>
          <w:tcPr>
            <w:tcW w:w="40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June 30,</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2003</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License</w:t>
            </w:r>
          </w:p>
        </w:tc>
        <w:tc>
          <w:tcPr>
            <w:tcW w:w="1280" w:type="dxa"/>
            <w:vAlign w:val="bottom"/>
          </w:tcPr>
          <w:p>
            <w:pPr>
              <w:ind w:left="12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3,827</w:t>
            </w: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32,374</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84,122</w:t>
            </w:r>
          </w:p>
        </w:tc>
      </w:tr>
    </w:tbl>
    <w:p>
      <w:pPr>
        <w:spacing w:after="0" w:line="357"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expense is included in the statements of income for the three months and nine months ended June 30, 2003:</w:t>
      </w:r>
    </w:p>
    <w:p>
      <w:pPr>
        <w:sectPr>
          <w:pgSz w:w="11900" w:h="16838" w:orient="portrait"/>
          <w:cols w:equalWidth="0" w:num="1">
            <w:col w:w="10225"/>
          </w:cols>
          <w:pgMar w:left="234" w:top="8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Interest income and other, net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Three months</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1,662</w:t>
      </w:r>
    </w:p>
    <w:p>
      <w:pPr>
        <w:spacing w:after="0" w:line="182" w:lineRule="exact"/>
        <w:rPr>
          <w:sz w:val="20"/>
          <w:szCs w:val="20"/>
          <w:color w:val="auto"/>
        </w:rPr>
      </w:pPr>
    </w:p>
    <w:p>
      <w:pPr>
        <w:sectPr>
          <w:pgSz w:w="11900" w:h="16838" w:orient="portrait"/>
          <w:cols w:equalWidth="0" w:num="3">
            <w:col w:w="3766" w:space="360"/>
            <w:col w:w="1380" w:space="360"/>
            <w:col w:w="4359"/>
          </w:cols>
          <w:pgMar w:left="234" w:top="823" w:right="1440" w:bottom="1440" w:gutter="0" w:footer="0" w:header="0"/>
          <w:type w:val="continuous"/>
        </w:sectPr>
      </w:pPr>
    </w:p>
    <w:p>
      <w:pPr>
        <w:ind w:left="1006" w:right="2899" w:hanging="1006"/>
        <w:spacing w:after="0" w:line="249" w:lineRule="auto"/>
        <w:tabs>
          <w:tab w:leader="none" w:pos="100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5"/>
          </w:cols>
          <w:pgMar w:left="234" w:top="823" w:right="1440" w:bottom="1440" w:gutter="0" w:footer="0" w:header="0"/>
          <w:type w:val="continuous"/>
        </w:sectPr>
      </w:pPr>
    </w:p>
    <w:bookmarkStart w:id="54" w:name="page55"/>
    <w:bookmarkEnd w:id="54"/>
    <w:p>
      <w:pPr>
        <w:jc w:val="center"/>
        <w:ind w:right="319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366" w:hanging="366"/>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359" w:lineRule="exact"/>
        <w:rPr>
          <w:sz w:val="20"/>
          <w:szCs w:val="20"/>
          <w:color w:val="auto"/>
        </w:rPr>
      </w:pPr>
    </w:p>
    <w:tbl>
      <w:tblPr>
        <w:tblLayout w:type="fixed"/>
        <w:tblInd w:w="926"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960" w:type="dxa"/>
            <w:vAlign w:val="bottom"/>
          </w:tcPr>
          <w:p>
            <w:pPr>
              <w:spacing w:after="0"/>
              <w:rPr>
                <w:sz w:val="15"/>
                <w:szCs w:val="15"/>
                <w:color w:val="auto"/>
              </w:rPr>
            </w:pPr>
          </w:p>
        </w:tc>
        <w:tc>
          <w:tcPr>
            <w:tcW w:w="34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June 30,</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-billed</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269,660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200,220</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-unbilled</w:t>
            </w:r>
          </w:p>
        </w:tc>
        <w:tc>
          <w:tcPr>
            <w:tcW w:w="60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16,086</w:t>
            </w:r>
          </w:p>
        </w:tc>
        <w:tc>
          <w:tcPr>
            <w:tcW w:w="32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16,072</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600" w:type="dxa"/>
            <w:vAlign w:val="bottom"/>
          </w:tcPr>
          <w:p>
            <w:pPr>
              <w:spacing w:after="0"/>
              <w:rPr>
                <w:sz w:val="15"/>
                <w:szCs w:val="15"/>
                <w:color w:val="auto"/>
              </w:rPr>
            </w:pP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(15,186)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(18,018)</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left="466" w:right="3280" w:firstLine="366"/>
        <w:spacing w:after="0" w:line="24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Three months ended</w:t>
            </w:r>
          </w:p>
        </w:tc>
        <w:tc>
          <w:tcPr>
            <w:tcW w:w="420" w:type="dxa"/>
            <w:vAlign w:val="bottom"/>
          </w:tcPr>
          <w:p>
            <w:pPr>
              <w:spacing w:after="0"/>
              <w:rPr>
                <w:sz w:val="14"/>
                <w:szCs w:val="14"/>
                <w:color w:val="auto"/>
              </w:rPr>
            </w:pPr>
          </w:p>
        </w:tc>
        <w:tc>
          <w:tcPr>
            <w:tcW w:w="26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0"/>
                <w:szCs w:val="10"/>
                <w:color w:val="auto"/>
                <w:w w:val="74"/>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1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59,920</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47,438</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173,278</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Unrealized income (loss) on</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hedging</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contracts, net of tax</w:t>
            </w:r>
          </w:p>
        </w:tc>
        <w:tc>
          <w:tcPr>
            <w:tcW w:w="7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2,716</w:t>
            </w:r>
          </w:p>
        </w:tc>
        <w:tc>
          <w:tcPr>
            <w:tcW w:w="50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6,151</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(2,846)</w:t>
            </w:r>
          </w:p>
        </w:tc>
        <w:tc>
          <w:tcPr>
            <w:tcW w:w="4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15,285</w:t>
            </w:r>
          </w:p>
        </w:tc>
      </w:tr>
      <w:tr>
        <w:trPr>
          <w:trHeight w:val="176"/>
        </w:trPr>
        <w:tc>
          <w:tcPr>
            <w:tcW w:w="3520" w:type="dxa"/>
            <w:vAlign w:val="bottom"/>
          </w:tcPr>
          <w:p>
            <w:pPr>
              <w:ind w:left="280"/>
              <w:spacing w:after="0"/>
              <w:rPr>
                <w:sz w:val="20"/>
                <w:szCs w:val="20"/>
                <w:color w:val="auto"/>
              </w:rPr>
            </w:pPr>
            <w:r>
              <w:rPr>
                <w:rFonts w:ascii="Courier New" w:cs="Courier New" w:eastAsia="Courier New" w:hAnsi="Courier New"/>
                <w:sz w:val="15"/>
                <w:szCs w:val="15"/>
                <w:color w:val="auto"/>
              </w:rPr>
              <w:t>Unrealized loss on short-term</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 investments,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net of tax</w:t>
            </w:r>
          </w:p>
        </w:tc>
        <w:tc>
          <w:tcPr>
            <w:tcW w:w="7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(1,687)</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(1,227)</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(1,931)</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60,949</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52,707</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169,205</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138,366</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2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5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r>
      <w:tr>
        <w:trPr>
          <w:trHeight w:val="176"/>
        </w:trPr>
        <w:tc>
          <w:tcPr>
            <w:tcW w:w="1820" w:type="dxa"/>
            <w:vAlign w:val="bottom"/>
          </w:tcPr>
          <w:p>
            <w:pPr>
              <w:spacing w:after="0"/>
              <w:rPr>
                <w:sz w:val="15"/>
                <w:szCs w:val="15"/>
                <w:color w:val="auto"/>
              </w:rPr>
            </w:pPr>
          </w:p>
        </w:tc>
        <w:tc>
          <w:tcPr>
            <w:tcW w:w="3440" w:type="dxa"/>
            <w:vAlign w:val="bottom"/>
            <w:gridSpan w:val="2"/>
          </w:tcPr>
          <w:p>
            <w:pPr>
              <w:ind w:left="2120"/>
              <w:spacing w:after="0"/>
              <w:rPr>
                <w:sz w:val="20"/>
                <w:szCs w:val="20"/>
                <w:color w:val="auto"/>
              </w:rPr>
            </w:pPr>
            <w:r>
              <w:rPr>
                <w:rFonts w:ascii="Courier New" w:cs="Courier New" w:eastAsia="Courier New" w:hAnsi="Courier New"/>
                <w:sz w:val="10"/>
                <w:szCs w:val="10"/>
                <w:color w:val="auto"/>
                <w:w w:val="72"/>
              </w:rPr>
              <w:t>------------------------------</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6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32,755</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10,571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56,966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31,115</w:t>
            </w:r>
          </w:p>
        </w:tc>
      </w:tr>
      <w:tr>
        <w:trPr>
          <w:trHeight w:val="176"/>
        </w:trPr>
        <w:tc>
          <w:tcPr>
            <w:tcW w:w="18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4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(15,855)</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5,242</w:t>
            </w:r>
          </w:p>
        </w:tc>
        <w:tc>
          <w:tcPr>
            <w:tcW w:w="46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(8,093)</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16,900</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15,813</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48,873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1820" w:type="dxa"/>
            <w:vAlign w:val="bottom"/>
          </w:tcPr>
          <w:p>
            <w:pPr>
              <w:spacing w:after="0"/>
              <w:rPr>
                <w:sz w:val="24"/>
                <w:szCs w:val="24"/>
                <w:color w:val="auto"/>
              </w:rPr>
            </w:pPr>
          </w:p>
        </w:tc>
        <w:tc>
          <w:tcPr>
            <w:tcW w:w="2480" w:type="dxa"/>
            <w:vAlign w:val="bottom"/>
          </w:tcPr>
          <w:p>
            <w:pPr>
              <w:jc w:val="right"/>
              <w:ind w:right="1108"/>
              <w:spacing w:after="0"/>
              <w:rPr>
                <w:sz w:val="20"/>
                <w:szCs w:val="20"/>
                <w:color w:val="auto"/>
              </w:rPr>
            </w:pPr>
            <w:r>
              <w:rPr>
                <w:rFonts w:ascii="Courier New" w:cs="Courier New" w:eastAsia="Courier New" w:hAnsi="Courier New"/>
                <w:sz w:val="15"/>
                <w:szCs w:val="15"/>
                <w:color w:val="auto"/>
              </w:rPr>
              <w:t>48</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526"/>
          </w:cols>
          <w:pgMar w:left="234" w:top="647" w:right="1139" w:bottom="1440" w:gutter="0" w:footer="0" w:header="0"/>
        </w:sectPr>
      </w:pPr>
    </w:p>
    <w:bookmarkStart w:id="55" w:name="page56"/>
    <w:bookmarkEnd w:id="55"/>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6" w:right="3760" w:firstLine="824"/>
        <w:spacing w:after="0" w:line="250"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8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31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97"/>
              </w:rPr>
              <w:t>June 30,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38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560" w:firstLine="275"/>
        <w:spacing w:after="0" w:line="249"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2004 is expected to approximate 22%.</w:t>
      </w:r>
    </w:p>
    <w:p>
      <w:pPr>
        <w:spacing w:after="0" w:line="176" w:lineRule="exact"/>
        <w:rPr>
          <w:sz w:val="20"/>
          <w:szCs w:val="20"/>
          <w:color w:val="auto"/>
        </w:rPr>
      </w:pPr>
    </w:p>
    <w:p>
      <w:pPr>
        <w:ind w:left="366" w:hanging="366"/>
        <w:spacing w:after="0"/>
        <w:tabs>
          <w:tab w:leader="none" w:pos="3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6" w:right="4020" w:firstLine="641"/>
        <w:spacing w:after="0" w:line="250"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5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June 30,</w:t>
            </w:r>
          </w:p>
        </w:tc>
        <w:tc>
          <w:tcPr>
            <w:tcW w:w="92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34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0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40" w:type="dxa"/>
            <w:vAlign w:val="bottom"/>
          </w:tcPr>
          <w:p>
            <w:pPr>
              <w:spacing w:after="0"/>
              <w:rPr>
                <w:sz w:val="15"/>
                <w:szCs w:val="15"/>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r>
      <w:tr>
        <w:trPr>
          <w:trHeight w:val="529"/>
        </w:trPr>
        <w:tc>
          <w:tcPr>
            <w:tcW w:w="38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59,920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47,438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173,278</w:t>
            </w:r>
          </w:p>
        </w:tc>
        <w:tc>
          <w:tcPr>
            <w:tcW w:w="740" w:type="dxa"/>
            <w:vAlign w:val="bottom"/>
          </w:tcPr>
          <w:p>
            <w:pPr>
              <w:ind w:left="6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shares</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outstanding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206,093</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215,938</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210,409</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215,786</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5,708</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4,854</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5,777</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diluted earnings per</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 -</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adjusted weighted average shares and</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conversions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211,801</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220,792</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216,186</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106" w:right="3480" w:hanging="373"/>
        <w:spacing w:after="0" w:line="249" w:lineRule="auto"/>
        <w:tabs>
          <w:tab w:leader="none" w:pos="128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75"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ectPr>
          <w:pgSz w:w="11900" w:h="16838" w:orient="portrait"/>
          <w:cols w:equalWidth="0" w:num="1">
            <w:col w:w="10806"/>
          </w:cols>
          <w:pgMar w:left="234" w:top="823" w:right="859" w:bottom="0" w:gutter="0" w:footer="0" w:header="0"/>
        </w:sectPr>
      </w:pPr>
    </w:p>
    <w:bookmarkStart w:id="56" w:name="page57"/>
    <w:bookmarkEnd w:id="56"/>
    <w:p>
      <w:pPr>
        <w:ind w:left="2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494" w:right="1440" w:bottom="1440" w:gutter="0" w:footer="0" w:header="0"/>
        </w:sectPr>
      </w:pPr>
    </w:p>
    <w:bookmarkStart w:id="57" w:name="page58"/>
    <w:bookmarkEnd w:id="57"/>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Securities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Ordinary Shares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76"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Convertible Notes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notes solely with cash. The Company accepted for payment $395,110 principal amount of 2% Notes surrendered for repurchase pursuant to the offer. The untendered $344 principal amount of 2% Notes will remain as obligations of the Company, due June 1, 2008, in accordance with</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5"/>
          </w:cols>
          <w:pgMar w:left="234" w:top="647" w:right="1440" w:bottom="1440" w:gutter="0" w:footer="0" w:header="0"/>
        </w:sectPr>
      </w:pPr>
    </w:p>
    <w:bookmarkStart w:id="58" w:name="page59"/>
    <w:bookmarkEnd w:id="58"/>
    <w:p>
      <w:pPr>
        <w:jc w:val="center"/>
        <w:ind w:right="732"/>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732"/>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8" w:right="280"/>
        <w:spacing w:after="0" w:line="250" w:lineRule="auto"/>
        <w:rPr>
          <w:sz w:val="20"/>
          <w:szCs w:val="20"/>
          <w:color w:val="auto"/>
        </w:rPr>
      </w:pPr>
      <w:r>
        <w:rPr>
          <w:rFonts w:ascii="Courier New" w:cs="Courier New" w:eastAsia="Courier New" w:hAnsi="Courier New"/>
          <w:sz w:val="15"/>
          <w:szCs w:val="15"/>
          <w:color w:val="auto"/>
        </w:rPr>
        <w:t>their terms, and are included in "Noncurrent liabilities and other" in the accompanying consolidated balance sheet as of June 30, 2004.</w:t>
      </w:r>
    </w:p>
    <w:p>
      <w:pPr>
        <w:spacing w:after="0" w:line="175" w:lineRule="exact"/>
        <w:rPr>
          <w:sz w:val="20"/>
          <w:szCs w:val="20"/>
          <w:color w:val="auto"/>
        </w:rPr>
      </w:pPr>
    </w:p>
    <w:p>
      <w:pPr>
        <w:ind w:left="368" w:right="5680" w:hanging="368"/>
        <w:spacing w:after="0" w:line="497" w:lineRule="auto"/>
        <w:tabs>
          <w:tab w:leader="none" w:pos="3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CERTEN INC.</w:t>
      </w:r>
    </w:p>
    <w:p>
      <w:pPr>
        <w:spacing w:after="0" w:line="1" w:lineRule="exact"/>
        <w:rPr>
          <w:sz w:val="20"/>
          <w:szCs w:val="20"/>
          <w:color w:val="auto"/>
        </w:rPr>
      </w:pPr>
    </w:p>
    <w:p>
      <w:pPr>
        <w:ind w:left="8" w:right="280" w:firstLine="366"/>
        <w:spacing w:after="0" w:line="248"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66" w:lineRule="exact"/>
        <w:rPr>
          <w:sz w:val="20"/>
          <w:szCs w:val="20"/>
          <w:color w:val="auto"/>
        </w:rPr>
      </w:pPr>
    </w:p>
    <w:p>
      <w:pPr>
        <w:ind w:left="8" w:right="820" w:firstLine="366"/>
        <w:spacing w:after="0" w:line="250" w:lineRule="auto"/>
        <w:rPr>
          <w:sz w:val="20"/>
          <w:szCs w:val="20"/>
          <w:color w:val="auto"/>
        </w:rPr>
      </w:pPr>
      <w:r>
        <w:rPr>
          <w:rFonts w:ascii="Courier New" w:cs="Courier New" w:eastAsia="Courier New" w:hAnsi="Courier New"/>
          <w:sz w:val="15"/>
          <w:szCs w:val="15"/>
          <w:color w:val="auto"/>
        </w:rPr>
        <w:t>The following is the revised allocation of the purchase price and deferred tax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Purchase price</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Estimated transaction costs</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Total purchase price</w:t>
      </w:r>
    </w:p>
    <w:p>
      <w:pPr>
        <w:spacing w:after="0" w:line="6" w:lineRule="exact"/>
        <w:rPr>
          <w:sz w:val="20"/>
          <w:szCs w:val="20"/>
          <w:color w:val="auto"/>
        </w:rPr>
      </w:pPr>
    </w:p>
    <w:p>
      <w:pPr>
        <w:ind w:left="1008" w:right="180" w:hanging="182"/>
        <w:spacing w:after="0" w:line="250" w:lineRule="auto"/>
        <w:rPr>
          <w:sz w:val="20"/>
          <w:szCs w:val="20"/>
          <w:color w:val="auto"/>
        </w:rPr>
      </w:pPr>
      <w:r>
        <w:rPr>
          <w:rFonts w:ascii="Courier New" w:cs="Courier New" w:eastAsia="Courier New" w:hAnsi="Courier New"/>
          <w:sz w:val="15"/>
          <w:szCs w:val="15"/>
          <w:color w:val="auto"/>
        </w:rPr>
        <w:t>Write-off of deferred revenue and allowance on Amdocs books, net of tax</w:t>
      </w:r>
    </w:p>
    <w:p>
      <w:pPr>
        <w:spacing w:after="0" w:line="175"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amount for purchase price allocation</w:t>
      </w:r>
    </w:p>
    <w:p>
      <w:pPr>
        <w:spacing w:after="0" w:line="359"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Allocation of purchase price:</w:t>
      </w:r>
    </w:p>
    <w:p>
      <w:pPr>
        <w:spacing w:after="0" w:line="6" w:lineRule="exact"/>
        <w:rPr>
          <w:sz w:val="20"/>
          <w:szCs w:val="20"/>
          <w:color w:val="auto"/>
        </w:rPr>
      </w:pPr>
    </w:p>
    <w:p>
      <w:pPr>
        <w:ind w:left="1008" w:right="360" w:hanging="182"/>
        <w:spacing w:after="0" w:line="248" w:lineRule="auto"/>
        <w:rPr>
          <w:sz w:val="20"/>
          <w:szCs w:val="20"/>
          <w:color w:val="auto"/>
        </w:rPr>
      </w:pPr>
      <w:r>
        <w:rPr>
          <w:rFonts w:ascii="Courier New" w:cs="Courier New" w:eastAsia="Courier New" w:hAnsi="Courier New"/>
          <w:sz w:val="15"/>
          <w:szCs w:val="15"/>
          <w:color w:val="auto"/>
        </w:rPr>
        <w:t>90% tangible assets acquired, net of capitalized Amdocs system on Certen's books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90% liabilities assumed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liabilities acquired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Customer arrangement</w:t>
      </w:r>
    </w:p>
    <w:p>
      <w:pPr>
        <w:spacing w:after="0" w:line="6" w:lineRule="exact"/>
        <w:rPr>
          <w:sz w:val="20"/>
          <w:szCs w:val="20"/>
          <w:color w:val="auto"/>
        </w:rPr>
      </w:pPr>
    </w:p>
    <w:p>
      <w:pPr>
        <w:ind w:left="1008" w:hanging="182"/>
        <w:spacing w:after="0" w:line="248" w:lineRule="auto"/>
        <w:rPr>
          <w:sz w:val="20"/>
          <w:szCs w:val="20"/>
          <w:color w:val="auto"/>
        </w:rPr>
      </w:pPr>
      <w:r>
        <w:rPr>
          <w:rFonts w:ascii="Courier New" w:cs="Courier New" w:eastAsia="Courier New" w:hAnsi="Courier New"/>
          <w:sz w:val="15"/>
          <w:szCs w:val="15"/>
          <w:color w:val="auto"/>
        </w:rPr>
        <w:t>Adjustment to fair value of pension and other post-employment benefit liabilities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EITF 95-3 and other liabilities</w:t>
      </w:r>
    </w:p>
    <w:p>
      <w:pPr>
        <w:spacing w:after="0" w:line="6" w:lineRule="exact"/>
        <w:rPr>
          <w:sz w:val="20"/>
          <w:szCs w:val="20"/>
          <w:color w:val="auto"/>
        </w:rPr>
      </w:pPr>
    </w:p>
    <w:p>
      <w:pPr>
        <w:jc w:val="both"/>
        <w:ind w:left="1008" w:right="280" w:hanging="182"/>
        <w:spacing w:after="0" w:line="249" w:lineRule="auto"/>
        <w:rPr>
          <w:sz w:val="20"/>
          <w:szCs w:val="20"/>
          <w:color w:val="auto"/>
        </w:rPr>
      </w:pPr>
      <w:r>
        <w:rPr>
          <w:rFonts w:ascii="Courier New" w:cs="Courier New" w:eastAsia="Courier New" w:hAnsi="Courier New"/>
          <w:sz w:val="15"/>
          <w:szCs w:val="15"/>
          <w:color w:val="auto"/>
        </w:rPr>
        <w:t>Deferred taxes resulting from the difference between the assigned value of certain assets and liabilities and their respective tax bases</w:t>
      </w:r>
    </w:p>
    <w:p>
      <w:pPr>
        <w:spacing w:after="0" w:line="17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fair value of liabilities acquired</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65,887</w:t>
      </w:r>
    </w:p>
    <w:p>
      <w:pPr>
        <w:spacing w:after="0" w:line="6"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68,812</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(33,666)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460" w:hanging="452"/>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80,929</w:t>
      </w:r>
    </w:p>
    <w:p>
      <w:pPr>
        <w:spacing w:after="0" w:line="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(241,460)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(160,531)</w:t>
      </w:r>
    </w:p>
    <w:p>
      <w:pPr>
        <w:spacing w:after="0" w:line="182"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36,385</w:t>
      </w:r>
    </w:p>
    <w:p>
      <w:pPr>
        <w:spacing w:after="0" w:line="182"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(12,605)</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(2,857)</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73,673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(65,935)</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101,081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148" w:space="540"/>
            <w:col w:w="2079"/>
          </w:cols>
          <w:pgMar w:left="692" w:top="470" w:right="1440" w:bottom="1440" w:gutter="0" w:footer="0" w:header="0"/>
        </w:sectPr>
      </w:pPr>
    </w:p>
    <w:bookmarkStart w:id="59" w:name="page60"/>
    <w:bookmarkEnd w:id="59"/>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THREE MONTHS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ENDED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JUNE 30, 2003</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$ 432,383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$ 1,210,198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51,727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129,381</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40,883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104,107</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bl>
    <w:p>
      <w:pPr>
        <w:spacing w:after="0" w:line="3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XACCT TECHNOLOGIES LIMITED</w:t>
      </w:r>
    </w:p>
    <w:p>
      <w:pPr>
        <w:spacing w:after="0" w:line="182"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184" w:lineRule="exact"/>
        <w:rPr>
          <w:sz w:val="20"/>
          <w:szCs w:val="20"/>
          <w:color w:val="auto"/>
        </w:rPr>
      </w:pPr>
    </w:p>
    <w:p>
      <w:pPr>
        <w:ind w:right="3259" w:firstLine="366"/>
        <w:spacing w:after="0" w:line="250"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assets:</w:t>
      </w:r>
    </w:p>
    <w:p>
      <w:pPr>
        <w:spacing w:after="0" w:line="351"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551</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Technology</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9,209</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8,164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10,187</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$29,175</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5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759"/>
          </w:cols>
          <w:pgMar w:left="700" w:top="470" w:right="1440" w:bottom="1440" w:gutter="0" w:footer="0" w:header="0"/>
        </w:sectPr>
      </w:pPr>
    </w:p>
    <w:bookmarkStart w:id="60" w:name="page61"/>
    <w:bookmarkEnd w:id="60"/>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Convertible Senior Notes Due 2024</w:t>
      </w:r>
    </w:p>
    <w:p>
      <w:pPr>
        <w:spacing w:after="0" w:line="182" w:lineRule="exact"/>
        <w:rPr>
          <w:sz w:val="20"/>
          <w:szCs w:val="20"/>
          <w:color w:val="auto"/>
        </w:rPr>
      </w:pPr>
    </w:p>
    <w:p>
      <w:pPr>
        <w:ind w:left="466" w:right="2899" w:firstLine="366"/>
        <w:spacing w:after="0" w:line="248" w:lineRule="auto"/>
        <w:rPr>
          <w:sz w:val="20"/>
          <w:szCs w:val="20"/>
          <w:color w:val="auto"/>
        </w:rPr>
      </w:pPr>
      <w:r>
        <w:rPr>
          <w:rFonts w:ascii="Courier New" w:cs="Courier New" w:eastAsia="Courier New" w:hAnsi="Courier New"/>
          <w:sz w:val="15"/>
          <w:szCs w:val="15"/>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8" w:lineRule="exact"/>
        <w:rPr>
          <w:sz w:val="20"/>
          <w:szCs w:val="20"/>
          <w:color w:val="auto"/>
        </w:rPr>
      </w:pPr>
    </w:p>
    <w:p>
      <w:pPr>
        <w:ind w:left="466" w:right="2899" w:hanging="8"/>
        <w:spacing w:after="0" w:line="248" w:lineRule="auto"/>
        <w:tabs>
          <w:tab w:leader="none" w:pos="92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63"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Fiscal Year Ended September 30, 2003</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Details of $9,956 Restructuring Charge:</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5"/>
          </w:cols>
          <w:pgMar w:left="234" w:top="823" w:right="1440" w:bottom="1440" w:gutter="0" w:footer="0" w:header="0"/>
        </w:sectPr>
      </w:pPr>
    </w:p>
    <w:bookmarkStart w:id="61" w:name="page62"/>
    <w:bookmarkEnd w:id="61"/>
    <w:p>
      <w:pPr>
        <w:jc w:val="center"/>
        <w:ind w:right="4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Missouri. The Company also recorded a provision of $1,829 for asset write-offs, principally for leasehold improvements in Raanana, Israel and St. Louis, Missouri that were abandoned.</w:t>
      </w:r>
    </w:p>
    <w:p>
      <w:pPr>
        <w:spacing w:after="0" w:line="176" w:lineRule="exact"/>
        <w:rPr>
          <w:sz w:val="20"/>
          <w:szCs w:val="20"/>
          <w:color w:val="auto"/>
        </w:rPr>
      </w:pPr>
    </w:p>
    <w:p>
      <w:pPr>
        <w:ind w:right="180" w:firstLine="366"/>
        <w:spacing w:after="0" w:line="250" w:lineRule="auto"/>
        <w:rPr>
          <w:sz w:val="20"/>
          <w:szCs w:val="20"/>
          <w:color w:val="auto"/>
        </w:rPr>
      </w:pPr>
      <w:r>
        <w:rPr>
          <w:rFonts w:ascii="Courier New" w:cs="Courier New" w:eastAsia="Courier New" w:hAnsi="Courier New"/>
          <w:sz w:val="15"/>
          <w:szCs w:val="15"/>
          <w:color w:val="auto"/>
        </w:rPr>
        <w:t>The first quarter of fiscal 2003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EMPLOYEE</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SEPARATION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FACILITIES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4,011</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4,022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(3,890)</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(467)</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3,102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(1,198)</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Fiscal Year Ended September 30, 2002</w:t>
      </w:r>
    </w:p>
    <w:p>
      <w:pPr>
        <w:spacing w:after="0" w:line="182"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75"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$20,919 Restructuring Charge:</w:t>
      </w:r>
    </w:p>
    <w:p>
      <w:pPr>
        <w:spacing w:after="0" w:line="182"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128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spacing w:after="0"/>
        <w:tabs>
          <w:tab w:leader="none" w:pos="540" w:val="left"/>
          <w:tab w:leader="none" w:pos="1080" w:val="left"/>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9,956</w:t>
      </w:r>
    </w:p>
    <w:p>
      <w:pPr>
        <w:spacing w:after="0" w:line="6" w:lineRule="exact"/>
        <w:rPr>
          <w:sz w:val="20"/>
          <w:szCs w:val="20"/>
          <w:color w:val="auto"/>
        </w:rPr>
      </w:pPr>
    </w:p>
    <w:p>
      <w:pPr>
        <w:ind w:left="1300" w:hanging="832"/>
        <w:spacing w:after="0"/>
        <w:tabs>
          <w:tab w:leader="none" w:pos="13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(4,451)</w:t>
      </w:r>
    </w:p>
    <w:p>
      <w:pPr>
        <w:spacing w:after="0" w:line="6" w:lineRule="exact"/>
        <w:rPr>
          <w:sz w:val="20"/>
          <w:szCs w:val="20"/>
          <w:color w:val="auto"/>
        </w:rPr>
      </w:pPr>
    </w:p>
    <w:p>
      <w:pPr>
        <w:ind w:left="1300" w:hanging="741"/>
        <w:spacing w:after="0"/>
        <w:tabs>
          <w:tab w:leader="none" w:pos="13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(1,829)</w:t>
      </w:r>
    </w:p>
    <w:p>
      <w:pPr>
        <w:spacing w:after="0" w:line="6" w:lineRule="exact"/>
        <w:rPr>
          <w:rFonts w:ascii="Courier New" w:cs="Courier New" w:eastAsia="Courier New" w:hAnsi="Courier New"/>
          <w:sz w:val="15"/>
          <w:szCs w:val="15"/>
          <w:color w:val="auto"/>
        </w:rPr>
      </w:pPr>
    </w:p>
    <w:p>
      <w:pPr>
        <w:ind w:left="1480" w:hanging="921"/>
        <w:spacing w:after="0"/>
        <w:tabs>
          <w:tab w:leader="none" w:pos="14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80" w:hanging="821"/>
        <w:spacing w:after="0"/>
        <w:tabs>
          <w:tab w:leader="none" w:pos="1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3,261</w:t>
      </w:r>
    </w:p>
    <w:p>
      <w:pPr>
        <w:spacing w:after="0" w:line="6" w:lineRule="exact"/>
        <w:rPr>
          <w:rFonts w:ascii="Courier New" w:cs="Courier New" w:eastAsia="Courier New" w:hAnsi="Courier New"/>
          <w:sz w:val="15"/>
          <w:szCs w:val="15"/>
          <w:color w:val="auto"/>
        </w:rPr>
      </w:pPr>
    </w:p>
    <w:p>
      <w:pPr>
        <w:ind w:left="1300" w:hanging="741"/>
        <w:spacing w:after="0"/>
        <w:tabs>
          <w:tab w:leader="none" w:pos="13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(1,365)</w:t>
      </w:r>
    </w:p>
    <w:p>
      <w:pPr>
        <w:spacing w:after="0" w:line="6" w:lineRule="exact"/>
        <w:rPr>
          <w:rFonts w:ascii="Courier New" w:cs="Courier New" w:eastAsia="Courier New" w:hAnsi="Courier New"/>
          <w:sz w:val="15"/>
          <w:szCs w:val="15"/>
          <w:color w:val="auto"/>
        </w:rPr>
      </w:pPr>
    </w:p>
    <w:p>
      <w:pPr>
        <w:ind w:left="1760" w:hanging="1201"/>
        <w:spacing w:after="0"/>
        <w:tabs>
          <w:tab w:leader="none" w:pos="17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560" w:hanging="550"/>
        <w:spacing w:after="0"/>
        <w:tabs>
          <w:tab w:leader="none" w:pos="5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1,904</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860" w:space="360"/>
            <w:col w:w="2539"/>
          </w:cols>
          <w:pgMar w:left="700" w:top="470" w:right="1440" w:bottom="1440" w:gutter="0" w:footer="0" w:header="0"/>
        </w:sectPr>
      </w:pPr>
    </w:p>
    <w:bookmarkStart w:id="62" w:name="page63"/>
    <w:bookmarkEnd w:id="62"/>
    <w:p>
      <w:pPr>
        <w:jc w:val="center"/>
        <w:ind w:right="110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jc w:val="both"/>
        <w:ind w:right="640"/>
        <w:spacing w:after="0" w:line="249" w:lineRule="auto"/>
        <w:rPr>
          <w:sz w:val="20"/>
          <w:szCs w:val="20"/>
          <w:color w:val="auto"/>
        </w:rPr>
      </w:pPr>
      <w:r>
        <w:rPr>
          <w:rFonts w:ascii="Courier New" w:cs="Courier New" w:eastAsia="Courier New" w:hAnsi="Courier New"/>
          <w:sz w:val="15"/>
          <w:szCs w:val="15"/>
          <w:color w:val="auto"/>
        </w:rPr>
        <w:t>The Company also recorded a provision of $1,584 for asset write-offs, principally for leasehold improvements in Canada, Israel and the United States that were abandoned.</w:t>
      </w:r>
    </w:p>
    <w:p>
      <w:pPr>
        <w:spacing w:after="0" w:line="176" w:lineRule="exact"/>
        <w:rPr>
          <w:sz w:val="20"/>
          <w:szCs w:val="20"/>
          <w:color w:val="auto"/>
        </w:rPr>
      </w:pPr>
    </w:p>
    <w:p>
      <w:pPr>
        <w:ind w:right="720" w:firstLine="366"/>
        <w:spacing w:after="0" w:line="250" w:lineRule="auto"/>
        <w:rPr>
          <w:sz w:val="20"/>
          <w:szCs w:val="20"/>
          <w:color w:val="auto"/>
        </w:rPr>
      </w:pPr>
      <w:r>
        <w:rPr>
          <w:rFonts w:ascii="Courier New" w:cs="Courier New" w:eastAsia="Courier New" w:hAnsi="Courier New"/>
          <w:sz w:val="15"/>
          <w:szCs w:val="15"/>
          <w:color w:val="auto"/>
        </w:rPr>
        <w:t>The fourth quarter of fiscal 2002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Employee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Separation</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Costs</w:t>
            </w: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Facilities</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11,353</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7,880</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(8,053)</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(456)</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3,300</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(3,240)</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(4,082)</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3,194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34"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76" w:lineRule="exact"/>
        <w:rPr>
          <w:sz w:val="20"/>
          <w:szCs w:val="20"/>
          <w:color w:val="auto"/>
        </w:rPr>
      </w:pPr>
    </w:p>
    <w:p>
      <w:pPr>
        <w:ind w:right="720" w:firstLine="366"/>
        <w:spacing w:after="0" w:line="249" w:lineRule="auto"/>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76" w:lineRule="exact"/>
        <w:rPr>
          <w:sz w:val="20"/>
          <w:szCs w:val="20"/>
          <w:color w:val="auto"/>
        </w:rPr>
      </w:pPr>
    </w:p>
    <w:p>
      <w:pPr>
        <w:ind w:right="820"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$13,311 Restructuring charge:</w:t>
      </w:r>
    </w:p>
    <w:p>
      <w:pPr>
        <w:spacing w:after="0" w:line="182"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Other</w:t>
            </w:r>
          </w:p>
        </w:tc>
        <w:tc>
          <w:tcPr>
            <w:tcW w:w="52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52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102</w:t>
            </w:r>
          </w:p>
        </w:tc>
        <w:tc>
          <w:tcPr>
            <w:tcW w:w="5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20,919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(8,566)</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10,769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(7,367)</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1920" w:hanging="1196"/>
        <w:spacing w:after="0"/>
        <w:tabs>
          <w:tab w:leader="none" w:pos="19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3,276</w:t>
      </w:r>
    </w:p>
    <w:p>
      <w:pPr>
        <w:spacing w:after="0" w:line="6" w:lineRule="exact"/>
        <w:rPr>
          <w:rFonts w:ascii="Courier New" w:cs="Courier New" w:eastAsia="Courier New" w:hAnsi="Courier New"/>
          <w:sz w:val="15"/>
          <w:szCs w:val="15"/>
          <w:color w:val="auto"/>
        </w:rPr>
      </w:pPr>
    </w:p>
    <w:p>
      <w:pPr>
        <w:ind w:left="1820" w:hanging="1096"/>
        <w:spacing w:after="0"/>
        <w:tabs>
          <w:tab w:leader="none" w:pos="18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w:t>
      </w:r>
    </w:p>
    <w:p>
      <w:pPr>
        <w:spacing w:after="0" w:line="6" w:lineRule="exact"/>
        <w:rPr>
          <w:rFonts w:ascii="Courier New" w:cs="Courier New" w:eastAsia="Courier New" w:hAnsi="Courier New"/>
          <w:sz w:val="15"/>
          <w:szCs w:val="15"/>
          <w:color w:val="auto"/>
        </w:rPr>
      </w:pPr>
    </w:p>
    <w:p>
      <w:pPr>
        <w:ind w:left="2100" w:hanging="1376"/>
        <w:spacing w:after="0"/>
        <w:tabs>
          <w:tab w:leader="none" w:pos="21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700" w:val="left"/>
          <w:tab w:leader="none" w:pos="1620" w:val="left"/>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2,213</w:t>
      </w:r>
    </w:p>
    <w:p>
      <w:pPr>
        <w:spacing w:after="0" w:line="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500" w:space="380"/>
            <w:col w:w="2740"/>
          </w:cols>
          <w:pgMar w:left="700" w:top="647" w:right="579" w:bottom="1440" w:gutter="0" w:footer="0" w:header="0"/>
        </w:sectPr>
      </w:pPr>
    </w:p>
    <w:bookmarkStart w:id="63" w:name="page64"/>
    <w:bookmarkEnd w:id="63"/>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Employee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Separation</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Asset</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Costs</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Facilities</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Write-offs</w:t>
            </w:r>
          </w:p>
        </w:tc>
        <w:tc>
          <w:tcPr>
            <w:tcW w:w="4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Other</w:t>
            </w:r>
          </w:p>
        </w:tc>
        <w:tc>
          <w:tcPr>
            <w:tcW w:w="5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2,530</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13,311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(2,473)</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(2,592)</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(5,070)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395</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4,115</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(141)</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(926)</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(168)</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2,710</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1,917</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466" w:right="3560" w:firstLine="458"/>
        <w:spacing w:after="0" w:line="250" w:lineRule="auto"/>
        <w:rPr>
          <w:sz w:val="20"/>
          <w:szCs w:val="20"/>
          <w:color w:val="auto"/>
        </w:rPr>
      </w:pPr>
      <w:r>
        <w:rPr>
          <w:rFonts w:ascii="Courier New" w:cs="Courier New" w:eastAsia="Courier New" w:hAnsi="Courier New"/>
          <w:sz w:val="15"/>
          <w:szCs w:val="15"/>
          <w:color w:val="auto"/>
        </w:rPr>
        <w:t>The operating costs related to the Stamford site that were eliminated were approximately $8,500 in its last quarter of activity.</w:t>
      </w:r>
    </w:p>
    <w:p>
      <w:pPr>
        <w:spacing w:after="0" w:line="175" w:lineRule="exact"/>
        <w:rPr>
          <w:sz w:val="20"/>
          <w:szCs w:val="20"/>
          <w:color w:val="auto"/>
        </w:rPr>
      </w:pPr>
    </w:p>
    <w:p>
      <w:pPr>
        <w:ind w:left="466" w:hanging="466"/>
        <w:spacing w:after="0"/>
        <w:tabs>
          <w:tab w:leader="none" w:pos="4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8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5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75" w:lineRule="exact"/>
        <w:rPr>
          <w:sz w:val="20"/>
          <w:szCs w:val="20"/>
          <w:color w:val="auto"/>
        </w:rPr>
      </w:pPr>
    </w:p>
    <w:p>
      <w:pPr>
        <w:ind w:left="466" w:right="3760" w:firstLine="366"/>
        <w:spacing w:after="0" w:line="250" w:lineRule="auto"/>
        <w:rPr>
          <w:sz w:val="20"/>
          <w:szCs w:val="20"/>
          <w:color w:val="auto"/>
        </w:rPr>
      </w:pPr>
      <w:r>
        <w:rPr>
          <w:rFonts w:ascii="Courier New" w:cs="Courier New" w:eastAsia="Courier New" w:hAnsi="Courier New"/>
          <w:sz w:val="15"/>
          <w:szCs w:val="15"/>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c>
          <w:tcPr>
            <w:tcW w:w="280" w:type="dxa"/>
            <w:vAlign w:val="bottom"/>
          </w:tcPr>
          <w:p>
            <w:pPr>
              <w:spacing w:after="0"/>
              <w:rPr>
                <w:sz w:val="14"/>
                <w:szCs w:val="14"/>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 2004</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June 30, 2004</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0"/>
              </w:rPr>
              <w:t>------------------------------</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Benefits</w:t>
            </w: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Benefits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Benefits</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515</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1,488</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673</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1,943</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36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(575)</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(1,661)</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613</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88"/>
              </w:rPr>
              <w:t>191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1,770</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550</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660" w:firstLine="366"/>
        <w:spacing w:after="0" w:line="249" w:lineRule="auto"/>
        <w:rPr>
          <w:sz w:val="20"/>
          <w:szCs w:val="20"/>
          <w:color w:val="auto"/>
        </w:rPr>
      </w:pPr>
      <w:r>
        <w:rPr>
          <w:rFonts w:ascii="Courier New" w:cs="Courier New" w:eastAsia="Courier New" w:hAnsi="Courier New"/>
          <w:sz w:val="15"/>
          <w:szCs w:val="15"/>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806"/>
          </w:cols>
          <w:pgMar w:left="234" w:top="470" w:right="859" w:bottom="658" w:gutter="0" w:footer="0" w:header="0"/>
        </w:sectPr>
      </w:pPr>
    </w:p>
    <w:bookmarkStart w:id="64" w:name="page65"/>
    <w:bookmarkEnd w:id="64"/>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75" w:lineRule="exact"/>
        <w:rPr>
          <w:sz w:val="20"/>
          <w:szCs w:val="20"/>
          <w:color w:val="auto"/>
        </w:rPr>
      </w:pPr>
    </w:p>
    <w:p>
      <w:pPr>
        <w:ind w:left="366" w:right="2979" w:firstLine="458"/>
        <w:spacing w:after="0" w:line="249"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175" w:lineRule="exact"/>
        <w:rPr>
          <w:sz w:val="20"/>
          <w:szCs w:val="20"/>
          <w:color w:val="auto"/>
        </w:rPr>
      </w:pPr>
    </w:p>
    <w:p>
      <w:pPr>
        <w:ind w:left="466" w:right="3079" w:firstLine="366"/>
        <w:spacing w:after="0" w:line="249"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5"/>
          </w:cols>
          <w:pgMar w:left="234" w:top="647" w:right="1440" w:bottom="1440" w:gutter="0" w:footer="0" w:header="0"/>
        </w:sectPr>
      </w:pPr>
    </w:p>
    <w:bookmarkStart w:id="65" w:name="page66"/>
    <w:bookmarkEnd w:id="65"/>
    <w:p>
      <w:pPr>
        <w:jc w:val="center"/>
        <w:ind w:right="2899"/>
        <w:spacing w:after="0"/>
        <w:rPr>
          <w:sz w:val="20"/>
          <w:szCs w:val="20"/>
          <w:color w:val="auto"/>
        </w:rPr>
      </w:pPr>
      <w:r>
        <w:rPr>
          <w:rFonts w:ascii="Courier New" w:cs="Courier New" w:eastAsia="Courier New" w:hAnsi="Courier New"/>
          <w:sz w:val="15"/>
          <w:szCs w:val="15"/>
          <w:color w:val="auto"/>
        </w:rPr>
        <w:t>OPERATING AND FINANCIAL REVIEW AND PROSPECTS FOR THE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THREE AND NINE MONTH PERIODS ENDED JUNE 30, 2004</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82" w:lineRule="exact"/>
        <w:rPr>
          <w:rFonts w:ascii="Courier New" w:cs="Courier New" w:eastAsia="Courier New" w:hAnsi="Courier New"/>
          <w:sz w:val="15"/>
          <w:szCs w:val="15"/>
          <w:color w:val="auto"/>
        </w:rPr>
      </w:pPr>
    </w:p>
    <w:p>
      <w:pPr>
        <w:ind w:left="820" w:right="289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nine months and three months ended June 30, 2004 and 2003,</w:t>
      </w:r>
    </w:p>
    <w:p>
      <w:pPr>
        <w:spacing w:after="0" w:line="174" w:lineRule="exact"/>
        <w:rPr>
          <w:rFonts w:ascii="Courier New" w:cs="Courier New" w:eastAsia="Courier New" w:hAnsi="Courier New"/>
          <w:sz w:val="15"/>
          <w:szCs w:val="15"/>
          <w:color w:val="auto"/>
        </w:rPr>
      </w:pPr>
    </w:p>
    <w:p>
      <w:pPr>
        <w:ind w:left="820" w:right="353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4"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82"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82" w:lineRule="exact"/>
        <w:rPr>
          <w:rFonts w:ascii="Courier New" w:cs="Courier New" w:eastAsia="Courier New" w:hAnsi="Courier New"/>
          <w:sz w:val="15"/>
          <w:szCs w:val="15"/>
          <w:color w:val="auto"/>
        </w:rPr>
      </w:pPr>
    </w:p>
    <w:p>
      <w:pPr>
        <w:ind w:left="820" w:right="297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nine months and three months ended June 30, 2004 and 2003, and</w:t>
      </w:r>
    </w:p>
    <w:p>
      <w:pPr>
        <w:spacing w:after="0" w:line="174" w:lineRule="exact"/>
        <w:rPr>
          <w:rFonts w:ascii="Courier New" w:cs="Courier New" w:eastAsia="Courier New" w:hAnsi="Courier New"/>
          <w:sz w:val="15"/>
          <w:szCs w:val="15"/>
          <w:color w:val="auto"/>
        </w:rPr>
      </w:pPr>
    </w:p>
    <w:p>
      <w:pPr>
        <w:ind w:left="820" w:right="335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2" w:lineRule="exact"/>
        <w:rPr>
          <w:sz w:val="20"/>
          <w:szCs w:val="20"/>
          <w:color w:val="auto"/>
        </w:rPr>
      </w:pPr>
    </w:p>
    <w:p>
      <w:pPr>
        <w:ind w:left="920" w:right="3179" w:hanging="468"/>
        <w:spacing w:after="0" w:line="249"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our products and related services, including license fees and modification, implementation and integration services,</w:t>
      </w:r>
    </w:p>
    <w:p>
      <w:pPr>
        <w:spacing w:after="0" w:line="175" w:lineRule="exact"/>
        <w:rPr>
          <w:rFonts w:ascii="Courier New" w:cs="Courier New" w:eastAsia="Courier New" w:hAnsi="Courier New"/>
          <w:sz w:val="15"/>
          <w:szCs w:val="15"/>
          <w:color w:val="auto"/>
        </w:rPr>
      </w:pPr>
    </w:p>
    <w:p>
      <w:pPr>
        <w:ind w:left="920" w:right="3439" w:hanging="468"/>
        <w:spacing w:after="0" w:line="250"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23" w:right="1440" w:bottom="1440" w:gutter="0" w:footer="0" w:header="0"/>
        </w:sectPr>
      </w:pPr>
    </w:p>
    <w:bookmarkStart w:id="67" w:name="page68"/>
    <w:bookmarkEnd w:id="67"/>
    <w:p>
      <w:pPr>
        <w:ind w:right="2899"/>
        <w:spacing w:after="0" w:line="248" w:lineRule="auto"/>
        <w:rPr>
          <w:sz w:val="20"/>
          <w:szCs w:val="20"/>
          <w:color w:val="auto"/>
        </w:rPr>
      </w:pPr>
      <w:r>
        <w:rPr>
          <w:rFonts w:ascii="Courier New" w:cs="Courier New" w:eastAsia="Courier New" w:hAnsi="Courier New"/>
          <w:sz w:val="15"/>
          <w:szCs w:val="15"/>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6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189"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Q1</w:t>
            </w:r>
          </w:p>
        </w:tc>
        <w:tc>
          <w:tcPr>
            <w:tcW w:w="920" w:type="dxa"/>
            <w:vAlign w:val="bottom"/>
          </w:tcPr>
          <w:p>
            <w:pPr>
              <w:spacing w:after="0"/>
              <w:rPr>
                <w:sz w:val="14"/>
                <w:szCs w:val="14"/>
                <w:color w:val="auto"/>
              </w:rPr>
            </w:pPr>
          </w:p>
        </w:tc>
        <w:tc>
          <w:tcPr>
            <w:tcW w:w="11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Q2</w:t>
            </w:r>
          </w:p>
        </w:tc>
        <w:tc>
          <w:tcPr>
            <w:tcW w:w="720" w:type="dxa"/>
            <w:vAlign w:val="bottom"/>
          </w:tcPr>
          <w:p>
            <w:pPr>
              <w:spacing w:after="0"/>
              <w:rPr>
                <w:sz w:val="14"/>
                <w:szCs w:val="14"/>
                <w:color w:val="auto"/>
              </w:rPr>
            </w:pPr>
          </w:p>
        </w:tc>
        <w:tc>
          <w:tcPr>
            <w:tcW w:w="11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Q3</w:t>
            </w:r>
          </w:p>
        </w:tc>
        <w:tc>
          <w:tcPr>
            <w:tcW w:w="700" w:type="dxa"/>
            <w:vAlign w:val="bottom"/>
          </w:tcPr>
          <w:p>
            <w:pPr>
              <w:spacing w:after="0"/>
              <w:rPr>
                <w:sz w:val="14"/>
                <w:szCs w:val="14"/>
                <w:color w:val="auto"/>
              </w:rPr>
            </w:pPr>
          </w:p>
        </w:tc>
        <w:tc>
          <w:tcPr>
            <w:tcW w:w="1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Q4</w:t>
            </w:r>
          </w:p>
        </w:tc>
      </w:tr>
      <w:tr>
        <w:trPr>
          <w:trHeight w:val="176"/>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Fiscal 2004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450.2</w:t>
            </w:r>
          </w:p>
        </w:tc>
        <w:tc>
          <w:tcPr>
            <w:tcW w:w="7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411.7</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455.3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380.2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355.5</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76" w:lineRule="exact"/>
        <w:rPr>
          <w:sz w:val="20"/>
          <w:szCs w:val="20"/>
          <w:color w:val="auto"/>
        </w:rPr>
      </w:pPr>
    </w:p>
    <w:p>
      <w:pPr>
        <w:ind w:left="460" w:right="3079"/>
        <w:spacing w:after="0" w:line="250"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5" w:lineRule="exact"/>
        <w:rPr>
          <w:sz w:val="20"/>
          <w:szCs w:val="20"/>
          <w:color w:val="auto"/>
        </w:rPr>
      </w:pPr>
    </w:p>
    <w:p>
      <w:pPr>
        <w:ind w:left="820" w:hanging="368"/>
        <w:spacing w:after="0"/>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82" w:lineRule="exact"/>
        <w:rPr>
          <w:rFonts w:ascii="Courier New" w:cs="Courier New" w:eastAsia="Courier New" w:hAnsi="Courier New"/>
          <w:sz w:val="15"/>
          <w:szCs w:val="15"/>
          <w:color w:val="auto"/>
        </w:rPr>
      </w:pPr>
    </w:p>
    <w:p>
      <w:pPr>
        <w:ind w:left="820" w:right="3079" w:hanging="368"/>
        <w:spacing w:after="0" w:line="250" w:lineRule="auto"/>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4" w:lineRule="exact"/>
        <w:rPr>
          <w:rFonts w:ascii="Courier New" w:cs="Courier New" w:eastAsia="Courier New" w:hAnsi="Courier New"/>
          <w:sz w:val="15"/>
          <w:szCs w:val="15"/>
          <w:color w:val="auto"/>
        </w:rPr>
      </w:pPr>
    </w:p>
    <w:p>
      <w:pPr>
        <w:ind w:left="820" w:right="3079" w:hanging="368"/>
        <w:spacing w:after="0" w:line="249" w:lineRule="auto"/>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823" w:right="1440" w:bottom="481" w:gutter="0" w:footer="0" w:header="0"/>
        </w:sectPr>
      </w:pPr>
    </w:p>
    <w:bookmarkStart w:id="68" w:name="page69"/>
    <w:bookmarkEnd w:id="68"/>
    <w:p>
      <w:pPr>
        <w:ind w:left="820" w:hanging="368"/>
        <w:spacing w:after="0"/>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82" w:lineRule="exact"/>
        <w:rPr>
          <w:rFonts w:ascii="Courier New" w:cs="Courier New" w:eastAsia="Courier New" w:hAnsi="Courier New"/>
          <w:sz w:val="15"/>
          <w:szCs w:val="15"/>
          <w:color w:val="auto"/>
        </w:rPr>
      </w:pPr>
    </w:p>
    <w:p>
      <w:pPr>
        <w:ind w:left="820" w:right="2899" w:hanging="368"/>
        <w:spacing w:after="0" w:line="250" w:lineRule="auto"/>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174"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c>
          <w:tcPr>
            <w:tcW w:w="20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420" w:type="dxa"/>
            <w:vAlign w:val="bottom"/>
          </w:tcPr>
          <w:p>
            <w:pPr>
              <w:spacing w:after="0"/>
              <w:rPr>
                <w:sz w:val="15"/>
                <w:szCs w:val="15"/>
                <w:color w:val="auto"/>
              </w:rPr>
            </w:pPr>
          </w:p>
        </w:tc>
        <w:tc>
          <w:tcPr>
            <w:tcW w:w="26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License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97.0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license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Research and development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administrative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11.7</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intangible assets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Restructuring charges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Operating income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Interest income and other, net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before 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3420" w:type="dxa"/>
            <w:vAlign w:val="bottom"/>
          </w:tcPr>
          <w:p>
            <w:pPr>
              <w:spacing w:after="0"/>
              <w:rPr>
                <w:sz w:val="24"/>
                <w:szCs w:val="24"/>
                <w:color w:val="auto"/>
              </w:rPr>
            </w:pPr>
          </w:p>
        </w:tc>
        <w:tc>
          <w:tcPr>
            <w:tcW w:w="16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69" w:name="page70"/>
    <w:bookmarkEnd w:id="69"/>
    <w:p>
      <w:pPr>
        <w:spacing w:after="0" w:line="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NINE MONTHS ENDED JUNE 30, 2004 AND 2003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JUNE 30,</w:t>
            </w:r>
          </w:p>
        </w:tc>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700" w:type="dxa"/>
            <w:vAlign w:val="bottom"/>
            <w:gridSpan w:val="6"/>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51,176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1,269,251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1,020,392</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248,859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1,321,277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1,071,568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249,709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license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4,137</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833,470</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646,389</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187,081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92,247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88,888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159,078</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153,644</w:t>
            </w:r>
          </w:p>
        </w:tc>
        <w:tc>
          <w:tcPr>
            <w:tcW w:w="1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13,423</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14,303</w:t>
            </w:r>
          </w:p>
        </w:tc>
        <w:tc>
          <w:tcPr>
            <w:tcW w:w="1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Restructuring charges .....</w:t>
            </w:r>
          </w:p>
        </w:tc>
        <w:tc>
          <w:tcPr>
            <w:tcW w:w="260" w:type="dxa"/>
            <w:vAlign w:val="bottom"/>
          </w:tcPr>
          <w:p>
            <w:pPr>
              <w:spacing w:after="0"/>
              <w:rPr>
                <w:sz w:val="24"/>
                <w:szCs w:val="24"/>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9,956</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1,102,025</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917,317</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184,708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219,252</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154,251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65,001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and other, net</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2,899</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12,432</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(9,533)</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166,683</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55,468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48,873</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41,671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7,202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173,278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125,012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48,266</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ectPr>
          <w:pgSz w:w="11900" w:h="16871" w:orient="portrait"/>
          <w:cols w:equalWidth="0" w:num="1">
            <w:col w:w="10219"/>
          </w:cols>
          <w:pgMar w:left="240" w:top="470" w:right="1440" w:bottom="0" w:gutter="0" w:footer="0" w:header="0"/>
        </w:sectPr>
      </w:pPr>
    </w:p>
    <w:bookmarkStart w:id="70" w:name="page71"/>
    <w:bookmarkEnd w:id="70"/>
    <w:p>
      <w:pPr>
        <w:ind w:left="2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019"/>
          </w:cols>
          <w:pgMar w:left="1440" w:top="494" w:right="1440" w:bottom="1440" w:gutter="0" w:footer="0" w:header="0"/>
        </w:sectPr>
      </w:pPr>
    </w:p>
    <w:bookmarkStart w:id="71" w:name="page72"/>
    <w:bookmarkEnd w:id="71"/>
    <w:p>
      <w:pPr>
        <w:ind w:right="289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7" w:right="1440" w:bottom="1440" w:gutter="0" w:footer="0" w:header="0"/>
        </w:sectPr>
      </w:pPr>
    </w:p>
    <w:bookmarkStart w:id="72" w:name="page73"/>
    <w:bookmarkEnd w:id="72"/>
    <w:p>
      <w:pPr>
        <w:ind w:right="2979" w:firstLine="458"/>
        <w:spacing w:after="0" w:line="249" w:lineRule="auto"/>
        <w:rPr>
          <w:sz w:val="20"/>
          <w:szCs w:val="20"/>
          <w:color w:val="auto"/>
        </w:rPr>
      </w:pPr>
      <w:r>
        <w:rPr>
          <w:rFonts w:ascii="Courier New" w:cs="Courier New" w:eastAsia="Courier New" w:hAnsi="Courier New"/>
          <w:sz w:val="15"/>
          <w:szCs w:val="15"/>
          <w:color w:val="auto"/>
        </w:rPr>
        <w:t>Restructuring Charges. The restructuring charge in the nine months ended June 30, 2003 consisted of the cost reduction program we implemented during the first quarter of fiscal 2003.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$0.80 for the nine months ended June 30, 2004, compared to $0.57 in the nine months ended June 30, 2003.</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7" w:right="1440" w:bottom="1440" w:gutter="0" w:footer="0" w:header="0"/>
        </w:sectPr>
      </w:pPr>
    </w:p>
    <w:bookmarkStart w:id="73" w:name="page74"/>
    <w:bookmarkEnd w:id="73"/>
    <w:p>
      <w:pPr>
        <w:spacing w:after="0" w:line="4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MONTHS ENDED JUNE 30, 2004 AND 2003</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June 30, 2004 compared to the three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31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$ 17,298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$ 11,491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5,807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432,926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365,677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67,249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450,224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377,168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73,056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1,448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283,109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230,323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52,786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Research and development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31,665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29,941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administrative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52,745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50,943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4,558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4,524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373,525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317,186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56,339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76,699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59,982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16,717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 and other, net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3,269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76,820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63,251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13,569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16,900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15,813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$ 59,920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$ 47,438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$ 12,482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License revenue in the three months ended June 30, 2004 increased compared to the three months ended June 30, 2003, as a result of new contracts that we obtained from new and existing customers during fiscal 2004.</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8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$62.2 million for the three months ended June 30, 2004, an increase of $7.2 million, or 13.1%, over the three months ended June 30, 2003. Approximately $15 million</w:t>
      </w:r>
    </w:p>
    <w:p>
      <w:pPr>
        <w:sectPr>
          <w:pgSz w:w="11900" w:h="16880" w:orient="portrait"/>
          <w:cols w:equalWidth="0" w:num="1">
            <w:col w:w="10219"/>
          </w:cols>
          <w:pgMar w:left="240" w:top="470"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of the increase in Directory Systems revenue in the three months ended June 30,</w:t>
      </w:r>
    </w:p>
    <w:p>
      <w:pPr>
        <w:sectPr>
          <w:pgSz w:w="11900" w:h="16838" w:orient="portrait"/>
          <w:cols w:equalWidth="0" w:num="1">
            <w:col w:w="10219"/>
          </w:cols>
          <w:pgMar w:left="240" w:top="141"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141" w:right="1440" w:bottom="1440" w:gutter="0" w:footer="0" w:header="0"/>
          <w:type w:val="continuous"/>
        </w:sectPr>
      </w:pPr>
    </w:p>
    <w:bookmarkStart w:id="75" w:name="page76"/>
    <w:bookmarkEnd w:id="75"/>
    <w:p>
      <w:pPr>
        <w:ind w:right="2899"/>
        <w:spacing w:after="0" w:line="249" w:lineRule="auto"/>
        <w:rPr>
          <w:sz w:val="20"/>
          <w:szCs w:val="20"/>
          <w:color w:val="auto"/>
        </w:rPr>
      </w:pPr>
      <w:r>
        <w:rPr>
          <w:rFonts w:ascii="Courier New" w:cs="Courier New" w:eastAsia="Courier New" w:hAnsi="Courier New"/>
          <w:sz w:val="15"/>
          <w:szCs w:val="15"/>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47" w:right="1440" w:bottom="1440" w:gutter="0" w:footer="0" w:header="0"/>
        </w:sectPr>
      </w:pPr>
    </w:p>
    <w:bookmarkStart w:id="76" w:name="page77"/>
    <w:bookmarkEnd w:id="76"/>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three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resulted from the interest income on debentures issued by Certen to us that was eliminated as a result of the Certen acquisition.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three months ended June 30, 2004 was 22% compared to 25% in the three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is attributable to the 19.4% increase in our total revenue, which was partially offset by the 1.7% decrease in our gross margin attributable to the relative low gross margin of our Managed Services projects in their early stages of implementation in the three months ended June 30, 2004.</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$0.28 for the three months ended June 30, 2004, compared to $0.21 in the three months ended June 30, 2003.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Cash, cash equivalents and short-term interest-bearing investments totaled $1,228.3 million as of June 30, 2004, compared to $1,290.9 million as of September 30, 2003. The decrease is attributable to the use of approximately $395.1 million to repurchase 2% Convertible Notes due June 1, 2008 (the "2% Notes") as described below, the use of $170.1 million to repurchase ordinary shares sold short by purchasers of the 0.50% Convertible Senior Notes due 2024 (the "0.50% Notes") in negotiated transactions concurrently with the sale of the 0.50% Notes, and the use of an additional $137.4 million to repurchase our ordinary shares pursuant to our share repurchase program and in connection with our acquisition of XACCT, which was partially offset by the net proceeds from the issuance of $450.0 million of 0.50% Notes in March 2004 and positive cash flows from operations. Net cash provided by operating activities amounted to $257.7 million and $284.0 million for the nine months ended June 30, 2004 and 2003, respectively. Although net income before depreciation and amortization increased in the nine months ended June 30, 2004, cash flows from operations decreased, due primarily to increases in accounts receivable.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June 1, 2004, we completed a cash offer for the 2% Notes. Pursuant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indenture for the 2% Notes, each holder of the 2% Notes had the right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us to repurchase on June 1, 2004 all or any part of such holder's 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price equal to 100% of the principal amount plus accrued and unpaid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Under the terms of the 2% Notes, we had the option to pay for the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with cash, ordinary shares, or a combination of cash and ordinary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elected to pay for the 2% Notes solely with cash. We accepted for payment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$395.1 million principal amount of 2% Notes surrendered for repurchase pursuant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offer. The untendered $344,000 principal amount of 2% Notes will remain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our obligations due June 1, 2008, in accordance with their terms. As of June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2004, $0.3 million and $450.0 million aggregate principal amount of our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0.50% Notes were outstanding, respectively.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by authorizing the repurchase of up to $100.0 million of our outstanding ordinary shares. The authorization permits us to purchase our ordinary shares in open market or privately negotiated transactions at times and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47" w:right="1440" w:bottom="1440" w:gutter="0" w:footer="0" w:header="0"/>
        </w:sectPr>
      </w:pPr>
    </w:p>
    <w:bookmarkStart w:id="77" w:name="page78"/>
    <w:bookmarkEnd w:id="77"/>
    <w:p>
      <w:pPr>
        <w:ind w:right="3079"/>
        <w:spacing w:after="0" w:line="249" w:lineRule="auto"/>
        <w:rPr>
          <w:sz w:val="20"/>
          <w:szCs w:val="20"/>
          <w:color w:val="auto"/>
        </w:rPr>
      </w:pPr>
      <w:r>
        <w:rPr>
          <w:rFonts w:ascii="Courier New" w:cs="Courier New" w:eastAsia="Courier New" w:hAnsi="Courier New"/>
          <w:sz w:val="15"/>
          <w:szCs w:val="15"/>
          <w:color w:val="auto"/>
        </w:rPr>
        <w:t>prices considered appropriate by us. As of August 10, 2004, we had repurchased 2,218,500 ordinary shares under this repurchase program, for an aggregate purchase price of 46.8 million.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June 30, 2004, we had available short-term general revolving lines of credit totaling $31.0 million, pursuant to which $0.9 million of loans was outstanding. In addition, as of June 30, 2004 we had outstanding letters of credit and bank guarantees from various banks totaling $13.6 million.</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As of June 30, 2004, we had outstanding long-term obligations of $28.4 million in connection with leasing arrangements.</w:t>
      </w:r>
    </w:p>
    <w:p>
      <w:pPr>
        <w:spacing w:after="0" w:line="175" w:lineRule="exact"/>
        <w:rPr>
          <w:sz w:val="20"/>
          <w:szCs w:val="20"/>
          <w:color w:val="auto"/>
        </w:rPr>
      </w:pPr>
    </w:p>
    <w:p>
      <w:pPr>
        <w:ind w:right="3179" w:firstLine="458"/>
        <w:spacing w:after="0" w:line="248"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20-F for the year ended September 30, 2003. There have been no material changes in contractual obligations outside the ordinary course of our business since September 30, 2003, with the exception of the issuance of our 0.50% Notes in March 2004 and the repurchase of the 2% Notes in June 2004, as discussed above.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capital expenditures were approximately $33.5 million in the nine months ended June 30,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Currency Fluctuations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Amdocs' group.</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nine months ended June 30,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46" w:right="1440" w:bottom="1440" w:gutter="0" w:footer="0" w:header="0"/>
        </w:sectPr>
      </w:pPr>
    </w:p>
    <w:bookmarkStart w:id="78" w:name="page79"/>
    <w:bookmarkEnd w:id="78"/>
    <w:p>
      <w:pPr>
        <w:jc w:val="center"/>
        <w:ind w:right="2793"/>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76"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9. EXHIBITS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EXHIBIT</w:t>
            </w:r>
          </w:p>
        </w:tc>
        <w:tc>
          <w:tcPr>
            <w:tcW w:w="8200" w:type="dxa"/>
            <w:vAlign w:val="bottom"/>
          </w:tcPr>
          <w:p>
            <w:pPr>
              <w:spacing w:after="0"/>
              <w:rPr>
                <w:sz w:val="14"/>
                <w:szCs w:val="14"/>
                <w:color w:val="auto"/>
              </w:rPr>
            </w:pPr>
          </w:p>
        </w:tc>
      </w:tr>
      <w:tr>
        <w:trPr>
          <w:trHeight w:val="176"/>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8200" w:type="dxa"/>
            <w:vAlign w:val="bottom"/>
          </w:tcPr>
          <w:p>
            <w:pPr>
              <w:ind w:left="252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20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23.3*</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Power of Attorney.</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6" w:hanging="266"/>
        <w:spacing w:after="0"/>
        <w:tabs>
          <w:tab w:leader="none" w:pos="2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4" w:top="647"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ITEM 10. UNDERTAKINGS.</w:t>
      </w:r>
    </w:p>
    <w:p>
      <w:pPr>
        <w:spacing w:after="0" w:line="182" w:lineRule="exact"/>
        <w:rPr>
          <w:sz w:val="20"/>
          <w:szCs w:val="20"/>
          <w:color w:val="auto"/>
        </w:rPr>
      </w:pPr>
    </w:p>
    <w:p>
      <w:pPr>
        <w:ind w:right="3819" w:firstLine="550"/>
        <w:spacing w:after="0" w:line="250" w:lineRule="auto"/>
        <w:rPr>
          <w:sz w:val="20"/>
          <w:szCs w:val="20"/>
          <w:color w:val="auto"/>
        </w:rPr>
      </w:pPr>
      <w:r>
        <w:rPr>
          <w:rFonts w:ascii="Courier New" w:cs="Courier New" w:eastAsia="Courier New" w:hAnsi="Courier New"/>
          <w:sz w:val="15"/>
          <w:szCs w:val="15"/>
          <w:color w:val="auto"/>
        </w:rPr>
        <w:t>Item 512(a) of Regulation S-K. The undersigned Registrant hereby undertakes:</w:t>
      </w:r>
    </w:p>
    <w:p>
      <w:pPr>
        <w:spacing w:after="0" w:line="175" w:lineRule="exact"/>
        <w:rPr>
          <w:sz w:val="20"/>
          <w:szCs w:val="20"/>
          <w:color w:val="auto"/>
        </w:rPr>
      </w:pPr>
    </w:p>
    <w:p>
      <w:pPr>
        <w:ind w:left="1100" w:right="2979" w:hanging="556"/>
        <w:spacing w:after="0" w:line="250" w:lineRule="auto"/>
        <w:tabs>
          <w:tab w:leader="none" w:pos="11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280" w:right="2979" w:firstLine="363"/>
        <w:spacing w:after="0" w:line="250"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280" w:right="2899" w:firstLine="363"/>
        <w:spacing w:after="0" w:line="248"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5"/>
          <w:szCs w:val="15"/>
          <w:color w:val="auto"/>
        </w:rPr>
      </w:pPr>
    </w:p>
    <w:p>
      <w:pPr>
        <w:ind w:left="1280" w:right="2899" w:firstLine="363"/>
        <w:spacing w:after="0" w:line="249"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1100" w:right="2979" w:hanging="556"/>
        <w:spacing w:after="0" w:line="249" w:lineRule="auto"/>
        <w:tabs>
          <w:tab w:leader="none" w:pos="11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46" w:right="1440" w:bottom="1440" w:gutter="0" w:footer="0" w:header="0"/>
        </w:sectPr>
      </w:pPr>
    </w:p>
    <w:bookmarkStart w:id="80" w:name="page81"/>
    <w:bookmarkEnd w:id="80"/>
    <w:p>
      <w:pPr>
        <w:ind w:right="2899"/>
        <w:spacing w:after="0" w:line="249" w:lineRule="auto"/>
        <w:rPr>
          <w:sz w:val="20"/>
          <w:szCs w:val="20"/>
          <w:color w:val="auto"/>
        </w:rPr>
      </w:pPr>
      <w:r>
        <w:rPr>
          <w:rFonts w:ascii="Courier New" w:cs="Courier New" w:eastAsia="Courier New" w:hAnsi="Courier New"/>
          <w:sz w:val="15"/>
          <w:szCs w:val="15"/>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7" w:right="1440" w:bottom="1440" w:gutter="0" w:footer="0" w:header="0"/>
        </w:sectPr>
      </w:pPr>
    </w:p>
    <w:bookmarkStart w:id="81" w:name="page82"/>
    <w:bookmarkEnd w:id="81"/>
    <w:p>
      <w:pPr>
        <w:ind w:left="3206"/>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left="6" w:right="3020" w:firstLine="550"/>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F-3 and has duly caused this Amendment No. 3 to Registration Statement to be signed on its behalf by the undersigned, thereunto duly authorized, in the city of New York, State of New York, on this 21st day of September, 2004.</w:t>
      </w:r>
    </w:p>
    <w:p>
      <w:pPr>
        <w:spacing w:after="0" w:line="35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0"/>
          <w:szCs w:val="20"/>
          <w:color w:val="auto"/>
        </w:rPr>
      </w:pPr>
    </w:p>
    <w:p>
      <w:pPr>
        <w:ind w:left="2926"/>
        <w:spacing w:after="0"/>
        <w:tabs>
          <w:tab w:leader="none" w:pos="3366" w:val="left"/>
        </w:tabs>
        <w:rPr>
          <w:sz w:val="20"/>
          <w:szCs w:val="20"/>
          <w:color w:val="auto"/>
        </w:rPr>
      </w:pPr>
      <w:r>
        <w:rPr>
          <w:rFonts w:ascii="Courier New" w:cs="Courier New" w:eastAsia="Courier New" w:hAnsi="Courier New"/>
          <w:sz w:val="15"/>
          <w:szCs w:val="15"/>
          <w:color w:val="auto"/>
        </w:rPr>
        <w:t>By:</w:t>
        <w:tab/>
        <w:t>/s/ THOMAS G. O'BRIEN</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Authorized U.S. Representative</w:t>
      </w:r>
    </w:p>
    <w:p>
      <w:pPr>
        <w:spacing w:after="0" w:line="359"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POWER OF ATTORNEY</w:t>
      </w:r>
    </w:p>
    <w:p>
      <w:pPr>
        <w:spacing w:after="0" w:line="359" w:lineRule="exact"/>
        <w:rPr>
          <w:sz w:val="20"/>
          <w:szCs w:val="20"/>
          <w:color w:val="auto"/>
        </w:rPr>
      </w:pPr>
    </w:p>
    <w:p>
      <w:pPr>
        <w:ind w:left="6" w:right="3300" w:firstLine="550"/>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3 to Registration Statement has been signed below by the following persons in the capacities and on the dates indicated.</w:t>
      </w:r>
    </w:p>
    <w:p>
      <w:pPr>
        <w:sectPr>
          <w:pgSz w:w="11900" w:h="16838" w:orient="portrait"/>
          <w:cols w:equalWidth="0" w:num="1">
            <w:col w:w="10346"/>
          </w:cols>
          <w:pgMar w:left="234" w:top="64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6" w:lineRule="exact"/>
        <w:rPr>
          <w:sz w:val="20"/>
          <w:szCs w:val="20"/>
          <w:color w:val="auto"/>
        </w:rPr>
      </w:pPr>
    </w:p>
    <w:p>
      <w:pPr>
        <w:sectPr>
          <w:pgSz w:w="11900" w:h="16838" w:orient="portrait"/>
          <w:cols w:equalWidth="0" w:num="3">
            <w:col w:w="3226" w:space="720"/>
            <w:col w:w="4040" w:space="720"/>
            <w:col w:w="1640"/>
          </w:cols>
          <w:pgMar w:left="234" w:top="646" w:right="1319" w:bottom="1440" w:gutter="0" w:footer="0" w:header="0"/>
          <w:type w:val="continuous"/>
        </w:sectPr>
      </w:pPr>
    </w:p>
    <w:p>
      <w:pPr>
        <w:ind w:left="186" w:hanging="186"/>
        <w:spacing w:after="0"/>
        <w:tabs>
          <w:tab w:leader="none" w:pos="1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Bruce K. Anderson</w:t>
      </w:r>
    </w:p>
    <w:p>
      <w:pPr>
        <w:spacing w:after="0" w:line="182" w:lineRule="exact"/>
        <w:rPr>
          <w:sz w:val="20"/>
          <w:szCs w:val="20"/>
          <w:color w:val="auto"/>
        </w:rPr>
      </w:pPr>
    </w:p>
    <w:p>
      <w:pPr>
        <w:ind w:left="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/s/ DOV BAHARAV</w:t>
      </w:r>
      <w:r>
        <w:rPr>
          <w:sz w:val="20"/>
          <w:szCs w:val="20"/>
          <w:color w:val="auto"/>
        </w:rPr>
        <w:tab/>
      </w:r>
      <w:r>
        <w:rPr>
          <w:rFonts w:ascii="Courier New" w:cs="Courier New" w:eastAsia="Courier New" w:hAnsi="Courier New"/>
          <w:sz w:val="15"/>
          <w:szCs w:val="15"/>
          <w:color w:val="auto"/>
        </w:rPr>
        <w:t>Director and Principal Executive Officer</w:t>
      </w:r>
      <w:r>
        <w:rPr>
          <w:sz w:val="20"/>
          <w:szCs w:val="20"/>
          <w:color w:val="auto"/>
        </w:rPr>
        <w:tab/>
      </w:r>
      <w:r>
        <w:rPr>
          <w:rFonts w:ascii="Courier New" w:cs="Courier New" w:eastAsia="Courier New" w:hAnsi="Courier New"/>
          <w:sz w:val="15"/>
          <w:szCs w:val="15"/>
          <w:color w:val="auto"/>
        </w:rPr>
        <w:t>September 21, 2004</w:t>
      </w:r>
    </w:p>
    <w:p>
      <w:pPr>
        <w:spacing w:after="0" w:line="6" w:lineRule="exact"/>
        <w:rPr>
          <w:sz w:val="20"/>
          <w:szCs w:val="20"/>
          <w:color w:val="auto"/>
        </w:rPr>
      </w:pPr>
    </w:p>
    <w:p>
      <w:pPr>
        <w:ind w:left="186" w:hanging="186"/>
        <w:spacing w:after="0"/>
        <w:tabs>
          <w:tab w:leader="none" w:pos="1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Baharav</w:t>
      </w:r>
    </w:p>
    <w:p>
      <w:pPr>
        <w:spacing w:after="0" w:line="182" w:lineRule="exact"/>
        <w:rPr>
          <w:sz w:val="20"/>
          <w:szCs w:val="20"/>
          <w:color w:val="auto"/>
        </w:rPr>
      </w:pPr>
    </w:p>
    <w:p>
      <w:pPr>
        <w:ind w:left="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/s/ RON MOSKOVITZ</w:t>
      </w:r>
      <w:r>
        <w:rPr>
          <w:sz w:val="20"/>
          <w:szCs w:val="20"/>
          <w:color w:val="auto"/>
        </w:rPr>
        <w:tab/>
      </w:r>
      <w:r>
        <w:rPr>
          <w:rFonts w:ascii="Courier New" w:cs="Courier New" w:eastAsia="Courier New" w:hAnsi="Courier New"/>
          <w:sz w:val="15"/>
          <w:szCs w:val="15"/>
          <w:color w:val="auto"/>
        </w:rPr>
        <w:t>Principal Accounting Officer</w:t>
      </w:r>
      <w:r>
        <w:rPr>
          <w:sz w:val="20"/>
          <w:szCs w:val="20"/>
          <w:color w:val="auto"/>
        </w:rPr>
        <w:tab/>
      </w:r>
      <w:r>
        <w:rPr>
          <w:rFonts w:ascii="Courier New" w:cs="Courier New" w:eastAsia="Courier New" w:hAnsi="Courier New"/>
          <w:sz w:val="15"/>
          <w:szCs w:val="15"/>
          <w:color w:val="auto"/>
        </w:rPr>
        <w:t>September 21, 2004</w:t>
      </w:r>
    </w:p>
    <w:p>
      <w:pPr>
        <w:spacing w:after="0" w:line="6" w:lineRule="exact"/>
        <w:rPr>
          <w:sz w:val="20"/>
          <w:szCs w:val="20"/>
          <w:color w:val="auto"/>
        </w:rPr>
      </w:pPr>
    </w:p>
    <w:p>
      <w:pPr>
        <w:ind w:left="186" w:hanging="186"/>
        <w:spacing w:after="0"/>
        <w:tabs>
          <w:tab w:leader="none" w:pos="18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Moskovitz</w:t>
      </w:r>
    </w:p>
    <w:p>
      <w:pPr>
        <w:spacing w:after="0" w:line="182" w:lineRule="exact"/>
        <w:rPr>
          <w:sz w:val="20"/>
          <w:szCs w:val="20"/>
          <w:color w:val="auto"/>
        </w:rPr>
      </w:pPr>
    </w:p>
    <w:p>
      <w:pPr>
        <w:jc w:val="both"/>
        <w:ind w:left="11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September 21, 2004</w:t>
      </w:r>
    </w:p>
    <w:p>
      <w:pPr>
        <w:spacing w:after="0" w:line="6" w:lineRule="exact"/>
        <w:rPr>
          <w:sz w:val="20"/>
          <w:szCs w:val="20"/>
          <w:color w:val="auto"/>
        </w:rPr>
      </w:pPr>
    </w:p>
    <w:p>
      <w:pPr>
        <w:ind w:left="186" w:hanging="186"/>
        <w:spacing w:after="0"/>
        <w:tabs>
          <w:tab w:leader="none" w:pos="18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Minicucci</w:t>
      </w:r>
    </w:p>
    <w:p>
      <w:pPr>
        <w:spacing w:after="0" w:line="182" w:lineRule="exact"/>
        <w:rPr>
          <w:sz w:val="20"/>
          <w:szCs w:val="20"/>
          <w:color w:val="auto"/>
        </w:rPr>
      </w:pPr>
    </w:p>
    <w:p>
      <w:pPr>
        <w:jc w:val="both"/>
        <w:ind w:left="11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September 21, 2004</w:t>
      </w:r>
    </w:p>
    <w:p>
      <w:pPr>
        <w:spacing w:after="0" w:line="6" w:lineRule="exact"/>
        <w:rPr>
          <w:sz w:val="20"/>
          <w:szCs w:val="20"/>
          <w:color w:val="auto"/>
        </w:rPr>
      </w:pPr>
    </w:p>
    <w:p>
      <w:pPr>
        <w:ind w:left="186" w:hanging="186"/>
        <w:spacing w:after="0"/>
        <w:tabs>
          <w:tab w:leader="none" w:pos="18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346"/>
          </w:cols>
          <w:pgMar w:left="234" w:top="646" w:right="1319" w:bottom="1440" w:gutter="0" w:footer="0" w:header="0"/>
          <w:type w:val="continuous"/>
        </w:sectPr>
      </w:pPr>
    </w:p>
    <w:bookmarkStart w:id="82" w:name="page83"/>
    <w:bookmarkEnd w:id="82"/>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Julian A. Brodsky</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Foster</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 Gelman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S. Kahan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Nehmeia Lemelbaum</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T. McLennan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2004</w:t>
      </w:r>
    </w:p>
    <w:p>
      <w:pPr>
        <w:spacing w:after="0" w:line="6" w:lineRule="exact"/>
        <w:rPr>
          <w:sz w:val="20"/>
          <w:szCs w:val="20"/>
          <w:color w:val="auto"/>
        </w:rPr>
      </w:pPr>
    </w:p>
    <w:p>
      <w:pPr>
        <w:sectPr>
          <w:pgSz w:w="11900" w:h="16838" w:orient="portrait"/>
          <w:cols w:equalWidth="0" w:num="3">
            <w:col w:w="3220" w:space="720"/>
            <w:col w:w="4040" w:space="720"/>
            <w:col w:w="1640"/>
          </w:cols>
          <w:pgMar w:left="240" w:top="1175" w:right="1319" w:bottom="1440" w:gutter="0" w:footer="0" w:header="0"/>
        </w:sect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Mario Segal</w:t>
      </w:r>
    </w:p>
    <w:p>
      <w:pPr>
        <w:sectPr>
          <w:pgSz w:w="11900" w:h="16838" w:orient="portrait"/>
          <w:cols w:equalWidth="0" w:num="1">
            <w:col w:w="10340"/>
          </w:cols>
          <w:pgMar w:left="240" w:top="1175"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THOMAS G. O'BRIEN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360" w:space="100"/>
            <w:col w:w="9880"/>
          </w:cols>
          <w:pgMar w:left="240" w:top="1175" w:right="1319" w:bottom="1440" w:gutter="0" w:footer="0" w:header="0"/>
          <w:type w:val="continuous"/>
        </w:sectPr>
      </w:pPr>
    </w:p>
    <w:p>
      <w:pPr>
        <w:spacing w:after="0" w:line="15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340"/>
          </w:cols>
          <w:pgMar w:left="240" w:top="1175" w:right="13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8140" w:type="dxa"/>
            <w:vAlign w:val="bottom"/>
          </w:tcPr>
          <w:p>
            <w:pPr>
              <w:ind w:left="2000"/>
              <w:spacing w:after="0"/>
              <w:rPr>
                <w:sz w:val="20"/>
                <w:szCs w:val="20"/>
                <w:color w:val="auto"/>
              </w:rPr>
            </w:pPr>
            <w:r>
              <w:rPr>
                <w:rFonts w:ascii="Courier New" w:cs="Courier New" w:eastAsia="Courier New" w:hAnsi="Courier New"/>
                <w:sz w:val="15"/>
                <w:szCs w:val="15"/>
                <w:color w:val="auto"/>
              </w:rPr>
              <w:t>Exhibit Index</w:t>
            </w:r>
          </w:p>
        </w:tc>
      </w:tr>
      <w:tr>
        <w:trPr>
          <w:trHeight w:val="881"/>
        </w:trPr>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EXHIBIT\</w:t>
            </w:r>
          </w:p>
        </w:tc>
        <w:tc>
          <w:tcPr>
            <w:tcW w:w="8140" w:type="dxa"/>
            <w:vAlign w:val="bottom"/>
          </w:tcPr>
          <w:p>
            <w:pPr>
              <w:spacing w:after="0"/>
              <w:rPr>
                <w:sz w:val="24"/>
                <w:szCs w:val="24"/>
                <w:color w:val="auto"/>
              </w:rPr>
            </w:pPr>
          </w:p>
        </w:tc>
      </w:tr>
      <w:tr>
        <w:trPr>
          <w:trHeight w:val="176"/>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NUMBER</w:t>
            </w:r>
          </w:p>
        </w:tc>
        <w:tc>
          <w:tcPr>
            <w:tcW w:w="814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140" w:type="dxa"/>
            <w:vAlign w:val="bottom"/>
          </w:tcPr>
          <w:p>
            <w:pPr>
              <w:ind w:left="2280"/>
              <w:spacing w:after="0"/>
              <w:rPr>
                <w:sz w:val="20"/>
                <w:szCs w:val="20"/>
                <w:color w:val="auto"/>
              </w:rPr>
            </w:pPr>
            <w:r>
              <w:rPr>
                <w:rFonts w:ascii="Courier New" w:cs="Courier New" w:eastAsia="Courier New" w:hAnsi="Courier New"/>
                <w:sz w:val="15"/>
                <w:szCs w:val="15"/>
                <w:color w:val="auto"/>
              </w:rPr>
              <w:t>-----------</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23.2</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23.3*</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Power of Attorney.</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0"/>
        <w:spacing w:after="0"/>
        <w:tabs>
          <w:tab w:leader="none" w:pos="520" w:val="left"/>
        </w:tabs>
        <w:rPr>
          <w:sz w:val="20"/>
          <w:szCs w:val="20"/>
          <w:color w:val="auto"/>
        </w:rPr>
      </w:pPr>
      <w:r>
        <w:rPr>
          <w:rFonts w:ascii="Courier New" w:cs="Courier New" w:eastAsia="Courier New" w:hAnsi="Courier New"/>
          <w:sz w:val="15"/>
          <w:szCs w:val="15"/>
          <w:color w:val="auto"/>
        </w:rPr>
        <w:t>*</w:t>
        <w:tab/>
        <w:t>Previously filed.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47" w:right="1440" w:bottom="1440" w:gutter="0" w:footer="0" w:header="0"/>
        </w:sectPr>
      </w:pPr>
    </w:p>
    <w:bookmarkStart w:id="84" w:name="page85"/>
    <w:bookmarkEnd w:id="84"/>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CONSENT OF INDEPENDENT REGISTERED PUBLIC ACCOUNTANTS</w:t>
      </w:r>
    </w:p>
    <w:p>
      <w:pPr>
        <w:spacing w:after="0" w:line="359"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"Experts" in this Registration Statement on Form F-3 of Amdocs Limited for the registration of 560,777 of its ordinary shares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 Ernst &amp; Young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17, 2004</w:t>
      </w:r>
    </w:p>
    <w:p>
      <w:pPr>
        <w:sectPr>
          <w:pgSz w:w="11900" w:h="16838" w:orient="portrait"/>
          <w:cols w:equalWidth="0" w:num="1">
            <w:col w:w="10219"/>
          </w:cols>
          <w:pgMar w:left="240" w:top="494" w:right="1440" w:bottom="1440" w:gutter="0" w:footer="0" w:header="0"/>
        </w:sectPr>
      </w:pPr>
    </w:p>
    <w:bookmarkStart w:id="85" w:name="page86"/>
    <w:bookmarkEnd w:id="85"/>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Chartered Accountants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this Amendment No. 3 to the Registration Statement on Form F-3 of Amdocs Limited (File No. 333-114079)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We also consent to the reference to us under the heading "Experts" in the prospectus, which is part of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Quebec</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17, 2004</w:t>
      </w:r>
    </w:p>
    <w:sectPr>
      <w:pgSz w:w="11900" w:h="16838" w:orient="portrait"/>
      <w:cols w:equalWidth="0" w:num="1">
        <w:col w:w="10219"/>
      </w:cols>
      <w:pgMar w:left="24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
      <w:numFmt w:val="bullet"/>
      <w:start w:val="1"/>
    </w:lvl>
    <w:lvl w:ilvl="1">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0"/>
    </w:lvl>
  </w:abstractNum>
  <w:abstractNum w:abstractNumId="13">
    <w:nsid w:val="2D517796"/>
    <w:multiLevelType w:val="hybridMultilevel"/>
    <w:lvl w:ilvl="0">
      <w:lvlJc w:val="left"/>
      <w:lvlText w:val="(%1)"/>
      <w:numFmt w:val="decimal"/>
      <w:start w:val="20"/>
    </w:lvl>
  </w:abstractNum>
  <w:abstractNum w:abstractNumId="14">
    <w:nsid w:val="580BD78F"/>
    <w:multiLevelType w:val="hybridMultilevel"/>
    <w:lvl w:ilvl="0">
      <w:lvlJc w:val="left"/>
      <w:lvlText w:val="(%1)"/>
      <w:numFmt w:val="decimal"/>
      <w:start w:val="22"/>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1."/>
      <w:numFmt w:val="decimal"/>
      <w:start w:val="1"/>
    </w:lvl>
    <w:lvl w:ilvl="1">
      <w:lvlJc w:val="left"/>
      <w:lvlText w:val="-"/>
      <w:numFmt w:val="bullet"/>
      <w:start w:val="1"/>
    </w:lvl>
  </w:abstractNum>
  <w:abstractNum w:abstractNumId="21">
    <w:nsid w:val="725A06FB"/>
    <w:multiLevelType w:val="hybridMultilevel"/>
    <w:lvl w:ilvl="0">
      <w:lvlJc w:val="left"/>
      <w:lvlText w:val="%1."/>
      <w:numFmt w:val="decimal"/>
      <w:start w:val="1"/>
    </w:lvl>
    <w:lvl w:ilvl="1">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2"/>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2"/>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5"/>
    </w:lvl>
  </w:abstractNum>
  <w:abstractNum w:abstractNumId="35">
    <w:nsid w:val="1BA026FA"/>
    <w:multiLevelType w:val="hybridMultilevel"/>
    <w:lvl w:ilvl="0">
      <w:lvlJc w:val="left"/>
      <w:lvlText w:val="%1."/>
      <w:numFmt w:val="decimal"/>
      <w:start w:val="6"/>
    </w:lvl>
  </w:abstractNum>
  <w:abstractNum w:abstractNumId="36">
    <w:nsid w:val="79A1DEAA"/>
    <w:multiLevelType w:val="hybridMultilevel"/>
    <w:lvl w:ilvl="0">
      <w:lvlJc w:val="left"/>
      <w:lvlText w:val="%1."/>
      <w:numFmt w:val="decimal"/>
      <w:start w:val="7"/>
    </w:lvl>
  </w:abstractNum>
  <w:abstractNum w:abstractNumId="37">
    <w:nsid w:val="75C6C33A"/>
    <w:multiLevelType w:val="hybridMultilevel"/>
    <w:lvl w:ilvl="0">
      <w:lvlJc w:val="left"/>
      <w:lvlText w:val="%1."/>
      <w:numFmt w:val="decimal"/>
      <w:start w:val="8"/>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9"/>
    </w:lvl>
  </w:abstractNum>
  <w:abstractNum w:abstractNumId="40">
    <w:nsid w:val="520EEDD1"/>
    <w:multiLevelType w:val="hybridMultilevel"/>
    <w:lvl w:ilvl="0">
      <w:lvlJc w:val="left"/>
      <w:lvlText w:val="%1."/>
      <w:numFmt w:val="decimal"/>
      <w:start w:val="10"/>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1"/>
    </w:lvl>
  </w:abstractNum>
  <w:abstractNum w:abstractNumId="46">
    <w:nsid w:val="39386575"/>
    <w:multiLevelType w:val="hybridMultilevel"/>
    <w:lvl w:ilvl="0">
      <w:lvlJc w:val="left"/>
      <w:lvlText w:val="%1"/>
      <w:numFmt w:val="decimal"/>
      <w:start w:val="1"/>
    </w:lvl>
    <w:lvl w:ilvl="1">
      <w:lvlJc w:val="left"/>
      <w:lvlText w:val="(%2)"/>
      <w:numFmt w:val="lowerRoman"/>
      <w:start w:val="2"/>
    </w:lvl>
  </w:abstractNum>
  <w:abstractNum w:abstractNumId="47">
    <w:nsid w:val="1CF10FD8"/>
    <w:multiLevelType w:val="hybridMultilevel"/>
    <w:lvl w:ilvl="0">
      <w:lvlJc w:val="left"/>
      <w:lvlText w:val="%1."/>
      <w:numFmt w:val="decimal"/>
      <w:start w:val="12"/>
    </w:lvl>
    <w:lvl w:ilvl="1">
      <w:lvlJc w:val="left"/>
      <w:lvlText w:val="%2"/>
      <w:numFmt w:val="lowerRoman"/>
      <w:start w:val="1"/>
    </w:lvl>
  </w:abstractNum>
  <w:abstractNum w:abstractNumId="48">
    <w:nsid w:val="180115BE"/>
    <w:multiLevelType w:val="hybridMultilevel"/>
    <w:lvl w:ilvl="0">
      <w:lvlJc w:val="left"/>
      <w:lvlText w:val="(%1)"/>
      <w:numFmt w:val="decimal"/>
      <w:start w:val="94"/>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3"/>
    </w:lvl>
  </w:abstractNum>
  <w:abstractNum w:abstractNumId="53">
    <w:nsid w:val="741226BB"/>
    <w:multiLevelType w:val="hybridMultilevel"/>
    <w:lvl w:ilvl="0">
      <w:lvlJc w:val="left"/>
      <w:lvlText w:val="%1."/>
      <w:numFmt w:val="decimal"/>
      <w:start w:val="14"/>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lvl w:ilvl="1">
      <w:lvlJc w:val="left"/>
      <w:lvlText w:val="(%2)"/>
      <w:numFmt w:val="lowerRoman"/>
      <w:start w:val="1"/>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2019-12-12T01:18:36Z</dcterms:created>
  <dcterms:modified xsi:type="dcterms:W3CDTF">2019-12-12T01:18:36Z</dcterms:modified>
</cp:coreProperties>
</file>