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1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December 2014</w:t>
      </w:r>
    </w:p>
    <w:p>
      <w:pPr>
        <w:spacing w:after="0" w:line="17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Hirzel House, Smith Street,</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7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is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is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Rune 12g3-2(b) under the Securities Exchange Act of 1934:</w:t>
      </w:r>
    </w:p>
    <w:p>
      <w:pPr>
        <w:spacing w:after="0" w:line="99"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314" w:right="399" w:bottom="1440" w:gutter="0" w:footer="0" w:header="0"/>
        </w:sectPr>
      </w:pPr>
    </w:p>
    <w:bookmarkStart w:id="1" w:name="page2"/>
    <w:bookmarkEnd w:id="1"/>
    <w:p>
      <w:pPr>
        <w:ind w:left="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3124835</wp:posOffset>
            </wp:positionH>
            <wp:positionV relativeFrom="page">
              <wp:posOffset>543560</wp:posOffset>
            </wp:positionV>
            <wp:extent cx="132080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257175"/>
                    </a:xfrm>
                    <a:prstGeom prst="rect">
                      <a:avLst/>
                    </a:prstGeom>
                    <a:noFill/>
                  </pic:spPr>
                </pic:pic>
              </a:graphicData>
            </a:graphic>
          </wp:anchor>
        </w:drawing>
        <w:t>NOTICE OF ANNUAL GENERAL MEETING OF SHAREHOLDERS TO BE HELD ON WEDNESDAY, JANUARY 28,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general meeting of shareholders of Amdocs Limited will be held at 3:30 p.m., local time, on Wednesday, January 28, 2015, at the offices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Welsh, Carson, Anderson &amp; Stowe, 320 Park Avenue, Suite 2500, New York, New York, for the following purposes:</w:t>
      </w:r>
    </w:p>
    <w:p>
      <w:pPr>
        <w:spacing w:after="0" w:line="84" w:lineRule="exact"/>
        <w:rPr>
          <w:sz w:val="20"/>
          <w:szCs w:val="20"/>
          <w:color w:val="auto"/>
        </w:rPr>
      </w:pPr>
    </w:p>
    <w:p>
      <w:pPr>
        <w:ind w:left="460" w:right="60" w:firstLine="443"/>
        <w:spacing w:after="0" w:line="332" w:lineRule="auto"/>
        <w:tabs>
          <w:tab w:leader="none" w:pos="1074"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election of each of the following 11 individuals to serve as directors of Amdocs Limited until the next annual general meeting of shareholders or until his earlier resignation or removal or until his respective successor is elected and qualified (Proposal I);</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Robert A. Minicucci</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Zohar Zisapel</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Clayton Christensen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Giora Yaron</w:t>
      </w:r>
    </w:p>
    <w:p>
      <w:pPr>
        <w:spacing w:after="0" w:line="84" w:lineRule="exact"/>
        <w:rPr>
          <w:sz w:val="20"/>
          <w:szCs w:val="20"/>
          <w:color w:val="auto"/>
        </w:rPr>
      </w:pPr>
    </w:p>
    <w:p>
      <w:pPr>
        <w:ind w:left="1080" w:hanging="177"/>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approve an increase in the dividend rate under our quarterly cash dividend program from $0.155 per share to $0.17 per share (Proposal II);</w:t>
      </w:r>
    </w:p>
    <w:p>
      <w:pPr>
        <w:spacing w:after="0" w:line="113" w:lineRule="exact"/>
        <w:rPr>
          <w:rFonts w:ascii="Arial" w:cs="Arial" w:eastAsia="Arial" w:hAnsi="Arial"/>
          <w:sz w:val="16"/>
          <w:szCs w:val="16"/>
          <w:color w:val="auto"/>
        </w:rPr>
      </w:pPr>
    </w:p>
    <w:p>
      <w:pPr>
        <w:ind w:left="1080" w:hanging="17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 extension of the term of our stock option plan to January 2025 (Proposal III);</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our Consolidated Financial Statements for the fiscal year ended September 30, 2014 (Proposal IV); and</w:t>
      </w:r>
    </w:p>
    <w:p>
      <w:pPr>
        <w:spacing w:after="0" w:line="90" w:lineRule="exact"/>
        <w:rPr>
          <w:rFonts w:ascii="Arial" w:cs="Arial" w:eastAsia="Arial" w:hAnsi="Arial"/>
          <w:sz w:val="18"/>
          <w:szCs w:val="18"/>
          <w:color w:val="auto"/>
        </w:rPr>
      </w:pPr>
    </w:p>
    <w:p>
      <w:pPr>
        <w:ind w:left="460" w:right="180" w:firstLine="443"/>
        <w:spacing w:after="0" w:line="306" w:lineRule="auto"/>
        <w:tabs>
          <w:tab w:leader="none" w:pos="1074"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ratify and approve the appointment of Ernst &amp; Young LLP as our independent registered public accounting firm for the fiscal year ending September 30, 2015,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shareholders will also act on such other business as may properly come before the annual general meeting.</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has fixed the close of business on December 1, 2014 as the record date for the determination of our shareholders entitled to notice of, and to vote on the matters proposed at, the annual general meeting and any adjournments thereof.</w:t>
      </w:r>
    </w:p>
    <w:p>
      <w:pPr>
        <w:spacing w:after="0" w:line="2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LIZABETH</w:t>
      </w:r>
      <w:r>
        <w:rPr>
          <w:rFonts w:ascii="Arial" w:cs="Arial" w:eastAsia="Arial" w:hAnsi="Arial"/>
          <w:sz w:val="18"/>
          <w:szCs w:val="18"/>
          <w:color w:val="auto"/>
        </w:rPr>
        <w:t xml:space="preserve"> W. 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ERMON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December 24, 2014</w:t>
      </w:r>
    </w:p>
    <w:p>
      <w:pPr>
        <w:sectPr>
          <w:pgSz w:w="11900" w:h="16838" w:orient="portrait"/>
          <w:cols w:equalWidth="0" w:num="1">
            <w:col w:w="11260"/>
          </w:cols>
          <w:pgMar w:left="240" w:top="1408" w:right="399" w:bottom="1440" w:gutter="0" w:footer="0" w:header="0"/>
        </w:sectPr>
      </w:pPr>
    </w:p>
    <w:bookmarkStart w:id="2" w:name="page3"/>
    <w:bookmarkEnd w:id="2"/>
    <w:p>
      <w:pPr>
        <w:jc w:val="center"/>
        <w:ind w:right="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228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1228090"/>
                    </a:xfrm>
                    <a:prstGeom prst="rect">
                      <a:avLst/>
                    </a:prstGeom>
                    <a:noFill/>
                  </pic:spPr>
                </pic:pic>
              </a:graphicData>
            </a:graphic>
          </wp:anchor>
        </w:drawing>
        <w:t>YOUR VOTE IS IMPORTANT</w:t>
      </w:r>
    </w:p>
    <w:p>
      <w:pPr>
        <w:spacing w:after="0" w:line="17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122555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6" w:lineRule="exact"/>
        <w:rPr>
          <w:sz w:val="20"/>
          <w:szCs w:val="20"/>
          <w:color w:val="auto"/>
        </w:rPr>
      </w:pPr>
    </w:p>
    <w:p>
      <w:pPr>
        <w:ind w:left="640" w:right="140" w:hanging="446"/>
        <w:spacing w:after="0" w:line="25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proxy card for the annual general meeting for the fiscal year ended September 30, 2014 is enclosed and our Annual Report on Form 20-F is available on our website at www.amdocs.com/proxy or by request. The proxy card shall be delivered to our Secretary, in care of our principal U.S. subsidiary, Amdocs, Inc., by delivery to our transfer agent, American Stock Transfer &amp; Trust Company, LLC, at 6201 15th Avenue, Brooklyn, New York 11219, as soon as possible.</w:t>
      </w:r>
    </w:p>
    <w:p>
      <w:pPr>
        <w:spacing w:after="0" w:line="62" w:lineRule="exact"/>
        <w:rPr>
          <w:rFonts w:ascii="Arial" w:cs="Arial" w:eastAsia="Arial" w:hAnsi="Arial"/>
          <w:sz w:val="18"/>
          <w:szCs w:val="18"/>
          <w:color w:val="auto"/>
        </w:rPr>
      </w:pPr>
    </w:p>
    <w:p>
      <w:pPr>
        <w:ind w:left="640" w:hanging="446"/>
        <w:spacing w:after="0" w:line="25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held by such shareholder.</w:t>
      </w:r>
    </w:p>
    <w:p>
      <w:pPr>
        <w:spacing w:after="0" w:line="59" w:lineRule="exact"/>
        <w:rPr>
          <w:rFonts w:ascii="Arial" w:cs="Arial" w:eastAsia="Arial" w:hAnsi="Arial"/>
          <w:sz w:val="18"/>
          <w:szCs w:val="18"/>
          <w:color w:val="auto"/>
        </w:rPr>
      </w:pPr>
    </w:p>
    <w:p>
      <w:pPr>
        <w:ind w:left="640" w:hanging="446"/>
        <w:spacing w:after="0" w:line="294"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quorum for the annual general meeting shall be two shareholders or more holding a majority of the ordinary shares outstanding as of the record date. If within 30 minutes from the appointed time for the annual general meeting, a quorum is not present, it shall stand adjourned to any other time and any other place as determined by the Chairman of the annual general meeting. It shall not be necessary to notify any shareholder of any adjournment of less than 20 days if the time and place of the adjourned meeting are announced at the annual general meeting at which adjournment is taken, unless after the adjournment a new record date is fixed for the adjourned meeting.</w:t>
      </w:r>
    </w:p>
    <w:p>
      <w:pPr>
        <w:spacing w:after="0" w:line="34" w:lineRule="exact"/>
        <w:rPr>
          <w:rFonts w:ascii="Arial" w:cs="Arial" w:eastAsia="Arial" w:hAnsi="Arial"/>
          <w:sz w:val="16"/>
          <w:szCs w:val="16"/>
          <w:color w:val="auto"/>
        </w:rPr>
      </w:pPr>
    </w:p>
    <w:p>
      <w:pPr>
        <w:ind w:left="640" w:hanging="44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shareholder present in person or by proxy shall have one vote for each ordinary share held by him, her or it.</w:t>
      </w:r>
    </w:p>
    <w:p>
      <w:pPr>
        <w:sectPr>
          <w:pgSz w:w="11900" w:h="16838" w:orient="portrait"/>
          <w:cols w:equalWidth="0" w:num="1">
            <w:col w:w="11140"/>
          </w:cols>
          <w:pgMar w:left="500" w:top="314" w:right="25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9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WEDNESDAY, JANUARY 28, 2015</w:t>
      </w:r>
    </w:p>
    <w:p>
      <w:pPr>
        <w:spacing w:after="0" w:line="16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References in this Proxy Statement to “Amdocs”, “we”, “our” and “us” refer to Amdocs Limited and its consolidated subsidiaries and their respective predecessors.</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3:30 p.m., local time, on Wednesday, January 28, 2015, at the offices of Welsh, Carson, Anderson &amp; Stowe, 320 Park Avenue, Suite 2500, New York, New York, or at any adjournments thereof (the “General Meeting”).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Proxy Statement and the accompanying proxy are first being mailed or delivered to our shareholders on or about December 24, 2014.</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the General Meeting, the holders of our ordinary shares as of the close of business on December 1, 2014 (the “Record Date”) will be asked to take the following actions:</w:t>
      </w:r>
    </w:p>
    <w:p>
      <w:pPr>
        <w:spacing w:after="0" w:line="51" w:lineRule="exact"/>
        <w:rPr>
          <w:sz w:val="20"/>
          <w:szCs w:val="20"/>
          <w:color w:val="auto"/>
        </w:rPr>
      </w:pPr>
    </w:p>
    <w:p>
      <w:pPr>
        <w:ind w:left="460" w:right="340" w:firstLine="443"/>
        <w:spacing w:after="0" w:line="268" w:lineRule="auto"/>
        <w:tabs>
          <w:tab w:leader="none" w:pos="1074"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11 directors to serve until the next annual general meeting of shareholders or until their earlier resignation or removal or successors are elected and qualified (Proposal I);</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Approve an increase in the dividend rate under our quarterly cash dividend program from $0.155 per share to $0.17 per share (Proposal II);</w:t>
      </w:r>
    </w:p>
    <w:p>
      <w:pPr>
        <w:spacing w:after="0" w:line="113" w:lineRule="exact"/>
        <w:rPr>
          <w:rFonts w:ascii="Arial" w:cs="Arial" w:eastAsia="Arial" w:hAnsi="Arial"/>
          <w:sz w:val="16"/>
          <w:szCs w:val="16"/>
          <w:color w:val="auto"/>
        </w:rPr>
      </w:pPr>
    </w:p>
    <w:p>
      <w:pPr>
        <w:ind w:left="1080" w:hanging="177"/>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an extension of the term of our stock option plan to January 2025 (Proposal III);</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our Consolidated Financial Statements for the fiscal year ended September 30, 2014 (Proposal IV); and</w:t>
      </w:r>
    </w:p>
    <w:p>
      <w:pPr>
        <w:spacing w:after="0" w:line="90" w:lineRule="exact"/>
        <w:rPr>
          <w:rFonts w:ascii="Arial" w:cs="Arial" w:eastAsia="Arial" w:hAnsi="Arial"/>
          <w:sz w:val="18"/>
          <w:szCs w:val="18"/>
          <w:color w:val="auto"/>
        </w:rPr>
      </w:pPr>
    </w:p>
    <w:p>
      <w:pPr>
        <w:ind w:left="460" w:right="220" w:firstLine="443"/>
        <w:spacing w:after="0" w:line="306" w:lineRule="auto"/>
        <w:tabs>
          <w:tab w:leader="none" w:pos="1074" w:val="left"/>
        </w:tabs>
        <w:numPr>
          <w:ilvl w:val="0"/>
          <w:numId w:val="4"/>
        </w:numPr>
        <w:rPr>
          <w:rFonts w:ascii="Arial" w:cs="Arial" w:eastAsia="Arial" w:hAnsi="Arial"/>
          <w:sz w:val="16"/>
          <w:szCs w:val="16"/>
          <w:color w:val="auto"/>
        </w:rPr>
      </w:pPr>
      <w:r>
        <w:rPr>
          <w:rFonts w:ascii="Arial" w:cs="Arial" w:eastAsia="Arial" w:hAnsi="Arial"/>
          <w:sz w:val="16"/>
          <w:szCs w:val="16"/>
          <w:color w:val="auto"/>
        </w:rPr>
        <w:t>Ratify and approve the appointment of Ernst &amp; Young LLP as our independent registered public accounting firm for the fiscal year ending September 30, 2015,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 holders.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the Record Date, Amdocs had outstanding 155,871,679 ordinary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1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Approval of Proposals I, II, III, IV and V requires the affirmative vote of a majority of our ordinary shares voted in person or by proxy at the General Meeting.</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274" w:right="359" w:bottom="1440" w:gutter="0" w:footer="0" w:header="0"/>
        </w:sectPr>
      </w:pPr>
    </w:p>
    <w:bookmarkStart w:id="4" w:name="page5"/>
    <w:bookmarkEnd w:id="4"/>
    <w:p>
      <w:pPr>
        <w:ind w:right="3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enclosed proxy provides that each shareholder may specify that his, her or its ordinary shares be voted “for”, “against” or “abstain” from voting for each of the director nominees named in Proposal I and with respect to each of Proposals II, III, IV and V. If proxies in the accompanying form are properly executed and returned, the ordinary shares represented thereby will be voted in the manner specified therein. If not otherwise specified, in the reasonable discretion of the proxy holders, the ordinary shares represented by a proxy will be voted FOR each of the proposals.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General Meeting on January 28, 2015. We strongly encourage our shareholders to use the enclosed proxy card or to authorize the voting of their shares over the Internet or by telephone as provided in the instructions set forth in the enclosed proxy card.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shareholder giving a proxy may revoke it at any time before it is exercised at the General Meeting by:</w:t>
      </w:r>
    </w:p>
    <w:p>
      <w:pPr>
        <w:spacing w:after="0" w:line="90" w:lineRule="exact"/>
        <w:rPr>
          <w:sz w:val="20"/>
          <w:szCs w:val="20"/>
          <w:color w:val="auto"/>
        </w:rPr>
      </w:pPr>
    </w:p>
    <w:p>
      <w:pPr>
        <w:ind w:left="900" w:right="60" w:hanging="446"/>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62"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the General Meeting and voting in person (although attendance at the General Meeting will not in and of itself constitute revocation of a proxy).</w:t>
      </w:r>
    </w:p>
    <w:p>
      <w:pPr>
        <w:spacing w:after="0" w:line="126" w:lineRule="exact"/>
        <w:rPr>
          <w:sz w:val="20"/>
          <w:szCs w:val="20"/>
          <w:color w:val="auto"/>
        </w:rPr>
      </w:pPr>
    </w:p>
    <w:p>
      <w:pPr>
        <w:jc w:val="center"/>
        <w:ind w:left="260" w:right="2340"/>
        <w:spacing w:after="0" w:line="26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OF SHAREHOLDERS TO BE HELD ON JANUARY 28, 2015</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This proxy statement and the 2014 Annual Report to Shareholders are available for viewing, printing and downloading at www.amdocs.com/proxy.</w:t>
      </w:r>
    </w:p>
    <w:p>
      <w:pPr>
        <w:spacing w:after="0" w:line="19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You may also request a copy of the materials relating to our annual general meeting, including this</w:t>
      </w:r>
    </w:p>
    <w:p>
      <w:pPr>
        <w:spacing w:after="0" w:line="21" w:lineRule="exact"/>
        <w:rPr>
          <w:sz w:val="20"/>
          <w:szCs w:val="20"/>
          <w:color w:val="auto"/>
        </w:rPr>
      </w:pPr>
    </w:p>
    <w:p>
      <w:pPr>
        <w:jc w:val="center"/>
        <w:ind w:left="260" w:right="1740"/>
        <w:spacing w:after="0" w:line="255" w:lineRule="auto"/>
        <w:rPr>
          <w:sz w:val="20"/>
          <w:szCs w:val="20"/>
          <w:color w:val="auto"/>
        </w:rPr>
      </w:pPr>
      <w:r>
        <w:rPr>
          <w:rFonts w:ascii="Arial" w:cs="Arial" w:eastAsia="Arial" w:hAnsi="Arial"/>
          <w:sz w:val="18"/>
          <w:szCs w:val="18"/>
          <w:b w:val="1"/>
          <w:bCs w:val="1"/>
          <w:color w:val="auto"/>
        </w:rPr>
        <w:t>proxy statement and form of proxy for our annual general meeting, and our Annual Report on Form 20-F for the fiscal year ended September 30, 2014 by contacting our investor relations department by telephone at (314) 212-8328 or by e-mail at dox_info@amdocs.com.</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171"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Ten directors currently serve on our Board of Directors. As set forth below, the Board of Directors has nominated 11 individuals as nominees for election as directors at the General Meeting, 10 of whom are incumbent directors. On November 4, 2014, our Nominating and Corporate Governance Committee recommended the nomination of, and our Board of Directors nominated, Clayton Christensen to be elected by our shareholders as a director of Amdocs at the General Meeting. If Dr. Christensen is elected, his term would commence on April 1, 2015. Each director elected at the General Meeting will serve until the next annual general meeting of shareholders or until his earlier resignation or removal or a successor is elected and qualified.</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Ordinary shares represented by proxies returned duly executed will be voted, unless otherwise specified, in favor of the 11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Set forth below are the names and ages of the nominees for director, the principal occupations of each nominee currently and for at least the past five years, and the year in which he became a director of Amdocs.</w:t>
      </w:r>
    </w:p>
    <w:p>
      <w:pPr>
        <w:sectPr>
          <w:pgSz w:w="11900" w:h="16838" w:orient="portrait"/>
          <w:cols w:equalWidth="0" w:num="1">
            <w:col w:w="11400"/>
          </w:cols>
          <w:pgMar w:left="240" w:top="274" w:right="25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Robert A. Minicucci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Adrian Gardner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0</wp:posOffset>
            </wp:positionV>
            <wp:extent cx="2571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ind w:left="440" w:hanging="370"/>
        <w:spacing w:after="0" w:line="284"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Minicucci has been Chairman of the Board of Directors of Amdocs since 2011 and a director since 1997. He has been a general partner of Welsh, Carson, Anderson &amp; Stowe, an investment firm that specializes in the acquisition of companies in the information and business services and health care industries, since 1993. Until 2003, investment partnerships affiliated with Welsh, Carson, Anderson &amp; Stowe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also a director of two other publicly-held companies, Alliance Data Systems, Inc. and Paycom Software Inc. He is also a director of several private companies. Mr. Minicucci’s career in information technology investing, including as a director of more than 20 different public and private companies, and his experience as chief financial officer to a public company and treasurer of another public company, have provided him with strong business acumen and strategic and financial expertise.</w:t>
      </w:r>
    </w:p>
    <w:p>
      <w:pPr>
        <w:spacing w:after="0" w:line="71" w:lineRule="exact"/>
        <w:rPr>
          <w:sz w:val="20"/>
          <w:szCs w:val="20"/>
          <w:color w:val="auto"/>
        </w:rPr>
      </w:pPr>
    </w:p>
    <w:p>
      <w:pPr>
        <w:ind w:left="440" w:right="100" w:hanging="370"/>
        <w:spacing w:after="0" w:line="291"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Gardner has been a director of Amdocs since 1998 and is Chairman of the Audit Committee. Since January 2014, Mr. Gardner has served as Chief Financial Officer of International Personal Finance plc, an international home credit business. Mr. Gardner was Chief Financial Officer and a director of RSM Tenon Group PLC, a London-based accounting and advisory firm listed on the London Stock Exchange, from 2011 until the acquisition in 2013 of its operating subsidiaries by Baker Tilly UK Holdings Limited. Mr. Gardner served from 2011 to 2013 as Chief Financial Officer and as a director of the former principal operating</w:t>
      </w:r>
    </w:p>
    <w:p>
      <w:pPr>
        <w:spacing w:after="0" w:line="107"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500" w:space="720"/>
            <w:col w:w="8180"/>
          </w:cols>
          <w:pgMar w:left="240" w:top="274" w:right="259" w:bottom="1440" w:gutter="0" w:footer="0" w:header="0"/>
          <w:type w:val="continuous"/>
        </w:sectPr>
      </w:pPr>
    </w:p>
    <w:bookmarkStart w:id="6" w:name="page7"/>
    <w:bookmarkEnd w:id="6"/>
    <w:p>
      <w:pPr>
        <w:ind w:left="3660"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which has been renamed Baker Tilly Business Services Limited. Mr. Gardner was Chief Financial Officer of PA Consulting Group, a London-based business consulting firm from 2007 to 2011. Mr. Gardner was Chief Financial Officer and a director of ProStrakan Group plc, a pharmaceuticals company based in the United Kingdom and listed on the London Stock Exchange, from 2002 until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fellow of the Institute of Chartered Accountants in England &amp; Wales. Mr. Gardner’s extensive experience as an accountant, technology investment banker and chief financial officer enables him to make valuable contributions to our strategic and financial affairs.</w:t>
      </w:r>
    </w:p>
    <w:p>
      <w:pPr>
        <w:sectPr>
          <w:pgSz w:w="11900" w:h="16838" w:orient="portrait"/>
          <w:cols w:equalWidth="0" w:num="1">
            <w:col w:w="11420"/>
          </w:cols>
          <w:pgMar w:left="240" w:top="388" w:right="239" w:bottom="1440" w:gutter="0" w:footer="0" w:header="0"/>
        </w:sectPr>
      </w:pP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John T. McLennan</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hanging="379"/>
        <w:spacing w:after="0" w:line="286" w:lineRule="auto"/>
        <w:rPr>
          <w:sz w:val="20"/>
          <w:szCs w:val="20"/>
          <w:color w:val="auto"/>
        </w:rPr>
      </w:pPr>
      <w:r>
        <w:rPr>
          <w:rFonts w:ascii="Arial" w:cs="Arial" w:eastAsia="Arial" w:hAnsi="Arial"/>
          <w:sz w:val="16"/>
          <w:szCs w:val="16"/>
          <w:color w:val="auto"/>
        </w:rPr>
        <w:t>69</w:t>
      </w:r>
      <w:r>
        <w:rPr>
          <w:sz w:val="20"/>
          <w:szCs w:val="20"/>
          <w:color w:val="auto"/>
        </w:rPr>
        <w:t xml:space="preserve"> </w:t>
      </w:r>
      <w:r>
        <w:rPr>
          <w:rFonts w:ascii="Arial" w:cs="Arial" w:eastAsia="Arial" w:hAnsi="Arial"/>
          <w:sz w:val="16"/>
          <w:szCs w:val="16"/>
          <w:color w:val="auto"/>
        </w:rPr>
        <w:t>Mr. McLennan has been a director of Amdocs since 1999 and is Chairman of the Management Resources and Compensation Committee. From 2000 until 2004, he served as Vice-Chair and Chief Executive Officer of Allstream (formerly AT&amp;T Canada). Mr. McLennan founded Jenmark Consulting Inc. and was its President from 1997 until 2000. From 1993 to 1997, Mr. McLennan served as the President and Chief Executive Officer of Bell Canada. Prior to that, he held various positions at several telecommunications companies, including BCE Mobile Communications and Cantel Inc. Mr. McLennan is also a director of Emera Inc., a Canadian publicly-held energy services company, and was its Chairman from 2009 to 2014. We believe Mr. McLennan’s qualifications to sit on our Board of Directors include his years of experience in the telecommunications industry, including as chief executive officer of a leading Canadian telecommunications provider, and his experience providing strategic advice to complex organizations across a variety of industries, including as a public company director.</w:t>
      </w:r>
    </w:p>
    <w:p>
      <w:pPr>
        <w:spacing w:after="0" w:line="73" w:lineRule="exact"/>
        <w:rPr>
          <w:sz w:val="20"/>
          <w:szCs w:val="20"/>
          <w:color w:val="auto"/>
        </w:rPr>
      </w:pPr>
    </w:p>
    <w:p>
      <w:pPr>
        <w:sectPr>
          <w:pgSz w:w="11900" w:h="16838" w:orient="portrait"/>
          <w:cols w:equalWidth="0" w:num="2">
            <w:col w:w="2940" w:space="720"/>
            <w:col w:w="7760"/>
          </w:cols>
          <w:pgMar w:left="240" w:top="3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Simon Olswang</w:t>
      </w:r>
    </w:p>
    <w:p>
      <w:pPr>
        <w:spacing w:after="0" w:line="20" w:lineRule="exact"/>
        <w:rPr>
          <w:sz w:val="20"/>
          <w:szCs w:val="20"/>
          <w:color w:val="auto"/>
        </w:rPr>
      </w:pPr>
      <w:r>
        <w:rPr>
          <w:sz w:val="20"/>
          <w:szCs w:val="20"/>
          <w:color w:val="auto"/>
        </w:rPr>
        <w:br w:type="column"/>
      </w:r>
    </w:p>
    <w:p>
      <w:pPr>
        <w:ind w:right="20" w:hanging="379"/>
        <w:spacing w:after="0" w:line="306" w:lineRule="auto"/>
        <w:rPr>
          <w:sz w:val="20"/>
          <w:szCs w:val="20"/>
          <w:color w:val="auto"/>
        </w:rPr>
      </w:pPr>
      <w:r>
        <w:rPr>
          <w:rFonts w:ascii="Arial" w:cs="Arial" w:eastAsia="Arial" w:hAnsi="Arial"/>
          <w:sz w:val="15"/>
          <w:szCs w:val="15"/>
          <w:color w:val="auto"/>
        </w:rPr>
        <w:t>71</w:t>
      </w:r>
      <w:r>
        <w:rPr>
          <w:sz w:val="20"/>
          <w:szCs w:val="20"/>
          <w:color w:val="auto"/>
        </w:rPr>
        <w:t xml:space="preserve"> </w:t>
      </w:r>
      <w:r>
        <w:rPr>
          <w:rFonts w:ascii="Arial" w:cs="Arial" w:eastAsia="Arial" w:hAnsi="Arial"/>
          <w:sz w:val="15"/>
          <w:szCs w:val="15"/>
          <w:color w:val="auto"/>
        </w:rPr>
        <w:t>Mr. Olswang has been a director of Amdocs since 2004 and is Chairman of the Nominating and Corporate Governance Committee. In 2002, Mr. Olswang retired as Chairman of Olswang, a media and communications law firm in the United Kingdom that he founded in 1981. He is a member of the Advisory Board of Palamon Capital Partners LLP and of the Board of Directors of Amiad Filtration Systems Limited, an Israeli clean water company listed on the London AIM market. In 2012, Mr. Olswang was appointed a Trustee of Tel Hai Academic College. Mr. Olswang was a member of the Board of Directors of The British Library until March 2008 and has served as a non-executive director of a number of companies and organizations, including Aegis Group plc, The Press Association and the British Film Institute. Mr. Olswang previously served as Trustee of Langdon College of Further (Special) Education in Salford, of which he is a co-founder. We believe Mr. Olswang’s qualifications to sit on our Board of Directors include his extensive experience providing strategic and legal advisory services to complex organizations, as well as startups, and his membership of the boards of directors of companies and other bodies active in the media and communications industry.</w:t>
      </w:r>
    </w:p>
    <w:p>
      <w:pPr>
        <w:spacing w:after="0" w:line="62" w:lineRule="exact"/>
        <w:rPr>
          <w:sz w:val="20"/>
          <w:szCs w:val="20"/>
          <w:color w:val="auto"/>
        </w:rPr>
      </w:pPr>
    </w:p>
    <w:p>
      <w:pPr>
        <w:sectPr>
          <w:pgSz w:w="11900" w:h="16838" w:orient="portrait"/>
          <w:cols w:equalWidth="0" w:num="2">
            <w:col w:w="2940" w:space="720"/>
            <w:col w:w="7760"/>
          </w:cols>
          <w:pgMar w:left="240" w:top="3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Zohar Zisapel</w:t>
      </w:r>
    </w:p>
    <w:p>
      <w:pPr>
        <w:spacing w:after="0" w:line="20" w:lineRule="exact"/>
        <w:rPr>
          <w:sz w:val="20"/>
          <w:szCs w:val="20"/>
          <w:color w:val="auto"/>
        </w:rPr>
      </w:pPr>
      <w:r>
        <w:rPr>
          <w:sz w:val="20"/>
          <w:szCs w:val="20"/>
          <w:color w:val="auto"/>
        </w:rPr>
        <w:br w:type="column"/>
      </w:r>
    </w:p>
    <w:p>
      <w:pPr>
        <w:ind w:right="80" w:hanging="379"/>
        <w:spacing w:after="0" w:line="259" w:lineRule="auto"/>
        <w:rPr>
          <w:sz w:val="20"/>
          <w:szCs w:val="20"/>
          <w:color w:val="auto"/>
        </w:rPr>
      </w:pPr>
      <w:r>
        <w:rPr>
          <w:rFonts w:ascii="Arial" w:cs="Arial" w:eastAsia="Arial" w:hAnsi="Arial"/>
          <w:sz w:val="18"/>
          <w:szCs w:val="18"/>
          <w:color w:val="auto"/>
        </w:rPr>
        <w:t>65</w:t>
      </w:r>
      <w:r>
        <w:rPr>
          <w:sz w:val="20"/>
          <w:szCs w:val="20"/>
          <w:color w:val="auto"/>
        </w:rPr>
        <w:t xml:space="preserve"> </w:t>
      </w:r>
      <w:r>
        <w:rPr>
          <w:rFonts w:ascii="Arial" w:cs="Arial" w:eastAsia="Arial" w:hAnsi="Arial"/>
          <w:sz w:val="18"/>
          <w:szCs w:val="18"/>
          <w:color w:val="auto"/>
        </w:rPr>
        <w:t>Mr. Zisapel has been a director of Amdocs since 2008 and is the Chairman of the Technology and Innovation Committee. Mr. Zisapel co-founded RAD Data Communications Ltd., a privately-held voice and data communications company and part of the RAD Group, a family of</w:t>
      </w:r>
    </w:p>
    <w:p>
      <w:pPr>
        <w:spacing w:after="0" w:line="127" w:lineRule="exact"/>
        <w:rPr>
          <w:sz w:val="20"/>
          <w:szCs w:val="20"/>
          <w:color w:val="auto"/>
        </w:rPr>
      </w:pPr>
    </w:p>
    <w:p>
      <w:pPr>
        <w:sectPr>
          <w:pgSz w:w="11900" w:h="16838" w:orient="portrait"/>
          <w:cols w:equalWidth="0" w:num="2">
            <w:col w:w="2940" w:space="720"/>
            <w:col w:w="7760"/>
          </w:cols>
          <w:pgMar w:left="240" w:top="388"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388" w:right="239" w:bottom="1440" w:gutter="0" w:footer="0" w:header="0"/>
          <w:type w:val="continuous"/>
        </w:sectPr>
      </w:pPr>
    </w:p>
    <w:bookmarkStart w:id="7" w:name="page8"/>
    <w:bookmarkEnd w:id="7"/>
    <w:p>
      <w:pPr>
        <w:ind w:left="3660"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networking and telecommunications companies, and was its chairman from 1982 until 2012. Mr. Zisapel also serves as chairman of Ceragon Networks Ltd. and RADCOM Ltd., each of which is a publicly-traded member of the RAD Group, as a director of Silicom Ltd., a public company, and on the boards of directors of several privately-held companies. Mr. Zisapel served as chairman of the Israel Association of Electronic Industries from 1998 until 2001. Mr. Zisapel’s experience as founder, chairman and director of several public and private high technology companies, and his leadership in several government organizations, demonstrate his leadership capability and provide him with valuable insights into the voice and data communications industries.</w:t>
      </w:r>
    </w:p>
    <w:p>
      <w:pPr>
        <w:sectPr>
          <w:pgSz w:w="11900" w:h="16838" w:orient="portrait"/>
          <w:cols w:equalWidth="0" w:num="1">
            <w:col w:w="11420"/>
          </w:cols>
          <w:pgMar w:left="240" w:top="388" w:right="2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Julian A. Brodsky</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120" w:hanging="379"/>
        <w:spacing w:after="0" w:line="289" w:lineRule="auto"/>
        <w:rPr>
          <w:sz w:val="20"/>
          <w:szCs w:val="20"/>
          <w:color w:val="auto"/>
        </w:rPr>
      </w:pPr>
      <w:r>
        <w:rPr>
          <w:rFonts w:ascii="Arial" w:cs="Arial" w:eastAsia="Arial" w:hAnsi="Arial"/>
          <w:sz w:val="16"/>
          <w:szCs w:val="16"/>
          <w:color w:val="auto"/>
        </w:rPr>
        <w:t>81</w:t>
      </w:r>
      <w:r>
        <w:rPr>
          <w:sz w:val="20"/>
          <w:szCs w:val="20"/>
          <w:color w:val="auto"/>
        </w:rPr>
        <w:t xml:space="preserve"> </w:t>
      </w:r>
      <w:r>
        <w:rPr>
          <w:rFonts w:ascii="Arial" w:cs="Arial" w:eastAsia="Arial" w:hAnsi="Arial"/>
          <w:sz w:val="16"/>
          <w:szCs w:val="16"/>
          <w:color w:val="auto"/>
        </w:rPr>
        <w:t>Mr. Brodsky has been a director of Amdocs since 2003. Since 2011, Mr. Brodsky has served as a senior advisor to Comcast Corporation. Mr. Brodsky served as a director of Comcast Corporation from 1969 to 2011, and as Vice Chairman of Comcast Corporation from 1989 to 2011. From 1999 to 2004, Mr. Brodsky was Chairman of Comcast Interactive Capital, LP, a venture fund affiliated with Comcast. He is a director of RBB Fund, Inc. Mr. Brodsky brings to our Board of Directors deep and extensive knowledge of business in general and of the cable industry in particular gained through his longstanding executive leadership roles at Comcast, as well as financial expertise in capital markets, accounting and tax matters gained through his experience as Chief Financial Officer of Comcast and as a practicing CPA.</w:t>
      </w:r>
    </w:p>
    <w:p>
      <w:pPr>
        <w:spacing w:after="0" w:line="64" w:lineRule="exact"/>
        <w:rPr>
          <w:sz w:val="20"/>
          <w:szCs w:val="20"/>
          <w:color w:val="auto"/>
        </w:rPr>
      </w:pPr>
    </w:p>
    <w:p>
      <w:pPr>
        <w:sectPr>
          <w:pgSz w:w="11900" w:h="16838" w:orient="portrait"/>
          <w:cols w:equalWidth="0" w:num="2">
            <w:col w:w="2940" w:space="720"/>
            <w:col w:w="7760"/>
          </w:cols>
          <w:pgMar w:left="240" w:top="388" w:right="239" w:bottom="1440" w:gutter="0" w:footer="0" w:header="0"/>
          <w:type w:val="continuous"/>
        </w:sectPr>
      </w:pPr>
    </w:p>
    <w:p>
      <w:pPr>
        <w:spacing w:after="0"/>
        <w:rPr>
          <w:sz w:val="20"/>
          <w:szCs w:val="20"/>
          <w:color w:val="auto"/>
        </w:rPr>
      </w:pPr>
      <w:r>
        <w:rPr>
          <w:rFonts w:ascii="Arial" w:cs="Arial" w:eastAsia="Arial" w:hAnsi="Arial"/>
          <w:sz w:val="15"/>
          <w:szCs w:val="15"/>
          <w:color w:val="auto"/>
        </w:rPr>
        <w:t>Clayton Christensen</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Arial" w:cs="Arial" w:eastAsia="Arial" w:hAnsi="Arial"/>
          <w:sz w:val="16"/>
          <w:szCs w:val="16"/>
          <w:color w:val="auto"/>
        </w:rPr>
        <w:t>62</w:t>
        <w:tab/>
        <w:t>On November 4, 2014, our Nominating and Corporate Governance Committee recommended the nomination</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of, and our Board of Directors nominated, Dr. Christensen to be elected by our shareholders as a director of</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Amdocs at the General Meeting. If Dr. Christensen is elected, his term would commence on April 1, 2015. Dr.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Christensen is the Kim B. Clark Professor of Business Administration at the Harvard Business School where</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he has been a faculty member since 1992. Dr. Christensen was a Rhodes Scholar and received his Masters of</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Philosophy degree from Oxford and his MBA and DBA from the Harvard Business School. He also served as</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President and Chairman of CPS Technologies, an industrial materials company, from 1984 to 1989. From</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1979 to 1984, he worked as a consultant and project manager for the Boston Consulting Group.</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Dr. Christensen is the founder of Rose Park Advisors, an investment firm, Innosight LLC, an innovation</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consulting firm, and the Christensen Institute for Disruptive Change, a non-profit organization focused on</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innovation. He is a director of Tata Consultancy Services, an IT consulting firm and part of the Tata group,</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Franklin Covey Co., a public company focused on performance improvement, and Intermountain Healthcare,</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not-for-profit healthcare provider. Dr. Christensen’s qualifications to serve on our Board of Directors</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include his research and teaching interests, which are centered on building new growth businesses and</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sustaining the success of companies. Dr. Christensen’s previous work with various companies provides him</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with a broad perspective in the areas of management and operations.</w:t>
      </w:r>
    </w:p>
    <w:p>
      <w:pPr>
        <w:spacing w:after="0" w:line="111" w:lineRule="exact"/>
        <w:rPr>
          <w:sz w:val="20"/>
          <w:szCs w:val="20"/>
          <w:color w:val="auto"/>
        </w:rPr>
      </w:pPr>
    </w:p>
    <w:p>
      <w:pPr>
        <w:sectPr>
          <w:pgSz w:w="11900" w:h="16838" w:orient="portrait"/>
          <w:cols w:equalWidth="0" w:num="2">
            <w:col w:w="2560" w:space="720"/>
            <w:col w:w="8140"/>
          </w:cols>
          <w:pgMar w:left="240" w:top="3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Eli Gelman</w:t>
      </w:r>
    </w:p>
    <w:p>
      <w:pPr>
        <w:spacing w:after="0" w:line="20" w:lineRule="exact"/>
        <w:rPr>
          <w:sz w:val="20"/>
          <w:szCs w:val="20"/>
          <w:color w:val="auto"/>
        </w:rPr>
      </w:pPr>
      <w:r>
        <w:rPr>
          <w:sz w:val="20"/>
          <w:szCs w:val="20"/>
          <w:color w:val="auto"/>
        </w:rPr>
        <w:br w:type="column"/>
      </w:r>
    </w:p>
    <w:p>
      <w:pPr>
        <w:ind w:right="20" w:hanging="379"/>
        <w:spacing w:after="0" w:line="294" w:lineRule="auto"/>
        <w:rPr>
          <w:sz w:val="20"/>
          <w:szCs w:val="20"/>
          <w:color w:val="auto"/>
        </w:rPr>
      </w:pPr>
      <w:r>
        <w:rPr>
          <w:rFonts w:ascii="Arial" w:cs="Arial" w:eastAsia="Arial" w:hAnsi="Arial"/>
          <w:sz w:val="16"/>
          <w:szCs w:val="16"/>
          <w:color w:val="auto"/>
        </w:rPr>
        <w:t>56</w:t>
      </w:r>
      <w:r>
        <w:rPr>
          <w:sz w:val="20"/>
          <w:szCs w:val="20"/>
          <w:color w:val="auto"/>
        </w:rPr>
        <w:t xml:space="preserve"> </w:t>
      </w:r>
      <w:r>
        <w:rPr>
          <w:rFonts w:ascii="Arial" w:cs="Arial" w:eastAsia="Arial" w:hAnsi="Arial"/>
          <w:sz w:val="16"/>
          <w:szCs w:val="16"/>
          <w:color w:val="auto"/>
        </w:rPr>
        <w:t>Mr. Gelman has been a director of Amdocs since 2002. Mr. Gelman became the President and Chief Executive Officer of Amdocs Management Limited, our wholly-owned subsidiary, in 2010. From 2010 until 2013, Mr. Gelman served as a director of Retalix, a global software company, and during 2010, he also served as its Chairman. From 2008 to 2010, Mr. Gelman devoted his time to charitable matters focused on youth education. He served as Executive Vice President of Amdocs Management</w:t>
      </w:r>
    </w:p>
    <w:p>
      <w:pPr>
        <w:spacing w:after="0" w:line="102" w:lineRule="exact"/>
        <w:rPr>
          <w:sz w:val="20"/>
          <w:szCs w:val="20"/>
          <w:color w:val="auto"/>
        </w:rPr>
      </w:pPr>
    </w:p>
    <w:p>
      <w:pPr>
        <w:sectPr>
          <w:pgSz w:w="11900" w:h="16838" w:orient="portrait"/>
          <w:cols w:equalWidth="0" w:num="2">
            <w:col w:w="2940" w:space="720"/>
            <w:col w:w="7760"/>
          </w:cols>
          <w:pgMar w:left="240" w:top="388"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88" w:right="239" w:bottom="1440" w:gutter="0" w:footer="0" w:header="0"/>
          <w:type w:val="continuous"/>
        </w:sectPr>
      </w:pPr>
    </w:p>
    <w:bookmarkStart w:id="8" w:name="page9"/>
    <w:bookmarkEnd w:id="8"/>
    <w:p>
      <w:pPr>
        <w:ind w:left="3660" w:right="4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Limited from 2002 until 2008 and as our Chief Operating Officer from 2006 until 2008. Prior to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 his more than two decades of service to Amdocs and its customers, including as our Chief Operating Officer. With more than 30 years of experience in the software industry, he possesses a vast institutional knowledge and strategic understanding of our organization and industry.</w:t>
      </w:r>
    </w:p>
    <w:p>
      <w:pPr>
        <w:sectPr>
          <w:pgSz w:w="11900" w:h="16838" w:orient="portrait"/>
          <w:cols w:equalWidth="0" w:num="1">
            <w:col w:w="11420"/>
          </w:cols>
          <w:pgMar w:left="240" w:top="388" w:right="23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James S. Kahan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hanging="379"/>
        <w:spacing w:after="0" w:line="288" w:lineRule="auto"/>
        <w:rPr>
          <w:sz w:val="20"/>
          <w:szCs w:val="20"/>
          <w:color w:val="auto"/>
        </w:rPr>
      </w:pPr>
      <w:r>
        <w:rPr>
          <w:rFonts w:ascii="Arial" w:cs="Arial" w:eastAsia="Arial" w:hAnsi="Arial"/>
          <w:sz w:val="16"/>
          <w:szCs w:val="16"/>
          <w:color w:val="auto"/>
        </w:rPr>
        <w:t>67</w:t>
      </w:r>
      <w:r>
        <w:rPr>
          <w:sz w:val="20"/>
          <w:szCs w:val="20"/>
          <w:color w:val="auto"/>
        </w:rPr>
        <w:t xml:space="preserve"> </w:t>
      </w:r>
      <w:r>
        <w:rPr>
          <w:rFonts w:ascii="Arial" w:cs="Arial" w:eastAsia="Arial" w:hAnsi="Arial"/>
          <w:sz w:val="16"/>
          <w:szCs w:val="16"/>
          <w:color w:val="auto"/>
        </w:rPr>
        <w:t>Mr. Kahan has been a director of Amdocs since 1998. From 1983 until his retirement in 2007, he worked at SBC, which is now AT&amp;T, and served as a Senior Executive Vice President from 1992 until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a publicly-traded live music and ticketing entity, as well as two private companies. Mr. Kahan’s long service at SBC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66" w:lineRule="exact"/>
        <w:rPr>
          <w:sz w:val="20"/>
          <w:szCs w:val="20"/>
          <w:color w:val="auto"/>
        </w:rPr>
      </w:pPr>
    </w:p>
    <w:p>
      <w:pPr>
        <w:sectPr>
          <w:pgSz w:w="11900" w:h="16838" w:orient="portrait"/>
          <w:cols w:equalWidth="0" w:num="2">
            <w:col w:w="2940" w:space="720"/>
            <w:col w:w="7760"/>
          </w:cols>
          <w:pgMar w:left="240" w:top="3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Richard T.C. LeFave</w:t>
      </w:r>
    </w:p>
    <w:p>
      <w:pPr>
        <w:spacing w:after="0" w:line="20" w:lineRule="exact"/>
        <w:rPr>
          <w:sz w:val="20"/>
          <w:szCs w:val="20"/>
          <w:color w:val="auto"/>
        </w:rPr>
      </w:pPr>
      <w:r>
        <w:rPr>
          <w:sz w:val="20"/>
          <w:szCs w:val="20"/>
          <w:color w:val="auto"/>
        </w:rPr>
        <w:br w:type="column"/>
      </w:r>
    </w:p>
    <w:p>
      <w:pPr>
        <w:ind w:right="140" w:hanging="379"/>
        <w:spacing w:after="0" w:line="289" w:lineRule="auto"/>
        <w:rPr>
          <w:sz w:val="20"/>
          <w:szCs w:val="20"/>
          <w:color w:val="auto"/>
        </w:rPr>
      </w:pPr>
      <w:r>
        <w:rPr>
          <w:rFonts w:ascii="Arial" w:cs="Arial" w:eastAsia="Arial" w:hAnsi="Arial"/>
          <w:sz w:val="16"/>
          <w:szCs w:val="16"/>
          <w:color w:val="auto"/>
        </w:rPr>
        <w:t>63</w:t>
      </w:r>
      <w:r>
        <w:rPr>
          <w:sz w:val="20"/>
          <w:szCs w:val="20"/>
          <w:color w:val="auto"/>
        </w:rPr>
        <w:t xml:space="preserve"> </w:t>
      </w:r>
      <w:r>
        <w:rPr>
          <w:rFonts w:ascii="Arial" w:cs="Arial" w:eastAsia="Arial" w:hAnsi="Arial"/>
          <w:sz w:val="16"/>
          <w:szCs w:val="16"/>
          <w:color w:val="auto"/>
        </w:rPr>
        <w:t>Mr. LeFave has been a director of Amdocs since 2011. Since 2008, Mr. LeFave has been a Principal at D&amp;L Partners, LLC, an information technology consulting firm. Mr. LeFave served as Chief Information Officer for Nextel Communications, a telecommunications company, from 1999 until its merger with Sprint Corporation in 2005, after which he served as Chief Information Officer for Sprint Nextel Corporation until 2008. From 1995 to 1999, Mr. LeFave served as Chief Information Officer for Southern New England Telephone Company, a provider of communications products and services. We believe Mr. LeFave’s qualifications to sit on our board include his extensive experience and leadership in the information technology and telecommunications industry.</w:t>
      </w:r>
    </w:p>
    <w:p>
      <w:pPr>
        <w:spacing w:after="0" w:line="64" w:lineRule="exact"/>
        <w:rPr>
          <w:sz w:val="20"/>
          <w:szCs w:val="20"/>
          <w:color w:val="auto"/>
        </w:rPr>
      </w:pPr>
    </w:p>
    <w:p>
      <w:pPr>
        <w:sectPr>
          <w:pgSz w:w="11900" w:h="16838" w:orient="portrait"/>
          <w:cols w:equalWidth="0" w:num="2">
            <w:col w:w="2940" w:space="720"/>
            <w:col w:w="7760"/>
          </w:cols>
          <w:pgMar w:left="240" w:top="3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Giora Yaron</w:t>
      </w:r>
    </w:p>
    <w:p>
      <w:pPr>
        <w:spacing w:after="0" w:line="20" w:lineRule="exact"/>
        <w:rPr>
          <w:sz w:val="20"/>
          <w:szCs w:val="20"/>
          <w:color w:val="auto"/>
        </w:rPr>
      </w:pPr>
      <w:r>
        <w:rPr>
          <w:sz w:val="20"/>
          <w:szCs w:val="20"/>
          <w:color w:val="auto"/>
        </w:rPr>
        <w:br w:type="column"/>
      </w:r>
    </w:p>
    <w:p>
      <w:pPr>
        <w:ind w:right="100" w:hanging="379"/>
        <w:spacing w:after="0" w:line="287" w:lineRule="auto"/>
        <w:rPr>
          <w:sz w:val="20"/>
          <w:szCs w:val="20"/>
          <w:color w:val="auto"/>
        </w:rPr>
      </w:pPr>
      <w:r>
        <w:rPr>
          <w:rFonts w:ascii="Arial" w:cs="Arial" w:eastAsia="Arial" w:hAnsi="Arial"/>
          <w:sz w:val="16"/>
          <w:szCs w:val="16"/>
          <w:color w:val="auto"/>
        </w:rPr>
        <w:t>66</w:t>
      </w:r>
      <w:r>
        <w:rPr>
          <w:sz w:val="20"/>
          <w:szCs w:val="20"/>
          <w:color w:val="auto"/>
        </w:rPr>
        <w:t xml:space="preserve"> </w:t>
      </w:r>
      <w:r>
        <w:rPr>
          <w:rFonts w:ascii="Arial" w:cs="Arial" w:eastAsia="Arial" w:hAnsi="Arial"/>
          <w:sz w:val="16"/>
          <w:szCs w:val="16"/>
          <w:color w:val="auto"/>
        </w:rPr>
        <w:t>Dr. Yaron has been a director of Amdocs since 2009. Dr. Yaron co-founded Itamar Medical Ltd., a publicly-traded medical technology company, and has been its co-chairman since 1997. Dr. Yaron provides consulting services to Itamar Medical and to various other technology companies. He co-founded P-cube, Pentacom, Qumranet, Exanet and Comsys, privately-held companies sold to multinational corporations. In 2009, Dr. Yaron also co-founded Qwilt, Inc., a privately-held video technology company and serves as one of its directors. Dr. Yaron serves as a director of Hyperwise Security, a company focused on providing a comprehensive APT protection, and Excelero (ExpressIO), a company focused on providing ultra-fast block storage solution. Since 2010, Dr. Yaron has been the chairman of The Executive Council of Tel Aviv University, an institution of higher education and the chairman of Ramot, which is the Tel Aviv University’s technology transfer company. Dr. Yaron has served on the</w:t>
      </w:r>
    </w:p>
    <w:p>
      <w:pPr>
        <w:spacing w:after="0" w:line="109" w:lineRule="exact"/>
        <w:rPr>
          <w:sz w:val="20"/>
          <w:szCs w:val="20"/>
          <w:color w:val="auto"/>
        </w:rPr>
      </w:pPr>
    </w:p>
    <w:p>
      <w:pPr>
        <w:sectPr>
          <w:pgSz w:w="11900" w:h="16838" w:orient="portrait"/>
          <w:cols w:equalWidth="0" w:num="2">
            <w:col w:w="2940" w:space="720"/>
            <w:col w:w="7760"/>
          </w:cols>
          <w:pgMar w:left="240" w:top="388"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88" w:right="239" w:bottom="1440" w:gutter="0" w:footer="0" w:header="0"/>
          <w:type w:val="continuous"/>
        </w:sectPr>
      </w:pPr>
    </w:p>
    <w:bookmarkStart w:id="9" w:name="page10"/>
    <w:bookmarkEnd w:id="9"/>
    <w:p>
      <w:pPr>
        <w:ind w:left="320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maintains four committees as described below. Members of each committee are appointed by the Board of Directors.</w:t>
      </w:r>
    </w:p>
    <w:p>
      <w:pPr>
        <w:spacing w:after="0" w:line="19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reviews, acts on and reports to the Board of Directors with respect to various auditing and accounting matters,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Messrs. Gardner (Chair), LeFave and Olswang, all of whom are independent directors, as defined by the rules of Nasdaq, and pursuant to the categorical director independence standards adopted by our Board of Directors. The Board of Directors has determined that</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Mr. Gardner is an “audit committee financial expert” as defined by rules promulgated by the SEC, and that each member of the Audit Committee is financially literate as required by the rules of Nasdaq. The Audit Committee written charter is attached to this Proxy Statement as Appendix A and it is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w:t>
      </w:r>
    </w:p>
    <w:p>
      <w:pPr>
        <w:spacing w:after="0" w:line="144"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i w:val="1"/>
          <w:iCs w:val="1"/>
          <w:color w:val="auto"/>
        </w:rPr>
        <w:t>Nominating and Corporate Governance Committee</w:t>
      </w:r>
      <w:r>
        <w:rPr>
          <w:rFonts w:ascii="Arial" w:cs="Arial" w:eastAsia="Arial" w:hAnsi="Arial"/>
          <w:sz w:val="15"/>
          <w:szCs w:val="15"/>
          <w:color w:val="auto"/>
        </w:rPr>
        <w:t>. The Nominating and Corporate Governance Committee identifies individuals qualified to become</w:t>
      </w:r>
      <w:r>
        <w:rPr>
          <w:rFonts w:ascii="Arial" w:cs="Arial" w:eastAsia="Arial" w:hAnsi="Arial"/>
          <w:sz w:val="15"/>
          <w:szCs w:val="15"/>
          <w:i w:val="1"/>
          <w:iCs w:val="1"/>
          <w:color w:val="auto"/>
        </w:rPr>
        <w:t xml:space="preserve"> </w:t>
      </w:r>
      <w:r>
        <w:rPr>
          <w:rFonts w:ascii="Arial" w:cs="Arial" w:eastAsia="Arial" w:hAnsi="Arial"/>
          <w:sz w:val="15"/>
          <w:szCs w:val="15"/>
          <w:color w:val="auto"/>
        </w:rPr>
        <w:t>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The current members of the Nominating and Corporate Governance Committee are Messrs. Olswang (Chair), Brodsky and Kahan, all of whom are independent directors, in accordance with Nasdaq standards,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www.amdocs.com. You may request a copy of the corporate governance guidelines, at no cost, by writing to us at the address listed below under the heading “Annual Report on Form 20-F.”</w:t>
      </w:r>
    </w:p>
    <w:p>
      <w:pPr>
        <w:spacing w:after="0" w:line="10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color w:val="auto"/>
        </w:rPr>
        <w:t>Management Resources and Compensation Committee</w:t>
      </w:r>
      <w:r>
        <w:rPr>
          <w:rFonts w:ascii="Arial" w:cs="Arial" w:eastAsia="Arial" w:hAnsi="Arial"/>
          <w:sz w:val="16"/>
          <w:szCs w:val="16"/>
          <w:color w:val="auto"/>
        </w:rPr>
        <w:t>. The Management Resources and Compensation Committee discharges the responsibilities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McLennan (Chair), LeFave and Zisapel, all of whom are independent directors, as defined by the rules of Nasdaq, and pursuant to the categorical director independence standards adopted by our Board of Directors. The Management Resources and Compensation Committee written charter is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88" w:right="239" w:bottom="1440" w:gutter="0" w:footer="0" w:header="0"/>
        </w:sectPr>
      </w:pPr>
    </w:p>
    <w:bookmarkStart w:id="10" w:name="page11"/>
    <w:bookmarkEnd w:id="10"/>
    <w:p>
      <w:pPr>
        <w:ind w:right="50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Technology and Innovation Committee</w:t>
      </w:r>
      <w:r>
        <w:rPr>
          <w:rFonts w:ascii="Arial" w:cs="Arial" w:eastAsia="Arial" w:hAnsi="Arial"/>
          <w:sz w:val="18"/>
          <w:szCs w:val="18"/>
          <w:color w:val="auto"/>
        </w:rPr>
        <w:t>. The Technology and Innovation Committee was established to assist the Board of Directors in reviewing our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technological development, opportunities and innovation, in connection with our current and future business and markets. The current members of our Technology and Innovation Committee are Mr. Zisapel (Chair) and Dr. Yaron.</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directors who are not our employees, or Non-Employee Directors receive no compensation from us, except in connection with their membership on the Board of Directors and its committees as described below regarding Non-Employee Directors under the heading “Compensation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During the past fiscal year, the Board of Directors held five meetings. In addition, the Audit Committee held nine meetings, the Management Resources and Compensation Committee held five meetings, the Nominating and Corporate Governance Committee held five meetings and the Technology and Innovation Committee held four meetings in the 2014 fiscal year. During fiscal 2014, each of our directors attended at least 75% of the aggregate of the number of Board of Directors meetings held during the time he was serving as a director and meetings held by all committees on which he then served. During fiscal 2014, our Non-Employee Directors, held two meetings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Independent Directors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4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Shareholders who wish to send communications on any topic to the Board of Directors or to our independent or presiding directors should address such communications c/o Corporate Secretary, Amdocs Inc., 1390 Timberlake Manor Parkway, Chesterfield, Missouri 63017.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Corporate Governance Differences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issuers under the Nasdaq listing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Standards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has adopted a formal set of categorical independence standards with respect to the determination of director independence.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accordance with these standards and Nasdaq rules, our Board of Directors has determined that each of the following nine of our current ten directors has no material relationship with us that would interfere with the exercise of independent judgment in carrying out the responsibilities of a director: Messrs. Minicucci, Gardner, McLennan, Olswang, Zisapel, Brodsky, Kahan, LeFave and Dr. Yaron. We paid to Dr. Christensen consulting fees in excess of $120,000 per year from 2013 to 2014, and, accordingly, he would not be considered independent if he is elected at the General Meeting.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full text of our categorical standards is attached to this Proxy Statement as Appendix B.</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Our Board of Directors has adopted a Code of Ethics and Business Conduct that sets forth legal and ethical standards of conduct for our directors and employees, including executive officers, our subsidiaries and other business entities controlled by us worldwide. The code is available on our website at www.amdocs.com and you may request a copy, at no cost, by writing to us at the address listed below under the heading “Annual Report on Form 20-F.” We intend to post on our website all disclosures that are required by law or Nasdaq rules concerning any amendments to, or waivers from, any provision of the code.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Oversight</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management is responsible for assessing and managing risk, and periodically reviews areas of material risk within our organization in order to evaluate and enhance risk identification and mitigation strategies. Our Board of Directors oversees and reviews these risk management efforts as they relate to strategic and business risks. Our audit committee oversees and reviews the Company’s policies and processes with respect to enterprise risk management, discusses these efforts as they relate to operational and financial risks, and periodically reports and makes recommendations to our Board of Directors regarding these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structure our compensation to consist of both fixed and variable elements, including salary, equity, cash bonuses and insurance benefits. The fixed portions of compensation, such as salary, are designed to be market based and provide steady income regardless of our stock price performance. The variable portions of compensation, such as equity incentives and performance bonuses, are designed to reward the accomplishment of both short- and long-term corporate objectives. By basing a portion of our compensation on our long-term performance, we believe we reduce the risk that employees will focus on short-term goals to the detriment of our long-term stability. Further, our short-term incentive compensation is designed to reward short-term goals that we believe will enhance our long-term corporate success. Additionally, although we vary the elements of compensation that we use at different employee positions and rank, our compensation philosophy is applicable to all employees, including our executives. We believe this encourages consistent behavior across our organization, rather than establishing different approaches depending on an employee’s position or rank. We do not believe our compensation policies and practices encourage excessive or inappropriate risk taking.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During fiscal 2014, each of our Non-Employee Directors, received an annual cash payment of $75,000. Each member of our Audit Committee who is a Non-Employee Director and who is not the chairman of such committee received an annual cash payment of $15,000. Each member of our Management Resources and Compensation, Nominating and Corporate Governance and Technology and Innovation Committees, who is a Non-Employee Director and who is not a committee chairman, received an annual cash payment of $10,000. The Chairman of our Audit Committee received an annual cash payment of $30,000 and the Chairmen of our Management Resources and Compensation, Nominating and Corporate Governance and Technology and Innovation Committees each received an annual cash payment of $20,000. Each Non-Employee Director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received an annual grant of ordinary shares at a total value of $210,000. The Chairman of the Board of Directors received an additional annual amount equal to $200,000 awarded in the form of ordinary shares. All ordinary share awards to our Non-Employee Directors are fully vested upon grant. The price per share for the purpose of determining the value of the grants to our Non-Employee Directors was the Nasdaq closing price of our shares on the last trading day preceding the grant date. We reimbursed all of our Non-Employee Directors for their reasonable travel expenses incurred in connection with attending Board or committee meetings. Cash compensation paid to our Non-Employee Directors was prorated for partial year service.</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Commencing in fiscal 2015, we revised our director compensation program. Each Non-Employee Director will continue to receive an annual cash payment of $75,000. Each member of our Audit Committee who is a Non-Employee Director and who is not the chairman of such committee will receive an annual cash payment of $20,000. Each member of our Management Resources and Compensation, Nominating and Corporate Governance and Technology and Innovation Committees, who is a Non-Employee Director and who is not a committee chairman, will continue to receive an annual cash payment of $10,000. The Chairman of our Audit Committee will receive an annual cash payment of $35,000 and the Chairmen of our Management Resources and Compensation, Nominating and Corporate Governance and Technology and Innovation Committees each will continue to receive an annual cash payment of $20,000. Each Non-Employee Director received an annual grant of ordinary shares at a total value of $230,000. The Chairman of the Board of Directors received an additional annual amount equal to $200,000 awarded in the form of ordinary shares. All ordinary share awards to our Non-Employee Directors are fully vested upon grant. The price per share for the purpose of determining the value of the grants to our Non-Employee Directors is the Nasdaq closing price of our shares on the last trading day preceding the grant date. We will continue to reimburse all of our Non-Employee Directors for their reasonable travel expenses incurred in connection with attending Board or committee meetings. Cash and equity compensation paid to our Non-Employee Directors will be prorated for partial year service.</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2014 fiscal year, we granted to nine Non-Employee Directors an aggregate of 52,859 shares at a weighted average price of $40.01 per share, which were fully vested upon grant.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It is proposed that each of the following 11 individuals be elected to serve as a director of Amdocs Limited (in the case of Dr. Christensen beginning April 1, 2015) until the next annual general meeting of shareholders or until his earlier resignation or removal or until his respective successor is elected and qualified:</w:t>
      </w:r>
    </w:p>
    <w:p>
      <w:pPr>
        <w:spacing w:after="0" w:line="2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Robert A. Minicucci</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Zohar Zisapel</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Clayton Christensen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Giora Yaron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the election of each director nominee named above.</w:t>
      </w:r>
    </w:p>
    <w:p>
      <w:pPr>
        <w:spacing w:after="0" w:line="207"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EACH OF THE DIRECTOR NOMINEES NAMED ABOVE.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 AND MANAGEMENT</w:t>
      </w:r>
    </w:p>
    <w:p>
      <w:pPr>
        <w:spacing w:after="0" w:line="16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following table sets forth specified information with respect to the beneficial ownership of our ordinary shares as of December 1, 2014 of (i) any person known by us to be the beneficial owner of more than 5% of our ordinary shares, and (ii) all of our directors and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155,871,679 ordinary shares outstanding as of December 1, 2014. Information concerning shareholders other than our directors and officers is based on periodic public filings made by such shareholders and may not necessarily be accurate as of December 1, 2014.</w:t>
      </w: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5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1"/>
              </w:rPr>
              <w:t>Shares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780" w:type="dxa"/>
            <w:vAlign w:val="bottom"/>
            <w:vMerge w:val="restart"/>
          </w:tcPr>
          <w:p>
            <w:pPr>
              <w:spacing w:after="0"/>
              <w:rPr>
                <w:sz w:val="12"/>
                <w:szCs w:val="12"/>
                <w:color w:val="auto"/>
              </w:rPr>
            </w:pPr>
          </w:p>
        </w:tc>
        <w:tc>
          <w:tcPr>
            <w:tcW w:w="15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6780" w:type="dxa"/>
            <w:vAlign w:val="bottom"/>
            <w:vMerge w:val="continue"/>
          </w:tcPr>
          <w:p>
            <w:pPr>
              <w:spacing w:after="0"/>
              <w:rPr>
                <w:sz w:val="12"/>
                <w:szCs w:val="12"/>
                <w:color w:val="auto"/>
              </w:rPr>
            </w:pPr>
          </w:p>
        </w:tc>
        <w:tc>
          <w:tcPr>
            <w:tcW w:w="158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9"/>
              </w:rPr>
              <w:t>Owned</w:t>
            </w:r>
          </w:p>
        </w:tc>
        <w:tc>
          <w:tcPr>
            <w:tcW w:w="8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20"/>
        </w:trPr>
        <w:tc>
          <w:tcPr>
            <w:tcW w:w="7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FMR LLC(1)</w:t>
            </w:r>
          </w:p>
        </w:tc>
        <w:tc>
          <w:tcPr>
            <w:tcW w:w="8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14,064,173</w:t>
            </w:r>
          </w:p>
        </w:tc>
        <w:tc>
          <w:tcPr>
            <w:tcW w:w="72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Janus Capital Management LLC(2)</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8,581,736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Manning &amp; Napier Advisors, Inc.(3)</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8,162,325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All directors and officers as a group (14 persons)(4)</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2,321,801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8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a Schedule 13G/A filed by FMR LLC with the SEC on February 14, 2014, as of December 31, 2013, FMR LLC had sole power to vote or direct the vote over 767,030 shares and sole power to dispose or direct the disposition of 14,064,173 shares. This includes 13,102,362 shares beneficially owned by Fidelity Management &amp; Research Company (“Fidelity”) in its capacity as an investment advisor; 513 shares beneficially owned by Strategic Advisers, Inc. (“SAI”) in its capacity as an investment advisor; 41,400 shares beneficially owned by Pyramis Global Advisors, LLC (“PGALLC”) in its capacity as an investment advisor; 26,021 shares beneficially owned by Pyramis Global Advisors Trust Company (“PGATC”) as a result of its serving as an investment manager of institutional accounts owning such shares; and 787,777 shares over which FIL Limited (“FIL”) has sole dispositive power through its investment advisory and management services to a number of non-U.S. investment companies and institutional investors. Fidelity and SAI are wholly owned subsidiaries of FMR LLC. PGALLC and PGATC are indirect wholly owned subsidiaries of FMR LLC. Partnerships controlled predominantly by members of the family of Edward C. Johnson 3d, Chairman of FMR LLC and FIL or trusts for their benefit, own shares of FIL voting stock. Edward C. Johnson 3d, and members of his family, directly or through trusts, own approximately 49% of the voting power of FMR LLC. The address of Fidelity, FMTC and SAI is 82 Devonshire Street, Boston, Massachusetts 02109. The address of PGALLC and PGATC is 900 Salem Street, Smithfield, Rhode Island 02917. The address of FIL is Pembroke Hall, 42 Crow Lane, Hamilton, Bermuda.</w:t>
      </w:r>
    </w:p>
    <w:p>
      <w:pPr>
        <w:spacing w:after="0" w:line="5"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a Schedule 13G/A filed by Janus Capital Management LLC, or Janus, with the SEC on February 14, 2014, as of December 31, 2013, Janus has a direct 96.74% ownership stake in INTECH Investment Management, or INTECH, and a direct 99.61% ownership stake in Perkins Investment Management LLC, or Perkins. Due to this ownership structure, holdings for Janus, Perkins and INTECH are aggregated. Janus, Perkins and INTECH are registered investment advisers, each furnishing investment advice to various investment companies registered under Section 8 of the Investment Company Act of 1940 and to individual and institutional clients (collectively, the “Managed Portfolios”). As a result of its role as investment adviser or sub-adviser to the Managed Portfolios, Janus may be deemed to be the beneficial owner of 8,532,236 ordinary shares held by the Managed Portfolios. However, Janus does not have the right to receive any dividends from, or the proceeds from the sale of, the securities held in the Managed Portfolios and disclaims any ownership associated with such rights. The address of Janus Capital is 151 Detroit Street, Denver, Colorado 80206.</w:t>
      </w:r>
    </w:p>
    <w:p>
      <w:pPr>
        <w:spacing w:after="0" w:line="5"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Schedule 13G/A filed by Manning &amp; Napier Advisors, Inc., or Manning &amp; Napier, with the SEC on February 3, 2014, as of December 31, 2013, Manning &amp; Napier had sole voting power over 7,214,057 of our ordinary shares and sole dispositive power over 8,162,325 of our ordinary shares. The address of Manning &amp; Napier is 290 Woodcliff Drive, Fairport, New York 14450.</w:t>
      </w:r>
    </w:p>
    <w:p>
      <w:pPr>
        <w:spacing w:after="0" w:line="1"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December 1, 2014. As of such date, none of our directors, senior managers or key employees beneficially own 1% or more of our outstanding ordinary shares.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MATTERS</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Audit Committee has reviewed our audited financial statements for the fiscal year ended September 30, 2014 and has discussed these financial statements with our management and independent registered public accounting firm.</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Audit Committee has also discussed with our independent registered public accounting firm the matters required to be discussed by the Public Company Accounting Oversight Board (PCAOB) Auditing Standard No. 16 (Communications with Audit Committees) (AS 16), which requires our independent registered public accounting firm to discuss with our Audit Committee, among other things, the following:</w:t>
      </w:r>
    </w:p>
    <w:p>
      <w:pPr>
        <w:spacing w:after="0" w:line="59"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methods to account for significant unusual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 of significant accounting policies in controversial or emerging areas for which there is a lack of authoritative guidance or consensus;</w:t>
      </w:r>
    </w:p>
    <w:p>
      <w:pPr>
        <w:spacing w:after="0" w:line="113"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process used by management in formulating particularly sensitive accounting estimates and the basis for the auditors’ conclusions regarding the reasonableness of those estimates;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disagreements with management over matters that could be (individually or in the aggregate) significant to the Company’s financial statements or the auditor’s report.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independent registered public accounting firm also provided the Audit Committee with the written disclosures and the letter required by PCAOB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11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2014, our Audit Committee approved all of the services provided by Ernst &amp; Young.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APPROVAL OF INCREASE OF THE QUARTERLY DIVIDEND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Article 92 of our Articles of Incorporation provides that our Board of Directors may declare and pay dividends on our ordinary shares, subject to compliance with applicable law and subject to the approval of our shareholders by ordinary resolution.</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July 2012, our shareholders approved the institution of a quarterly cash dividend program at the quarterly rate of $0.13 per ordinary share. In January 2014, our shareholders approved an increase in the rate of the quarterly cash dividend to $0.155 per share. Under this authorization, our Board of Directors has the authority to reduce the quarterly dividend or discontinue the dividend program should it determine that doing so is in the best interests of our shareholders or is necessary pursuant to Guernsey law, but our Board of Directors does not have authority to increase the per share amount or frequency of the dividend without shareholder approval.</w:t>
      </w:r>
    </w:p>
    <w:p>
      <w:pPr>
        <w:spacing w:after="0" w:line="14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November 2014, our Board of Directors approved an increase in the quarterly cash dividend rate to $0.17 per ordinary share. In order to permit us to implement this dividend rate increase, our Board of Directors proposes that our shareholders approve the ordinary resolution set forth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Increase in Quarterly Dividend Rate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Board of Directors believes that it is in the best interest of our shareholders to increase the quarterly dividend rate in light of our financial and business performance and outlook. For example, since we implemented our dividend program in July 2012, we have generated increases in annual revenue, net income and free cash flow. At the same time, we have continued to repurchase our ordinary shares, through a subsidiary, and repurchased approximately $738.8 million (excluding broker and transaction fees) of our ordinary shares during the fiscal years ended September 30, 2013 and 2014. The increase in the quarterly dividend rate coincides with our general long-term guideline to retain roughly half of our free cash flow (calculated as cash flow from operations less net capital expenditures and other) to support the growth of our business, including possible mergers and acquisitions, and return the other half to our shareholders through share repurchases and dividends. This is not a complete presentation of our financial position, results of operations and cash flows in conformity with U.S. generally accepted accounting principles, so we encourage you to review our consolidated financial statements for the fiscal year ended September 30, 2014 set forth in our Annual Report on Form 20-F filed on December 8, 2014 with the U.S. Securities and Exchange Commission, or the SEC. Our actual share repurchase activity and payment of future dividends, if any, may vary quarterly or annually and will be based on several factors including our financial performance, outlook and liquidity.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Dividend Program</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our shareholders approve the proposal, our Board of Directors will continue to consider on a quarterly basis whether to declare and pay a dividend in accordance with the terms of the dividend program and in accordance with applicable Guernsey law. Guernsey law requires that our Board of Directors consider a dividend’s effects on our solvency before it may be declared or paid. Provided that the per share amount and the frequency of the dividend do not increase, then no further shareholder approval will be required for dividends payable pursuant to our quarterly cash dividend program. However, any increase to the per share amount or frequency of the dividend would require further shareholder approval.</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shareholder approval, we expect to begin paying the dividend at the increased rate commencing in April 2015.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that shareholder approval is not obtained, the quarterly dividend rate will remain at $0.155 per share.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United States Federal Income Tax Considerations Related to Distributions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In general, U.S. corporate shareholders will not be entitled to any deduction for distributions received as dividends on the ordinary shares.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Dividend income is generally taxed as ordinary income. However, a maximum U.S. federal income tax rate of 20% currently applies to “qualified dividend income” received by individuals (as well as certain trusts and estates), provided that certain requirements, including holding period requirements, are met. “Qualified dividend income” includes dividends paid on shares of U.S. corporations as well as dividends paid on shares of “qualified foreign corporations,” including shares of a foreign corporation that are readily tradable on an established securities market in the United States (as well as foreign corporations from certain treaty jurisdictions). Since our ordinary shares are readily tradable on Nasdaq, we believe that dividends paid by us with respect to our ordinary shares should constitute “qualified dividend income” for U.S. federal income tax purposes, provided that the holding period requirements are satisfied and none of the other special exceptions applies. The reduced rate will not apply to dividends received to the extent that the U.S. holder elects to treat dividends as “investment income,” which may be offset by investment interest expense. In addition, dividends paid by us will not qualify for the 20% U.S. federal income tax rate if we are treated, for the tax year in which the dividends are paid or the preceding tax year, as a “passive foreign investment company” for U.S. federal income tax purposes, which we would be if (i) at least 75% of our gross income is “passive income” (</w:t>
      </w:r>
      <w:r>
        <w:rPr>
          <w:rFonts w:ascii="Arial" w:cs="Arial" w:eastAsia="Arial" w:hAnsi="Arial"/>
          <w:sz w:val="16"/>
          <w:szCs w:val="16"/>
          <w:i w:val="1"/>
          <w:iCs w:val="1"/>
          <w:color w:val="auto"/>
        </w:rPr>
        <w:t>i.e.</w:t>
      </w:r>
      <w:r>
        <w:rPr>
          <w:rFonts w:ascii="Arial" w:cs="Arial" w:eastAsia="Arial" w:hAnsi="Arial"/>
          <w:sz w:val="16"/>
          <w:szCs w:val="16"/>
          <w:color w:val="auto"/>
        </w:rPr>
        <w:t>, dividends, interest, royalties, rents and gains from commodities and securities transactions), or (ii) on average at least 50% of the gross value of our assets is attributable to assets that produce “passive income” or are held for the production of “passive income.” We do not believe that we will be classified as a passive foreign investment company in the current taxable year and do not expect to become one in the foreseeable future.</w:t>
      </w:r>
    </w:p>
    <w:p>
      <w:pPr>
        <w:spacing w:after="0" w:line="12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 additional 3.8% tax is imposed on the net investment income (which includes taxable dividends) received by U.S. holders that are individuals, trusts or estates earning income above certain thresholds.</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amount of foreign income taxes that may be claimed as a credit against U.S. federal income tax in any year is subject to certain complex limitations and restrictions, which must be determined on an individual basis by each U.S. holder. The limitations set out in the U.S. Internal Revenue Code of 1986, as amended, include, among others, rules that may limit foreign tax credits allowable with respect to specific classes of income to the U.S. federal income taxes otherwise payable with respect to each such class of income. Dividends paid by us generally will be classified as foreign source “passive income” or “financial services income” for U.S. foreign tax credit purposes.</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U.S. holders generally will be subject to information reporting requirements with respect to dividends that are paid within the United States or through U.S.-related financial intermediaries, unless the U.S. holder is an “exempt recipient.” U.S. holders may also be subject to backup withholding (currently at a rate of 28%) on such payments, unless the U.S. holder provides a taxpayer identification number and a duly executed Internal Revenue Service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Internal Revenue Service.</w:t>
      </w:r>
    </w:p>
    <w:p>
      <w:pPr>
        <w:spacing w:after="0" w:line="144" w:lineRule="exact"/>
        <w:rPr>
          <w:sz w:val="20"/>
          <w:szCs w:val="20"/>
          <w:color w:val="auto"/>
        </w:rPr>
      </w:pPr>
    </w:p>
    <w:p>
      <w:pPr>
        <w:jc w:val="center"/>
        <w:ind w:left="260" w:right="440"/>
        <w:spacing w:after="0" w:line="440" w:lineRule="auto"/>
        <w:rPr>
          <w:sz w:val="20"/>
          <w:szCs w:val="20"/>
          <w:color w:val="auto"/>
        </w:rPr>
      </w:pPr>
      <w:r>
        <w:rPr>
          <w:rFonts w:ascii="Arial" w:cs="Arial" w:eastAsia="Arial" w:hAnsi="Arial"/>
          <w:sz w:val="18"/>
          <w:szCs w:val="18"/>
          <w:color w:val="auto"/>
        </w:rPr>
        <w:t>U.S. holders are urged to consult their tax advisors regarding the tax treatment of any dividends received by such holder in respect of ordinary shares. 14</w:t>
      </w:r>
    </w:p>
    <w:p>
      <w:pPr>
        <w:sectPr>
          <w:pgSz w:w="11900" w:h="16838" w:orient="portrait"/>
          <w:cols w:equalWidth="0" w:num="1">
            <w:col w:w="11400"/>
          </w:cols>
          <w:pgMar w:left="240" w:top="27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90"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color w:val="auto"/>
        </w:rPr>
        <w:t>“RESOLVED, that an increase in the dividend rate under Amdocs Limited’s quarterly cash dividend program from $0.155 per share to $0.17 per share be, and hereby is, approved.”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approval of the increase in the dividend rate under our quarterly cash dividend program.</w:t>
      </w:r>
    </w:p>
    <w:p>
      <w:pPr>
        <w:spacing w:after="0" w:line="126"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INCREASE IN THE QUARTERLY DIVIDEND RATE UNDER THE CASH DIVIDEND PROGRAM.</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274" w:right="4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EXTENSION OF TERM OF STOCK OPTION AND INCENTIVE PLAN</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November 4, 2014, our Board of Directors adopted, subject to shareholder approval, an amendment to our 1998 Stock Option and Incentive Plan, as amended, which we refer to as the Equity Plan, extending the term of the Equity Plan to January 28, 2025. The amendment made no other changes to the Equity Plan.</w:t>
      </w:r>
    </w:p>
    <w:p>
      <w:pPr>
        <w:spacing w:after="0" w:line="14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Equity Plan was last amended in February 2012. As of November 30, 2014, of the 62,300,000 ordinary shares reserved for issuance under the Equity Plan, awards with respect to an aggregate of 53,803,792 ordinary shares (net of cancellations and forfeitures) had been granted, of which 41,927,429 shares had been issued upon option exercises and restricted share issuances that had vested, 9,942,289 remained subject to outstanding option awards, 1,857,757 remained subject to outstanding unvested restricted stock awards, 76,317 were subject to outstanding restricted stock units, and 8,496,208 ordinary shares remained available for future awards. In addition, as of November 30, 2014, there were options to purchase 15,150 ordinary shares outstanding under plans we have assumed as a result of acquisitions we have made.</w:t>
      </w:r>
    </w:p>
    <w:p>
      <w:pPr>
        <w:spacing w:after="0" w:line="12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Based on 155,871,679 ordinary shares outstanding as of December 1, 2014, which is the Record Date, the number of shares reserved for issuance pursuant to outstanding awards granted and the number of shares available for future grants represented approximately 11.9% of our shares outstanding on a fully diluted basis, assuming all shares reserved for issuance pursuant to outstanding awards granted and all shares available for future grants were issued and outstanding.</w:t>
      </w:r>
    </w:p>
    <w:p>
      <w:pPr>
        <w:spacing w:after="0" w:line="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November 30, 2014, the closing price of our ordinary shares was $48.75 per share. As of November 30, 2014, no outstanding options were at an exercise price of $48.76 or greater. The weighted average remaining life of the options outstanding as of November 30, 2014 was 7.32 years, and their weighted average exercise price was $34.92.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as of November 30, 2014, regarding our equity compensation plans.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As of November 30, 2014</w:t>
            </w:r>
          </w:p>
        </w:tc>
        <w:tc>
          <w:tcPr>
            <w:tcW w:w="9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1"/>
                <w:szCs w:val="11"/>
                <w:color w:val="auto"/>
              </w:rPr>
            </w:pPr>
          </w:p>
        </w:tc>
      </w:tr>
      <w:tr>
        <w:trPr>
          <w:trHeight w:val="149"/>
        </w:trPr>
        <w:tc>
          <w:tcPr>
            <w:tcW w:w="5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Ordinary</w:t>
            </w:r>
          </w:p>
        </w:tc>
      </w:tr>
      <w:tr>
        <w:trPr>
          <w:trHeight w:val="149"/>
        </w:trPr>
        <w:tc>
          <w:tcPr>
            <w:tcW w:w="5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w:t>
            </w:r>
          </w:p>
        </w:tc>
      </w:tr>
      <w:tr>
        <w:trPr>
          <w:trHeight w:val="149"/>
        </w:trPr>
        <w:tc>
          <w:tcPr>
            <w:tcW w:w="514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Number of Ordinary</w:t>
            </w:r>
          </w:p>
        </w:tc>
        <w:tc>
          <w:tcPr>
            <w:tcW w:w="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49"/>
        </w:trPr>
        <w:tc>
          <w:tcPr>
            <w:tcW w:w="514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Shares to be Issued Upon</w:t>
            </w:r>
          </w:p>
        </w:tc>
        <w:tc>
          <w:tcPr>
            <w:tcW w:w="660" w:type="dxa"/>
            <w:vAlign w:val="bottom"/>
          </w:tcPr>
          <w:p>
            <w:pPr>
              <w:spacing w:after="0"/>
              <w:rPr>
                <w:sz w:val="12"/>
                <w:szCs w:val="12"/>
                <w:color w:val="auto"/>
              </w:rPr>
            </w:pPr>
          </w:p>
        </w:tc>
        <w:tc>
          <w:tcPr>
            <w:tcW w:w="24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Available for</w:t>
            </w:r>
          </w:p>
        </w:tc>
      </w:tr>
      <w:tr>
        <w:trPr>
          <w:trHeight w:val="149"/>
        </w:trPr>
        <w:tc>
          <w:tcPr>
            <w:tcW w:w="514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Exercise of Outstanding</w:t>
            </w:r>
          </w:p>
        </w:tc>
        <w:tc>
          <w:tcPr>
            <w:tcW w:w="660" w:type="dxa"/>
            <w:vAlign w:val="bottom"/>
          </w:tcPr>
          <w:p>
            <w:pPr>
              <w:spacing w:after="0"/>
              <w:rPr>
                <w:sz w:val="12"/>
                <w:szCs w:val="12"/>
                <w:color w:val="auto"/>
              </w:rPr>
            </w:pPr>
          </w:p>
        </w:tc>
        <w:tc>
          <w:tcPr>
            <w:tcW w:w="24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Future Issuance</w:t>
            </w:r>
          </w:p>
        </w:tc>
      </w:tr>
      <w:tr>
        <w:trPr>
          <w:trHeight w:val="149"/>
        </w:trPr>
        <w:tc>
          <w:tcPr>
            <w:tcW w:w="514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Options, Restricted</w:t>
            </w:r>
          </w:p>
        </w:tc>
        <w:tc>
          <w:tcPr>
            <w:tcW w:w="660" w:type="dxa"/>
            <w:vAlign w:val="bottom"/>
          </w:tcPr>
          <w:p>
            <w:pPr>
              <w:spacing w:after="0"/>
              <w:rPr>
                <w:sz w:val="12"/>
                <w:szCs w:val="12"/>
                <w:color w:val="auto"/>
              </w:rPr>
            </w:pPr>
          </w:p>
        </w:tc>
        <w:tc>
          <w:tcPr>
            <w:tcW w:w="24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Under Equity</w:t>
            </w:r>
          </w:p>
        </w:tc>
      </w:tr>
      <w:tr>
        <w:trPr>
          <w:trHeight w:val="149"/>
        </w:trPr>
        <w:tc>
          <w:tcPr>
            <w:tcW w:w="514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Stock-Based Awards,</w:t>
            </w:r>
          </w:p>
        </w:tc>
        <w:tc>
          <w:tcPr>
            <w:tcW w:w="660" w:type="dxa"/>
            <w:vAlign w:val="bottom"/>
          </w:tcPr>
          <w:p>
            <w:pPr>
              <w:spacing w:after="0"/>
              <w:rPr>
                <w:sz w:val="12"/>
                <w:szCs w:val="12"/>
                <w:color w:val="auto"/>
              </w:rPr>
            </w:pPr>
          </w:p>
        </w:tc>
        <w:tc>
          <w:tcPr>
            <w:tcW w:w="24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r>
      <w:tr>
        <w:trPr>
          <w:trHeight w:val="161"/>
        </w:trPr>
        <w:tc>
          <w:tcPr>
            <w:tcW w:w="5140" w:type="dxa"/>
            <w:vAlign w:val="bottom"/>
          </w:tcPr>
          <w:p>
            <w:pPr>
              <w:spacing w:after="0"/>
              <w:rPr>
                <w:sz w:val="14"/>
                <w:szCs w:val="14"/>
                <w:color w:val="auto"/>
              </w:rPr>
            </w:pPr>
          </w:p>
        </w:tc>
        <w:tc>
          <w:tcPr>
            <w:tcW w:w="1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Warrants and Rights</w:t>
            </w:r>
          </w:p>
        </w:tc>
        <w:tc>
          <w:tcPr>
            <w:tcW w:w="1920" w:type="dxa"/>
            <w:vAlign w:val="bottom"/>
            <w:gridSpan w:val="2"/>
          </w:tcPr>
          <w:p>
            <w:pPr>
              <w:jc w:val="center"/>
              <w:ind w:left="602"/>
              <w:spacing w:after="0"/>
              <w:rPr>
                <w:sz w:val="20"/>
                <w:szCs w:val="20"/>
                <w:color w:val="auto"/>
              </w:rPr>
            </w:pPr>
            <w:r>
              <w:rPr>
                <w:rFonts w:ascii="Arial" w:cs="Arial" w:eastAsia="Arial" w:hAnsi="Arial"/>
                <w:sz w:val="14"/>
                <w:szCs w:val="14"/>
                <w:b w:val="1"/>
                <w:bCs w:val="1"/>
                <w:color w:val="auto"/>
                <w:w w:val="93"/>
              </w:rPr>
              <w:t>($)</w:t>
            </w:r>
          </w:p>
        </w:tc>
        <w:tc>
          <w:tcPr>
            <w:tcW w:w="12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Plans(1)</w:t>
            </w: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shareholders</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11,876,363(2)</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4"/>
              </w:rPr>
              <w:t>34.94</w:t>
            </w:r>
          </w:p>
        </w:tc>
        <w:tc>
          <w:tcPr>
            <w:tcW w:w="1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8,496,208(3)</w:t>
            </w:r>
          </w:p>
        </w:tc>
        <w:tc>
          <w:tcPr>
            <w:tcW w:w="260" w:type="dxa"/>
            <w:vAlign w:val="bottom"/>
            <w:tcBorders>
              <w:top w:val="single" w:sz="8" w:color="CCEEFF"/>
            </w:tcBorders>
            <w:shd w:val="clear" w:color="auto" w:fill="CCEEFF"/>
          </w:tcPr>
          <w:p>
            <w:pPr>
              <w:spacing w:after="0"/>
              <w:rPr>
                <w:sz w:val="18"/>
                <w:szCs w:val="18"/>
                <w:color w:val="auto"/>
              </w:rPr>
            </w:pPr>
          </w:p>
        </w:tc>
      </w:tr>
      <w:tr>
        <w:trPr>
          <w:trHeight w:val="208"/>
        </w:trPr>
        <w:tc>
          <w:tcPr>
            <w:tcW w:w="5140" w:type="dxa"/>
            <w:vAlign w:val="bottom"/>
          </w:tcPr>
          <w:p>
            <w:pPr>
              <w:spacing w:after="0"/>
              <w:rPr>
                <w:sz w:val="20"/>
                <w:szCs w:val="20"/>
                <w:color w:val="auto"/>
              </w:rPr>
            </w:pPr>
            <w:r>
              <w:rPr>
                <w:rFonts w:ascii="Arial" w:cs="Arial" w:eastAsia="Arial" w:hAnsi="Arial"/>
                <w:sz w:val="18"/>
                <w:szCs w:val="18"/>
                <w:color w:val="auto"/>
              </w:rPr>
              <w:t>Equity compensation plans not approved by</w:t>
            </w: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5140" w:type="dxa"/>
            <w:vAlign w:val="bottom"/>
          </w:tcPr>
          <w:p>
            <w:pPr>
              <w:ind w:left="220"/>
              <w:spacing w:after="0"/>
              <w:rPr>
                <w:sz w:val="20"/>
                <w:szCs w:val="20"/>
                <w:color w:val="auto"/>
              </w:rPr>
            </w:pPr>
            <w:r>
              <w:rPr>
                <w:rFonts w:ascii="Arial" w:cs="Arial" w:eastAsia="Arial" w:hAnsi="Arial"/>
                <w:sz w:val="18"/>
                <w:szCs w:val="18"/>
                <w:color w:val="auto"/>
              </w:rPr>
              <w:t>shareholders(3)</w:t>
            </w: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15,150(4)</w:t>
            </w: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w w:val="84"/>
              </w:rPr>
              <w:t>22.20</w:t>
            </w:r>
          </w:p>
        </w:tc>
        <w:tc>
          <w:tcPr>
            <w:tcW w:w="1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11,891,513</w:t>
            </w:r>
          </w:p>
        </w:tc>
        <w:tc>
          <w:tcPr>
            <w:tcW w:w="3120" w:type="dxa"/>
            <w:vAlign w:val="bottom"/>
            <w:gridSpan w:val="3"/>
            <w:shd w:val="clear" w:color="auto" w:fill="CCEEFF"/>
          </w:tcPr>
          <w:p>
            <w:pPr>
              <w:ind w:left="1520"/>
              <w:spacing w:after="0"/>
              <w:rPr>
                <w:sz w:val="20"/>
                <w:szCs w:val="20"/>
                <w:color w:val="auto"/>
              </w:rPr>
            </w:pPr>
            <w:r>
              <w:rPr>
                <w:rFonts w:ascii="Arial" w:cs="Arial" w:eastAsia="Arial" w:hAnsi="Arial"/>
                <w:sz w:val="18"/>
                <w:szCs w:val="18"/>
                <w:color w:val="auto"/>
              </w:rPr>
              <w:t>34.92(5)</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8,496,208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4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the shares listed under the column heading “Number of Ordinary Shares to be Issued Upon Exercise of Outstanding Options, Restricted Stock-Based Awards, Warrants and Rights.”</w:t>
      </w: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Consists of options to purchase 9,942,289 ordinary shares, 1,857,757 restricted shares, and 76,317 shares subject to restricted stock units.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shares available for future issuance under the Equity Plan.</w:t>
      </w:r>
    </w:p>
    <w:p>
      <w:pPr>
        <w:spacing w:after="0" w:line="9"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options and restricted stock-based awards were assumed in connection with acquisitions. No additional awards were or can be granted under the plans that originally issued these awards.</w:t>
      </w:r>
    </w:p>
    <w:p>
      <w:pPr>
        <w:ind w:left="460" w:right="38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 the 11,891,513 ordinary shares reflected, 9,957,439 are ordinary shares to be issued upon exercise of outstanding options with a weighted average exercise price of $34.92 and a weighted average remaining life of 7.32 years, 1,857,757 are restricted shares and 76,317 are shares subject to restricted stock units.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9" w:name="page20"/>
    <w:bookmarkEnd w:id="19"/>
    <w:p>
      <w:pPr>
        <w:ind w:right="1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our practices over the last three fiscal years, and as set forth in the table below, the combined run rate for usage of ordinary shares, or the burn rate, used for grants to participants under Equity Plan has been 2.04% for fiscal 2014, 2.32% for fiscal 2013 and 2.56% for fiscal 2012: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Award</w:t>
            </w:r>
          </w:p>
        </w:tc>
        <w:tc>
          <w:tcPr>
            <w:tcW w:w="3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Fiscal Year Ended September 30,</w:t>
            </w:r>
          </w:p>
        </w:tc>
        <w:tc>
          <w:tcPr>
            <w:tcW w:w="0" w:type="dxa"/>
            <w:vAlign w:val="bottom"/>
          </w:tcPr>
          <w:p>
            <w:pPr>
              <w:spacing w:after="0"/>
              <w:rPr>
                <w:sz w:val="1"/>
                <w:szCs w:val="1"/>
                <w:color w:val="auto"/>
              </w:rPr>
            </w:pPr>
          </w:p>
        </w:tc>
      </w:tr>
      <w:tr>
        <w:trPr>
          <w:trHeight w:val="136"/>
        </w:trPr>
        <w:tc>
          <w:tcPr>
            <w:tcW w:w="8280" w:type="dxa"/>
            <w:vAlign w:val="bottom"/>
            <w:gridSpan w:val="2"/>
            <w:vMerge w:val="continue"/>
          </w:tcPr>
          <w:p>
            <w:pPr>
              <w:spacing w:after="0"/>
              <w:rPr>
                <w:sz w:val="11"/>
                <w:szCs w:val="11"/>
                <w:color w:val="auto"/>
              </w:rPr>
            </w:pPr>
          </w:p>
        </w:tc>
        <w:tc>
          <w:tcPr>
            <w:tcW w:w="82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2014</w:t>
            </w:r>
          </w:p>
        </w:tc>
        <w:tc>
          <w:tcPr>
            <w:tcW w:w="140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3"/>
              </w:rPr>
              <w:t>2013</w:t>
            </w:r>
          </w:p>
        </w:tc>
        <w:tc>
          <w:tcPr>
            <w:tcW w:w="72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Borders>
              <w:top w:val="single" w:sz="8" w:color="auto"/>
            </w:tcBorders>
          </w:tcPr>
          <w:p>
            <w:pPr>
              <w:spacing w:after="0"/>
              <w:rPr>
                <w:sz w:val="12"/>
                <w:szCs w:val="12"/>
                <w:color w:val="auto"/>
              </w:rPr>
            </w:pPr>
          </w:p>
        </w:tc>
        <w:tc>
          <w:tcPr>
            <w:tcW w:w="73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(shares in thousands)</w:t>
            </w: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granted</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2,410</w:t>
            </w:r>
          </w:p>
        </w:tc>
        <w:tc>
          <w:tcPr>
            <w:tcW w:w="140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2,821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Restricted shares granted</w:t>
            </w:r>
          </w:p>
        </w:tc>
        <w:tc>
          <w:tcPr>
            <w:tcW w:w="820" w:type="dxa"/>
            <w:vAlign w:val="bottom"/>
          </w:tcPr>
          <w:p>
            <w:pPr>
              <w:jc w:val="right"/>
              <w:ind w:right="99"/>
              <w:spacing w:after="0"/>
              <w:rPr>
                <w:sz w:val="20"/>
                <w:szCs w:val="20"/>
                <w:color w:val="auto"/>
              </w:rPr>
            </w:pPr>
            <w:r>
              <w:rPr>
                <w:rFonts w:ascii="Arial" w:cs="Arial" w:eastAsia="Arial" w:hAnsi="Arial"/>
                <w:sz w:val="18"/>
                <w:szCs w:val="18"/>
                <w:color w:val="auto"/>
              </w:rPr>
              <w:t>828</w:t>
            </w:r>
          </w:p>
        </w:tc>
        <w:tc>
          <w:tcPr>
            <w:tcW w:w="1400" w:type="dxa"/>
            <w:vAlign w:val="bottom"/>
          </w:tcPr>
          <w:p>
            <w:pPr>
              <w:jc w:val="right"/>
              <w:ind w:right="359"/>
              <w:spacing w:after="0"/>
              <w:rPr>
                <w:sz w:val="20"/>
                <w:szCs w:val="20"/>
                <w:color w:val="auto"/>
              </w:rPr>
            </w:pPr>
            <w:r>
              <w:rPr>
                <w:rFonts w:ascii="Arial" w:cs="Arial" w:eastAsia="Arial" w:hAnsi="Arial"/>
                <w:sz w:val="18"/>
                <w:szCs w:val="18"/>
                <w:color w:val="auto"/>
              </w:rPr>
              <w:t>928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basic ordinary shares outstanding</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5"/>
              </w:rPr>
              <w:t>159,012</w:t>
            </w:r>
          </w:p>
        </w:tc>
        <w:tc>
          <w:tcPr>
            <w:tcW w:w="140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161,330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168,275</w:t>
            </w:r>
          </w:p>
        </w:tc>
        <w:tc>
          <w:tcPr>
            <w:tcW w:w="0" w:type="dxa"/>
            <w:vAlign w:val="bottom"/>
          </w:tcPr>
          <w:p>
            <w:pPr>
              <w:spacing w:after="0"/>
              <w:rPr>
                <w:sz w:val="1"/>
                <w:szCs w:val="1"/>
                <w:color w:val="auto"/>
              </w:rPr>
            </w:pPr>
          </w:p>
        </w:tc>
      </w:tr>
      <w:tr>
        <w:trPr>
          <w:trHeight w:val="222"/>
        </w:trPr>
        <w:tc>
          <w:tcPr>
            <w:tcW w:w="8280" w:type="dxa"/>
            <w:vAlign w:val="bottom"/>
            <w:gridSpan w:val="2"/>
          </w:tcPr>
          <w:p>
            <w:pPr>
              <w:spacing w:after="0"/>
              <w:rPr>
                <w:sz w:val="20"/>
                <w:szCs w:val="20"/>
                <w:color w:val="auto"/>
              </w:rPr>
            </w:pPr>
            <w:r>
              <w:rPr>
                <w:rFonts w:ascii="Arial" w:cs="Arial" w:eastAsia="Arial" w:hAnsi="Arial"/>
                <w:sz w:val="18"/>
                <w:szCs w:val="18"/>
                <w:color w:val="auto"/>
              </w:rPr>
              <w:t>Burn rate</w:t>
            </w:r>
          </w:p>
        </w:tc>
        <w:tc>
          <w:tcPr>
            <w:tcW w:w="820" w:type="dxa"/>
            <w:vAlign w:val="bottom"/>
          </w:tcPr>
          <w:p>
            <w:pPr>
              <w:jc w:val="right"/>
              <w:spacing w:after="0"/>
              <w:rPr>
                <w:sz w:val="20"/>
                <w:szCs w:val="20"/>
                <w:color w:val="auto"/>
              </w:rPr>
            </w:pPr>
            <w:r>
              <w:rPr>
                <w:rFonts w:ascii="Arial" w:cs="Arial" w:eastAsia="Arial" w:hAnsi="Arial"/>
                <w:sz w:val="18"/>
                <w:szCs w:val="18"/>
                <w:color w:val="auto"/>
              </w:rPr>
              <w:t>2.04%</w:t>
            </w:r>
          </w:p>
        </w:tc>
        <w:tc>
          <w:tcPr>
            <w:tcW w:w="1400" w:type="dxa"/>
            <w:vAlign w:val="bottom"/>
          </w:tcPr>
          <w:p>
            <w:pPr>
              <w:jc w:val="right"/>
              <w:ind w:right="199"/>
              <w:spacing w:after="0"/>
              <w:rPr>
                <w:sz w:val="20"/>
                <w:szCs w:val="20"/>
                <w:color w:val="auto"/>
              </w:rPr>
            </w:pPr>
            <w:r>
              <w:rPr>
                <w:rFonts w:ascii="Arial" w:cs="Arial" w:eastAsia="Arial" w:hAnsi="Arial"/>
                <w:sz w:val="18"/>
                <w:szCs w:val="18"/>
                <w:color w:val="auto"/>
              </w:rPr>
              <w:t>2.32%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Board of Directors considers availability of ordinary shares for future grants under the Equity Plan to be important to the business prospects and operations of the Company and believes that we have sufficient awards available for grant to our employees and others for approximately the next two years. The Board considers grants of options and restricted stock-based awards to be an effective method to attract and retain officers, directors, employees and consultants, and to encourage long-term performance and productivity. If our shareholders approve this amendment, we will not be able to grant awards under the Equity Plan after January 28, 2025. If our shareholders do not approve this amendment, we will not be able to grant awards under the Equity Plan after January 17, 2016.</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believes that the extension of the term of the Equity Plan is in the best interests of the Company and its shareholders.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1998 Stock Option and Incentive Plan (as proposed to be amended)</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is a summary of the 1998 Stock Option and Incentive Plan (as proposed to be amended), a copy of which is attached as Appendix C. The following summary is qualified in its entirety by reference to the Equity Plan.</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 xml:space="preserve">Purpose. </w:t>
      </w:r>
      <w:r>
        <w:rPr>
          <w:rFonts w:ascii="Arial" w:cs="Arial" w:eastAsia="Arial" w:hAnsi="Arial"/>
          <w:sz w:val="16"/>
          <w:szCs w:val="16"/>
          <w:color w:val="auto"/>
        </w:rPr>
        <w:t>The purpose of the Equity Plan is to afford an incentive to grantees to acquire a proprietary interest in the Company, to continue in service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to increase their efforts on behalf of the Company and to promote the success of the Company’s business.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The Equity Plan provides for the grant of stock options (which may be either incentive stock options or nonqualified stock options),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rights, restricted stock awards and other stock-based awards, which we collectively refers to as “awards.”</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Grantees receive the right to purchase a specified number of ordinary shares at a specified option price and subject to such other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as are specified in connection with the option grant. Options may not be granted at an exercise price that is less than 100% of the fair market value of our ordinary shares on the date of grant and may not be granted for a term in excess of ten years. Payment of the exercise price of options may be by cash, delivery of ordinary shares, a combination thereof, or, in connection with a broker-assisted exercise. The Equity Plan provides that, unless otherwise determined by the Committee, options will vest as to 25% of the ordinary shares subject to such award on each of the first, second, third and fourth anniversaries of the date of grant of the option. Although we have never done so, the Equity Plan permits us to make loans to grantees in connection with the exercise of outstanding options. Options may generally only be exercised while the grantee is in our service or employ. If the grantee’s service ends for any reason other than cause, death or disability, his or her option will expire 90 days after such cessation. Termination for cause results in expiration of the option upon the termination date. Termination due to death or disability allows, in general, for the option to be exercised for 12 months, but in no event after the option’s stated final expiration date. The Equity Plan prohibits the grant of options containing a provision entitling a grantee to the automatic grant of additional options in connection with any exercise by the grantee of his or her options.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ind w:right="100"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Restricted Stock Awards. </w:t>
      </w:r>
      <w:r>
        <w:rPr>
          <w:rFonts w:ascii="Arial" w:cs="Arial" w:eastAsia="Arial" w:hAnsi="Arial"/>
          <w:sz w:val="18"/>
          <w:szCs w:val="18"/>
          <w:color w:val="auto"/>
        </w:rPr>
        <w:t>Restricted stock awards entitle grantees to acquire ordinary shares subject to the right of Amdocs Limited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to repurchase all or part of such shares from the grantee in the event that the conditions specified in the applicable award are not satisfied prior to the end of the applicable restriction period established for such award. The vesting of restricted stock awards can be based on the achievement of specified performance goals or on the passage of time.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The Committee may also grant stock appreciation rights without the grant of an accompanying option, which rights shall permit</w:t>
      </w:r>
      <w:r>
        <w:rPr>
          <w:rFonts w:ascii="Arial" w:cs="Arial" w:eastAsia="Arial" w:hAnsi="Arial"/>
          <w:sz w:val="16"/>
          <w:szCs w:val="16"/>
          <w:i w:val="1"/>
          <w:iCs w:val="1"/>
          <w:color w:val="auto"/>
        </w:rPr>
        <w:t xml:space="preserve"> </w:t>
      </w:r>
      <w:r>
        <w:rPr>
          <w:rFonts w:ascii="Arial" w:cs="Arial" w:eastAsia="Arial" w:hAnsi="Arial"/>
          <w:sz w:val="16"/>
          <w:szCs w:val="16"/>
          <w:color w:val="auto"/>
        </w:rPr>
        <w:t>the grantee to receive, at the time of any exercise of such rights, cash equal to the amount by which the fair market value of all shares of ordinary shares in respect to which the right was exercised exceeds the exercise price thereof. The exercise price of a stock appreciation right shall not be less than the fair market value on the date the stock appreciation right is granted and no stock appreciation right may be granted with a term in excess of 10 years. As of the date of this Proxy Statement, we have never granted stock appreciation rights under the Equity Plan.</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committee administering the Equity Plan may grant other awards pursuant to which ordinary shares may be acquired or</w:t>
      </w:r>
      <w:r>
        <w:rPr>
          <w:rFonts w:ascii="Arial" w:cs="Arial" w:eastAsia="Arial" w:hAnsi="Arial"/>
          <w:sz w:val="18"/>
          <w:szCs w:val="18"/>
          <w:i w:val="1"/>
          <w:iCs w:val="1"/>
          <w:color w:val="auto"/>
        </w:rPr>
        <w:t xml:space="preserve"> </w:t>
      </w:r>
      <w:r>
        <w:rPr>
          <w:rFonts w:ascii="Arial" w:cs="Arial" w:eastAsia="Arial" w:hAnsi="Arial"/>
          <w:sz w:val="18"/>
          <w:szCs w:val="18"/>
          <w:color w:val="auto"/>
        </w:rPr>
        <w:t>awards denominated in stock units. As of the date of this Proxy Statement, we have granted restricted stock units, but no other stock-based awards under the Equity Plan.</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Eligibility to Receive Awards. </w:t>
      </w:r>
      <w:r>
        <w:rPr>
          <w:rFonts w:ascii="Arial" w:cs="Arial" w:eastAsia="Arial" w:hAnsi="Arial"/>
          <w:sz w:val="18"/>
          <w:szCs w:val="18"/>
          <w:color w:val="auto"/>
        </w:rPr>
        <w:t>All officers, directors, employees and consultants of Amdocs Limited, or of any parent or subsidiary of Amdocs Limited, are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awards under the Equity Plan. Under the Equity Plan, a subsidiary means any entity in which Amdocs Limited holds, directly or indirectly, 50% or more of its voting power.</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Shares Available. </w:t>
      </w:r>
      <w:r>
        <w:rPr>
          <w:rFonts w:ascii="Arial" w:cs="Arial" w:eastAsia="Arial" w:hAnsi="Arial"/>
          <w:sz w:val="16"/>
          <w:szCs w:val="16"/>
          <w:color w:val="auto"/>
        </w:rPr>
        <w:t>Awards may be made under the Equity Plan for up to 62,300,000 Ordinary Shares, with a limit of 7,554,979 ordinary shares that may be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after November 30, 2011, pursuant to restricted stock or awards denominated in stock units. If any award expires or is terminated, surrendered, cancelled (including the repurchase of unvested restricted stock at its original issuance price) or forfeited, the unused shares covered by such award (other than any shares surrendered by reason of exercise or payment of the award to the extent it is settled in shares) will again be available for grant under the Equity Plan, with the exception of (i) shares that were subject to a stock-settled stock appreciation right and were not issued upon the net settlement or net exercise of such stock appreciation right, (ii) shares used to pay the exercise price of a stock option, (iii) shares delivered to or withheld by the Company to pay the withholding taxes related to an award, or (iv) shares repurchased on the open market with proceeds of a stock option exercise. Any shares subject to a full value award made prior to November 30, 2011 that cease to be subject to such award (other than by reason of exercise or payment of the award to the extent it is settled in shares) shall again be available for full value awards, without regard to the 7,554,979 ordinary share sublimit that will be in effect following this amendment.</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Equity Plan is administered by a committee established by the Board of Directors, which we refer to as the Committee.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has the authority to administer the Equity Plan and to exercise all the powers and authorities either specifically granted to it under the Equity Plan or necessary or advisable in the administration of the Equity Plan, and to make all other determinations deemed necessary or advisable for the administration of the Equity Plan.</w:t>
      </w:r>
    </w:p>
    <w:p>
      <w:pPr>
        <w:spacing w:after="0" w:line="143"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i w:val="1"/>
          <w:iCs w:val="1"/>
          <w:color w:val="auto"/>
        </w:rPr>
        <w:t xml:space="preserve">Assumed or Substitute Awards. </w:t>
      </w:r>
      <w:r>
        <w:rPr>
          <w:rFonts w:ascii="Arial" w:cs="Arial" w:eastAsia="Arial" w:hAnsi="Arial"/>
          <w:sz w:val="16"/>
          <w:szCs w:val="16"/>
          <w:color w:val="auto"/>
        </w:rPr>
        <w:t>If, in connection with a business combination transaction, we assume or substitute for awards originally granted by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entity, and such assumed or substituted awards will be administered under the Equity Plan, such awards (1) will not count as part of the total number of ordinary shares that may be made subject to awards under the Equity Plan, subject to any limitations required by the U.S. Internal Revenue Code of 1986, as amended, and (2) will be on such terms as the Board deems appropriate notwithstanding any limitations contained in the Equity Plan on new awards.</w:t>
      </w:r>
    </w:p>
    <w:p>
      <w:pPr>
        <w:spacing w:after="0" w:line="11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The Committee is required to make appropriate adjustments in connection with the Equity Plan and any outstanding awards to reflect stock</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recapitalizations, stock splits, combinations or exchanges of ordinary shares and other similar transactions which result in any increase or decrease in the number of issued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ordinary shares effected without receipt of consideration. In the event of a proposed sale of all or substantially all the assets of Amdocs, merger, liquidation, dissolution or other similar event, the Committee is authorized to provide for outstanding awards to be assumed or substituted for, to accelerate the awards to make them fully exercisable prior to consummation of the acquisition event, to provide that the awards will terminate as a fixed date following their acceleration or to provide for a cash-out of any outstanding options.</w:t>
      </w:r>
    </w:p>
    <w:p>
      <w:pPr>
        <w:spacing w:after="0" w:line="143" w:lineRule="exact"/>
        <w:rPr>
          <w:sz w:val="20"/>
          <w:szCs w:val="20"/>
          <w:color w:val="auto"/>
        </w:rPr>
      </w:pPr>
    </w:p>
    <w:p>
      <w:pPr>
        <w:ind w:right="420" w:firstLine="456"/>
        <w:spacing w:after="0" w:line="323" w:lineRule="auto"/>
        <w:rPr>
          <w:sz w:val="20"/>
          <w:szCs w:val="20"/>
          <w:color w:val="auto"/>
        </w:rPr>
      </w:pPr>
      <w:r>
        <w:rPr>
          <w:rFonts w:ascii="Arial" w:cs="Arial" w:eastAsia="Arial" w:hAnsi="Arial"/>
          <w:sz w:val="15"/>
          <w:szCs w:val="15"/>
          <w:i w:val="1"/>
          <w:iCs w:val="1"/>
          <w:color w:val="auto"/>
        </w:rPr>
        <w:t xml:space="preserve">Amendment or Termination. </w:t>
      </w:r>
      <w:r>
        <w:rPr>
          <w:rFonts w:ascii="Arial" w:cs="Arial" w:eastAsia="Arial" w:hAnsi="Arial"/>
          <w:sz w:val="15"/>
          <w:szCs w:val="15"/>
          <w:color w:val="auto"/>
        </w:rPr>
        <w:t>No award may be made under the Equity Plan after January 28, 2025 The Board of Directors may at any time suspend,</w:t>
      </w:r>
      <w:r>
        <w:rPr>
          <w:rFonts w:ascii="Arial" w:cs="Arial" w:eastAsia="Arial" w:hAnsi="Arial"/>
          <w:sz w:val="15"/>
          <w:szCs w:val="15"/>
          <w:i w:val="1"/>
          <w:iCs w:val="1"/>
          <w:color w:val="auto"/>
        </w:rPr>
        <w:t xml:space="preserve"> </w:t>
      </w:r>
      <w:r>
        <w:rPr>
          <w:rFonts w:ascii="Arial" w:cs="Arial" w:eastAsia="Arial" w:hAnsi="Arial"/>
          <w:sz w:val="15"/>
          <w:szCs w:val="15"/>
          <w:color w:val="auto"/>
        </w:rPr>
        <w:t>terminate, modify or amend the Equity Plan, however, shareholders must approve any amendment that would (1) increase the aggregate number of ordinary shares issuable under the Equity Plan, (2) materially increase the benefits accruing to grantees, (3) change the class of employees eligible for participation, (4) extend the period during which awards may be granted or (5) provide for an option that is exercisable more than 10 years after the date it is granted.</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No Repricing of Options or Stock Appreciation Rights. </w:t>
      </w:r>
      <w:r>
        <w:rPr>
          <w:rFonts w:ascii="Arial" w:cs="Arial" w:eastAsia="Arial" w:hAnsi="Arial"/>
          <w:sz w:val="16"/>
          <w:szCs w:val="16"/>
          <w:color w:val="auto"/>
        </w:rPr>
        <w:t>The Equity Plan prohibits the repricing of options or stock appreciation rights under the Equity Plan</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shareholder approval. Specifically, except in connection with a corporate transaction involving us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Awards granted under the Equity Plan are not transferable other than by will or by the laws of descent and distribution,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 qualified domestic relations order.</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 xml:space="preserve">Section 102 Awards. </w:t>
      </w:r>
      <w:r>
        <w:rPr>
          <w:rFonts w:ascii="Arial" w:cs="Arial" w:eastAsia="Arial" w:hAnsi="Arial"/>
          <w:sz w:val="18"/>
          <w:szCs w:val="18"/>
          <w:color w:val="auto"/>
        </w:rPr>
        <w:t>Under the Equity Plan, nonqualified stock options and restricted stock awards may be granted to employees and consultants of</w:t>
      </w:r>
      <w:r>
        <w:rPr>
          <w:rFonts w:ascii="Arial" w:cs="Arial" w:eastAsia="Arial" w:hAnsi="Arial"/>
          <w:sz w:val="18"/>
          <w:szCs w:val="18"/>
          <w:i w:val="1"/>
          <w:iCs w:val="1"/>
          <w:color w:val="auto"/>
        </w:rPr>
        <w:t xml:space="preserve"> </w:t>
      </w:r>
      <w:r>
        <w:rPr>
          <w:rFonts w:ascii="Arial" w:cs="Arial" w:eastAsia="Arial" w:hAnsi="Arial"/>
          <w:sz w:val="18"/>
          <w:szCs w:val="18"/>
          <w:color w:val="auto"/>
        </w:rPr>
        <w:t>Amdocs Limited or any of its subsidiaries or parents pursuant to the provisions of Section 102 of the Israel Tax Ordinance (New Version) 1961. Section 102 is designed to afford qualified recipients with specified favorable tax treatment in Israel.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165"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1998 Stock Option and Incentive Plan, as amended, in the form attached to the Company’s Proxy Statement as Appendix C, be and hereby is approved.”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affirmative vote of holders of a majority of the ordinary shares issued and outstanding is necessary for the approval of the Ordinary Resolution to approve the amendment to the Equity Plan. If Proposal II is not approved by the shareholders, the Equity Plan will continue in accordance with its existing terms and the Board will evaluate other alternatives for achieving the purposes of the plan.</w:t>
      </w:r>
    </w:p>
    <w:p>
      <w:pPr>
        <w:spacing w:after="0" w:line="13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THE EXTENSION OF THE 1998 PLAN AS SET FORTH IN APPENDIX C ATTACHED HERETO.</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22" w:name="page23"/>
    <w:bookmarkEnd w:id="22"/>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IV</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APPROVAL OF OUR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SEPTEMBER 30, 2014</w:t>
      </w:r>
    </w:p>
    <w:p>
      <w:pPr>
        <w:spacing w:after="0" w:line="165"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Our Annual Report for the fiscal year ended September 30, 2014 is available on our website at http://www.amdocs.com/About/Pages/AnnualReport.aspx. Our Consolidated Financial Statements for the fiscal year ended September 30, 2014 are included in our Annual Report. At the General Meeting, we will review the Operating and Financial Review and Prospects section of our Annual Report and will answer appropriate questions related thereto.</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90"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the Consolidated Financial Statements of Amdocs Limited for the fiscal year ended September 30, 2014 be, and the same hereby are, approved.”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2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OUR CONSOLIDATED FINANCIAL STATEMENTS.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3" w:name="page24"/>
    <w:bookmarkEnd w:id="23"/>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V</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RATIFICATION AND APPROVAL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Audit Committee of the Board of Directors has selected the firm of Ernst &amp; Young LLP to continue to serve as our independent registered public accounting firm for the fiscal year ending September 30, 2015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2014 and has served as our independent public accounting firm since 1996. One or more representatives of Ernst &amp; Young LLP are expected to be present at the General Meeting, will have an opportunity to make a statement if he or she so desires and will be available to respond to appropriate questions.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Accountant Fees and Other Matters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Fee Category</w:t>
            </w:r>
          </w:p>
        </w:tc>
        <w:tc>
          <w:tcPr>
            <w:tcW w:w="4580" w:type="dxa"/>
            <w:vAlign w:val="bottom"/>
          </w:tcPr>
          <w:p>
            <w:pPr>
              <w:spacing w:after="0"/>
              <w:rPr>
                <w:sz w:val="15"/>
                <w:szCs w:val="15"/>
                <w:color w:val="auto"/>
              </w:rPr>
            </w:pPr>
          </w:p>
        </w:tc>
        <w:tc>
          <w:tcPr>
            <w:tcW w:w="4660" w:type="dxa"/>
            <w:vAlign w:val="bottom"/>
            <w:gridSpan w:val="2"/>
          </w:tcPr>
          <w:p>
            <w:pPr>
              <w:jc w:val="center"/>
              <w:ind w:left="3759"/>
              <w:spacing w:after="0"/>
              <w:rPr>
                <w:sz w:val="20"/>
                <w:szCs w:val="20"/>
                <w:color w:val="auto"/>
              </w:rPr>
            </w:pPr>
            <w:r>
              <w:rPr>
                <w:rFonts w:ascii="Arial" w:cs="Arial" w:eastAsia="Arial" w:hAnsi="Arial"/>
                <w:sz w:val="14"/>
                <w:szCs w:val="14"/>
                <w:b w:val="1"/>
                <w:bCs w:val="1"/>
                <w:color w:val="auto"/>
                <w:w w:val="83"/>
              </w:rPr>
              <w:t>2014</w:t>
            </w:r>
          </w:p>
        </w:tc>
        <w:tc>
          <w:tcPr>
            <w:tcW w:w="220" w:type="dxa"/>
            <w:vAlign w:val="bottom"/>
          </w:tcPr>
          <w:p>
            <w:pPr>
              <w:spacing w:after="0"/>
              <w:rPr>
                <w:sz w:val="15"/>
                <w:szCs w:val="15"/>
                <w:color w:val="auto"/>
              </w:rPr>
            </w:pPr>
          </w:p>
        </w:tc>
        <w:tc>
          <w:tcPr>
            <w:tcW w:w="10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5"/>
                <w:szCs w:val="15"/>
                <w:color w:val="auto"/>
              </w:rPr>
            </w:pPr>
          </w:p>
        </w:tc>
      </w:tr>
      <w:tr>
        <w:trPr>
          <w:trHeight w:val="203"/>
        </w:trPr>
        <w:tc>
          <w:tcPr>
            <w:tcW w:w="5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38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$ 3,200,000</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$ 3,000,000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4880" w:type="dxa"/>
            <w:vAlign w:val="bottom"/>
            <w:gridSpan w:val="3"/>
          </w:tcPr>
          <w:p>
            <w:pPr>
              <w:jc w:val="center"/>
              <w:ind w:left="3539"/>
              <w:spacing w:after="0"/>
              <w:rPr>
                <w:sz w:val="20"/>
                <w:szCs w:val="20"/>
                <w:color w:val="auto"/>
              </w:rPr>
            </w:pPr>
            <w:r>
              <w:rPr>
                <w:rFonts w:ascii="Arial" w:cs="Arial" w:eastAsia="Arial" w:hAnsi="Arial"/>
                <w:sz w:val="18"/>
                <w:szCs w:val="18"/>
                <w:color w:val="auto"/>
                <w:w w:val="86"/>
              </w:rPr>
              <w:t>$ 1,000,000</w:t>
            </w:r>
          </w:p>
        </w:tc>
        <w:tc>
          <w:tcPr>
            <w:tcW w:w="1140" w:type="dxa"/>
            <w:vAlign w:val="bottom"/>
            <w:gridSpan w:val="3"/>
          </w:tcPr>
          <w:p>
            <w:pPr>
              <w:jc w:val="center"/>
              <w:ind w:left="19"/>
              <w:spacing w:after="0"/>
              <w:rPr>
                <w:sz w:val="20"/>
                <w:szCs w:val="20"/>
                <w:color w:val="auto"/>
              </w:rPr>
            </w:pPr>
            <w:r>
              <w:rPr>
                <w:rFonts w:ascii="Arial" w:cs="Arial" w:eastAsia="Arial" w:hAnsi="Arial"/>
                <w:sz w:val="18"/>
                <w:szCs w:val="18"/>
                <w:color w:val="auto"/>
                <w:w w:val="88"/>
              </w:rPr>
              <w:t>$ 1,700,000</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4880" w:type="dxa"/>
            <w:vAlign w:val="bottom"/>
            <w:gridSpan w:val="3"/>
            <w:shd w:val="clear" w:color="auto" w:fill="CCEEFF"/>
          </w:tcPr>
          <w:p>
            <w:pPr>
              <w:jc w:val="center"/>
              <w:ind w:left="3539"/>
              <w:spacing w:after="0"/>
              <w:rPr>
                <w:sz w:val="20"/>
                <w:szCs w:val="20"/>
                <w:color w:val="auto"/>
              </w:rPr>
            </w:pPr>
            <w:r>
              <w:rPr>
                <w:rFonts w:ascii="Arial" w:cs="Arial" w:eastAsia="Arial" w:hAnsi="Arial"/>
                <w:sz w:val="18"/>
                <w:szCs w:val="18"/>
                <w:color w:val="auto"/>
                <w:w w:val="86"/>
              </w:rPr>
              <w:t>$ 1,200,000</w:t>
            </w:r>
          </w:p>
        </w:tc>
        <w:tc>
          <w:tcPr>
            <w:tcW w:w="1140" w:type="dxa"/>
            <w:vAlign w:val="bottom"/>
            <w:gridSpan w:val="3"/>
            <w:shd w:val="clear" w:color="auto" w:fill="CCEEFF"/>
          </w:tcPr>
          <w:p>
            <w:pPr>
              <w:jc w:val="center"/>
              <w:ind w:left="19"/>
              <w:spacing w:after="0"/>
              <w:rPr>
                <w:sz w:val="20"/>
                <w:szCs w:val="20"/>
                <w:color w:val="auto"/>
              </w:rPr>
            </w:pPr>
            <w:r>
              <w:rPr>
                <w:rFonts w:ascii="Arial" w:cs="Arial" w:eastAsia="Arial" w:hAnsi="Arial"/>
                <w:sz w:val="18"/>
                <w:szCs w:val="18"/>
                <w:color w:val="auto"/>
                <w:w w:val="88"/>
              </w:rPr>
              <w:t>$ 1,600,000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 fees consist of fees associated with the annual audit and reviews of our quarterly financial results submitted on Form 6-K, consultations on various accounting issues and performance of local statutory audits.</w:t>
      </w:r>
    </w:p>
    <w:p>
      <w:pPr>
        <w:ind w:left="460" w:hanging="45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Audit-related services principally include Statement on Standards for Attestation Engagements (SSAE) 16 report issuances and due diligence examinations.</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fees consist of fees associated with tax compliance, tax advice and tax planning services.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90"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(i) the appointment of Ernst &amp; Young LLP as Amdocs Limited’s independent registered public accounting firm for the fiscal year ending September 30, 2015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134"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website located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as well as on our website at www.amdocs.com. Requests for copies of our Annual Report on Form 20-F should be provided to our principal U.S. subsidiary at: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(314) 212-8358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400"/>
          </w:cols>
          <w:pgMar w:left="240" w:top="274" w:right="259" w:bottom="1440" w:gutter="0" w:footer="0" w:header="0"/>
        </w:sectPr>
      </w:pP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Ms. Elizabeth W. McDermon</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ectPr>
          <w:pgSz w:w="11900" w:h="16838" w:orient="portrait"/>
          <w:cols w:equalWidth="0" w:num="2">
            <w:col w:w="1180" w:space="520"/>
            <w:col w:w="9700"/>
          </w:cols>
          <w:pgMar w:left="240" w:top="274" w:right="25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Phoenix Advisory Partners to assist in the solicitation of proxies. We will also reimburse brokerage houses and other custodians, nominees and fiduciaries for their expenses in accordance with Nasdaq rules concerning the sending of proxies and proxy materials to the beneficial owners of our ordinary shares.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LIZABETH</w:t>
      </w:r>
      <w:r>
        <w:rPr>
          <w:rFonts w:ascii="Arial" w:cs="Arial" w:eastAsia="Arial" w:hAnsi="Arial"/>
          <w:sz w:val="18"/>
          <w:szCs w:val="18"/>
          <w:color w:val="auto"/>
        </w:rPr>
        <w:t xml:space="preserve"> W. 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ERMON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December 24, 2014</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PURPOSE</w:t>
      </w:r>
    </w:p>
    <w:p>
      <w:pPr>
        <w:spacing w:after="0" w:line="96" w:lineRule="exact"/>
        <w:rPr>
          <w:sz w:val="20"/>
          <w:szCs w:val="20"/>
          <w:color w:val="auto"/>
        </w:rPr>
      </w:pPr>
    </w:p>
    <w:p>
      <w:pPr>
        <w:ind w:left="460" w:right="220"/>
        <w:spacing w:after="0" w:line="298" w:lineRule="auto"/>
        <w:rPr>
          <w:sz w:val="20"/>
          <w:szCs w:val="20"/>
          <w:color w:val="auto"/>
        </w:rPr>
      </w:pPr>
      <w:r>
        <w:rPr>
          <w:rFonts w:ascii="Arial" w:cs="Arial" w:eastAsia="Arial" w:hAnsi="Arial"/>
          <w:sz w:val="16"/>
          <w:szCs w:val="16"/>
          <w:color w:val="auto"/>
        </w:rPr>
        <w:t>The Audit Committee of Amdocs Limited (the “Company”) is a standing committee of the Board of Directors. The primary objective of the Audit Committee is to assist the Board of Directors’ oversight of: the Company’s accounting practices; the integrity of the Company’s financial statements; the Company’s compliance with legal and regulatory requirements; the qualifications, independence, and performance of the Company’s registered public accounting firm (the “independent auditor”); the internal audit function, risk assessment and risk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MEMBERSHIP, STRUCTURE, AND ADMINISTRATION</w:t>
      </w:r>
    </w:p>
    <w:p>
      <w:pPr>
        <w:spacing w:after="0" w:line="90" w:lineRule="exact"/>
        <w:rPr>
          <w:sz w:val="20"/>
          <w:szCs w:val="20"/>
          <w:color w:val="auto"/>
        </w:rPr>
      </w:pPr>
    </w:p>
    <w:p>
      <w:pPr>
        <w:ind w:left="460" w:right="40" w:hanging="452"/>
        <w:spacing w:after="0" w:line="290"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Size and Member Qualifications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 Except as otherwise permitted by applicable NASDAQ rules, the Audit Committee shall consist of at least three</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Board of Directors. Except as otherwise permitted by applicable NASDAQ rules, each member of the Audit Committee shall be an “independent director” as defined by NASDAQ Rule 5605(a)(2), meet the criteria for independence set forth in Rule 10A-3(b)(1) of the Securities Exchange Act of 1934 (subject to the exemptions provided in Rule 10A-3(c)), and not have participated in the preparation of the financial statements of the Company or any current subsidiary of the Company at any time during the past three years. Each member of the Audit Committee shall be financially literate, as such qualification is interpreted by the Board of Directors in its business judgment, or must become financially literate within a reasonable period of time after his or her appointment to the Audit Committee. At least one member of the Audit Committee shall be an “audit committee financial expert” (as defined by applicable SEC rules) as determined by the business judgment of the Board of Directors.</w:t>
      </w:r>
    </w:p>
    <w:p>
      <w:pPr>
        <w:spacing w:after="0" w:line="31" w:lineRule="exact"/>
        <w:rPr>
          <w:rFonts w:ascii="Arial" w:cs="Arial" w:eastAsia="Arial" w:hAnsi="Arial"/>
          <w:sz w:val="16"/>
          <w:szCs w:val="16"/>
          <w:color w:val="auto"/>
        </w:rPr>
      </w:pPr>
    </w:p>
    <w:p>
      <w:pPr>
        <w:ind w:left="460" w:right="18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Board of Directors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 Members of the Audit Committee shall be appointed by the Board of Directors. The Audit Committee shall report</w:t>
      </w:r>
      <w:r>
        <w:rPr>
          <w:rFonts w:ascii="Arial" w:cs="Arial" w:eastAsia="Arial" w:hAnsi="Arial"/>
          <w:sz w:val="18"/>
          <w:szCs w:val="18"/>
          <w:b w:val="1"/>
          <w:bCs w:val="1"/>
          <w:color w:val="auto"/>
        </w:rPr>
        <w:t xml:space="preserve"> </w:t>
      </w:r>
      <w:r>
        <w:rPr>
          <w:rFonts w:ascii="Arial" w:cs="Arial" w:eastAsia="Arial" w:hAnsi="Arial"/>
          <w:sz w:val="18"/>
          <w:szCs w:val="18"/>
          <w:color w:val="auto"/>
        </w:rPr>
        <w:t>regularly to the Board of Directors. Unless otherwise determined by the Board of Directors, no member of the Audit Committee may serve on the audit committee of more than two other public companies. The Board of Directors may remove members of the Audit Committee from such committee with or without cause.</w:t>
      </w:r>
    </w:p>
    <w:p>
      <w:pPr>
        <w:spacing w:after="0" w:line="5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Chair</w:t>
      </w:r>
      <w:r>
        <w:rPr>
          <w:rFonts w:ascii="Arial" w:cs="Arial" w:eastAsia="Arial" w:hAnsi="Arial"/>
          <w:sz w:val="18"/>
          <w:szCs w:val="18"/>
          <w:b w:val="1"/>
          <w:bCs w:val="1"/>
          <w:color w:val="auto"/>
        </w:rPr>
        <w:t xml:space="preserve"> </w:t>
      </w:r>
      <w:r>
        <w:rPr>
          <w:rFonts w:ascii="Arial" w:cs="Arial" w:eastAsia="Arial" w:hAnsi="Arial"/>
          <w:sz w:val="18"/>
          <w:szCs w:val="18"/>
          <w:color w:val="auto"/>
        </w:rPr>
        <w:t>- Unless the Board of Directors elects a Chair of the Audit Committee, the Audit Committee shall elect one by majority vote.</w:t>
      </w:r>
    </w:p>
    <w:p>
      <w:pPr>
        <w:spacing w:after="0" w:line="90" w:lineRule="exact"/>
        <w:rPr>
          <w:rFonts w:ascii="Arial" w:cs="Arial" w:eastAsia="Arial" w:hAnsi="Arial"/>
          <w:sz w:val="18"/>
          <w:szCs w:val="18"/>
          <w:color w:val="auto"/>
        </w:rPr>
      </w:pPr>
    </w:p>
    <w:p>
      <w:pPr>
        <w:ind w:left="460" w:right="40" w:hanging="452"/>
        <w:spacing w:after="0" w:line="262"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 The compensation of the Audit Committee members shall be as determined by the Board of Directors. No member of the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receive, directly or indirectly, any compensation from the Company other than director’s fees (in cash and/or company shares or options or in-kind consideration).</w:t>
      </w:r>
    </w:p>
    <w:p>
      <w:pPr>
        <w:spacing w:after="0" w:line="51" w:lineRule="exact"/>
        <w:rPr>
          <w:rFonts w:ascii="Arial" w:cs="Arial" w:eastAsia="Arial" w:hAnsi="Arial"/>
          <w:sz w:val="18"/>
          <w:szCs w:val="18"/>
          <w:color w:val="auto"/>
        </w:rPr>
      </w:pPr>
    </w:p>
    <w:p>
      <w:pPr>
        <w:ind w:left="460" w:right="340" w:hanging="452"/>
        <w:spacing w:after="0" w:line="30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 The Audit Committee shall meet on a schedule and in a manner the Audit Committee shall establish. The Audit Committee may also act by</w:t>
      </w:r>
      <w:r>
        <w:rPr>
          <w:rFonts w:ascii="Arial" w:cs="Arial" w:eastAsia="Arial" w:hAnsi="Arial"/>
          <w:sz w:val="16"/>
          <w:szCs w:val="16"/>
          <w:b w:val="1"/>
          <w:bCs w:val="1"/>
          <w:color w:val="auto"/>
        </w:rPr>
        <w:t xml:space="preserve"> </w:t>
      </w:r>
      <w:r>
        <w:rPr>
          <w:rFonts w:ascii="Arial" w:cs="Arial" w:eastAsia="Arial" w:hAnsi="Arial"/>
          <w:sz w:val="16"/>
          <w:szCs w:val="16"/>
          <w:color w:val="auto"/>
        </w:rPr>
        <w:t>unanimous written consent in lieu of a meeting. Periodically, the Audit Committee shall meet separately with the independent auditor, members of the Company’s management, and the Company’s internal auditor. A special meeting may be called on not less than 24 hours notice, at any time by the Chairman. The Audit Committee shall keep such records of its meetings, as it shall deem appropriate.</w:t>
      </w:r>
    </w:p>
    <w:p>
      <w:pPr>
        <w:spacing w:after="0" w:line="22" w:lineRule="exact"/>
        <w:rPr>
          <w:rFonts w:ascii="Arial" w:cs="Arial" w:eastAsia="Arial" w:hAnsi="Arial"/>
          <w:sz w:val="16"/>
          <w:szCs w:val="16"/>
          <w:color w:val="auto"/>
        </w:rPr>
      </w:pPr>
    </w:p>
    <w:p>
      <w:pPr>
        <w:ind w:left="460" w:right="240" w:hanging="452"/>
        <w:spacing w:after="0" w:line="27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Subcommittees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 The Audit Committee may form and delegate authority to one or more subcommittees as it deems appropriate from time to time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circumstances.</w:t>
      </w:r>
    </w:p>
    <w:p>
      <w:pPr>
        <w:spacing w:after="0" w:line="38" w:lineRule="exact"/>
        <w:rPr>
          <w:rFonts w:ascii="Arial" w:cs="Arial" w:eastAsia="Arial" w:hAnsi="Arial"/>
          <w:sz w:val="18"/>
          <w:szCs w:val="18"/>
          <w:color w:val="auto"/>
        </w:rPr>
      </w:pPr>
    </w:p>
    <w:p>
      <w:pPr>
        <w:ind w:left="460" w:right="480" w:hanging="452"/>
        <w:spacing w:after="0" w:line="262"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 The Audit Committee shall maintain unrestricted communication with the independent auditors, the Company’s internal audit function</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counsel and financial management to assure that each understands and accepts its responsibilities for direct communication with the Audit Committee as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6" w:name="page27"/>
    <w:bookmarkEnd w:id="26"/>
    <w:p>
      <w:pPr>
        <w:ind w:left="460"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appropriate. The Audit Committee shall have full access to the books and records of the Company, as well as, full access to interview employees, if necessary. The Chairman of the Audit Committee shall have the authority to direct the Company’s internal audit function to carry out such special audit projects as, in the Chairman’s judgment, are warranted.</w:t>
      </w:r>
    </w:p>
    <w:p>
      <w:pPr>
        <w:spacing w:after="0" w:line="53" w:lineRule="exact"/>
        <w:rPr>
          <w:sz w:val="20"/>
          <w:szCs w:val="20"/>
          <w:color w:val="auto"/>
        </w:rPr>
      </w:pPr>
    </w:p>
    <w:p>
      <w:pPr>
        <w:ind w:left="460" w:right="200" w:hanging="452"/>
        <w:spacing w:after="0" w:line="378"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b w:val="1"/>
          <w:bCs w:val="1"/>
          <w:u w:val="single" w:color="auto"/>
          <w:color w:val="auto"/>
        </w:rPr>
        <w:t>Performance and Charter Evaluations</w:t>
      </w:r>
      <w:r>
        <w:rPr>
          <w:rFonts w:ascii="Arial" w:cs="Arial" w:eastAsia="Arial" w:hAnsi="Arial"/>
          <w:sz w:val="15"/>
          <w:szCs w:val="15"/>
          <w:b w:val="1"/>
          <w:bCs w:val="1"/>
          <w:color w:val="auto"/>
        </w:rPr>
        <w:t xml:space="preserve"> </w:t>
      </w:r>
      <w:r>
        <w:rPr>
          <w:rFonts w:ascii="Arial" w:cs="Arial" w:eastAsia="Arial" w:hAnsi="Arial"/>
          <w:sz w:val="15"/>
          <w:szCs w:val="15"/>
          <w:color w:val="auto"/>
        </w:rPr>
        <w:t>- The Audit Committee shall maintain this Audit Committee Charter and obtain the approval of the Board of</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for all revisions or changes to the Charter. The Audit Committee shall review and reassess the Charter as conditions dictate or at least annually.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 RESPONSIBILITIES AND DUTIES</w:t>
      </w:r>
    </w:p>
    <w:p>
      <w:pPr>
        <w:spacing w:after="0" w:line="90" w:lineRule="exact"/>
        <w:rPr>
          <w:sz w:val="20"/>
          <w:szCs w:val="20"/>
          <w:color w:val="auto"/>
        </w:rPr>
      </w:pPr>
    </w:p>
    <w:p>
      <w:pPr>
        <w:ind w:left="460" w:right="40" w:hanging="452"/>
        <w:spacing w:after="0" w:line="290"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b w:val="1"/>
          <w:bCs w:val="1"/>
          <w:color w:val="auto"/>
        </w:rPr>
        <w:t xml:space="preserve"> - </w:t>
      </w:r>
      <w:r>
        <w:rPr>
          <w:rFonts w:ascii="Arial" w:cs="Arial" w:eastAsia="Arial" w:hAnsi="Arial"/>
          <w:sz w:val="16"/>
          <w:szCs w:val="16"/>
          <w:color w:val="auto"/>
        </w:rPr>
        <w:t>The Audit Committee shall discharge its responsibilities and shall assess the information provided by the Company’s management, the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auditor and the independent auditors, in accordance with its business judgment. Management is responsible for the preparation, presentation, and integrity of the Company’s financial statements, for the appropriateness of the accounting principles and the reporting policies that are used by the Company and for establishing and maintaining adequate internal control over financial reporting. The independent auditors are responsible for auditing the Company’s financial statements and the Company’s internal control over financial reporting and for reviewing the Company’s unaudited interim financial statements. The authority and responsibilities set forth in this Charter do not reflect or create any duty or obligation of the Audit Committee to plan or conduct any audit, to determine or certify that the Company’s financial statements are complete, accurate, fairly presented, or in accordance with generally accepted accounting principles or applicable law, or to guarantee the independent auditor’s report.</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Oversight of Independent Auditors</w:t>
      </w:r>
    </w:p>
    <w:p>
      <w:pPr>
        <w:spacing w:after="0" w:line="96" w:lineRule="exact"/>
        <w:rPr>
          <w:rFonts w:ascii="Arial" w:cs="Arial" w:eastAsia="Arial" w:hAnsi="Arial"/>
          <w:sz w:val="18"/>
          <w:szCs w:val="18"/>
          <w:color w:val="auto"/>
        </w:rPr>
      </w:pPr>
    </w:p>
    <w:p>
      <w:pPr>
        <w:ind w:left="900" w:right="180" w:hanging="446"/>
        <w:spacing w:after="0" w:line="256"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Selection and Reporting</w:t>
      </w:r>
      <w:r>
        <w:rPr>
          <w:rFonts w:ascii="Arial" w:cs="Arial" w:eastAsia="Arial" w:hAnsi="Arial"/>
          <w:sz w:val="18"/>
          <w:szCs w:val="18"/>
          <w:color w:val="auto"/>
        </w:rPr>
        <w:t xml:space="preserve"> - The Audit Committee shall be directly responsible for appointing, evaluating and, when necessary, terminating the independent auditors. The Audit Committee is also directly responsible for oversight of the independent auditor’s work, including the resolution of disagreements between Company management and the independent auditors regarding financial reporting. The independent auditors shall report directly to the Audit Committee.</w:t>
      </w:r>
    </w:p>
    <w:p>
      <w:pPr>
        <w:spacing w:after="0" w:line="62" w:lineRule="exact"/>
        <w:rPr>
          <w:rFonts w:ascii="Arial" w:cs="Arial" w:eastAsia="Arial" w:hAnsi="Arial"/>
          <w:sz w:val="18"/>
          <w:szCs w:val="18"/>
          <w:color w:val="auto"/>
        </w:rPr>
      </w:pPr>
    </w:p>
    <w:p>
      <w:pPr>
        <w:jc w:val="both"/>
        <w:ind w:left="900" w:right="10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 The Audit Committee shall take direct responsibility for setting compensation of the independent auditors. The Audit Committee is empowered, without further action by the Board of Directors, to cause the Company to pay the compensation of the independent auditor established by the Audit Committee.</w:t>
      </w:r>
    </w:p>
    <w:p>
      <w:pPr>
        <w:spacing w:after="0" w:line="59" w:lineRule="exact"/>
        <w:rPr>
          <w:rFonts w:ascii="Arial" w:cs="Arial" w:eastAsia="Arial" w:hAnsi="Arial"/>
          <w:sz w:val="18"/>
          <w:szCs w:val="18"/>
          <w:color w:val="auto"/>
        </w:rPr>
      </w:pPr>
    </w:p>
    <w:p>
      <w:pPr>
        <w:ind w:left="900" w:right="200" w:hanging="446"/>
        <w:spacing w:after="0" w:line="294"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Independence</w:t>
      </w:r>
      <w:r>
        <w:rPr>
          <w:rFonts w:ascii="Arial" w:cs="Arial" w:eastAsia="Arial" w:hAnsi="Arial"/>
          <w:sz w:val="16"/>
          <w:szCs w:val="16"/>
          <w:color w:val="auto"/>
        </w:rPr>
        <w:t xml:space="preserve"> - On a periodic but no less frequently than annual basis, the Audit Committee shall obtain from the independent auditors a formal written statement delineating all their relationships with the Company or professional services that may impact their objectivity and independence, including those required to be disclosed by the Public Company Accounting Oversight Board (the “PCAOB”). In addition, the Audit Committee shall review with the independent auditors the nature and scope of any disclosed relationships or professional services and any appropriate actions necessary to ensure the continuing independence of the auditors.</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Quality-Control Report</w:t>
      </w:r>
      <w:r>
        <w:rPr>
          <w:rFonts w:ascii="Arial" w:cs="Arial" w:eastAsia="Arial" w:hAnsi="Arial"/>
          <w:sz w:val="16"/>
          <w:szCs w:val="16"/>
          <w:color w:val="auto"/>
        </w:rPr>
        <w:t xml:space="preserve"> - At least annually, the Audit Committee shall obtain and review a report by the independent auditors describing:</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internal quality-control procedures at the independent auditor’s firm; and</w:t>
      </w:r>
    </w:p>
    <w:p>
      <w:pPr>
        <w:spacing w:after="0" w:line="90" w:lineRule="exact"/>
        <w:rPr>
          <w:rFonts w:ascii="Arial" w:cs="Arial" w:eastAsia="Arial" w:hAnsi="Arial"/>
          <w:sz w:val="18"/>
          <w:szCs w:val="18"/>
          <w:color w:val="auto"/>
        </w:rPr>
      </w:pPr>
    </w:p>
    <w:p>
      <w:pPr>
        <w:ind w:left="1480" w:hanging="446"/>
        <w:spacing w:after="0" w:line="306" w:lineRule="auto"/>
        <w:tabs>
          <w:tab w:leader="none" w:pos="1480" w:val="left"/>
        </w:tabs>
        <w:numPr>
          <w:ilvl w:val="2"/>
          <w:numId w:val="14"/>
        </w:numPr>
        <w:rPr>
          <w:rFonts w:ascii="Arial" w:cs="Arial" w:eastAsia="Arial" w:hAnsi="Arial"/>
          <w:sz w:val="16"/>
          <w:szCs w:val="16"/>
          <w:color w:val="auto"/>
        </w:rPr>
      </w:pPr>
      <w:r>
        <w:rPr>
          <w:rFonts w:ascii="Arial" w:cs="Arial" w:eastAsia="Arial" w:hAnsi="Arial"/>
          <w:sz w:val="16"/>
          <w:szCs w:val="16"/>
          <w:color w:val="auto"/>
        </w:rPr>
        <w:t>any material issues raised by the most recent internal quality-control review, or peer review, of the independent auditor’s firm, or by any inquiry or investigation by any governmental or professional authorities, within the preceding five years, relating to one or more independent audits carried out by the independent auditor’s firm, and any steps taken to deal with any such issues.</w:t>
      </w:r>
    </w:p>
    <w:p>
      <w:pPr>
        <w:spacing w:after="0" w:line="25" w:lineRule="exact"/>
        <w:rPr>
          <w:rFonts w:ascii="Arial" w:cs="Arial" w:eastAsia="Arial" w:hAnsi="Arial"/>
          <w:sz w:val="16"/>
          <w:szCs w:val="16"/>
          <w:color w:val="auto"/>
        </w:rPr>
      </w:pPr>
    </w:p>
    <w:p>
      <w:pPr>
        <w:ind w:left="900" w:right="58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Pre-approval of Services</w:t>
      </w:r>
      <w:r>
        <w:rPr>
          <w:rFonts w:ascii="Arial" w:cs="Arial" w:eastAsia="Arial" w:hAnsi="Arial"/>
          <w:sz w:val="18"/>
          <w:szCs w:val="18"/>
          <w:color w:val="auto"/>
        </w:rPr>
        <w:t xml:space="preserve"> - The Audit Committee shall pre-approve all audit services to be provided to the Company, whether provided by the principal auditor or other firms, and all other services (review,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27" w:name="page28"/>
    <w:bookmarkEnd w:id="27"/>
    <w:p>
      <w:pPr>
        <w:ind w:left="920"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attest and non-audit) to be provided to the Company by the independent auditor; provided, however, that de minimis non-audit services may instead be approved in accordance with applicable SEC rules. The Audit Committee shall cause the Company to comply with any applicable disclosure requirements regarding approval by the Audit Committee of any non-audit services to be performed by the independent auditor. Any decision of a subcommittee to pre-approve audit or non-audit services shall be presented to the full Audit Committee at its next scheduled meeting.</w:t>
      </w:r>
    </w:p>
    <w:p>
      <w:pPr>
        <w:spacing w:after="0" w:line="32" w:lineRule="exact"/>
        <w:rPr>
          <w:sz w:val="20"/>
          <w:szCs w:val="20"/>
          <w:color w:val="auto"/>
        </w:rPr>
      </w:pPr>
    </w:p>
    <w:p>
      <w:pPr>
        <w:jc w:val="both"/>
        <w:ind w:left="900" w:right="8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Review Scope of Services</w:t>
      </w:r>
      <w:r>
        <w:rPr>
          <w:rFonts w:ascii="Arial" w:cs="Arial" w:eastAsia="Arial" w:hAnsi="Arial"/>
          <w:sz w:val="18"/>
          <w:szCs w:val="18"/>
          <w:color w:val="auto"/>
        </w:rPr>
        <w:t xml:space="preserve"> - The Audit Committee shall meet with the independent auditors and financial management of the Company to review the scope of the proposed audit and quarterly reviews for the current year and the procedures to be utilized. This review should include an evaluation of the adequacy of the auditor’s staffing and compensation.</w:t>
      </w:r>
    </w:p>
    <w:p>
      <w:pPr>
        <w:spacing w:after="0" w:line="59" w:lineRule="exact"/>
        <w:rPr>
          <w:rFonts w:ascii="Arial" w:cs="Arial" w:eastAsia="Arial" w:hAnsi="Arial"/>
          <w:sz w:val="18"/>
          <w:szCs w:val="18"/>
          <w:color w:val="auto"/>
        </w:rPr>
      </w:pPr>
    </w:p>
    <w:p>
      <w:pPr>
        <w:ind w:left="900" w:right="280" w:hanging="446"/>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Discussion of Independent Auditors’ Comments and Recommendations</w:t>
      </w:r>
      <w:r>
        <w:rPr>
          <w:rFonts w:ascii="Arial" w:cs="Arial" w:eastAsia="Arial" w:hAnsi="Arial"/>
          <w:sz w:val="18"/>
          <w:szCs w:val="18"/>
          <w:color w:val="auto"/>
        </w:rPr>
        <w:t xml:space="preserve"> - The Audit Committee shall receive and consider the reports and other communications required to be made by the independent auditors (including matters addressed in PCAOB Auditing Standard No. 16, Communications with Audit Committee (“AS 16”)) and shall meet with the independent auditors to review their comments and recommendations with respect to:</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internal accounting controls;</w:t>
      </w:r>
    </w:p>
    <w:p>
      <w:pPr>
        <w:spacing w:after="0" w:line="90" w:lineRule="exact"/>
        <w:rPr>
          <w:rFonts w:ascii="Arial" w:cs="Arial" w:eastAsia="Arial" w:hAnsi="Arial"/>
          <w:sz w:val="18"/>
          <w:szCs w:val="18"/>
          <w:color w:val="auto"/>
        </w:rPr>
      </w:pPr>
    </w:p>
    <w:p>
      <w:pPr>
        <w:ind w:left="1480" w:right="160" w:hanging="446"/>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audit difficulties, including restrictions on the scope of the independent auditors’ activities or access to requested information or significant disagreements with management;</w:t>
      </w:r>
    </w:p>
    <w:p>
      <w:pPr>
        <w:spacing w:after="0" w:line="50" w:lineRule="exact"/>
        <w:rPr>
          <w:rFonts w:ascii="Arial" w:cs="Arial" w:eastAsia="Arial" w:hAnsi="Arial"/>
          <w:sz w:val="18"/>
          <w:szCs w:val="18"/>
          <w:color w:val="auto"/>
        </w:rPr>
      </w:pPr>
    </w:p>
    <w:p>
      <w:pPr>
        <w:ind w:left="1480" w:right="160" w:hanging="446"/>
        <w:spacing w:after="0" w:line="332" w:lineRule="auto"/>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analyses prepared by management and/or the independent auditor setting forth significant financial reporting issues and judgments made in connection with the preparation of the financial statements, including analyses of the effects of alternative GAAP methods;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effect of regulatory and accounting initiatives, as well as off balance sheet structures;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matters relating to the accounting procedures and records of the Company.</w:t>
      </w:r>
    </w:p>
    <w:p>
      <w:pPr>
        <w:spacing w:after="0" w:line="90"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Audit Committee shall also review with the independent auditors the consideration given by management to such and any corrective action taken by management with respect thereto.</w:t>
      </w:r>
    </w:p>
    <w:p>
      <w:pPr>
        <w:spacing w:after="0" w:line="51" w:lineRule="exact"/>
        <w:rPr>
          <w:sz w:val="20"/>
          <w:szCs w:val="20"/>
          <w:color w:val="auto"/>
        </w:rPr>
      </w:pPr>
    </w:p>
    <w:p>
      <w:pPr>
        <w:ind w:left="460" w:right="60" w:hanging="452"/>
        <w:spacing w:after="0" w:line="30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Interim Financial Information</w:t>
      </w:r>
      <w:r>
        <w:rPr>
          <w:rFonts w:ascii="Arial" w:cs="Arial" w:eastAsia="Arial" w:hAnsi="Arial"/>
          <w:sz w:val="16"/>
          <w:szCs w:val="16"/>
          <w:color w:val="auto"/>
        </w:rPr>
        <w:t xml:space="preserve"> - The Audit Committee shall direct the independent auditor to use its best efforts to perform all reviews of interim financial information prior to disclosure by the Company of such information and to discuss promptly with the Audit Committee and the CFO any matters identified in connection with the auditor’s review of interim financial information which are required to be discussed by applicable auditing standards.</w:t>
      </w:r>
    </w:p>
    <w:p>
      <w:pPr>
        <w:spacing w:after="0" w:line="2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Review of Financial Data and Disclosures</w:t>
      </w:r>
    </w:p>
    <w:p>
      <w:pPr>
        <w:spacing w:after="0" w:line="96" w:lineRule="exact"/>
        <w:rPr>
          <w:rFonts w:ascii="Arial" w:cs="Arial" w:eastAsia="Arial" w:hAnsi="Arial"/>
          <w:sz w:val="18"/>
          <w:szCs w:val="18"/>
          <w:color w:val="auto"/>
        </w:rPr>
      </w:pPr>
    </w:p>
    <w:p>
      <w:pPr>
        <w:ind w:left="900" w:right="20" w:hanging="446"/>
        <w:spacing w:after="0" w:line="255"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Review of Quarterly Reviewed and Annual Audited Financial Data</w:t>
      </w:r>
      <w:r>
        <w:rPr>
          <w:rFonts w:ascii="Arial" w:cs="Arial" w:eastAsia="Arial" w:hAnsi="Arial"/>
          <w:sz w:val="18"/>
          <w:szCs w:val="18"/>
          <w:color w:val="auto"/>
        </w:rPr>
        <w:t xml:space="preserve"> - The Audit Committee shall meet to review and discuss the financial data in the quarterly financial statements and annual report, including the Company’s specific disclosures under “Operating and Financial Review and Prospects”; any accompanying opinions of the independent auditors; and matters required to be discussed by applicable auditing standards (including AS 16) with the Company’s management and the independent auditors and report thereon to the Board of Directors prior to the release, by public filing or other public disclosure, of earnings.</w:t>
      </w:r>
    </w:p>
    <w:p>
      <w:pPr>
        <w:spacing w:after="0" w:line="61" w:lineRule="exact"/>
        <w:rPr>
          <w:rFonts w:ascii="Arial" w:cs="Arial" w:eastAsia="Arial" w:hAnsi="Arial"/>
          <w:sz w:val="18"/>
          <w:szCs w:val="18"/>
          <w:color w:val="auto"/>
        </w:rPr>
      </w:pPr>
    </w:p>
    <w:p>
      <w:pPr>
        <w:ind w:left="900" w:hanging="446"/>
        <w:spacing w:after="0" w:line="255"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Review of Auditor Reports</w:t>
      </w:r>
      <w:r>
        <w:rPr>
          <w:rFonts w:ascii="Arial" w:cs="Arial" w:eastAsia="Arial" w:hAnsi="Arial"/>
          <w:sz w:val="18"/>
          <w:szCs w:val="18"/>
          <w:color w:val="auto"/>
        </w:rPr>
        <w:t xml:space="preserve"> - The Audit Committee shall review and evaluate reports required to be made by the independent auditor pursuant to critical accounting policies and practices; alternative treatments of financial information within generally accepted accounting principles that have been discussed with Company management, ramifications of the use of such alternative disclosures and treatments, and the treatment preferred by the independent auditor; and other material written correspondence between Company management and the independent auditor, such as a management letter or schedule of unadjusted differences.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28" w:name="page29"/>
    <w:bookmarkEnd w:id="28"/>
    <w:p>
      <w:pPr>
        <w:ind w:left="892" w:right="20" w:hanging="446"/>
        <w:spacing w:after="0" w:line="259" w:lineRule="auto"/>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of Earnings Release and Other Financial Information</w:t>
      </w:r>
      <w:r>
        <w:rPr>
          <w:rFonts w:ascii="Arial" w:cs="Arial" w:eastAsia="Arial" w:hAnsi="Arial"/>
          <w:sz w:val="18"/>
          <w:szCs w:val="18"/>
          <w:color w:val="auto"/>
        </w:rPr>
        <w:t xml:space="preserve"> - The Audit Committee shall discuss generally the type and presentation of information to be disclosed in the Company’s earnings press releases, as well as in financial information and earnings guidance provided to analysts, rating agencies and others.</w:t>
      </w:r>
    </w:p>
    <w:p>
      <w:pPr>
        <w:spacing w:after="0" w:line="53" w:lineRule="exact"/>
        <w:rPr>
          <w:rFonts w:ascii="Arial" w:cs="Arial" w:eastAsia="Arial" w:hAnsi="Arial"/>
          <w:sz w:val="18"/>
          <w:szCs w:val="18"/>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Review of Internal Reports and Processes</w:t>
      </w:r>
    </w:p>
    <w:p>
      <w:pPr>
        <w:spacing w:after="0" w:line="96" w:lineRule="exact"/>
        <w:rPr>
          <w:rFonts w:ascii="Arial" w:cs="Arial" w:eastAsia="Arial" w:hAnsi="Arial"/>
          <w:sz w:val="18"/>
          <w:szCs w:val="18"/>
          <w:color w:val="auto"/>
        </w:rPr>
      </w:pPr>
    </w:p>
    <w:p>
      <w:pPr>
        <w:ind w:left="892" w:right="160" w:hanging="446"/>
        <w:spacing w:after="0" w:line="306" w:lineRule="auto"/>
        <w:tabs>
          <w:tab w:leader="none" w:pos="89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Review of Internal Audit Function</w:t>
      </w:r>
      <w:r>
        <w:rPr>
          <w:rFonts w:ascii="Arial" w:cs="Arial" w:eastAsia="Arial" w:hAnsi="Arial"/>
          <w:sz w:val="16"/>
          <w:szCs w:val="16"/>
          <w:color w:val="auto"/>
        </w:rPr>
        <w:t xml:space="preserve"> - The Audit Committee shall review and evaluate the activities and recommendations of the Company’s internal audit function and the responses of the Company to such recommendations, including the independence and authority of the function. The Audit Committee is responsible for reviewing the scope of the internal audit function, as well as, its staffing and compensation.</w:t>
      </w:r>
    </w:p>
    <w:p>
      <w:pPr>
        <w:spacing w:after="0" w:line="25" w:lineRule="exact"/>
        <w:rPr>
          <w:rFonts w:ascii="Arial" w:cs="Arial" w:eastAsia="Arial" w:hAnsi="Arial"/>
          <w:sz w:val="16"/>
          <w:szCs w:val="16"/>
          <w:color w:val="auto"/>
        </w:rPr>
      </w:pPr>
    </w:p>
    <w:p>
      <w:pPr>
        <w:ind w:left="892" w:right="80" w:hanging="446"/>
        <w:spacing w:after="0" w:line="256"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Oversight of Company’s Internal Control Processes</w:t>
      </w:r>
      <w:r>
        <w:rPr>
          <w:rFonts w:ascii="Arial" w:cs="Arial" w:eastAsia="Arial" w:hAnsi="Arial"/>
          <w:sz w:val="18"/>
          <w:szCs w:val="18"/>
          <w:color w:val="auto"/>
        </w:rPr>
        <w:t xml:space="preserve"> - The Audit Committee shall coordinate the Board of Director’s oversight of the Company’s significant internal control processes, including the process of preparing the interim and annual financial results; disclosure controls and procedures; internal audit function; and code of business conduct and ethics. The Audit Committee shall receive and review the reports of the CEO and CFO required by Rule 13a-14 of the Securities Exchange Act of 1934.</w:t>
      </w:r>
    </w:p>
    <w:p>
      <w:pPr>
        <w:spacing w:after="0" w:line="62" w:lineRule="exact"/>
        <w:rPr>
          <w:rFonts w:ascii="Arial" w:cs="Arial" w:eastAsia="Arial" w:hAnsi="Arial"/>
          <w:sz w:val="18"/>
          <w:szCs w:val="18"/>
          <w:color w:val="auto"/>
        </w:rPr>
      </w:pPr>
    </w:p>
    <w:p>
      <w:pPr>
        <w:ind w:left="892" w:right="680" w:hanging="446"/>
        <w:spacing w:after="0" w:line="268"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Succession Planning Process</w:t>
      </w:r>
      <w:r>
        <w:rPr>
          <w:rFonts w:ascii="Arial" w:cs="Arial" w:eastAsia="Arial" w:hAnsi="Arial"/>
          <w:sz w:val="18"/>
          <w:szCs w:val="18"/>
          <w:color w:val="auto"/>
        </w:rPr>
        <w:t xml:space="preserve"> - The Audit Committee shall review and evaluate the performance and the succession planning process for the Company’s finance and accounting personnel.</w:t>
      </w:r>
    </w:p>
    <w:p>
      <w:pPr>
        <w:spacing w:after="0" w:line="50" w:lineRule="exact"/>
        <w:rPr>
          <w:rFonts w:ascii="Arial" w:cs="Arial" w:eastAsia="Arial" w:hAnsi="Arial"/>
          <w:sz w:val="18"/>
          <w:szCs w:val="18"/>
          <w:color w:val="auto"/>
        </w:rPr>
      </w:pPr>
    </w:p>
    <w:p>
      <w:pPr>
        <w:ind w:left="892" w:right="160" w:hanging="446"/>
        <w:spacing w:after="0" w:line="298" w:lineRule="auto"/>
        <w:tabs>
          <w:tab w:leader="none" w:pos="89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Procedure for Complaints</w:t>
      </w:r>
      <w:r>
        <w:rPr>
          <w:rFonts w:ascii="Arial" w:cs="Arial" w:eastAsia="Arial" w:hAnsi="Arial"/>
          <w:sz w:val="16"/>
          <w:szCs w:val="16"/>
          <w:color w:val="auto"/>
        </w:rPr>
        <w:t xml:space="preserve"> - The Audit Committee shall establish procedures to provide for (i) receiving, tracking, retaining and treating complaints received by the Company regarding employee reports of conflicts in interest; unethical or illegal activities; or accounting, accounting controls, auditing matters and (ii) the confidential, anonymous submission by employees of the Company of concerns regarding such matters. The Audit Committee shall establish procedures for the reporting of such matters, when significant, to the Board of Directors.</w:t>
      </w:r>
    </w:p>
    <w:p>
      <w:pPr>
        <w:spacing w:after="0" w:line="31" w:lineRule="exact"/>
        <w:rPr>
          <w:rFonts w:ascii="Arial" w:cs="Arial" w:eastAsia="Arial" w:hAnsi="Arial"/>
          <w:sz w:val="16"/>
          <w:szCs w:val="16"/>
          <w:color w:val="auto"/>
        </w:rPr>
      </w:pPr>
    </w:p>
    <w:p>
      <w:pPr>
        <w:ind w:left="892" w:right="240" w:hanging="446"/>
        <w:spacing w:after="0" w:line="268"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Discussion with Company Counsel</w:t>
      </w:r>
      <w:r>
        <w:rPr>
          <w:rFonts w:ascii="Arial" w:cs="Arial" w:eastAsia="Arial" w:hAnsi="Arial"/>
          <w:sz w:val="18"/>
          <w:szCs w:val="18"/>
          <w:color w:val="auto"/>
        </w:rPr>
        <w:t xml:space="preserve"> - The Audit Committee shall periodically review legal, environmental, code of ethics, and related matters with the Company’s counsel.</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Hiring Policies</w:t>
      </w:r>
      <w:r>
        <w:rPr>
          <w:rFonts w:ascii="Arial" w:cs="Arial" w:eastAsia="Arial" w:hAnsi="Arial"/>
          <w:sz w:val="18"/>
          <w:szCs w:val="18"/>
          <w:color w:val="auto"/>
        </w:rPr>
        <w:t xml:space="preserve"> - The Audit Committee shall establish policies regarding the hiring of employees or former employees of the Company’s independent auditors.</w:t>
      </w:r>
    </w:p>
    <w:p>
      <w:pPr>
        <w:spacing w:after="0" w:line="50" w:lineRule="exact"/>
        <w:rPr>
          <w:rFonts w:ascii="Arial" w:cs="Arial" w:eastAsia="Arial" w:hAnsi="Arial"/>
          <w:sz w:val="18"/>
          <w:szCs w:val="18"/>
          <w:color w:val="auto"/>
        </w:rPr>
      </w:pPr>
    </w:p>
    <w:p>
      <w:pPr>
        <w:ind w:left="892" w:right="100" w:hanging="446"/>
        <w:spacing w:after="0" w:line="294" w:lineRule="auto"/>
        <w:tabs>
          <w:tab w:leader="none" w:pos="89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Enterprise Risk Management</w:t>
      </w:r>
      <w:r>
        <w:rPr>
          <w:rFonts w:ascii="Arial" w:cs="Arial" w:eastAsia="Arial" w:hAnsi="Arial"/>
          <w:sz w:val="16"/>
          <w:szCs w:val="16"/>
          <w:color w:val="auto"/>
        </w:rPr>
        <w:t xml:space="preserve"> - The Audit Committee shall review and discuss the Company’s policies and processes with respect to risk assessment and risk management, including guidelines and policies to govern the process by which the Company’s exposure to risk is handled. The Audit Committee should also discuss the Company’s major financial operational and compliance risk exposures and ensure the Company prudently conducts the risk management process with respect to such exposures. The Audit Committee shall report to the Board of Directors concerning the results of the risk assessment and risk management process.</w:t>
      </w:r>
    </w:p>
    <w:p>
      <w:pPr>
        <w:spacing w:after="0" w:line="34" w:lineRule="exact"/>
        <w:rPr>
          <w:rFonts w:ascii="Arial" w:cs="Arial" w:eastAsia="Arial" w:hAnsi="Arial"/>
          <w:sz w:val="16"/>
          <w:szCs w:val="16"/>
          <w:color w:val="auto"/>
        </w:rPr>
      </w:pPr>
    </w:p>
    <w:p>
      <w:pPr>
        <w:jc w:val="both"/>
        <w:ind w:left="892" w:right="260" w:hanging="446"/>
        <w:spacing w:after="0" w:line="306" w:lineRule="auto"/>
        <w:tabs>
          <w:tab w:leader="none" w:pos="89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xml:space="preserve"> - The Audit Committee shall review and approve the Company’s policies and procedures for reviewing and approving related party transactions (i.e., transactions within the scope of Item 7.B. of Form 20-F) and to the extent no other policy or procedure applies to a particular proposed related party transaction, the Audit Committee shall have the authority to review and approve such transaction.</w:t>
      </w:r>
    </w:p>
    <w:p>
      <w:pPr>
        <w:spacing w:after="0" w:line="19" w:lineRule="exact"/>
        <w:rPr>
          <w:rFonts w:ascii="Arial" w:cs="Arial" w:eastAsia="Arial" w:hAnsi="Arial"/>
          <w:sz w:val="16"/>
          <w:szCs w:val="16"/>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p>
    <w:p>
      <w:pPr>
        <w:spacing w:after="0" w:line="96" w:lineRule="exact"/>
        <w:rPr>
          <w:rFonts w:ascii="Arial" w:cs="Arial" w:eastAsia="Arial" w:hAnsi="Arial"/>
          <w:sz w:val="18"/>
          <w:szCs w:val="18"/>
          <w:color w:val="auto"/>
        </w:rPr>
      </w:pPr>
    </w:p>
    <w:p>
      <w:pPr>
        <w:ind w:left="892" w:right="340" w:hanging="446"/>
        <w:spacing w:after="0" w:line="332" w:lineRule="auto"/>
        <w:tabs>
          <w:tab w:leader="none" w:pos="89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Audit Committee Independence</w:t>
      </w:r>
      <w:r>
        <w:rPr>
          <w:rFonts w:ascii="Arial" w:cs="Arial" w:eastAsia="Arial" w:hAnsi="Arial"/>
          <w:sz w:val="16"/>
          <w:szCs w:val="16"/>
          <w:color w:val="auto"/>
        </w:rPr>
        <w:t xml:space="preserve"> - The Audit Committee shall make inquiry of each member of the Audit Committee to confirm compliance with independence requirements as defined by Section 301 of the Sarbanes-Oxley Act of 2002 to the extent applicable to the Company.</w:t>
      </w:r>
    </w:p>
    <w:p>
      <w:pPr>
        <w:spacing w:after="0" w:line="4" w:lineRule="exact"/>
        <w:rPr>
          <w:rFonts w:ascii="Arial" w:cs="Arial" w:eastAsia="Arial" w:hAnsi="Arial"/>
          <w:sz w:val="16"/>
          <w:szCs w:val="16"/>
          <w:color w:val="auto"/>
        </w:rPr>
      </w:pPr>
    </w:p>
    <w:p>
      <w:pPr>
        <w:ind w:left="892" w:right="420" w:hanging="446"/>
        <w:spacing w:after="0" w:line="332" w:lineRule="auto"/>
        <w:tabs>
          <w:tab w:leader="none" w:pos="89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Outside Consultants</w:t>
      </w:r>
      <w:r>
        <w:rPr>
          <w:rFonts w:ascii="Arial" w:cs="Arial" w:eastAsia="Arial" w:hAnsi="Arial"/>
          <w:sz w:val="16"/>
          <w:szCs w:val="16"/>
          <w:color w:val="auto"/>
        </w:rPr>
        <w:t xml:space="preserve"> - The Audit Committee shall retain independent counsel or consultants if necessary to carry out responsibilities. The Audit Committee is empowered, without further action by the Board of Directors, to cause the Company to pay the compensation of such advisors.</w:t>
      </w:r>
    </w:p>
    <w:p>
      <w:pPr>
        <w:spacing w:after="0" w:line="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92"/>
          </w:cols>
          <w:pgMar w:left="248" w:top="280" w:right="259" w:bottom="1440" w:gutter="0" w:footer="0" w:header="0"/>
        </w:sectPr>
      </w:pPr>
    </w:p>
    <w:bookmarkStart w:id="29" w:name="page30"/>
    <w:bookmarkEnd w:id="29"/>
    <w:p>
      <w:pPr>
        <w:ind w:left="892" w:right="200" w:hanging="446"/>
        <w:spacing w:after="0" w:line="332" w:lineRule="auto"/>
        <w:tabs>
          <w:tab w:leader="none" w:pos="892"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Expenses</w:t>
      </w:r>
      <w:r>
        <w:rPr>
          <w:rFonts w:ascii="Arial" w:cs="Arial" w:eastAsia="Arial" w:hAnsi="Arial"/>
          <w:sz w:val="16"/>
          <w:szCs w:val="16"/>
          <w:color w:val="auto"/>
        </w:rPr>
        <w:t xml:space="preserve"> - The Audit Committee is empowered, without further action by the Board of Directors, to cause the Company to pay the ordinary administrative expenses of the Audit Committee that are necessary or appropriate to carry out its duties.</w:t>
      </w:r>
    </w:p>
    <w:p>
      <w:pPr>
        <w:spacing w:after="0" w:line="4" w:lineRule="exact"/>
        <w:rPr>
          <w:rFonts w:ascii="Arial" w:cs="Arial" w:eastAsia="Arial" w:hAnsi="Arial"/>
          <w:sz w:val="16"/>
          <w:szCs w:val="16"/>
          <w:color w:val="auto"/>
        </w:rPr>
      </w:pPr>
    </w:p>
    <w:p>
      <w:pPr>
        <w:ind w:left="892" w:right="20" w:hanging="446"/>
        <w:spacing w:after="0" w:line="259" w:lineRule="auto"/>
        <w:tabs>
          <w:tab w:leader="none" w:pos="89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Report to Board of Directors</w:t>
      </w:r>
      <w:r>
        <w:rPr>
          <w:rFonts w:ascii="Arial" w:cs="Arial" w:eastAsia="Arial" w:hAnsi="Arial"/>
          <w:sz w:val="18"/>
          <w:szCs w:val="18"/>
          <w:color w:val="auto"/>
        </w:rPr>
        <w:t xml:space="preserve"> - The Audit Committee shall report, no less frequently than annually or more frequently as circumstances require, to the Board of Directors concerning the Audit Committee’s actions since the previous report and the Audit Committee’s agenda for the ensuing year, which report shall contain recommendations as appropriate.</w:t>
      </w:r>
    </w:p>
    <w:p>
      <w:pPr>
        <w:spacing w:after="0" w:line="59"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Audit Committee Report</w:t>
      </w:r>
      <w:r>
        <w:rPr>
          <w:rFonts w:ascii="Arial" w:cs="Arial" w:eastAsia="Arial" w:hAnsi="Arial"/>
          <w:sz w:val="18"/>
          <w:szCs w:val="18"/>
          <w:color w:val="auto"/>
        </w:rPr>
        <w:t xml:space="preserve"> - The Audit Committee shall prepare an annual committee report as necessary or appropriate under the rules and regulations of the SEC.</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Annual Self-Evaluation</w:t>
      </w:r>
      <w:r>
        <w:rPr>
          <w:rFonts w:ascii="Arial" w:cs="Arial" w:eastAsia="Arial" w:hAnsi="Arial"/>
          <w:sz w:val="18"/>
          <w:szCs w:val="18"/>
          <w:color w:val="auto"/>
        </w:rPr>
        <w:t xml:space="preserve"> - At least annually, the Audit Committee shall evaluate its own performance.</w:t>
      </w:r>
    </w:p>
    <w:p>
      <w:pPr>
        <w:spacing w:after="0" w:line="84" w:lineRule="exact"/>
        <w:rPr>
          <w:rFonts w:ascii="Arial" w:cs="Arial" w:eastAsia="Arial" w:hAnsi="Arial"/>
          <w:sz w:val="18"/>
          <w:szCs w:val="18"/>
          <w:color w:val="auto"/>
        </w:rPr>
      </w:pPr>
    </w:p>
    <w:p>
      <w:pPr>
        <w:ind w:left="452" w:hanging="452"/>
        <w:spacing w:after="0"/>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Responsibilities</w:t>
      </w:r>
    </w:p>
    <w:p>
      <w:pPr>
        <w:spacing w:after="0" w:line="96" w:lineRule="exact"/>
        <w:rPr>
          <w:rFonts w:ascii="Arial" w:cs="Arial" w:eastAsia="Arial" w:hAnsi="Arial"/>
          <w:sz w:val="18"/>
          <w:szCs w:val="18"/>
          <w:color w:val="auto"/>
        </w:rPr>
      </w:pPr>
    </w:p>
    <w:p>
      <w:pPr>
        <w:ind w:left="892" w:right="240" w:hanging="446"/>
        <w:spacing w:after="0" w:line="259" w:lineRule="auto"/>
        <w:tabs>
          <w:tab w:leader="none" w:pos="892"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Review of Other Outside Reports</w:t>
      </w:r>
      <w:r>
        <w:rPr>
          <w:rFonts w:ascii="Arial" w:cs="Arial" w:eastAsia="Arial" w:hAnsi="Arial"/>
          <w:sz w:val="18"/>
          <w:szCs w:val="18"/>
          <w:color w:val="auto"/>
        </w:rPr>
        <w:t xml:space="preserve"> - The Audit Committee shall review reports received from regulators and other legal and regulatory matters that have been brought to the attention of the Audit Committee and that may have a material effect on the financial statements or related company compliance policies.</w:t>
      </w:r>
    </w:p>
    <w:p>
      <w:pPr>
        <w:spacing w:after="0" w:line="59" w:lineRule="exact"/>
        <w:rPr>
          <w:rFonts w:ascii="Arial" w:cs="Arial" w:eastAsia="Arial" w:hAnsi="Arial"/>
          <w:sz w:val="18"/>
          <w:szCs w:val="18"/>
          <w:color w:val="auto"/>
        </w:rPr>
      </w:pPr>
    </w:p>
    <w:p>
      <w:pPr>
        <w:ind w:left="892" w:right="340" w:hanging="446"/>
        <w:spacing w:after="0" w:line="332" w:lineRule="auto"/>
        <w:tabs>
          <w:tab w:leader="none" w:pos="892"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Other investigations</w:t>
      </w:r>
      <w:r>
        <w:rPr>
          <w:rFonts w:ascii="Arial" w:cs="Arial" w:eastAsia="Arial" w:hAnsi="Arial"/>
          <w:sz w:val="16"/>
          <w:szCs w:val="16"/>
          <w:color w:val="auto"/>
        </w:rPr>
        <w:t xml:space="preserve"> - The Audit Committee shall conduct or authorize investigations into any matter brought to the Audit Committee’s attention within the scope of its duties, including anything as may be referred to the Audit Committee by the Board of Directors.</w:t>
      </w:r>
    </w:p>
    <w:p>
      <w:pPr>
        <w:spacing w:after="0" w:line="4" w:lineRule="exact"/>
        <w:rPr>
          <w:rFonts w:ascii="Arial" w:cs="Arial" w:eastAsia="Arial" w:hAnsi="Arial"/>
          <w:sz w:val="16"/>
          <w:szCs w:val="16"/>
          <w:color w:val="auto"/>
        </w:rPr>
      </w:pPr>
    </w:p>
    <w:p>
      <w:pPr>
        <w:ind w:left="892" w:right="260" w:hanging="446"/>
        <w:spacing w:after="0" w:line="268" w:lineRule="auto"/>
        <w:tabs>
          <w:tab w:leader="none" w:pos="892"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 xml:space="preserve"> - The Audit Committee shall consider such other matters in relation to the financial affairs of the Company as the Audit Committee may, in its discretion, determine to be advisable.</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Additional Powers</w:t>
      </w:r>
      <w:r>
        <w:rPr>
          <w:rFonts w:ascii="Arial" w:cs="Arial" w:eastAsia="Arial" w:hAnsi="Arial"/>
          <w:sz w:val="16"/>
          <w:szCs w:val="16"/>
          <w:color w:val="auto"/>
        </w:rPr>
        <w:t xml:space="preserve"> - The Audit Committee shall have such other duties as may be delegated from time to time by the Board of Directors.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92"/>
          </w:cols>
          <w:pgMar w:left="248" w:top="280"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CATEGORICAL STANDARDS</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to applying the requirements under the NASDAQ rules, the Board has adopted guidelines to assist it in determining whether a director has a relationship that would interfere with the exercise of independent judgment in carrying out the responsibilities of a director. Under these guidelines, a director will be considered to have such a relationship if during the last three years prior to the independence determination date:</w:t>
      </w:r>
    </w:p>
    <w:p>
      <w:pPr>
        <w:spacing w:after="0" w:line="26" w:lineRule="exact"/>
        <w:rPr>
          <w:sz w:val="20"/>
          <w:szCs w:val="20"/>
          <w:color w:val="auto"/>
        </w:rPr>
      </w:pPr>
    </w:p>
    <w:p>
      <w:pPr>
        <w:ind w:left="90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Charitable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director, or an immediate family member of the director, has served as an executive officer of a charitable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receives payments from the Company in an amount which, in any single fiscal year since the determination date, exceeds the greater of $200,000, or 5% of such charitable organization’s revenues;</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The director or an immediate family member of the director has served, as an</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another company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revenues;</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For purposes of the above standards: (i)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includes Amdocs Limited and any parent or subsidiary that would be required under U.S. generally accepted accounting principles to prepare financial statements on a consolidated basis; and (ii) </w:t>
      </w:r>
      <w:r>
        <w:rPr>
          <w:rFonts w:ascii="Arial" w:cs="Arial" w:eastAsia="Arial" w:hAnsi="Arial"/>
          <w:sz w:val="16"/>
          <w:szCs w:val="16"/>
          <w:b w:val="1"/>
          <w:bCs w:val="1"/>
          <w:i w:val="1"/>
          <w:iCs w:val="1"/>
          <w:color w:val="auto"/>
        </w:rPr>
        <w:t>“IMMEDIATE FAMILY MEMBER”</w:t>
      </w:r>
      <w:r>
        <w:rPr>
          <w:rFonts w:ascii="Arial" w:cs="Arial" w:eastAsia="Arial" w:hAnsi="Arial"/>
          <w:sz w:val="16"/>
          <w:szCs w:val="16"/>
          <w:color w:val="auto"/>
        </w:rPr>
        <w:t xml:space="preserve"> includes a person’s spouse, parents, children, and siblings, whether by blood, marriage, or adoption, or anyone residing in such person’s home.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1998 STOCK OPTION AND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PROPOSED TO BE AMENDED ON JANUARY 28, 2015</w:t>
      </w:r>
    </w:p>
    <w:p>
      <w:pPr>
        <w:spacing w:after="0" w:line="20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Purpose; Type of Awards; Construction</w:t>
      </w:r>
    </w:p>
    <w:p>
      <w:pPr>
        <w:spacing w:after="0" w:line="90" w:lineRule="exact"/>
        <w:rPr>
          <w:rFonts w:ascii="Arial" w:cs="Arial" w:eastAsia="Arial" w:hAnsi="Arial"/>
          <w:sz w:val="18"/>
          <w:szCs w:val="18"/>
          <w:color w:val="auto"/>
        </w:rPr>
      </w:pPr>
    </w:p>
    <w:p>
      <w:pPr>
        <w:ind w:left="460" w:right="20"/>
        <w:spacing w:after="0" w:line="288" w:lineRule="auto"/>
        <w:rPr>
          <w:rFonts w:ascii="Arial" w:cs="Arial" w:eastAsia="Arial" w:hAnsi="Arial"/>
          <w:sz w:val="18"/>
          <w:szCs w:val="18"/>
          <w:color w:val="auto"/>
        </w:rPr>
      </w:pPr>
      <w:r>
        <w:rPr>
          <w:rFonts w:ascii="Arial" w:cs="Arial" w:eastAsia="Arial" w:hAnsi="Arial"/>
          <w:sz w:val="16"/>
          <w:szCs w:val="16"/>
          <w:color w:val="auto"/>
        </w:rPr>
        <w:t>The purpose of the Amdocs Limited 1998 Stock Option and Incentive Plan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37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As used in this Plan, the following words and phrases shall have the meanings indicated: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“Ordinary Shares” shall mean shares of ordinary shares, par value £0.01 per share, of the Company.</w:t>
      </w:r>
    </w:p>
    <w:p>
      <w:pPr>
        <w:spacing w:after="0" w:line="90" w:lineRule="exact"/>
        <w:rPr>
          <w:rFonts w:ascii="Arial" w:cs="Arial" w:eastAsia="Arial" w:hAnsi="Arial"/>
          <w:sz w:val="18"/>
          <w:szCs w:val="18"/>
          <w:color w:val="auto"/>
        </w:rPr>
      </w:pPr>
    </w:p>
    <w:p>
      <w:pPr>
        <w:jc w:val="both"/>
        <w:ind w:left="900" w:right="50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59" w:lineRule="exact"/>
        <w:rPr>
          <w:rFonts w:ascii="Arial" w:cs="Arial" w:eastAsia="Arial" w:hAnsi="Arial"/>
          <w:sz w:val="18"/>
          <w:szCs w:val="18"/>
          <w:color w:val="auto"/>
        </w:rPr>
      </w:pPr>
    </w:p>
    <w:p>
      <w:pPr>
        <w:ind w:left="900" w:right="20" w:hanging="446"/>
        <w:spacing w:after="0" w:line="302" w:lineRule="auto"/>
        <w:tabs>
          <w:tab w:leader="none" w:pos="900" w:val="left"/>
        </w:tabs>
        <w:numPr>
          <w:ilvl w:val="1"/>
          <w:numId w:val="23"/>
        </w:numPr>
        <w:rPr>
          <w:rFonts w:ascii="Arial" w:cs="Arial" w:eastAsia="Arial" w:hAnsi="Arial"/>
          <w:sz w:val="15"/>
          <w:szCs w:val="15"/>
          <w:color w:val="auto"/>
        </w:rPr>
      </w:pPr>
      <w:r>
        <w:rPr>
          <w:rFonts w:ascii="Arial" w:cs="Arial" w:eastAsia="Arial" w:hAnsi="Arial"/>
          <w:sz w:val="15"/>
          <w:szCs w:val="15"/>
          <w:color w:val="auto"/>
        </w:rPr>
        <w:t>“Fair Market Value” per share as of a particular date shall mean (i) if the shares of Ordinary Shares are not then listed on a national securities exchange or traded in an over-the-counter market, such value as the Committee, in its sole discretion, shall determine; or (ii) if the shares of Ordinary Shares are then traded on a national securities exchange the closing sales price per share of Ordinary Shares on the national securities exchange, on which the Ordinary Shares are principally traded, for the last preceding date on which there was a sale of such Ordinary Shares on such exchange, or</w:t>
      </w:r>
    </w:p>
    <w:p>
      <w:pPr>
        <w:spacing w:after="0" w:line="2" w:lineRule="exact"/>
        <w:rPr>
          <w:rFonts w:ascii="Arial" w:cs="Arial" w:eastAsia="Arial" w:hAnsi="Arial"/>
          <w:sz w:val="15"/>
          <w:szCs w:val="15"/>
          <w:color w:val="auto"/>
        </w:rPr>
      </w:pPr>
    </w:p>
    <w:p>
      <w:pPr>
        <w:ind w:left="900" w:right="220" w:hanging="1"/>
        <w:spacing w:after="0" w:line="352" w:lineRule="auto"/>
        <w:tabs>
          <w:tab w:leader="none" w:pos="1207" w:val="left"/>
        </w:tabs>
        <w:numPr>
          <w:ilvl w:val="2"/>
          <w:numId w:val="23"/>
        </w:numPr>
        <w:rPr>
          <w:rFonts w:ascii="Arial" w:cs="Arial" w:eastAsia="Arial" w:hAnsi="Arial"/>
          <w:sz w:val="15"/>
          <w:szCs w:val="15"/>
          <w:color w:val="auto"/>
        </w:rPr>
      </w:pPr>
      <w:r>
        <w:rPr>
          <w:rFonts w:ascii="Arial" w:cs="Arial" w:eastAsia="Arial" w:hAnsi="Arial"/>
          <w:sz w:val="15"/>
          <w:szCs w:val="15"/>
          <w:color w:val="auto"/>
        </w:rPr>
        <w:t>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ind w:left="900" w:right="6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“Parent” shall mean any company (other than the Company)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w:t>
      </w:r>
    </w:p>
    <w:p>
      <w:pPr>
        <w:spacing w:after="0" w:line="59"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“Subsidiary” shall mean any company (other than the Company) in an unbroken chain of companies beginning with the Company if, at the time of granting an award, each of the companies other than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32" w:name="page33"/>
    <w:bookmarkEnd w:id="32"/>
    <w:p>
      <w:pPr>
        <w:ind w:left="912"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last company in the unbroken chain owns stock possessing fifty percent (50%) or more of the total combined voting power of all classes of stock in one of the other companies in such chain.</w:t>
      </w:r>
    </w:p>
    <w:p>
      <w:pPr>
        <w:spacing w:after="0" w:line="51" w:lineRule="exact"/>
        <w:rPr>
          <w:sz w:val="20"/>
          <w:szCs w:val="20"/>
          <w:color w:val="auto"/>
        </w:rPr>
      </w:pPr>
    </w:p>
    <w:p>
      <w:pPr>
        <w:ind w:left="892" w:right="160" w:hanging="446"/>
        <w:spacing w:after="0" w:line="370" w:lineRule="auto"/>
        <w:tabs>
          <w:tab w:leader="none" w:pos="892" w:val="left"/>
        </w:tabs>
        <w:numPr>
          <w:ilvl w:val="1"/>
          <w:numId w:val="24"/>
        </w:numPr>
        <w:rPr>
          <w:rFonts w:ascii="Arial" w:cs="Arial" w:eastAsia="Arial" w:hAnsi="Arial"/>
          <w:sz w:val="15"/>
          <w:szCs w:val="15"/>
          <w:color w:val="auto"/>
        </w:rPr>
      </w:pPr>
      <w:r>
        <w:rPr>
          <w:rFonts w:ascii="Arial" w:cs="Arial" w:eastAsia="Arial" w:hAnsi="Arial"/>
          <w:sz w:val="15"/>
          <w:szCs w:val="15"/>
          <w:color w:val="auto"/>
        </w:rPr>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102" w:lineRule="exact"/>
        <w:rPr>
          <w:rFonts w:ascii="Arial" w:cs="Arial" w:eastAsia="Arial" w:hAnsi="Arial"/>
          <w:sz w:val="15"/>
          <w:szCs w:val="15"/>
          <w:color w:val="auto"/>
        </w:rPr>
      </w:pPr>
    </w:p>
    <w:p>
      <w:pPr>
        <w:ind w:left="452" w:hanging="452"/>
        <w:spacing w:after="0"/>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Administration</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Plan shall be administered by a committee (the “Committee”) established by the Board of Directors of the Company (the “Board”).</w:t>
      </w:r>
    </w:p>
    <w:p>
      <w:pPr>
        <w:spacing w:after="0" w:line="90" w:lineRule="exact"/>
        <w:rPr>
          <w:rFonts w:ascii="Arial" w:cs="Arial" w:eastAsia="Arial" w:hAnsi="Arial"/>
          <w:sz w:val="18"/>
          <w:szCs w:val="18"/>
          <w:color w:val="auto"/>
        </w:rPr>
      </w:pPr>
    </w:p>
    <w:p>
      <w:pPr>
        <w:ind w:left="452" w:right="60"/>
        <w:spacing w:after="0" w:line="287" w:lineRule="auto"/>
        <w:rPr>
          <w:rFonts w:ascii="Arial" w:cs="Arial" w:eastAsia="Arial" w:hAnsi="Arial"/>
          <w:sz w:val="18"/>
          <w:szCs w:val="18"/>
          <w:color w:val="auto"/>
        </w:rPr>
      </w:pPr>
      <w:r>
        <w:rPr>
          <w:rFonts w:ascii="Arial" w:cs="Arial" w:eastAsia="Arial" w:hAnsi="Arial"/>
          <w:sz w:val="16"/>
          <w:szCs w:val="16"/>
          <w:color w:val="auto"/>
        </w:rPr>
        <w:t>The Committee shall have the authority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or Restricted Stock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 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41" w:lineRule="exact"/>
        <w:rPr>
          <w:rFonts w:ascii="Arial" w:cs="Arial" w:eastAsia="Arial" w:hAnsi="Arial"/>
          <w:sz w:val="18"/>
          <w:szCs w:val="18"/>
          <w:color w:val="auto"/>
        </w:rPr>
      </w:pPr>
    </w:p>
    <w:p>
      <w:pPr>
        <w:ind w:left="452" w:right="40"/>
        <w:spacing w:after="0" w:line="256" w:lineRule="auto"/>
        <w:rPr>
          <w:rFonts w:ascii="Arial" w:cs="Arial" w:eastAsia="Arial" w:hAnsi="Arial"/>
          <w:sz w:val="18"/>
          <w:szCs w:val="18"/>
          <w:color w:val="auto"/>
        </w:rPr>
      </w:pPr>
      <w:r>
        <w:rPr>
          <w:rFonts w:ascii="Arial" w:cs="Arial" w:eastAsia="Arial" w:hAnsi="Arial"/>
          <w:sz w:val="18"/>
          <w:szCs w:val="18"/>
          <w:color w:val="auto"/>
        </w:rPr>
        <w:t>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62" w:lineRule="exact"/>
        <w:rPr>
          <w:rFonts w:ascii="Arial" w:cs="Arial" w:eastAsia="Arial" w:hAnsi="Arial"/>
          <w:sz w:val="18"/>
          <w:szCs w:val="18"/>
          <w:color w:val="auto"/>
        </w:rPr>
      </w:pPr>
    </w:p>
    <w:p>
      <w:pPr>
        <w:ind w:left="452" w:right="60"/>
        <w:spacing w:after="0" w:line="268" w:lineRule="auto"/>
        <w:rPr>
          <w:rFonts w:ascii="Arial" w:cs="Arial" w:eastAsia="Arial" w:hAnsi="Arial"/>
          <w:sz w:val="18"/>
          <w:szCs w:val="18"/>
          <w:color w:val="auto"/>
        </w:rPr>
      </w:pPr>
      <w:r>
        <w:rPr>
          <w:rFonts w:ascii="Arial" w:cs="Arial" w:eastAsia="Arial" w:hAnsi="Arial"/>
          <w:sz w:val="18"/>
          <w:szCs w:val="18"/>
          <w:color w:val="auto"/>
        </w:rPr>
        <w:t>The Board shall fill all vacancies, however caused, in the Committee. The Board may from time to time appoint additional members to the Committee, and may at any time remove one or more Committee members and substitute others.</w:t>
      </w:r>
    </w:p>
    <w:p>
      <w:pPr>
        <w:spacing w:after="0" w:line="50" w:lineRule="exact"/>
        <w:rPr>
          <w:rFonts w:ascii="Arial" w:cs="Arial" w:eastAsia="Arial" w:hAnsi="Arial"/>
          <w:sz w:val="18"/>
          <w:szCs w:val="18"/>
          <w:color w:val="auto"/>
        </w:rPr>
      </w:pPr>
    </w:p>
    <w:p>
      <w:pPr>
        <w:ind w:left="452" w:right="500"/>
        <w:spacing w:after="0" w:line="268" w:lineRule="auto"/>
        <w:rPr>
          <w:rFonts w:ascii="Arial" w:cs="Arial" w:eastAsia="Arial" w:hAnsi="Arial"/>
          <w:sz w:val="18"/>
          <w:szCs w:val="18"/>
          <w:color w:val="auto"/>
        </w:rPr>
      </w:pPr>
      <w:r>
        <w:rPr>
          <w:rFonts w:ascii="Arial" w:cs="Arial" w:eastAsia="Arial" w:hAnsi="Arial"/>
          <w:sz w:val="18"/>
          <w:szCs w:val="18"/>
          <w:color w:val="auto"/>
        </w:rPr>
        <w:t>No member of the Board or Committee shall be liable for any action taken or determination made in good faith with respect to the Plan or any award granted hereunder.</w:t>
      </w:r>
    </w:p>
    <w:p>
      <w:pPr>
        <w:spacing w:after="0" w:line="172" w:lineRule="exact"/>
        <w:rPr>
          <w:rFonts w:ascii="Arial" w:cs="Arial" w:eastAsia="Arial" w:hAnsi="Arial"/>
          <w:sz w:val="18"/>
          <w:szCs w:val="18"/>
          <w:color w:val="auto"/>
        </w:rPr>
      </w:pPr>
    </w:p>
    <w:p>
      <w:pPr>
        <w:ind w:left="452" w:hanging="452"/>
        <w:spacing w:after="0"/>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Eligibility</w:t>
      </w:r>
    </w:p>
    <w:p>
      <w:pPr>
        <w:spacing w:after="0" w:line="90" w:lineRule="exact"/>
        <w:rPr>
          <w:rFonts w:ascii="Arial" w:cs="Arial" w:eastAsia="Arial" w:hAnsi="Arial"/>
          <w:sz w:val="18"/>
          <w:szCs w:val="18"/>
          <w:color w:val="auto"/>
        </w:rPr>
      </w:pPr>
    </w:p>
    <w:p>
      <w:pPr>
        <w:ind w:left="452"/>
        <w:spacing w:after="0" w:line="256" w:lineRule="auto"/>
        <w:rPr>
          <w:rFonts w:ascii="Arial" w:cs="Arial" w:eastAsia="Arial" w:hAnsi="Arial"/>
          <w:sz w:val="18"/>
          <w:szCs w:val="18"/>
          <w:color w:val="auto"/>
        </w:rPr>
      </w:pPr>
      <w:r>
        <w:rPr>
          <w:rFonts w:ascii="Arial" w:cs="Arial" w:eastAsia="Arial" w:hAnsi="Arial"/>
          <w:sz w:val="18"/>
          <w:szCs w:val="18"/>
          <w:color w:val="auto"/>
        </w:rPr>
        <w:t>Officers, Directors, other employees and consultants of the Company or of any Subsidiary or Parent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183" w:lineRule="exact"/>
        <w:rPr>
          <w:rFonts w:ascii="Arial" w:cs="Arial" w:eastAsia="Arial" w:hAnsi="Arial"/>
          <w:sz w:val="18"/>
          <w:szCs w:val="18"/>
          <w:color w:val="auto"/>
        </w:rPr>
      </w:pPr>
    </w:p>
    <w:p>
      <w:pPr>
        <w:ind w:left="452" w:hanging="452"/>
        <w:spacing w:after="0"/>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Ordinary Shares</w:t>
      </w:r>
    </w:p>
    <w:p>
      <w:pPr>
        <w:spacing w:after="0" w:line="90" w:lineRule="exact"/>
        <w:rPr>
          <w:rFonts w:ascii="Arial" w:cs="Arial" w:eastAsia="Arial" w:hAnsi="Arial"/>
          <w:sz w:val="18"/>
          <w:szCs w:val="18"/>
          <w:color w:val="auto"/>
        </w:rPr>
      </w:pPr>
    </w:p>
    <w:p>
      <w:pPr>
        <w:ind w:left="452" w:right="580"/>
        <w:spacing w:after="0" w:line="332" w:lineRule="auto"/>
        <w:rPr>
          <w:rFonts w:ascii="Arial" w:cs="Arial" w:eastAsia="Arial" w:hAnsi="Arial"/>
          <w:sz w:val="18"/>
          <w:szCs w:val="18"/>
          <w:color w:val="auto"/>
        </w:rPr>
      </w:pPr>
      <w:r>
        <w:rPr>
          <w:rFonts w:ascii="Arial" w:cs="Arial" w:eastAsia="Arial" w:hAnsi="Arial"/>
          <w:sz w:val="16"/>
          <w:szCs w:val="16"/>
          <w:color w:val="auto"/>
        </w:rPr>
        <w:t>The maximum number of Ordinary Shares reserved for grant of awards under the Plan shall be 62,300,000. Such shares may, in whole or in part, be authorized but unissued shares. The foregoing numbers of shares may be increased or decreased by the events set forth in Section 10 hereof.</w:t>
      </w:r>
    </w:p>
    <w:p>
      <w:pPr>
        <w:spacing w:after="0" w:line="4" w:lineRule="exact"/>
        <w:rPr>
          <w:rFonts w:ascii="Arial" w:cs="Arial" w:eastAsia="Arial" w:hAnsi="Arial"/>
          <w:sz w:val="18"/>
          <w:szCs w:val="18"/>
          <w:color w:val="auto"/>
        </w:rPr>
      </w:pPr>
    </w:p>
    <w:p>
      <w:pPr>
        <w:ind w:left="452" w:right="320"/>
        <w:spacing w:after="0" w:line="259" w:lineRule="auto"/>
        <w:rPr>
          <w:rFonts w:ascii="Arial" w:cs="Arial" w:eastAsia="Arial" w:hAnsi="Arial"/>
          <w:sz w:val="18"/>
          <w:szCs w:val="18"/>
          <w:color w:val="auto"/>
        </w:rPr>
      </w:pPr>
      <w:r>
        <w:rPr>
          <w:rFonts w:ascii="Arial" w:cs="Arial" w:eastAsia="Arial" w:hAnsi="Arial"/>
          <w:sz w:val="18"/>
          <w:szCs w:val="18"/>
          <w:color w:val="auto"/>
        </w:rPr>
        <w:t>If any outstanding award under the Plan should, for any reason expire, be canceled or be terminated without having been exercised in full, the shares of Ordinary Shares allocable to the unexercised, canceled or terminated portion of such award shall (unless the Plan shall have been terminated) become available for</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12"/>
          </w:cols>
          <w:pgMar w:left="248" w:top="280" w:right="239" w:bottom="1440" w:gutter="0" w:footer="0" w:header="0"/>
        </w:sectPr>
      </w:pPr>
    </w:p>
    <w:bookmarkStart w:id="33" w:name="page34"/>
    <w:bookmarkEnd w:id="33"/>
    <w:p>
      <w:pPr>
        <w:ind w:left="452"/>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subsequent grants of awards under the Plan; provided that an award under the plan may not again be made available for issuance under the plan if such Ordinary Shares are: (i) Ordinary Shares that were subject to stock-settled stock appreciation rights and were not issued upon the net settlement or net exercise of such stock appreciation rights, (ii) Ordinary Shares used to pay the Option Price, (iii) Ordinary Shares delivered to or withheld by the Company to pay the withholding taxes related to an award, or (iv) Ordinary Shares repurchased on the open market with proceeds of an Option exercise.</w:t>
      </w:r>
    </w:p>
    <w:p>
      <w:pPr>
        <w:spacing w:after="0" w:line="153" w:lineRule="exact"/>
        <w:rPr>
          <w:sz w:val="20"/>
          <w:szCs w:val="20"/>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Terms and Conditions of Options</w:t>
      </w:r>
    </w:p>
    <w:p>
      <w:pPr>
        <w:spacing w:after="0" w:line="90" w:lineRule="exact"/>
        <w:rPr>
          <w:rFonts w:ascii="Arial" w:cs="Arial" w:eastAsia="Arial" w:hAnsi="Arial"/>
          <w:sz w:val="18"/>
          <w:szCs w:val="18"/>
          <w:color w:val="auto"/>
        </w:rPr>
      </w:pPr>
    </w:p>
    <w:p>
      <w:pPr>
        <w:ind w:left="452" w:right="140"/>
        <w:spacing w:after="0" w:line="259" w:lineRule="auto"/>
        <w:rPr>
          <w:rFonts w:ascii="Arial" w:cs="Arial" w:eastAsia="Arial" w:hAnsi="Arial"/>
          <w:sz w:val="18"/>
          <w:szCs w:val="18"/>
          <w:color w:val="auto"/>
        </w:rPr>
      </w:pPr>
      <w:r>
        <w:rPr>
          <w:rFonts w:ascii="Arial" w:cs="Arial" w:eastAsia="Arial" w:hAnsi="Arial"/>
          <w:sz w:val="18"/>
          <w:szCs w:val="18"/>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59" w:lineRule="exact"/>
        <w:rPr>
          <w:rFonts w:ascii="Arial" w:cs="Arial" w:eastAsia="Arial" w:hAnsi="Arial"/>
          <w:sz w:val="18"/>
          <w:szCs w:val="18"/>
          <w:color w:val="auto"/>
        </w:rPr>
      </w:pPr>
    </w:p>
    <w:p>
      <w:pPr>
        <w:ind w:left="892" w:hanging="446"/>
        <w:spacing w:after="0"/>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NUMBER OF SHARES. Each Option Agreement shall state the number of shares of Ordinary Shares to which the Option relates.</w:t>
      </w:r>
    </w:p>
    <w:p>
      <w:pPr>
        <w:spacing w:after="0" w:line="90" w:lineRule="exact"/>
        <w:rPr>
          <w:rFonts w:ascii="Arial" w:cs="Arial" w:eastAsia="Arial" w:hAnsi="Arial"/>
          <w:sz w:val="18"/>
          <w:szCs w:val="18"/>
          <w:color w:val="auto"/>
        </w:rPr>
      </w:pPr>
    </w:p>
    <w:p>
      <w:pPr>
        <w:ind w:left="892" w:right="180" w:hanging="446"/>
        <w:spacing w:after="0" w:line="268" w:lineRule="auto"/>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TYPE OF OPTION. Each Option Agreement shall specifically state that the Option constitutes an Incentive Stock Option or a Nonqualified Stock Option.</w:t>
      </w:r>
    </w:p>
    <w:p>
      <w:pPr>
        <w:spacing w:after="0" w:line="50" w:lineRule="exact"/>
        <w:rPr>
          <w:rFonts w:ascii="Arial" w:cs="Arial" w:eastAsia="Arial" w:hAnsi="Arial"/>
          <w:sz w:val="18"/>
          <w:szCs w:val="18"/>
          <w:color w:val="auto"/>
        </w:rPr>
      </w:pPr>
    </w:p>
    <w:p>
      <w:pPr>
        <w:ind w:left="892" w:right="140" w:hanging="446"/>
        <w:spacing w:after="0" w:line="256" w:lineRule="auto"/>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OPTION PRICE. Each Option Agreement shall state the Option Price, which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62" w:lineRule="exact"/>
        <w:rPr>
          <w:rFonts w:ascii="Arial" w:cs="Arial" w:eastAsia="Arial" w:hAnsi="Arial"/>
          <w:sz w:val="18"/>
          <w:szCs w:val="18"/>
          <w:color w:val="auto"/>
        </w:rPr>
      </w:pPr>
    </w:p>
    <w:p>
      <w:pPr>
        <w:ind w:left="892" w:right="140" w:hanging="446"/>
        <w:spacing w:after="0" w:line="290" w:lineRule="auto"/>
        <w:tabs>
          <w:tab w:leader="none" w:pos="892" w:val="left"/>
        </w:tabs>
        <w:numPr>
          <w:ilvl w:val="1"/>
          <w:numId w:val="26"/>
        </w:numPr>
        <w:rPr>
          <w:rFonts w:ascii="Arial" w:cs="Arial" w:eastAsia="Arial" w:hAnsi="Arial"/>
          <w:sz w:val="16"/>
          <w:szCs w:val="16"/>
          <w:color w:val="auto"/>
        </w:rPr>
      </w:pPr>
      <w:r>
        <w:rPr>
          <w:rFonts w:ascii="Arial" w:cs="Arial" w:eastAsia="Arial" w:hAnsi="Arial"/>
          <w:sz w:val="16"/>
          <w:szCs w:val="16"/>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pacing w:after="0" w:line="37" w:lineRule="exact"/>
        <w:rPr>
          <w:rFonts w:ascii="Arial" w:cs="Arial" w:eastAsia="Arial" w:hAnsi="Arial"/>
          <w:sz w:val="16"/>
          <w:szCs w:val="16"/>
          <w:color w:val="auto"/>
        </w:rPr>
      </w:pPr>
    </w:p>
    <w:p>
      <w:pPr>
        <w:ind w:left="892" w:right="100" w:hanging="446"/>
        <w:spacing w:after="0" w:line="255" w:lineRule="auto"/>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62" w:lineRule="exact"/>
        <w:rPr>
          <w:sz w:val="20"/>
          <w:szCs w:val="20"/>
          <w:color w:val="auto"/>
        </w:rPr>
      </w:pPr>
    </w:p>
    <w:p>
      <w:pPr>
        <w:ind w:left="452" w:right="120"/>
        <w:spacing w:after="0" w:line="294" w:lineRule="auto"/>
        <w:rPr>
          <w:sz w:val="20"/>
          <w:szCs w:val="20"/>
          <w:color w:val="auto"/>
        </w:rPr>
      </w:pPr>
      <w:r>
        <w:rPr>
          <w:rFonts w:ascii="Arial" w:cs="Arial" w:eastAsia="Arial" w:hAnsi="Arial"/>
          <w:sz w:val="16"/>
          <w:szCs w:val="16"/>
          <w:color w:val="auto"/>
        </w:rPr>
        <w:t>Options shall become exercisable in cumulative installments of 25% on the first, second, third and fourth anniversary of the date on which such Option is granted,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35" w:lineRule="exact"/>
        <w:rPr>
          <w:sz w:val="20"/>
          <w:szCs w:val="20"/>
          <w:color w:val="auto"/>
        </w:rPr>
      </w:pPr>
    </w:p>
    <w:p>
      <w:pPr>
        <w:ind w:left="892" w:hanging="446"/>
        <w:spacing w:after="0" w:line="256" w:lineRule="auto"/>
        <w:tabs>
          <w:tab w:leader="none" w:pos="8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 the Grantee has remained continuously so employed or has continuously performed such services since the date of</w:t>
      </w:r>
    </w:p>
    <w:p>
      <w:pPr>
        <w:spacing w:after="0" w:line="13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52"/>
          </w:cols>
          <w:pgMar w:left="248" w:top="280" w:right="299" w:bottom="1440" w:gutter="0" w:footer="0" w:header="0"/>
        </w:sectPr>
      </w:pPr>
    </w:p>
    <w:bookmarkStart w:id="34" w:name="page35"/>
    <w:bookmarkEnd w:id="34"/>
    <w:p>
      <w:pPr>
        <w:ind w:left="46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 of the Option. In the event that the employment of a Grantee shall terminate or Grantee shall cease performance of services for the Company, a Parent or a Subsidiary thereof (in either event, other than by reason of 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Subsidiary, or Parent, as the case may be, shall terminate the Grantee’s employment for cause (as determined by the Committee), all Options theretofore granted to such Grantee shall, to the extent not theretofore exercised, 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spacing w:after="0" w:line="37" w:lineRule="exact"/>
        <w:rPr>
          <w:sz w:val="20"/>
          <w:szCs w:val="20"/>
          <w:color w:val="auto"/>
        </w:rPr>
      </w:pPr>
    </w:p>
    <w:p>
      <w:pPr>
        <w:ind w:left="446" w:hanging="446"/>
        <w:spacing w:after="0" w:line="288" w:lineRule="auto"/>
        <w:tabs>
          <w:tab w:leader="none" w:pos="446"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spacing w:after="0" w:line="38" w:lineRule="exact"/>
        <w:rPr>
          <w:rFonts w:ascii="Arial" w:cs="Arial" w:eastAsia="Arial" w:hAnsi="Arial"/>
          <w:sz w:val="16"/>
          <w:szCs w:val="16"/>
          <w:color w:val="auto"/>
        </w:rPr>
      </w:pPr>
    </w:p>
    <w:p>
      <w:pPr>
        <w:ind w:left="446" w:hanging="446"/>
        <w:spacing w:after="0" w:line="306" w:lineRule="auto"/>
        <w:tabs>
          <w:tab w:leader="none" w:pos="446" w:val="left"/>
        </w:tabs>
        <w:numPr>
          <w:ilvl w:val="0"/>
          <w:numId w:val="28"/>
        </w:numPr>
        <w:rPr>
          <w:rFonts w:ascii="Arial" w:cs="Arial" w:eastAsia="Arial" w:hAnsi="Arial"/>
          <w:sz w:val="15"/>
          <w:szCs w:val="15"/>
          <w:color w:val="auto"/>
        </w:rPr>
      </w:pPr>
      <w:r>
        <w:rPr>
          <w:rFonts w:ascii="Arial" w:cs="Arial" w:eastAsia="Arial" w:hAnsi="Arial"/>
          <w:sz w:val="15"/>
          <w:szCs w:val="15"/>
          <w:color w:val="auto"/>
        </w:rPr>
        <w:t>LOANS. Subject to any law, the Company may make loans to Grantees as the Committee, in its discretion, may determine in connection with the exercise of outstanding options granted under the Plan. Such loans shall (i) 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 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 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31" w:lineRule="exact"/>
        <w:rPr>
          <w:rFonts w:ascii="Arial" w:cs="Arial" w:eastAsia="Arial" w:hAnsi="Arial"/>
          <w:sz w:val="15"/>
          <w:szCs w:val="15"/>
          <w:color w:val="auto"/>
        </w:rPr>
      </w:pPr>
    </w:p>
    <w:p>
      <w:pPr>
        <w:ind w:left="446" w:right="180" w:hanging="446"/>
        <w:spacing w:after="0" w:line="268" w:lineRule="auto"/>
        <w:tabs>
          <w:tab w:leader="none" w:pos="4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PROVISIONS. The Option Agreements evidencing Options under the Plan shall contain such other terms and conditions, not inconsistent with the Plan, as the Committee may determine.</w:t>
      </w:r>
    </w:p>
    <w:p>
      <w:pPr>
        <w:spacing w:after="0" w:line="50" w:lineRule="exact"/>
        <w:rPr>
          <w:rFonts w:ascii="Arial" w:cs="Arial" w:eastAsia="Arial" w:hAnsi="Arial"/>
          <w:sz w:val="18"/>
          <w:szCs w:val="18"/>
          <w:color w:val="auto"/>
        </w:rPr>
      </w:pPr>
    </w:p>
    <w:p>
      <w:pPr>
        <w:ind w:left="446" w:right="20" w:hanging="446"/>
        <w:spacing w:after="0" w:line="259" w:lineRule="auto"/>
        <w:tabs>
          <w:tab w:leader="none" w:pos="4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EXERCISE OF OPTIONS. A Grantee who decides to exercise an Option in whole or in part shall give notice to the Company or its designated agent of such exercise in writing on a form approved by the Committee. Such notice shall specify the manner in which the Grantee will make payment of the Option Price.</w:t>
      </w:r>
    </w:p>
    <w:p>
      <w:pPr>
        <w:spacing w:after="0" w:line="12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946"/>
          </w:cols>
          <w:pgMar w:left="694" w:top="280" w:right="259" w:bottom="1440" w:gutter="0" w:footer="0" w:header="0"/>
        </w:sectPr>
      </w:pPr>
    </w:p>
    <w:bookmarkStart w:id="35" w:name="page36"/>
    <w:bookmarkEnd w:id="35"/>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Nonqualified Stock Options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Options intended to constitute Nonqualified Stock Options shall be subject only to the general terms and conditions specified in Section 6 hereof.</w:t>
      </w:r>
    </w:p>
    <w:p>
      <w:pPr>
        <w:spacing w:after="0" w:line="2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7A.</w:t>
        <w:tab/>
        <w:t>102 Securities</w:t>
      </w:r>
    </w:p>
    <w:p>
      <w:pPr>
        <w:spacing w:after="0" w:line="90" w:lineRule="exact"/>
        <w:rPr>
          <w:sz w:val="20"/>
          <w:szCs w:val="20"/>
          <w:color w:val="auto"/>
        </w:rPr>
      </w:pPr>
    </w:p>
    <w:p>
      <w:pPr>
        <w:jc w:val="both"/>
        <w:ind w:left="460" w:right="40"/>
        <w:spacing w:after="0" w:line="298" w:lineRule="auto"/>
        <w:rPr>
          <w:sz w:val="20"/>
          <w:szCs w:val="20"/>
          <w:color w:val="auto"/>
        </w:rPr>
      </w:pPr>
      <w:r>
        <w:rPr>
          <w:rFonts w:ascii="Arial" w:cs="Arial" w:eastAsia="Arial" w:hAnsi="Arial"/>
          <w:sz w:val="16"/>
          <w:szCs w:val="16"/>
          <w:color w:val="auto"/>
        </w:rPr>
        <w:t>Any 102 Securities which shall be granted to employees or consultants of the Company, any Subsidiary or Parent, or if required by law, shall be issued to a trustee nominated by the Board or the Committee (in accordance with the provisions of Section 102) (the “Trustee”) and held for the benefit of the Grantee in accordance with any of the alternatives under Section 102 as shall be prescribed from time to time by the Committee. The Trustee may also hold in trust any shares issued upon exercise of such 102 Securities, pursuant to the provisions of Section 102.</w:t>
      </w:r>
    </w:p>
    <w:p>
      <w:pPr>
        <w:spacing w:after="0" w:line="153"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Incentive Stock Options</w:t>
      </w:r>
    </w:p>
    <w:p>
      <w:pPr>
        <w:spacing w:after="0" w:line="90" w:lineRule="exact"/>
        <w:rPr>
          <w:rFonts w:ascii="Arial" w:cs="Arial" w:eastAsia="Arial" w:hAnsi="Arial"/>
          <w:sz w:val="18"/>
          <w:szCs w:val="18"/>
          <w:color w:val="auto"/>
        </w:rPr>
      </w:pPr>
    </w:p>
    <w:p>
      <w:pPr>
        <w:ind w:left="460" w:right="180"/>
        <w:spacing w:after="0" w:line="268" w:lineRule="auto"/>
        <w:rPr>
          <w:rFonts w:ascii="Arial" w:cs="Arial" w:eastAsia="Arial" w:hAnsi="Arial"/>
          <w:sz w:val="18"/>
          <w:szCs w:val="18"/>
          <w:color w:val="auto"/>
        </w:rPr>
      </w:pPr>
      <w:r>
        <w:rPr>
          <w:rFonts w:ascii="Arial" w:cs="Arial" w:eastAsia="Arial" w:hAnsi="Arial"/>
          <w:sz w:val="18"/>
          <w:szCs w:val="18"/>
          <w:color w:val="auto"/>
        </w:rPr>
        <w:t>Options intended to constitute Incentive Stock Options shall be subject to the following special terms and conditions, in addition to the general terms and conditions specified in Section 6 hereof.</w:t>
      </w:r>
    </w:p>
    <w:p>
      <w:pPr>
        <w:spacing w:after="0" w:line="50" w:lineRule="exact"/>
        <w:rPr>
          <w:rFonts w:ascii="Arial" w:cs="Arial" w:eastAsia="Arial" w:hAnsi="Arial"/>
          <w:sz w:val="18"/>
          <w:szCs w:val="18"/>
          <w:color w:val="auto"/>
        </w:rPr>
      </w:pPr>
    </w:p>
    <w:p>
      <w:pPr>
        <w:ind w:left="900" w:hanging="446"/>
        <w:spacing w:after="0" w:line="289"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VALUE OF SHARES. The aggregate Fair Market Value (determined as of the date the Incentive Stock Option is granted) of the shares of equity securities of the Company with respect to which Incentive Stock 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37" w:lineRule="exact"/>
        <w:rPr>
          <w:rFonts w:ascii="Arial" w:cs="Arial" w:eastAsia="Arial" w:hAnsi="Arial"/>
          <w:sz w:val="16"/>
          <w:szCs w:val="16"/>
          <w:color w:val="auto"/>
        </w:rPr>
      </w:pPr>
    </w:p>
    <w:p>
      <w:pPr>
        <w:jc w:val="both"/>
        <w:ind w:left="900" w:right="100" w:hanging="446"/>
        <w:spacing w:after="0" w:line="306"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147"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90" w:lineRule="exact"/>
        <w:rPr>
          <w:rFonts w:ascii="Arial" w:cs="Arial" w:eastAsia="Arial" w:hAnsi="Arial"/>
          <w:sz w:val="18"/>
          <w:szCs w:val="18"/>
          <w:color w:val="auto"/>
        </w:rPr>
      </w:pPr>
    </w:p>
    <w:p>
      <w:pPr>
        <w:ind w:left="460" w:right="60"/>
        <w:spacing w:after="0" w:line="298" w:lineRule="auto"/>
        <w:rPr>
          <w:rFonts w:ascii="Arial" w:cs="Arial" w:eastAsia="Arial" w:hAnsi="Arial"/>
          <w:sz w:val="18"/>
          <w:szCs w:val="18"/>
          <w:color w:val="auto"/>
        </w:rPr>
      </w:pPr>
      <w:r>
        <w:rPr>
          <w:rFonts w:ascii="Arial" w:cs="Arial" w:eastAsia="Arial" w:hAnsi="Arial"/>
          <w:sz w:val="16"/>
          <w:szCs w:val="16"/>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31"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Committee shall determine the number of shares of Ordinary Shares to be issued to the Grantee pursuant to the award.</w:t>
      </w:r>
    </w:p>
    <w:p>
      <w:pPr>
        <w:spacing w:after="0" w:line="90" w:lineRule="exact"/>
        <w:rPr>
          <w:rFonts w:ascii="Arial" w:cs="Arial" w:eastAsia="Arial" w:hAnsi="Arial"/>
          <w:sz w:val="18"/>
          <w:szCs w:val="18"/>
          <w:color w:val="auto"/>
        </w:rPr>
      </w:pPr>
    </w:p>
    <w:p>
      <w:pPr>
        <w:ind w:left="900" w:hanging="446"/>
        <w:spacing w:after="0" w:line="291"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(i) 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 stock issued pursuant to Restricted Stock awards shall bear an appropriate legend referring to such restrictions, and any attempt to dispose of any such shares of stock in contravention of such restrictions shall be null and void and without effect. During the Restricted Period, such certificates shall be held in escrow by 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00"/>
          </w:cols>
          <w:pgMar w:left="240" w:top="280" w:right="259" w:bottom="1440" w:gutter="0" w:footer="0" w:header="0"/>
        </w:sectPr>
      </w:pPr>
    </w:p>
    <w:bookmarkStart w:id="36" w:name="page37"/>
    <w:bookmarkEnd w:id="36"/>
    <w:p>
      <w:pPr>
        <w:ind w:left="920" w:right="1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escrow agent appointed by the Committee. In determining the Restricted Period of an award, the Committee may provide that the foregoing restrictions shall lapse with respect to specified percentages of the awarded shares on successive anniversaries of the date of such award, provided that the restrictions with respect to no more than 25% of the awarded shares shall lapse prior to the first anniversary of the date of grant, no more than additional 25% shall lapse prior to the second anniversary of the date of grant, no more than additional 25% shall lapse prior to the third anniversary of the date of grant and no more than additional 25% shall lapse prior to the fourth anniversary of the date of grant; provided further, however, that the foregoing vesting schedule shall not apply to (A) Restricted Stock granted with restrictions related to satisfaction of performance criteria; or (B) extraordinary circumstances as shall be determined by the Committee which shall include, without limitation, death or disability, a merger, consolidation, sale, reorganization, recapitalization, or change in control of the Company; or any other nonrecurring significant event affecting the Company, a Participant or the Plan.</w:t>
      </w:r>
    </w:p>
    <w:p>
      <w:pPr>
        <w:spacing w:after="0" w:line="39" w:lineRule="exact"/>
        <w:rPr>
          <w:sz w:val="20"/>
          <w:szCs w:val="20"/>
          <w:color w:val="auto"/>
        </w:rPr>
      </w:pPr>
    </w:p>
    <w:p>
      <w:pPr>
        <w:ind w:left="900" w:hanging="446"/>
        <w:spacing w:after="0" w:line="291"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Committee may adjust the performance goals to take into account changes in law and accounting and tax rules and to make such adjustments as the Committee deems necessary or appropriate to reflect the inclusion or exclusion of the impact of extraordinary or unusual items, events or circumstances, provided that no adjustment shall be made which will result in an increase in the compensation of any Grantee whose compensation is subject to the limitation on deductibility under Section 162(m) of the Internal Revenue Code, as amended, or a successor provision, for the applicable year. The Committee also may adjust the performance goals by reducing the amount to be received by any Grantee pursuant to an award if and to the extent that the Committee deems it appropriate.</w:t>
      </w:r>
    </w:p>
    <w:p>
      <w:pPr>
        <w:spacing w:after="0" w:line="39" w:lineRule="exact"/>
        <w:rPr>
          <w:sz w:val="20"/>
          <w:szCs w:val="20"/>
          <w:color w:val="auto"/>
        </w:rPr>
      </w:pPr>
    </w:p>
    <w:p>
      <w:pPr>
        <w:ind w:left="900" w:hanging="446"/>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repurchased by the Company or its Subsidiary at a price per share equal to the par value thereof.</w:t>
      </w:r>
    </w:p>
    <w:p>
      <w:pPr>
        <w:spacing w:after="0" w:line="62"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50" w:lineRule="exact"/>
        <w:rPr>
          <w:rFonts w:ascii="Arial" w:cs="Arial" w:eastAsia="Arial" w:hAnsi="Arial"/>
          <w:sz w:val="18"/>
          <w:szCs w:val="18"/>
          <w:color w:val="auto"/>
        </w:rPr>
      </w:pPr>
    </w:p>
    <w:p>
      <w:pPr>
        <w:ind w:left="900" w:right="38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9A.</w:t>
        <w:tab/>
        <w:t>Stock Appreciation Rights</w:t>
      </w:r>
    </w:p>
    <w:p>
      <w:pPr>
        <w:spacing w:after="0" w:line="90" w:lineRule="exact"/>
        <w:rPr>
          <w:sz w:val="20"/>
          <w:szCs w:val="20"/>
          <w:color w:val="auto"/>
        </w:rPr>
      </w:pPr>
    </w:p>
    <w:p>
      <w:pPr>
        <w:ind w:left="900" w:right="42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Committee may also grant stock appreciation rights (“SARs”)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w:t>
      </w:r>
    </w:p>
    <w:p>
      <w:pPr>
        <w:spacing w:after="0" w:line="59" w:lineRule="exact"/>
        <w:rPr>
          <w:rFonts w:ascii="Arial" w:cs="Arial" w:eastAsia="Arial" w:hAnsi="Arial"/>
          <w:sz w:val="18"/>
          <w:szCs w:val="18"/>
          <w:color w:val="auto"/>
        </w:rPr>
      </w:pPr>
    </w:p>
    <w:p>
      <w:pPr>
        <w:jc w:val="both"/>
        <w:ind w:left="900" w:right="240" w:hanging="446"/>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Committee shall establish the exercise price of each SAR and specify it in the applicable SAR agreement. The exercise price shall not be less than 100% of the Fair Market Value on the date the SAR is granted; provided that if the Committee approves the grant of an SAR effective as of a future date, the exercise price shall be not less than 100% of the Fair Market Value on such future date.</w:t>
      </w:r>
    </w:p>
    <w:p>
      <w:pPr>
        <w:spacing w:after="0" w:line="25" w:lineRule="exact"/>
        <w:rPr>
          <w:rFonts w:ascii="Arial" w:cs="Arial" w:eastAsia="Arial" w:hAnsi="Arial"/>
          <w:sz w:val="16"/>
          <w:szCs w:val="16"/>
          <w:color w:val="auto"/>
        </w:rPr>
      </w:pPr>
    </w:p>
    <w:p>
      <w:pPr>
        <w:ind w:left="900" w:right="7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SAR shall be exercisable at such times and subject to such terms and conditions as the Committee may specify in the applicable SAR agreement; provided, however, that no SAR will be granted with a term in excess of 10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280" w:right="259" w:bottom="1440" w:gutter="0" w:footer="0" w:header="0"/>
        </w:sectPr>
      </w:pPr>
    </w:p>
    <w:bookmarkStart w:id="37" w:name="page38"/>
    <w:bookmarkEnd w:id="3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9B.</w:t>
        <w:tab/>
        <w:t>Other Stock-Based Awards</w:t>
      </w:r>
    </w:p>
    <w:p>
      <w:pPr>
        <w:spacing w:after="0" w:line="90"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The Committee may grant other awards under the Plan pursuant to which shares of Ordinary Shares (which may, but need not, be shares of Restricted Stock pursuant to Section 9 hereof) are or may in the future be acquired, or awards denominated in stock units, including ones values using measures other than market value. Such other stock based awards may be granted alone, in addition to, or in tandem with any award of any typed granted under the plan and must be consistent with the purposes of the Plan. From and after November 30, 2011, the Committee may not award such stock-based awards, including but not limited to Shares of Restricted Stock or awards denominated in stock units (but excluding options and SARs), in an aggregate amount that exceeds 7,554,579 Ordinary Shares.</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9C.</w:t>
        <w:tab/>
        <w:t>Limitations and Conditions.</w:t>
      </w:r>
    </w:p>
    <w:p>
      <w:pPr>
        <w:spacing w:after="0" w:line="90" w:lineRule="exact"/>
        <w:rPr>
          <w:sz w:val="20"/>
          <w:szCs w:val="20"/>
          <w:color w:val="auto"/>
        </w:rPr>
      </w:pPr>
    </w:p>
    <w:p>
      <w:pPr>
        <w:ind w:left="900" w:hanging="446"/>
        <w:spacing w:after="0" w:line="290"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event that the Company makes an acquisition or is a party to a merger or consolidation and the Company assumes or substitutes for the options or other awards consistent with the purpose of this Plan of the Company acquired, merged or consolidated which are administered pursuant to this Plan, shares of Ordinary Shares subject to the assumed or substiuted options or other awards shall not count as part of the total number of shares of Ordinary Shares that may be made subject to awards under this Plan or the limitation on other stock-based awards under Section 9B hereof, except as may be required by reason of Section 422 and related provisions of the Code. Any assumed or substituted awards to be administered under the Plan shall be on such terms as the Board deems appropriate in the circumstances, notwithstanding any limitations on the terms and conditions of awards contained in the Plan.</w:t>
      </w:r>
    </w:p>
    <w:p>
      <w:pPr>
        <w:spacing w:after="0" w:line="37" w:lineRule="exact"/>
        <w:rPr>
          <w:rFonts w:ascii="Arial" w:cs="Arial" w:eastAsia="Arial" w:hAnsi="Arial"/>
          <w:sz w:val="16"/>
          <w:szCs w:val="16"/>
          <w:color w:val="auto"/>
        </w:rPr>
      </w:pPr>
    </w:p>
    <w:p>
      <w:pPr>
        <w:ind w:left="900" w:right="40" w:hanging="446"/>
        <w:spacing w:after="0" w:line="314" w:lineRule="auto"/>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Subject to section 5 above, 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 For the avoidance of doubt, any shares that have been made subject to an award made prior to November 30, 2011 and of the type described in the last sentence of Section 9B that cease to be subject to such award (other than by reason of exercise or payment of the award to the extent it is settled in shares) shall again be available for awards of the type described in the last sentence of Section 9B, without regard to the sublimit set forth in the last sentence of Section 9B, and shall not be considered as having been theretofore made subject to award.</w:t>
      </w:r>
    </w:p>
    <w:p>
      <w:pPr>
        <w:spacing w:after="0" w:line="23" w:lineRule="exact"/>
        <w:rPr>
          <w:rFonts w:ascii="Arial" w:cs="Arial" w:eastAsia="Arial" w:hAnsi="Arial"/>
          <w:sz w:val="15"/>
          <w:szCs w:val="15"/>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Nothing contained herein shall affect the right of the Company to terminate any Grantee’s employment at any time or for any reason.</w:t>
      </w:r>
    </w:p>
    <w:p>
      <w:pPr>
        <w:spacing w:after="0" w:line="23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 of Certain Changes</w:t>
      </w:r>
    </w:p>
    <w:p>
      <w:pPr>
        <w:spacing w:after="0" w:line="90" w:lineRule="exact"/>
        <w:rPr>
          <w:rFonts w:ascii="Arial" w:cs="Arial" w:eastAsia="Arial" w:hAnsi="Arial"/>
          <w:sz w:val="18"/>
          <w:szCs w:val="18"/>
          <w:color w:val="auto"/>
        </w:rPr>
      </w:pPr>
    </w:p>
    <w:p>
      <w:pPr>
        <w:ind w:left="900" w:right="40" w:hanging="446"/>
        <w:spacing w:after="0" w:line="291" w:lineRule="auto"/>
        <w:tabs>
          <w:tab w:leader="none" w:pos="9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there is any change in the shares of Ordinary Shares through the declaration of stock dividends, recapitalization, stock splits, combinations or exchanges of such shares, or other similar transactions, which result in any increase or decrease in the number of issued Ordinary Shares effected without receipt of consideration (provided, however, that conversion of any convertible security of the Company shall not be deemed to have been effected without receipt of consideration), the number of shares of Ordinary Shares available for awards, the number of such shares covered by outstanding awards, and the price per share of Options shall be proportionately adjusted by the Committee to reflect such change in the issued shares of Ordinary Shares; provided, however, that any fractional shares resulting from such adjustment shall be eliminated.</w:t>
      </w:r>
    </w:p>
    <w:p>
      <w:pPr>
        <w:spacing w:after="0" w:line="39" w:lineRule="exact"/>
        <w:rPr>
          <w:rFonts w:ascii="Arial" w:cs="Arial" w:eastAsia="Arial" w:hAnsi="Arial"/>
          <w:sz w:val="16"/>
          <w:szCs w:val="16"/>
          <w:color w:val="auto"/>
        </w:rPr>
      </w:pPr>
    </w:p>
    <w:p>
      <w:pPr>
        <w:ind w:left="900" w:right="320" w:hanging="446"/>
        <w:spacing w:after="0" w:line="268"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50" w:lineRule="exact"/>
        <w:rPr>
          <w:rFonts w:ascii="Arial" w:cs="Arial" w:eastAsia="Arial" w:hAnsi="Arial"/>
          <w:sz w:val="18"/>
          <w:szCs w:val="18"/>
          <w:color w:val="auto"/>
        </w:rPr>
      </w:pPr>
    </w:p>
    <w:p>
      <w:pPr>
        <w:ind w:left="1480" w:right="60" w:hanging="567"/>
        <w:spacing w:after="0" w:line="268" w:lineRule="auto"/>
        <w:tabs>
          <w:tab w:leader="none" w:pos="14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Grantee of any award hereunder shall have the right to exercise an Option (at its then Option price) or to receive in respect of other types of awards the kind and amount of shares of stock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280" w:right="259" w:bottom="1440" w:gutter="0" w:footer="0" w:header="0"/>
        </w:sectPr>
      </w:pPr>
    </w:p>
    <w:bookmarkStart w:id="38" w:name="page39"/>
    <w:bookmarkEnd w:id="38"/>
    <w:p>
      <w:pPr>
        <w:jc w:val="both"/>
        <w:ind w:left="1472"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securities, 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spacing w:after="0" w:line="26" w:lineRule="exact"/>
        <w:rPr>
          <w:sz w:val="20"/>
          <w:szCs w:val="20"/>
          <w:color w:val="auto"/>
        </w:rPr>
      </w:pPr>
    </w:p>
    <w:p>
      <w:pPr>
        <w:ind w:left="1472" w:right="40" w:hanging="567"/>
        <w:spacing w:after="0" w:line="256" w:lineRule="auto"/>
        <w:tabs>
          <w:tab w:leader="none" w:pos="14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62" w:lineRule="exact"/>
        <w:rPr>
          <w:sz w:val="20"/>
          <w:szCs w:val="20"/>
          <w:color w:val="auto"/>
        </w:rPr>
      </w:pPr>
    </w:p>
    <w:p>
      <w:pPr>
        <w:ind w:left="452" w:right="120"/>
        <w:spacing w:after="0" w:line="294" w:lineRule="auto"/>
        <w:rPr>
          <w:sz w:val="20"/>
          <w:szCs w:val="20"/>
          <w:color w:val="auto"/>
        </w:rPr>
      </w:pPr>
      <w:r>
        <w:rPr>
          <w:rFonts w:ascii="Arial" w:cs="Arial" w:eastAsia="Arial" w:hAnsi="Arial"/>
          <w:sz w:val="16"/>
          <w:szCs w:val="16"/>
          <w:color w:val="auto"/>
        </w:rPr>
        <w:t>In the event of a proposed sale of all or substantially all of the assets of the Company or the merger of the Company with or into another corporation, the Committee may provide that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10(b)(i) or 10(b)(ii) above.</w:t>
      </w:r>
    </w:p>
    <w:p>
      <w:pPr>
        <w:spacing w:after="0" w:line="35" w:lineRule="exact"/>
        <w:rPr>
          <w:sz w:val="20"/>
          <w:szCs w:val="20"/>
          <w:color w:val="auto"/>
        </w:rPr>
      </w:pPr>
    </w:p>
    <w:p>
      <w:pPr>
        <w:jc w:val="both"/>
        <w:ind w:left="892" w:right="180" w:hanging="446"/>
        <w:spacing w:after="0" w:line="259" w:lineRule="auto"/>
        <w:tabs>
          <w:tab w:leader="none" w:pos="8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59" w:lineRule="exact"/>
        <w:rPr>
          <w:rFonts w:ascii="Arial" w:cs="Arial" w:eastAsia="Arial" w:hAnsi="Arial"/>
          <w:sz w:val="18"/>
          <w:szCs w:val="18"/>
          <w:color w:val="auto"/>
        </w:rPr>
      </w:pPr>
    </w:p>
    <w:p>
      <w:pPr>
        <w:ind w:left="892" w:hanging="446"/>
        <w:spacing w:after="0" w:line="286" w:lineRule="auto"/>
        <w:tabs>
          <w:tab w:leader="none" w:pos="892" w:val="left"/>
        </w:tabs>
        <w:numPr>
          <w:ilvl w:val="1"/>
          <w:numId w:val="37"/>
        </w:numPr>
        <w:rPr>
          <w:rFonts w:ascii="Arial" w:cs="Arial" w:eastAsia="Arial" w:hAnsi="Arial"/>
          <w:sz w:val="16"/>
          <w:szCs w:val="16"/>
          <w:color w:val="auto"/>
        </w:rPr>
      </w:pPr>
      <w:r>
        <w:rPr>
          <w:rFonts w:ascii="Arial" w:cs="Arial" w:eastAsia="Arial" w:hAnsi="Arial"/>
          <w:sz w:val="16"/>
          <w:szCs w:val="16"/>
          <w:color w:val="auto"/>
        </w:rPr>
        <w:t>Except as herein before expressly provided in this Section 10, the Grantee of an award hereunder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164" w:lineRule="exact"/>
        <w:rPr>
          <w:rFonts w:ascii="Arial" w:cs="Arial" w:eastAsia="Arial" w:hAnsi="Arial"/>
          <w:sz w:val="16"/>
          <w:szCs w:val="16"/>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Effective Date and Term of the Plan</w:t>
      </w:r>
    </w:p>
    <w:p>
      <w:pPr>
        <w:spacing w:after="0" w:line="90" w:lineRule="exact"/>
        <w:rPr>
          <w:rFonts w:ascii="Arial" w:cs="Arial" w:eastAsia="Arial" w:hAnsi="Arial"/>
          <w:sz w:val="18"/>
          <w:szCs w:val="18"/>
          <w:color w:val="auto"/>
        </w:rPr>
      </w:pPr>
    </w:p>
    <w:p>
      <w:pPr>
        <w:ind w:left="452" w:right="160"/>
        <w:spacing w:after="0" w:line="268" w:lineRule="auto"/>
        <w:rPr>
          <w:rFonts w:ascii="Arial" w:cs="Arial" w:eastAsia="Arial" w:hAnsi="Arial"/>
          <w:sz w:val="18"/>
          <w:szCs w:val="18"/>
          <w:color w:val="auto"/>
        </w:rPr>
      </w:pPr>
      <w:r>
        <w:rPr>
          <w:rFonts w:ascii="Arial" w:cs="Arial" w:eastAsia="Arial" w:hAnsi="Arial"/>
          <w:sz w:val="18"/>
          <w:szCs w:val="18"/>
          <w:color w:val="auto"/>
        </w:rPr>
        <w:t>Awards may be granted pursuant to the Plan from time to time by no later than January 28, 2025, but awards previously granted may extend beyond such date.</w:t>
      </w:r>
    </w:p>
    <w:p>
      <w:pPr>
        <w:spacing w:after="0" w:line="172"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Nontransferability of Awards</w:t>
      </w:r>
    </w:p>
    <w:p>
      <w:pPr>
        <w:spacing w:after="0" w:line="90" w:lineRule="exact"/>
        <w:rPr>
          <w:rFonts w:ascii="Arial" w:cs="Arial" w:eastAsia="Arial" w:hAnsi="Arial"/>
          <w:sz w:val="18"/>
          <w:szCs w:val="18"/>
          <w:color w:val="auto"/>
        </w:rPr>
      </w:pPr>
    </w:p>
    <w:p>
      <w:pPr>
        <w:ind w:left="452" w:right="80"/>
        <w:spacing w:after="0" w:line="259" w:lineRule="auto"/>
        <w:rPr>
          <w:rFonts w:ascii="Arial" w:cs="Arial" w:eastAsia="Arial" w:hAnsi="Arial"/>
          <w:sz w:val="18"/>
          <w:szCs w:val="18"/>
          <w:color w:val="auto"/>
        </w:rPr>
      </w:pPr>
      <w:r>
        <w:rPr>
          <w:rFonts w:ascii="Arial" w:cs="Arial" w:eastAsia="Arial" w:hAnsi="Arial"/>
          <w:sz w:val="18"/>
          <w:szCs w:val="18"/>
          <w:color w:val="auto"/>
        </w:rPr>
        <w:t>Awards granted under the Plan shall not be transferable otherwise than by will or by the laws of descent and distribution, other than pursuant to a valid qualified domestic relations order issued by a court pursuant to Section 414(p) of the Code, and awards may be exercised or otherwise realized, during the lifetime of the Grantee, only by the Grantee.</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372"/>
          </w:cols>
          <w:pgMar w:left="248" w:top="280" w:right="279" w:bottom="1440" w:gutter="0" w:footer="0" w:header="0"/>
        </w:sectPr>
      </w:pPr>
    </w:p>
    <w:bookmarkStart w:id="39" w:name="page40"/>
    <w:bookmarkEnd w:id="39"/>
    <w:p>
      <w:pPr>
        <w:ind w:left="452" w:hanging="452"/>
        <w:spacing w:after="0"/>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Approval of Shareholders</w:t>
      </w:r>
    </w:p>
    <w:p>
      <w:pPr>
        <w:spacing w:after="0" w:line="90" w:lineRule="exact"/>
        <w:rPr>
          <w:rFonts w:ascii="Arial" w:cs="Arial" w:eastAsia="Arial" w:hAnsi="Arial"/>
          <w:sz w:val="18"/>
          <w:szCs w:val="18"/>
          <w:color w:val="auto"/>
        </w:rPr>
      </w:pPr>
    </w:p>
    <w:p>
      <w:pPr>
        <w:ind w:left="452" w:right="100"/>
        <w:spacing w:after="0" w:line="259" w:lineRule="auto"/>
        <w:rPr>
          <w:rFonts w:ascii="Arial" w:cs="Arial" w:eastAsia="Arial" w:hAnsi="Arial"/>
          <w:sz w:val="18"/>
          <w:szCs w:val="18"/>
          <w:color w:val="auto"/>
        </w:rPr>
      </w:pPr>
      <w:r>
        <w:rPr>
          <w:rFonts w:ascii="Arial" w:cs="Arial" w:eastAsia="Arial" w:hAnsi="Arial"/>
          <w:sz w:val="18"/>
          <w:szCs w:val="18"/>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pacing w:after="0" w:line="180" w:lineRule="exact"/>
        <w:rPr>
          <w:rFonts w:ascii="Arial" w:cs="Arial" w:eastAsia="Arial" w:hAnsi="Arial"/>
          <w:sz w:val="18"/>
          <w:szCs w:val="18"/>
          <w:color w:val="auto"/>
        </w:rPr>
      </w:pPr>
    </w:p>
    <w:p>
      <w:pPr>
        <w:ind w:left="452" w:hanging="452"/>
        <w:spacing w:after="0"/>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Agreement by Grantee Regarding Withholding Taxes</w:t>
      </w:r>
    </w:p>
    <w:p>
      <w:pPr>
        <w:spacing w:after="0" w:line="90" w:lineRule="exact"/>
        <w:rPr>
          <w:rFonts w:ascii="Arial" w:cs="Arial" w:eastAsia="Arial" w:hAnsi="Arial"/>
          <w:sz w:val="18"/>
          <w:szCs w:val="18"/>
          <w:color w:val="auto"/>
        </w:rPr>
      </w:pPr>
    </w:p>
    <w:p>
      <w:pPr>
        <w:ind w:left="452" w:right="160"/>
        <w:spacing w:after="0" w:line="254" w:lineRule="auto"/>
        <w:rPr>
          <w:rFonts w:ascii="Arial" w:cs="Arial" w:eastAsia="Arial" w:hAnsi="Arial"/>
          <w:sz w:val="18"/>
          <w:szCs w:val="18"/>
          <w:color w:val="auto"/>
        </w:rPr>
      </w:pPr>
      <w:r>
        <w:rPr>
          <w:rFonts w:ascii="Arial" w:cs="Arial" w:eastAsia="Arial" w:hAnsi="Arial"/>
          <w:sz w:val="18"/>
          <w:szCs w:val="18"/>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 local taxes of any kind required by law to be withheld upon the exercise of an Option or realization of any award from any payment of any kind due to the Grantee.</w:t>
      </w:r>
    </w:p>
    <w:p>
      <w:pPr>
        <w:spacing w:after="0" w:line="184" w:lineRule="exact"/>
        <w:rPr>
          <w:rFonts w:ascii="Arial" w:cs="Arial" w:eastAsia="Arial" w:hAnsi="Arial"/>
          <w:sz w:val="18"/>
          <w:szCs w:val="18"/>
          <w:color w:val="auto"/>
        </w:rPr>
      </w:pPr>
    </w:p>
    <w:p>
      <w:pPr>
        <w:ind w:left="452" w:hanging="452"/>
        <w:spacing w:after="0"/>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Amendment and Termination of the Plan</w:t>
      </w:r>
    </w:p>
    <w:p>
      <w:pPr>
        <w:spacing w:after="0" w:line="90" w:lineRule="exact"/>
        <w:rPr>
          <w:rFonts w:ascii="Arial" w:cs="Arial" w:eastAsia="Arial" w:hAnsi="Arial"/>
          <w:sz w:val="18"/>
          <w:szCs w:val="18"/>
          <w:color w:val="auto"/>
        </w:rPr>
      </w:pPr>
    </w:p>
    <w:p>
      <w:pPr>
        <w:ind w:left="452" w:right="40"/>
        <w:spacing w:after="0" w:line="285" w:lineRule="auto"/>
        <w:rPr>
          <w:rFonts w:ascii="Arial" w:cs="Arial" w:eastAsia="Arial" w:hAnsi="Arial"/>
          <w:sz w:val="18"/>
          <w:szCs w:val="18"/>
          <w:color w:val="auto"/>
        </w:rPr>
      </w:pPr>
      <w:r>
        <w:rPr>
          <w:rFonts w:ascii="Arial" w:cs="Arial" w:eastAsia="Arial" w:hAnsi="Arial"/>
          <w:sz w:val="16"/>
          <w:szCs w:val="16"/>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 In addition, unless such action is approved by the Company’s shareholders: (1) no outstanding Option or SAR granted under the Plan may be amended to provide an exercise price per share that is lower than the then-current exercise price per share of such outstanding Option or SAR (other than adjustments pursuant to Section 10) and (2) the Board may not cancel any outstanding Option or SAR (whether or not granted under the Plan) and grant in substitution therefore new awards under the Plan covering the same or a different number of shares of Ordinary Shares and having an exercise price per share lower than the then-current exercise price per share of the cancelled Option or SAR. No Option or SAR granted under the Plan shall contain any provision entitling the Grantee to the automatic grant of additional Options or SARs in connection with any exercise of the original Option or SAR.</w:t>
      </w:r>
    </w:p>
    <w:p>
      <w:pPr>
        <w:spacing w:after="0" w:line="168" w:lineRule="exact"/>
        <w:rPr>
          <w:rFonts w:ascii="Arial" w:cs="Arial" w:eastAsia="Arial" w:hAnsi="Arial"/>
          <w:sz w:val="18"/>
          <w:szCs w:val="18"/>
          <w:color w:val="auto"/>
        </w:rPr>
      </w:pPr>
    </w:p>
    <w:p>
      <w:pPr>
        <w:ind w:left="452" w:hanging="452"/>
        <w:spacing w:after="0"/>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Rights as a Shareholder</w:t>
      </w:r>
    </w:p>
    <w:p>
      <w:pPr>
        <w:spacing w:after="0" w:line="90" w:lineRule="exact"/>
        <w:rPr>
          <w:rFonts w:ascii="Arial" w:cs="Arial" w:eastAsia="Arial" w:hAnsi="Arial"/>
          <w:sz w:val="18"/>
          <w:szCs w:val="18"/>
          <w:color w:val="auto"/>
        </w:rPr>
      </w:pPr>
    </w:p>
    <w:p>
      <w:pPr>
        <w:ind w:left="452" w:right="20"/>
        <w:spacing w:after="0" w:line="256" w:lineRule="auto"/>
        <w:rPr>
          <w:rFonts w:ascii="Arial" w:cs="Arial" w:eastAsia="Arial" w:hAnsi="Arial"/>
          <w:sz w:val="18"/>
          <w:szCs w:val="18"/>
          <w:color w:val="auto"/>
        </w:rPr>
      </w:pPr>
      <w:r>
        <w:rPr>
          <w:rFonts w:ascii="Arial" w:cs="Arial" w:eastAsia="Arial" w:hAnsi="Arial"/>
          <w:sz w:val="18"/>
          <w:szCs w:val="18"/>
          <w:color w:val="auto"/>
        </w:rPr>
        <w:t>Except as provided in Section 9(d) hereof, a Grantee or a transferee of an award shall have no rights as a shareholder with respect to any shares covered by the award until the date of the issuance of a stock certificate 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183" w:lineRule="exact"/>
        <w:rPr>
          <w:rFonts w:ascii="Arial" w:cs="Arial" w:eastAsia="Arial" w:hAnsi="Arial"/>
          <w:sz w:val="18"/>
          <w:szCs w:val="18"/>
          <w:color w:val="auto"/>
        </w:rPr>
      </w:pPr>
    </w:p>
    <w:p>
      <w:pPr>
        <w:ind w:left="452" w:hanging="452"/>
        <w:spacing w:after="0"/>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Rights to Employment</w:t>
      </w:r>
    </w:p>
    <w:p>
      <w:pPr>
        <w:spacing w:after="0" w:line="90" w:lineRule="exact"/>
        <w:rPr>
          <w:rFonts w:ascii="Arial" w:cs="Arial" w:eastAsia="Arial" w:hAnsi="Arial"/>
          <w:sz w:val="18"/>
          <w:szCs w:val="18"/>
          <w:color w:val="auto"/>
        </w:rPr>
      </w:pPr>
    </w:p>
    <w:p>
      <w:pPr>
        <w:ind w:left="452"/>
        <w:spacing w:after="0" w:line="298" w:lineRule="auto"/>
        <w:rPr>
          <w:rFonts w:ascii="Arial" w:cs="Arial" w:eastAsia="Arial" w:hAnsi="Arial"/>
          <w:sz w:val="18"/>
          <w:szCs w:val="18"/>
          <w:color w:val="auto"/>
        </w:rPr>
      </w:pPr>
      <w:r>
        <w:rPr>
          <w:rFonts w:ascii="Arial" w:cs="Arial" w:eastAsia="Arial" w:hAnsi="Arial"/>
          <w:sz w:val="16"/>
          <w:szCs w:val="16"/>
          <w:color w:val="auto"/>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392"/>
          </w:cols>
          <w:pgMar w:left="248" w:top="280" w:right="259" w:bottom="1440" w:gutter="0" w:footer="0" w:header="0"/>
        </w:sectPr>
      </w:pPr>
    </w:p>
    <w:bookmarkStart w:id="40" w:name="page41"/>
    <w:bookmarkEnd w:id="40"/>
    <w:p>
      <w:pPr>
        <w:ind w:left="452" w:hanging="452"/>
        <w:spacing w:after="0"/>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Beneficiary</w:t>
      </w:r>
    </w:p>
    <w:p>
      <w:pPr>
        <w:spacing w:after="0" w:line="90"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180" w:lineRule="exact"/>
        <w:rPr>
          <w:rFonts w:ascii="Arial" w:cs="Arial" w:eastAsia="Arial" w:hAnsi="Arial"/>
          <w:sz w:val="18"/>
          <w:szCs w:val="18"/>
          <w:color w:val="auto"/>
        </w:rPr>
      </w:pPr>
    </w:p>
    <w:p>
      <w:pPr>
        <w:ind w:left="452" w:hanging="452"/>
        <w:spacing w:after="0"/>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Plan and all determinations made and actions taken pursuant hereto shall be governed by the laws of the State of New York.</w:t>
      </w:r>
    </w:p>
    <w:p>
      <w:pPr>
        <w:spacing w:after="0" w:line="15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292"/>
          </w:cols>
          <w:pgMar w:left="248" w:top="280" w:right="3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GENERAL MEETING OF SHAREHOLDERS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28,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of Meeting, Proxy Statement, Proxy Card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available at www.amdocs.com/proxy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sign, date and mail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possible.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 Please detach along perforated line and mail in the envelope provided.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AMDOCS’ BOARD OF DIRECTORS RECOMMENDS A VOTE “FOR”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AND A VOTE “FOR” PROPOSALS 2, 3, 4, AND 5.</w:t>
      </w:r>
    </w:p>
    <w:p>
      <w:pPr>
        <w:jc w:val="center"/>
        <w:ind w:right="20"/>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1299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12991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p>
      <w:pPr>
        <w:spacing w:after="0" w:line="129" w:lineRule="exact"/>
        <w:rPr>
          <w:sz w:val="20"/>
          <w:szCs w:val="20"/>
          <w:color w:val="auto"/>
        </w:rPr>
      </w:pPr>
    </w:p>
    <w:p>
      <w:pPr>
        <w:ind w:left="400" w:hanging="284"/>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ELECTION OF DIRECTORS:FOR  AGAINST  ABSTAIN</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226"/>
        </w:trPr>
        <w:tc>
          <w:tcPr>
            <w:tcW w:w="1600" w:type="dxa"/>
            <w:vAlign w:val="bottom"/>
          </w:tcPr>
          <w:p>
            <w:pPr>
              <w:spacing w:after="0"/>
              <w:rPr>
                <w:sz w:val="20"/>
                <w:szCs w:val="20"/>
                <w:color w:val="auto"/>
              </w:rPr>
            </w:pPr>
            <w:r>
              <w:rPr>
                <w:rFonts w:ascii="Arial" w:cs="Arial" w:eastAsia="Arial" w:hAnsi="Arial"/>
                <w:sz w:val="14"/>
                <w:szCs w:val="14"/>
                <w:color w:val="auto"/>
              </w:rPr>
              <w:t>Robert A. Minicucci</w:t>
            </w:r>
          </w:p>
        </w:tc>
        <w:tc>
          <w:tcPr>
            <w:tcW w:w="76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6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00" w:type="dxa"/>
            <w:vAlign w:val="bottom"/>
          </w:tcPr>
          <w:p>
            <w:pPr>
              <w:spacing w:after="0"/>
              <w:rPr>
                <w:sz w:val="20"/>
                <w:szCs w:val="20"/>
                <w:color w:val="auto"/>
              </w:rPr>
            </w:pPr>
            <w:r>
              <w:rPr>
                <w:rFonts w:ascii="Arial" w:cs="Arial" w:eastAsia="Arial" w:hAnsi="Arial"/>
                <w:sz w:val="14"/>
                <w:szCs w:val="14"/>
                <w:color w:val="auto"/>
              </w:rPr>
              <w:t>Adrian Gardner</w:t>
            </w:r>
          </w:p>
        </w:tc>
        <w:tc>
          <w:tcPr>
            <w:tcW w:w="76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6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00" w:type="dxa"/>
            <w:vAlign w:val="bottom"/>
          </w:tcPr>
          <w:p>
            <w:pPr>
              <w:spacing w:after="0"/>
              <w:rPr>
                <w:sz w:val="20"/>
                <w:szCs w:val="20"/>
                <w:color w:val="auto"/>
              </w:rPr>
            </w:pPr>
            <w:r>
              <w:rPr>
                <w:rFonts w:ascii="Arial" w:cs="Arial" w:eastAsia="Arial" w:hAnsi="Arial"/>
                <w:sz w:val="14"/>
                <w:szCs w:val="14"/>
                <w:color w:val="auto"/>
              </w:rPr>
              <w:t>John T. McLennan</w:t>
            </w:r>
          </w:p>
        </w:tc>
        <w:tc>
          <w:tcPr>
            <w:tcW w:w="76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6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00" w:type="dxa"/>
            <w:vAlign w:val="bottom"/>
          </w:tcPr>
          <w:p>
            <w:pPr>
              <w:spacing w:after="0"/>
              <w:rPr>
                <w:sz w:val="20"/>
                <w:szCs w:val="20"/>
                <w:color w:val="auto"/>
              </w:rPr>
            </w:pPr>
            <w:r>
              <w:rPr>
                <w:rFonts w:ascii="Arial" w:cs="Arial" w:eastAsia="Arial" w:hAnsi="Arial"/>
                <w:sz w:val="14"/>
                <w:szCs w:val="14"/>
                <w:color w:val="auto"/>
              </w:rPr>
              <w:t>Simon Olswang</w:t>
            </w:r>
          </w:p>
        </w:tc>
        <w:tc>
          <w:tcPr>
            <w:tcW w:w="76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6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00" w:type="dxa"/>
            <w:vAlign w:val="bottom"/>
          </w:tcPr>
          <w:p>
            <w:pPr>
              <w:spacing w:after="0"/>
              <w:rPr>
                <w:sz w:val="20"/>
                <w:szCs w:val="20"/>
                <w:color w:val="auto"/>
              </w:rPr>
            </w:pPr>
            <w:r>
              <w:rPr>
                <w:rFonts w:ascii="Arial" w:cs="Arial" w:eastAsia="Arial" w:hAnsi="Arial"/>
                <w:sz w:val="14"/>
                <w:szCs w:val="14"/>
                <w:color w:val="auto"/>
              </w:rPr>
              <w:t>Zohar Zisapel</w:t>
            </w:r>
          </w:p>
        </w:tc>
        <w:tc>
          <w:tcPr>
            <w:tcW w:w="76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6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00" w:type="dxa"/>
            <w:vAlign w:val="bottom"/>
          </w:tcPr>
          <w:p>
            <w:pPr>
              <w:spacing w:after="0"/>
              <w:rPr>
                <w:sz w:val="20"/>
                <w:szCs w:val="20"/>
                <w:color w:val="auto"/>
              </w:rPr>
            </w:pPr>
            <w:r>
              <w:rPr>
                <w:rFonts w:ascii="Arial" w:cs="Arial" w:eastAsia="Arial" w:hAnsi="Arial"/>
                <w:sz w:val="14"/>
                <w:szCs w:val="14"/>
                <w:color w:val="auto"/>
              </w:rPr>
              <w:t>Julian A. Brodsky</w:t>
            </w:r>
          </w:p>
        </w:tc>
        <w:tc>
          <w:tcPr>
            <w:tcW w:w="76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6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00" w:type="dxa"/>
            <w:vAlign w:val="bottom"/>
          </w:tcPr>
          <w:p>
            <w:pPr>
              <w:spacing w:after="0"/>
              <w:rPr>
                <w:sz w:val="20"/>
                <w:szCs w:val="20"/>
                <w:color w:val="auto"/>
              </w:rPr>
            </w:pPr>
            <w:r>
              <w:rPr>
                <w:rFonts w:ascii="Arial" w:cs="Arial" w:eastAsia="Arial" w:hAnsi="Arial"/>
                <w:sz w:val="14"/>
                <w:szCs w:val="14"/>
                <w:color w:val="auto"/>
              </w:rPr>
              <w:t>Clayton Christensen</w:t>
            </w:r>
          </w:p>
        </w:tc>
        <w:tc>
          <w:tcPr>
            <w:tcW w:w="76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6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00" w:type="dxa"/>
            <w:vAlign w:val="bottom"/>
          </w:tcPr>
          <w:p>
            <w:pPr>
              <w:spacing w:after="0"/>
              <w:rPr>
                <w:sz w:val="20"/>
                <w:szCs w:val="20"/>
                <w:color w:val="auto"/>
              </w:rPr>
            </w:pPr>
            <w:r>
              <w:rPr>
                <w:rFonts w:ascii="Arial" w:cs="Arial" w:eastAsia="Arial" w:hAnsi="Arial"/>
                <w:sz w:val="14"/>
                <w:szCs w:val="14"/>
                <w:color w:val="auto"/>
              </w:rPr>
              <w:t>Eli Gelman</w:t>
            </w:r>
          </w:p>
        </w:tc>
        <w:tc>
          <w:tcPr>
            <w:tcW w:w="76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6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00" w:type="dxa"/>
            <w:vAlign w:val="bottom"/>
          </w:tcPr>
          <w:p>
            <w:pPr>
              <w:spacing w:after="0"/>
              <w:rPr>
                <w:sz w:val="20"/>
                <w:szCs w:val="20"/>
                <w:color w:val="auto"/>
              </w:rPr>
            </w:pPr>
            <w:r>
              <w:rPr>
                <w:rFonts w:ascii="Arial" w:cs="Arial" w:eastAsia="Arial" w:hAnsi="Arial"/>
                <w:sz w:val="14"/>
                <w:szCs w:val="14"/>
                <w:color w:val="auto"/>
              </w:rPr>
              <w:t>James S. Kahan</w:t>
            </w:r>
          </w:p>
        </w:tc>
        <w:tc>
          <w:tcPr>
            <w:tcW w:w="76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6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87"/>
        </w:trPr>
        <w:tc>
          <w:tcPr>
            <w:tcW w:w="1600" w:type="dxa"/>
            <w:vAlign w:val="bottom"/>
          </w:tcPr>
          <w:p>
            <w:pPr>
              <w:spacing w:after="0"/>
              <w:rPr>
                <w:sz w:val="20"/>
                <w:szCs w:val="20"/>
                <w:color w:val="auto"/>
              </w:rPr>
            </w:pPr>
            <w:r>
              <w:rPr>
                <w:rFonts w:ascii="Arial" w:cs="Arial" w:eastAsia="Arial" w:hAnsi="Arial"/>
                <w:sz w:val="14"/>
                <w:szCs w:val="14"/>
                <w:color w:val="auto"/>
              </w:rPr>
              <w:t>Richard T.C. LeFave</w:t>
            </w:r>
          </w:p>
        </w:tc>
        <w:tc>
          <w:tcPr>
            <w:tcW w:w="760" w:type="dxa"/>
            <w:vAlign w:val="bottom"/>
            <w:vMerge w:val="restart"/>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68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vMerge w:val="restart"/>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11"/>
        </w:trPr>
        <w:tc>
          <w:tcPr>
            <w:tcW w:w="1600" w:type="dxa"/>
            <w:vAlign w:val="bottom"/>
            <w:vMerge w:val="restart"/>
          </w:tcPr>
          <w:p>
            <w:pPr>
              <w:spacing w:after="0"/>
              <w:rPr>
                <w:sz w:val="20"/>
                <w:szCs w:val="20"/>
                <w:color w:val="auto"/>
              </w:rPr>
            </w:pPr>
            <w:r>
              <w:rPr>
                <w:rFonts w:ascii="Arial" w:cs="Arial" w:eastAsia="Arial" w:hAnsi="Arial"/>
                <w:sz w:val="14"/>
                <w:szCs w:val="14"/>
                <w:color w:val="auto"/>
              </w:rPr>
              <w:t>Giora Yaron</w:t>
            </w: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600" w:type="dxa"/>
            <w:vAlign w:val="bottom"/>
            <w:vMerge w:val="continue"/>
          </w:tcPr>
          <w:p>
            <w:pPr>
              <w:spacing w:after="0"/>
              <w:rPr>
                <w:sz w:val="13"/>
                <w:szCs w:val="13"/>
                <w:color w:val="auto"/>
              </w:rPr>
            </w:pPr>
          </w:p>
        </w:tc>
        <w:tc>
          <w:tcPr>
            <w:tcW w:w="760" w:type="dxa"/>
            <w:vAlign w:val="bottom"/>
            <w:vMerge w:val="restart"/>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68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vMerge w:val="restart"/>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38"/>
        </w:trPr>
        <w:tc>
          <w:tcPr>
            <w:tcW w:w="16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To change the address on your account, please check the box</w:t>
      </w:r>
    </w:p>
    <w:p>
      <w:pPr>
        <w:ind w:right="180"/>
        <w:spacing w:after="0" w:line="149" w:lineRule="exact"/>
        <w:rPr>
          <w:sz w:val="20"/>
          <w:szCs w:val="20"/>
          <w:color w:val="auto"/>
        </w:rPr>
      </w:pPr>
      <w:r>
        <w:rPr>
          <w:rFonts w:ascii="Arial" w:cs="Arial" w:eastAsia="Arial" w:hAnsi="Arial"/>
          <w:sz w:val="14"/>
          <w:szCs w:val="14"/>
          <w:color w:val="auto"/>
        </w:rPr>
        <w:t xml:space="preserve">at right and indicate your new address in the address space </w:t>
      </w:r>
      <w:r>
        <w:rPr>
          <w:rFonts w:ascii="MS PGothic" w:cs="MS PGothic" w:eastAsia="MS PGothic" w:hAnsi="MS PGothic"/>
          <w:sz w:val="20"/>
          <w:szCs w:val="20"/>
          <w:color w:val="auto"/>
        </w:rPr>
        <w:t>☐</w:t>
      </w:r>
      <w:r>
        <w:rPr>
          <w:rFonts w:ascii="Arial" w:cs="Arial" w:eastAsia="Arial" w:hAnsi="Arial"/>
          <w:sz w:val="14"/>
          <w:szCs w:val="14"/>
          <w:color w:val="auto"/>
        </w:rPr>
        <w:t xml:space="preserve"> above. Please note that changes to the registered name(s) 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account may not be submitted via this method.</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480" w:type="dxa"/>
            <w:vAlign w:val="bottom"/>
          </w:tcPr>
          <w:p>
            <w:pPr>
              <w:jc w:val="center"/>
              <w:ind w:left="8"/>
              <w:spacing w:after="0"/>
              <w:rPr>
                <w:sz w:val="20"/>
                <w:szCs w:val="20"/>
                <w:color w:val="auto"/>
              </w:rPr>
            </w:pPr>
            <w:r>
              <w:rPr>
                <w:rFonts w:ascii="Arial" w:cs="Arial" w:eastAsia="Arial" w:hAnsi="Arial"/>
                <w:sz w:val="14"/>
                <w:szCs w:val="14"/>
                <w:color w:val="auto"/>
                <w:w w:val="94"/>
              </w:rPr>
              <w:t>FOR</w:t>
            </w:r>
          </w:p>
        </w:tc>
        <w:tc>
          <w:tcPr>
            <w:tcW w:w="780" w:type="dxa"/>
            <w:vAlign w:val="bottom"/>
          </w:tcPr>
          <w:p>
            <w:pPr>
              <w:jc w:val="center"/>
              <w:spacing w:after="0"/>
              <w:rPr>
                <w:sz w:val="20"/>
                <w:szCs w:val="20"/>
                <w:color w:val="auto"/>
              </w:rPr>
            </w:pPr>
            <w:r>
              <w:rPr>
                <w:rFonts w:ascii="Arial" w:cs="Arial" w:eastAsia="Arial" w:hAnsi="Arial"/>
                <w:sz w:val="14"/>
                <w:szCs w:val="14"/>
                <w:color w:val="auto"/>
              </w:rPr>
              <w:t>AGAINST</w:t>
            </w:r>
          </w:p>
        </w:tc>
        <w:tc>
          <w:tcPr>
            <w:tcW w:w="680" w:type="dxa"/>
            <w:vAlign w:val="bottom"/>
          </w:tcPr>
          <w:p>
            <w:pPr>
              <w:jc w:val="center"/>
              <w:ind w:left="8"/>
              <w:spacing w:after="0"/>
              <w:rPr>
                <w:sz w:val="20"/>
                <w:szCs w:val="20"/>
                <w:color w:val="auto"/>
              </w:rPr>
            </w:pPr>
            <w:r>
              <w:rPr>
                <w:rFonts w:ascii="Arial" w:cs="Arial" w:eastAsia="Arial" w:hAnsi="Arial"/>
                <w:sz w:val="14"/>
                <w:szCs w:val="14"/>
                <w:color w:val="auto"/>
              </w:rPr>
              <w:t>ABSTAIN</w:t>
            </w:r>
          </w:p>
        </w:tc>
      </w:tr>
      <w:tr>
        <w:trPr>
          <w:trHeight w:val="228"/>
        </w:trPr>
        <w:tc>
          <w:tcPr>
            <w:tcW w:w="180" w:type="dxa"/>
            <w:vAlign w:val="bottom"/>
          </w:tcPr>
          <w:p>
            <w:pPr>
              <w:jc w:val="right"/>
              <w:ind w:right="13"/>
              <w:spacing w:after="0"/>
              <w:rPr>
                <w:sz w:val="20"/>
                <w:szCs w:val="20"/>
                <w:color w:val="auto"/>
              </w:rPr>
            </w:pPr>
            <w:r>
              <w:rPr>
                <w:rFonts w:ascii="Arial" w:cs="Arial" w:eastAsia="Arial" w:hAnsi="Arial"/>
                <w:sz w:val="13"/>
                <w:szCs w:val="13"/>
                <w:color w:val="auto"/>
                <w:w w:val="73"/>
              </w:rPr>
              <w:t>2.</w:t>
            </w:r>
          </w:p>
        </w:tc>
        <w:tc>
          <w:tcPr>
            <w:tcW w:w="4680" w:type="dxa"/>
            <w:vAlign w:val="bottom"/>
          </w:tcPr>
          <w:p>
            <w:pPr>
              <w:ind w:left="100"/>
              <w:spacing w:after="0"/>
              <w:rPr>
                <w:sz w:val="20"/>
                <w:szCs w:val="20"/>
                <w:color w:val="auto"/>
              </w:rPr>
            </w:pPr>
            <w:r>
              <w:rPr>
                <w:rFonts w:ascii="Arial" w:cs="Arial" w:eastAsia="Arial" w:hAnsi="Arial"/>
                <w:sz w:val="14"/>
                <w:szCs w:val="14"/>
                <w:color w:val="auto"/>
                <w:w w:val="94"/>
              </w:rPr>
              <w:t>To approve an increase in the dividend rate under our quarterly cash dividend</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2"/>
        </w:trPr>
        <w:tc>
          <w:tcPr>
            <w:tcW w:w="180" w:type="dxa"/>
            <w:vAlign w:val="bottom"/>
          </w:tcPr>
          <w:p>
            <w:pPr>
              <w:spacing w:after="0"/>
              <w:rPr>
                <w:sz w:val="15"/>
                <w:szCs w:val="15"/>
                <w:color w:val="auto"/>
              </w:rPr>
            </w:pPr>
          </w:p>
        </w:tc>
        <w:tc>
          <w:tcPr>
            <w:tcW w:w="4680" w:type="dxa"/>
            <w:vAlign w:val="bottom"/>
          </w:tcPr>
          <w:p>
            <w:pPr>
              <w:ind w:left="100"/>
              <w:spacing w:after="0"/>
              <w:rPr>
                <w:sz w:val="20"/>
                <w:szCs w:val="20"/>
                <w:color w:val="auto"/>
              </w:rPr>
            </w:pPr>
            <w:r>
              <w:rPr>
                <w:rFonts w:ascii="Arial" w:cs="Arial" w:eastAsia="Arial" w:hAnsi="Arial"/>
                <w:sz w:val="14"/>
                <w:szCs w:val="14"/>
                <w:color w:val="auto"/>
              </w:rPr>
              <w:t>program from $0.155 per share to $0.17 per share (Proposal II).</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412"/>
        </w:trPr>
        <w:tc>
          <w:tcPr>
            <w:tcW w:w="180" w:type="dxa"/>
            <w:vAlign w:val="bottom"/>
          </w:tcPr>
          <w:p>
            <w:pPr>
              <w:jc w:val="right"/>
              <w:ind w:right="13"/>
              <w:spacing w:after="0"/>
              <w:rPr>
                <w:sz w:val="20"/>
                <w:szCs w:val="20"/>
                <w:color w:val="auto"/>
              </w:rPr>
            </w:pPr>
            <w:r>
              <w:rPr>
                <w:rFonts w:ascii="Arial" w:cs="Arial" w:eastAsia="Arial" w:hAnsi="Arial"/>
                <w:sz w:val="13"/>
                <w:szCs w:val="13"/>
                <w:color w:val="auto"/>
                <w:w w:val="73"/>
              </w:rPr>
              <w:t>3.</w:t>
            </w:r>
          </w:p>
        </w:tc>
        <w:tc>
          <w:tcPr>
            <w:tcW w:w="4680" w:type="dxa"/>
            <w:vAlign w:val="bottom"/>
          </w:tcPr>
          <w:p>
            <w:pPr>
              <w:ind w:left="100"/>
              <w:spacing w:after="0"/>
              <w:rPr>
                <w:sz w:val="20"/>
                <w:szCs w:val="20"/>
                <w:color w:val="auto"/>
              </w:rPr>
            </w:pPr>
            <w:r>
              <w:rPr>
                <w:rFonts w:ascii="Arial" w:cs="Arial" w:eastAsia="Arial" w:hAnsi="Arial"/>
                <w:sz w:val="14"/>
                <w:szCs w:val="14"/>
                <w:color w:val="auto"/>
                <w:w w:val="95"/>
              </w:rPr>
              <w:t>To approve an extension of the term of our stock option plan to January 2025</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2"/>
        </w:trPr>
        <w:tc>
          <w:tcPr>
            <w:tcW w:w="180" w:type="dxa"/>
            <w:vAlign w:val="bottom"/>
          </w:tcPr>
          <w:p>
            <w:pPr>
              <w:spacing w:after="0"/>
              <w:rPr>
                <w:sz w:val="15"/>
                <w:szCs w:val="15"/>
                <w:color w:val="auto"/>
              </w:rPr>
            </w:pPr>
          </w:p>
        </w:tc>
        <w:tc>
          <w:tcPr>
            <w:tcW w:w="4680" w:type="dxa"/>
            <w:vAlign w:val="bottom"/>
          </w:tcPr>
          <w:p>
            <w:pPr>
              <w:ind w:left="100"/>
              <w:spacing w:after="0"/>
              <w:rPr>
                <w:sz w:val="20"/>
                <w:szCs w:val="20"/>
                <w:color w:val="auto"/>
              </w:rPr>
            </w:pPr>
            <w:r>
              <w:rPr>
                <w:rFonts w:ascii="Arial" w:cs="Arial" w:eastAsia="Arial" w:hAnsi="Arial"/>
                <w:sz w:val="14"/>
                <w:szCs w:val="14"/>
                <w:color w:val="auto"/>
              </w:rPr>
              <w:t>(Proposal III).</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412"/>
        </w:trPr>
        <w:tc>
          <w:tcPr>
            <w:tcW w:w="180" w:type="dxa"/>
            <w:vAlign w:val="bottom"/>
          </w:tcPr>
          <w:p>
            <w:pPr>
              <w:jc w:val="right"/>
              <w:ind w:right="13"/>
              <w:spacing w:after="0"/>
              <w:rPr>
                <w:sz w:val="20"/>
                <w:szCs w:val="20"/>
                <w:color w:val="auto"/>
              </w:rPr>
            </w:pPr>
            <w:r>
              <w:rPr>
                <w:rFonts w:ascii="Arial" w:cs="Arial" w:eastAsia="Arial" w:hAnsi="Arial"/>
                <w:sz w:val="13"/>
                <w:szCs w:val="13"/>
                <w:color w:val="auto"/>
                <w:w w:val="73"/>
              </w:rPr>
              <w:t>4.</w:t>
            </w:r>
          </w:p>
        </w:tc>
        <w:tc>
          <w:tcPr>
            <w:tcW w:w="4680" w:type="dxa"/>
            <w:vAlign w:val="bottom"/>
          </w:tcPr>
          <w:p>
            <w:pPr>
              <w:ind w:left="100"/>
              <w:spacing w:after="0"/>
              <w:rPr>
                <w:sz w:val="20"/>
                <w:szCs w:val="20"/>
                <w:color w:val="auto"/>
              </w:rPr>
            </w:pPr>
            <w:r>
              <w:rPr>
                <w:rFonts w:ascii="Arial" w:cs="Arial" w:eastAsia="Arial" w:hAnsi="Arial"/>
                <w:sz w:val="14"/>
                <w:szCs w:val="14"/>
                <w:color w:val="auto"/>
                <w:w w:val="97"/>
              </w:rPr>
              <w:t>To approve our Consolidated Financial Statements for the fiscal year ended</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2"/>
        </w:trPr>
        <w:tc>
          <w:tcPr>
            <w:tcW w:w="180" w:type="dxa"/>
            <w:vAlign w:val="bottom"/>
          </w:tcPr>
          <w:p>
            <w:pPr>
              <w:spacing w:after="0"/>
              <w:rPr>
                <w:sz w:val="15"/>
                <w:szCs w:val="15"/>
                <w:color w:val="auto"/>
              </w:rPr>
            </w:pPr>
          </w:p>
        </w:tc>
        <w:tc>
          <w:tcPr>
            <w:tcW w:w="4680" w:type="dxa"/>
            <w:vAlign w:val="bottom"/>
          </w:tcPr>
          <w:p>
            <w:pPr>
              <w:ind w:left="100"/>
              <w:spacing w:after="0"/>
              <w:rPr>
                <w:sz w:val="20"/>
                <w:szCs w:val="20"/>
                <w:color w:val="auto"/>
              </w:rPr>
            </w:pPr>
            <w:r>
              <w:rPr>
                <w:rFonts w:ascii="Arial" w:cs="Arial" w:eastAsia="Arial" w:hAnsi="Arial"/>
                <w:sz w:val="14"/>
                <w:szCs w:val="14"/>
                <w:color w:val="auto"/>
              </w:rPr>
              <w:t>September 30, 2014 (Proposal IV).</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419"/>
        </w:trPr>
        <w:tc>
          <w:tcPr>
            <w:tcW w:w="180" w:type="dxa"/>
            <w:vAlign w:val="bottom"/>
          </w:tcPr>
          <w:p>
            <w:pPr>
              <w:jc w:val="right"/>
              <w:ind w:right="13"/>
              <w:spacing w:after="0"/>
              <w:rPr>
                <w:sz w:val="20"/>
                <w:szCs w:val="20"/>
                <w:color w:val="auto"/>
              </w:rPr>
            </w:pPr>
            <w:r>
              <w:rPr>
                <w:rFonts w:ascii="Arial" w:cs="Arial" w:eastAsia="Arial" w:hAnsi="Arial"/>
                <w:sz w:val="13"/>
                <w:szCs w:val="13"/>
                <w:color w:val="auto"/>
                <w:w w:val="73"/>
              </w:rPr>
              <w:t>5.</w:t>
            </w:r>
          </w:p>
        </w:tc>
        <w:tc>
          <w:tcPr>
            <w:tcW w:w="4680" w:type="dxa"/>
            <w:vAlign w:val="bottom"/>
          </w:tcPr>
          <w:p>
            <w:pPr>
              <w:ind w:left="100"/>
              <w:spacing w:after="0"/>
              <w:rPr>
                <w:sz w:val="20"/>
                <w:szCs w:val="20"/>
                <w:color w:val="auto"/>
              </w:rPr>
            </w:pPr>
            <w:r>
              <w:rPr>
                <w:rFonts w:ascii="Arial" w:cs="Arial" w:eastAsia="Arial" w:hAnsi="Arial"/>
                <w:sz w:val="14"/>
                <w:szCs w:val="14"/>
                <w:color w:val="auto"/>
              </w:rPr>
              <w:t>To ratify and approve the appointment of Ernst &amp; Young LLP as our</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bl>
    <w:p>
      <w:pPr>
        <w:ind w:left="280" w:right="2060"/>
        <w:spacing w:after="0" w:line="227" w:lineRule="auto"/>
        <w:rPr>
          <w:sz w:val="20"/>
          <w:szCs w:val="20"/>
          <w:color w:val="auto"/>
        </w:rPr>
      </w:pPr>
      <w:r>
        <w:rPr>
          <w:rFonts w:ascii="Arial" w:cs="Arial" w:eastAsia="Arial" w:hAnsi="Arial"/>
          <w:sz w:val="14"/>
          <w:szCs w:val="14"/>
          <w:color w:val="auto"/>
        </w:rPr>
        <w:t>independent registered public accounting firm for the fiscal year ending September 30, 2015,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885" w:lineRule="exact"/>
        <w:rPr>
          <w:sz w:val="20"/>
          <w:szCs w:val="20"/>
          <w:color w:val="auto"/>
        </w:rPr>
      </w:pPr>
    </w:p>
    <w:p>
      <w:pPr>
        <w:sectPr>
          <w:pgSz w:w="11900" w:h="16838" w:orient="portrait"/>
          <w:cols w:equalWidth="0" w:num="2">
            <w:col w:w="4300" w:space="280"/>
            <w:col w:w="6860"/>
          </w:cols>
          <w:pgMar w:left="240" w:top="270" w:right="21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86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Shareholder</w:t>
            </w:r>
          </w:p>
        </w:tc>
        <w:tc>
          <w:tcPr>
            <w:tcW w:w="2640" w:type="dxa"/>
            <w:vAlign w:val="bottom"/>
            <w:tcBorders>
              <w:top w:val="single" w:sz="8" w:color="auto"/>
              <w:bottom w:val="single" w:sz="8" w:color="auto"/>
              <w:right w:val="single" w:sz="8" w:color="auto"/>
            </w:tcBorders>
          </w:tcPr>
          <w:p>
            <w:pPr>
              <w:spacing w:after="0"/>
              <w:rPr>
                <w:sz w:val="19"/>
                <w:szCs w:val="19"/>
                <w:color w:val="auto"/>
              </w:rPr>
            </w:pPr>
          </w:p>
        </w:tc>
        <w:tc>
          <w:tcPr>
            <w:tcW w:w="4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Date:</w:t>
            </w:r>
          </w:p>
        </w:tc>
        <w:tc>
          <w:tcPr>
            <w:tcW w:w="900" w:type="dxa"/>
            <w:vAlign w:val="bottom"/>
            <w:tcBorders>
              <w:top w:val="single" w:sz="8" w:color="auto"/>
              <w:bottom w:val="single" w:sz="8" w:color="auto"/>
              <w:right w:val="single" w:sz="8" w:color="auto"/>
            </w:tcBorders>
          </w:tcPr>
          <w:p>
            <w:pPr>
              <w:spacing w:after="0"/>
              <w:rPr>
                <w:sz w:val="19"/>
                <w:szCs w:val="19"/>
                <w:color w:val="auto"/>
              </w:rPr>
            </w:pP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Signature of Shareholder</w:t>
            </w:r>
          </w:p>
        </w:tc>
        <w:tc>
          <w:tcPr>
            <w:tcW w:w="2500" w:type="dxa"/>
            <w:vAlign w:val="bottom"/>
            <w:tcBorders>
              <w:top w:val="single" w:sz="8" w:color="auto"/>
              <w:bottom w:val="single" w:sz="8" w:color="auto"/>
              <w:right w:val="single" w:sz="8" w:color="auto"/>
            </w:tcBorders>
          </w:tcPr>
          <w:p>
            <w:pPr>
              <w:spacing w:after="0"/>
              <w:rPr>
                <w:sz w:val="19"/>
                <w:szCs w:val="19"/>
                <w:color w:val="auto"/>
              </w:rPr>
            </w:pPr>
          </w:p>
        </w:tc>
        <w:tc>
          <w:tcPr>
            <w:tcW w:w="4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7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760" w:type="dxa"/>
            <w:vAlign w:val="bottom"/>
          </w:tcPr>
          <w:p>
            <w:pPr>
              <w:ind w:left="220"/>
              <w:spacing w:after="0"/>
              <w:rPr>
                <w:sz w:val="20"/>
                <w:szCs w:val="20"/>
                <w:color w:val="auto"/>
              </w:rPr>
            </w:pPr>
            <w:r>
              <w:rPr>
                <w:rFonts w:ascii="Arial" w:cs="Arial" w:eastAsia="Arial" w:hAnsi="Arial"/>
                <w:sz w:val="14"/>
                <w:szCs w:val="14"/>
                <w:b w:val="1"/>
                <w:bCs w:val="1"/>
                <w:color w:val="auto"/>
              </w:rPr>
              <w:t>Note:</w:t>
            </w:r>
          </w:p>
        </w:tc>
        <w:tc>
          <w:tcPr>
            <w:tcW w:w="10480" w:type="dxa"/>
            <w:vAlign w:val="bottom"/>
            <w:gridSpan w:val="8"/>
          </w:tcPr>
          <w:p>
            <w:pPr>
              <w:ind w:left="200"/>
              <w:spacing w:after="0"/>
              <w:rPr>
                <w:sz w:val="20"/>
                <w:szCs w:val="20"/>
                <w:color w:val="auto"/>
              </w:rPr>
            </w:pPr>
            <w:r>
              <w:rPr>
                <w:rFonts w:ascii="Arial" w:cs="Arial" w:eastAsia="Arial" w:hAnsi="Arial"/>
                <w:sz w:val="14"/>
                <w:szCs w:val="14"/>
                <w:color w:val="auto"/>
                <w:w w:val="92"/>
              </w:rPr>
              <w:t>Please sign exactly as your name or names appear on this Proxy. When shares are held jointly, each holder should sign. When signing as executor, administrator, attorney, trustee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8"/>
                <w:szCs w:val="18"/>
                <w:color w:val="auto"/>
              </w:rPr>
              <w:t>¢</w:t>
            </w:r>
          </w:p>
        </w:tc>
        <w:tc>
          <w:tcPr>
            <w:tcW w:w="10480" w:type="dxa"/>
            <w:vAlign w:val="bottom"/>
            <w:gridSpan w:val="8"/>
          </w:tcPr>
          <w:p>
            <w:pPr>
              <w:ind w:left="200"/>
              <w:spacing w:after="0" w:line="149" w:lineRule="exact"/>
              <w:rPr>
                <w:sz w:val="20"/>
                <w:szCs w:val="20"/>
                <w:color w:val="auto"/>
              </w:rPr>
            </w:pPr>
            <w:r>
              <w:rPr>
                <w:rFonts w:ascii="Arial" w:cs="Arial" w:eastAsia="Arial" w:hAnsi="Arial"/>
                <w:sz w:val="14"/>
                <w:szCs w:val="14"/>
                <w:color w:val="auto"/>
              </w:rPr>
              <w:t>or guardian, please give full title as such. If the signer is a corporation, please sign full corporate name by duly authorized officer, giving full title as such. If signer is a</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760" w:type="dxa"/>
            <w:vAlign w:val="bottom"/>
            <w:vMerge w:val="continue"/>
          </w:tcPr>
          <w:p>
            <w:pPr>
              <w:spacing w:after="0"/>
              <w:rPr>
                <w:sz w:val="15"/>
                <w:szCs w:val="15"/>
                <w:color w:val="auto"/>
              </w:rPr>
            </w:pPr>
          </w:p>
        </w:tc>
        <w:tc>
          <w:tcPr>
            <w:tcW w:w="4220" w:type="dxa"/>
            <w:vAlign w:val="bottom"/>
            <w:gridSpan w:val="3"/>
          </w:tcPr>
          <w:p>
            <w:pPr>
              <w:ind w:left="200"/>
              <w:spacing w:after="0"/>
              <w:rPr>
                <w:sz w:val="20"/>
                <w:szCs w:val="20"/>
                <w:color w:val="auto"/>
              </w:rPr>
            </w:pPr>
            <w:r>
              <w:rPr>
                <w:rFonts w:ascii="Arial" w:cs="Arial" w:eastAsia="Arial" w:hAnsi="Arial"/>
                <w:sz w:val="14"/>
                <w:szCs w:val="14"/>
                <w:color w:val="auto"/>
                <w:w w:val="95"/>
              </w:rPr>
              <w:t>partnership, please sign in partnership name by authorized person.</w:t>
            </w: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0120"/>
        <w:spacing w:after="0"/>
        <w:tabs>
          <w:tab w:leader="none" w:pos="11320" w:val="left"/>
        </w:tabs>
        <w:rPr>
          <w:sz w:val="20"/>
          <w:szCs w:val="20"/>
          <w:color w:val="auto"/>
        </w:rPr>
      </w:pPr>
      <w:r>
        <w:rPr>
          <w:rFonts w:ascii="Arial" w:cs="Arial" w:eastAsia="Arial" w:hAnsi="Arial"/>
          <w:sz w:val="18"/>
          <w:szCs w:val="18"/>
          <w:color w:val="auto"/>
        </w:rPr>
        <w:t>0</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undersigned hereby appoints Robert A. Minicucci and Amir Kaiser as Proxies, each with the power to appoint his substitute, and hereby authorizes them to represent and vote, as designated on the reverse side, all Ordinary Shares of Amdocs Limited (the “Company”) held of record by the undersigned on December 1, 2014, at the annual General Meeting of shareholders to be held on January 28, 2015 or any adjournment thereof.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jc w:val="right"/>
              <w:ind w:right="5250"/>
              <w:spacing w:after="0"/>
              <w:rPr>
                <w:sz w:val="20"/>
                <w:szCs w:val="20"/>
                <w:color w:val="auto"/>
              </w:rPr>
            </w:pPr>
            <w:r>
              <w:rPr>
                <w:rFonts w:ascii="Arial" w:cs="Arial" w:eastAsia="Arial" w:hAnsi="Arial"/>
                <w:sz w:val="18"/>
                <w:szCs w:val="18"/>
                <w:color w:val="auto"/>
                <w:w w:val="79"/>
              </w:rPr>
              <w:t>¢</w:t>
            </w:r>
          </w:p>
        </w:tc>
        <w:tc>
          <w:tcPr>
            <w:tcW w:w="5980" w:type="dxa"/>
            <w:vAlign w:val="bottom"/>
          </w:tcPr>
          <w:p>
            <w:pPr>
              <w:jc w:val="right"/>
              <w:spacing w:after="0"/>
              <w:rPr>
                <w:sz w:val="20"/>
                <w:szCs w:val="20"/>
                <w:color w:val="auto"/>
              </w:rPr>
            </w:pPr>
            <w:r>
              <w:rPr>
                <w:rFonts w:ascii="Arial" w:cs="Arial" w:eastAsia="Arial" w:hAnsi="Arial"/>
                <w:sz w:val="18"/>
                <w:szCs w:val="18"/>
                <w:color w:val="auto"/>
              </w:rPr>
              <w:t>14475 ¢</w:t>
            </w:r>
          </w:p>
        </w:tc>
      </w:tr>
    </w:tbl>
    <w:p>
      <w:pPr>
        <w:sectPr>
          <w:pgSz w:w="11900" w:h="16838" w:orient="portrait"/>
          <w:cols w:equalWidth="0" w:num="1">
            <w:col w:w="11420"/>
          </w:cols>
          <w:pgMar w:left="240" w:top="1440"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GENERAL MEETING OF SHAREHOLDERS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172085</wp:posOffset>
            </wp:positionV>
            <wp:extent cx="2555875" cy="3175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55875" cy="317500"/>
                    </a:xfrm>
                    <a:prstGeom prst="rect">
                      <a:avLst/>
                    </a:prstGeom>
                    <a:noFill/>
                  </pic:spPr>
                </pic:pic>
              </a:graphicData>
            </a:graphic>
          </wp:anchor>
        </w:drawing>
      </w: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1440"/>
          </w:cols>
          <w:pgMar w:left="240" w:top="270" w:right="2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 </w:t>
      </w:r>
      <w:r>
        <w:rPr>
          <w:rFonts w:ascii="Arial" w:cs="Arial" w:eastAsia="Arial" w:hAnsi="Arial"/>
          <w:sz w:val="18"/>
          <w:szCs w:val="18"/>
          <w:color w:val="auto"/>
        </w:rPr>
        <w:t>Access “</w:t>
      </w:r>
      <w:r>
        <w:rPr>
          <w:rFonts w:ascii="Arial" w:cs="Arial" w:eastAsia="Arial" w:hAnsi="Arial"/>
          <w:sz w:val="18"/>
          <w:szCs w:val="18"/>
          <w:b w:val="1"/>
          <w:bCs w:val="1"/>
          <w:color w:val="auto"/>
        </w:rPr>
        <w:t>www.voteproxy.com</w:t>
      </w:r>
      <w:r>
        <w:rPr>
          <w:rFonts w:ascii="Arial" w:cs="Arial" w:eastAsia="Arial" w:hAnsi="Arial"/>
          <w:sz w:val="18"/>
          <w:szCs w:val="18"/>
          <w:color w:val="auto"/>
        </w:rPr>
        <w:t>” and follow the on-screen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or scan the QR code with your smartphone. Have your proxy card available when you access the web page.</w:t>
      </w:r>
    </w:p>
    <w:p>
      <w:pPr>
        <w:spacing w:after="0" w:line="8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xml:space="preserve"> - </w:t>
      </w:r>
      <w:r>
        <w:rPr>
          <w:rFonts w:ascii="Arial" w:cs="Arial" w:eastAsia="Arial" w:hAnsi="Arial"/>
          <w:sz w:val="18"/>
          <w:szCs w:val="18"/>
          <w:color w:val="auto"/>
        </w:rPr>
        <w:t>Call toll-free</w:t>
      </w:r>
      <w:r>
        <w:rPr>
          <w:rFonts w:ascii="Arial" w:cs="Arial" w:eastAsia="Arial" w:hAnsi="Arial"/>
          <w:sz w:val="18"/>
          <w:szCs w:val="18"/>
          <w:b w:val="1"/>
          <w:bCs w:val="1"/>
          <w:color w:val="auto"/>
        </w:rPr>
        <w:t xml:space="preserve"> 1-800-PROXIES </w:t>
      </w:r>
      <w:r>
        <w:rPr>
          <w:rFonts w:ascii="Arial" w:cs="Arial" w:eastAsia="Arial" w:hAnsi="Arial"/>
          <w:sz w:val="18"/>
          <w:szCs w:val="18"/>
          <w:color w:val="auto"/>
        </w:rPr>
        <w:t>(1-800-776-9437)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United States or </w:t>
      </w:r>
      <w:r>
        <w:rPr>
          <w:rFonts w:ascii="Arial" w:cs="Arial" w:eastAsia="Arial" w:hAnsi="Arial"/>
          <w:sz w:val="18"/>
          <w:szCs w:val="18"/>
          <w:b w:val="1"/>
          <w:bCs w:val="1"/>
          <w:color w:val="auto"/>
        </w:rPr>
        <w:t>1-718-921-8500</w:t>
      </w:r>
      <w:r>
        <w:rPr>
          <w:rFonts w:ascii="Arial" w:cs="Arial" w:eastAsia="Arial" w:hAnsi="Arial"/>
          <w:sz w:val="18"/>
          <w:szCs w:val="18"/>
          <w:color w:val="auto"/>
        </w:rPr>
        <w:t xml:space="preserve"> from foreign countries from any touch-tone telephone and follow the instructions. Have your proxy card available when you call.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Vote online/phone until 11:59 PM EST the day before the meeting.</w:t>
      </w:r>
    </w:p>
    <w:p>
      <w:pPr>
        <w:spacing w:after="0" w:line="12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 </w:t>
      </w:r>
      <w:r>
        <w:rPr>
          <w:rFonts w:ascii="Arial" w:cs="Arial" w:eastAsia="Arial" w:hAnsi="Arial"/>
          <w:sz w:val="18"/>
          <w:szCs w:val="18"/>
          <w:color w:val="auto"/>
        </w:rPr>
        <w:t>Sign, date and mail your proxy card in the envelope provided as soon</w:t>
      </w:r>
      <w:r>
        <w:rPr>
          <w:rFonts w:ascii="Arial" w:cs="Arial" w:eastAsia="Arial" w:hAnsi="Arial"/>
          <w:sz w:val="18"/>
          <w:szCs w:val="18"/>
          <w:b w:val="1"/>
          <w:bCs w:val="1"/>
          <w:color w:val="auto"/>
        </w:rPr>
        <w:t xml:space="preserve"> </w:t>
      </w:r>
      <w:r>
        <w:rPr>
          <w:rFonts w:ascii="Arial" w:cs="Arial" w:eastAsia="Arial" w:hAnsi="Arial"/>
          <w:sz w:val="18"/>
          <w:szCs w:val="18"/>
          <w:color w:val="auto"/>
        </w:rPr>
        <w:t>as possible.</w:t>
      </w:r>
    </w:p>
    <w:p>
      <w:pPr>
        <w:spacing w:after="0" w:line="6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u w:val="single" w:color="auto"/>
          <w:color w:val="auto"/>
        </w:rPr>
        <w:t>IN PERSON</w:t>
      </w:r>
      <w:r>
        <w:rPr>
          <w:rFonts w:ascii="Arial" w:cs="Arial" w:eastAsia="Arial" w:hAnsi="Arial"/>
          <w:sz w:val="18"/>
          <w:szCs w:val="18"/>
          <w:b w:val="1"/>
          <w:bCs w:val="1"/>
          <w:color w:val="auto"/>
        </w:rPr>
        <w:t xml:space="preserve"> - </w:t>
      </w:r>
      <w:r>
        <w:rPr>
          <w:rFonts w:ascii="Arial" w:cs="Arial" w:eastAsia="Arial" w:hAnsi="Arial"/>
          <w:sz w:val="18"/>
          <w:szCs w:val="18"/>
          <w:color w:val="auto"/>
        </w:rPr>
        <w:t>You may vote your shares in person by attending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-197485</wp:posOffset>
            </wp:positionV>
            <wp:extent cx="3181350" cy="909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81350" cy="909320"/>
                    </a:xfrm>
                    <a:prstGeom prst="rect">
                      <a:avLst/>
                    </a:prstGeom>
                    <a:noFill/>
                  </pic:spPr>
                </pic:pic>
              </a:graphicData>
            </a:graphic>
          </wp:anchor>
        </w:drawing>
        <w:drawing>
          <wp:anchor simplePos="0" relativeHeight="251657728" behindDoc="1" locked="0" layoutInCell="0" allowOverlap="1">
            <wp:simplePos x="0" y="0"/>
            <wp:positionH relativeFrom="column">
              <wp:posOffset>-195580</wp:posOffset>
            </wp:positionH>
            <wp:positionV relativeFrom="paragraph">
              <wp:posOffset>-1012190</wp:posOffset>
            </wp:positionV>
            <wp:extent cx="497205" cy="4972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 NUMBER</w:t>
      </w:r>
    </w:p>
    <w:p>
      <w:pPr>
        <w:spacing w:after="0" w:line="1222" w:lineRule="exact"/>
        <w:rPr>
          <w:sz w:val="20"/>
          <w:szCs w:val="20"/>
          <w:color w:val="auto"/>
        </w:rPr>
      </w:pPr>
    </w:p>
    <w:p>
      <w:pPr>
        <w:sectPr>
          <w:pgSz w:w="11900" w:h="16838" w:orient="portrait"/>
          <w:cols w:equalWidth="0" w:num="2">
            <w:col w:w="6120" w:space="720"/>
            <w:col w:w="4600"/>
          </w:cols>
          <w:pgMar w:left="240" w:top="270" w:right="219" w:bottom="1440" w:gutter="0" w:footer="0" w:header="0"/>
          <w:type w:val="continuous"/>
        </w:sectPr>
      </w:pPr>
    </w:p>
    <w:p>
      <w:pPr>
        <w:spacing w:after="0" w:line="7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color w:val="auto"/>
        </w:rPr>
        <w:t>: The Notice of Meeting, Proxy Statement, Proxy Card are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www.amdocs.com/proxy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254875" cy="29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9146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i Please detach along perforated line and mail in the envelope provided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you are not voting via telephone or the Internet. i</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AMDOCS’ BOARD OF DIRECTORS RECOMMENDS A VOTE “FOR”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20"/>
        <w:spacing w:after="0" w:line="226" w:lineRule="auto"/>
        <w:rPr>
          <w:sz w:val="20"/>
          <w:szCs w:val="20"/>
          <w:color w:val="auto"/>
        </w:rPr>
      </w:pPr>
      <w:r>
        <w:rPr>
          <w:rFonts w:ascii="Arial" w:cs="Arial" w:eastAsia="Arial" w:hAnsi="Arial"/>
          <w:sz w:val="14"/>
          <w:szCs w:val="14"/>
          <w:b w:val="1"/>
          <w:bCs w:val="1"/>
          <w:color w:val="auto"/>
        </w:rPr>
        <w:t>AND A VOTE “FOR” PROPOSALS 2, 3, 4 AND 5.</w:t>
      </w:r>
    </w:p>
    <w:p>
      <w:pPr>
        <w:jc w:val="center"/>
        <w:ind w:right="20"/>
        <w:spacing w:after="0" w:line="234" w:lineRule="auto"/>
        <w:rPr>
          <w:sz w:val="20"/>
          <w:szCs w:val="20"/>
          <w:color w:val="auto"/>
        </w:rPr>
      </w:pPr>
      <w:r>
        <w:rPr>
          <w:rFonts w:ascii="Arial" w:cs="Arial" w:eastAsia="Arial" w:hAnsi="Arial"/>
          <w:sz w:val="14"/>
          <w:szCs w:val="14"/>
          <w:b w:val="1"/>
          <w:bCs w:val="1"/>
          <w:color w:val="auto"/>
        </w:rPr>
        <w:t>PLEASE SIGN, DATE AND RETURN PROMPTLY IN THE ENCLOSED ENVELOPE. PLEASE MARK YOUR VOTE IN BLUE OR BLACK INK AS</w:t>
      </w:r>
    </w:p>
    <w:p>
      <w:pPr>
        <w:jc w:val="center"/>
        <w:ind w:right="20"/>
        <w:spacing w:after="0" w:line="161" w:lineRule="exact"/>
        <w:rPr>
          <w:sz w:val="20"/>
          <w:szCs w:val="20"/>
          <w:color w:val="auto"/>
        </w:rPr>
      </w:pPr>
      <w:r>
        <w:rPr>
          <w:rFonts w:ascii="Arial" w:cs="Arial" w:eastAsia="Arial" w:hAnsi="Arial"/>
          <w:sz w:val="14"/>
          <w:szCs w:val="14"/>
          <w:b w:val="1"/>
          <w:bCs w:val="1"/>
          <w:color w:val="auto"/>
        </w:rPr>
        <w:t xml:space="preserve">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69870" cy="3061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69870" cy="306133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6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1.   ELECTION OF DIRECTORS:</w:t>
            </w: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FOR</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AGAINST</w:t>
            </w: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ABSTAIN</w:t>
            </w:r>
          </w:p>
        </w:tc>
        <w:tc>
          <w:tcPr>
            <w:tcW w:w="5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FOR</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AGAINST</w:t>
            </w: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3"/>
        </w:trPr>
        <w:tc>
          <w:tcPr>
            <w:tcW w:w="2360" w:type="dxa"/>
            <w:vAlign w:val="bottom"/>
          </w:tcPr>
          <w:p>
            <w:pPr>
              <w:ind w:left="580"/>
              <w:spacing w:after="0"/>
              <w:rPr>
                <w:sz w:val="20"/>
                <w:szCs w:val="20"/>
                <w:color w:val="auto"/>
              </w:rPr>
            </w:pPr>
            <w:r>
              <w:rPr>
                <w:rFonts w:ascii="Arial" w:cs="Arial" w:eastAsia="Arial" w:hAnsi="Arial"/>
                <w:sz w:val="14"/>
                <w:szCs w:val="14"/>
                <w:color w:val="auto"/>
              </w:rPr>
              <w:t>Robert A. Minicucci</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40" w:type="dxa"/>
            <w:vAlign w:val="bottom"/>
          </w:tcPr>
          <w:p>
            <w:pPr>
              <w:ind w:left="140"/>
              <w:spacing w:after="0"/>
              <w:rPr>
                <w:sz w:val="20"/>
                <w:szCs w:val="20"/>
                <w:color w:val="auto"/>
              </w:rPr>
            </w:pPr>
            <w:r>
              <w:rPr>
                <w:rFonts w:ascii="Arial" w:cs="Arial" w:eastAsia="Arial" w:hAnsi="Arial"/>
                <w:sz w:val="14"/>
                <w:szCs w:val="14"/>
                <w:color w:val="auto"/>
                <w:w w:val="96"/>
              </w:rPr>
              <w:t>2.   To approve an increase in the dividend rate under our quarterly cash dividend</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2"/>
        </w:trPr>
        <w:tc>
          <w:tcPr>
            <w:tcW w:w="2360" w:type="dxa"/>
            <w:vAlign w:val="bottom"/>
            <w:vMerge w:val="restart"/>
          </w:tcPr>
          <w:p>
            <w:pPr>
              <w:ind w:left="580"/>
              <w:spacing w:after="0"/>
              <w:rPr>
                <w:sz w:val="20"/>
                <w:szCs w:val="20"/>
                <w:color w:val="auto"/>
              </w:rPr>
            </w:pPr>
            <w:r>
              <w:rPr>
                <w:rFonts w:ascii="Arial" w:cs="Arial" w:eastAsia="Arial" w:hAnsi="Arial"/>
                <w:sz w:val="14"/>
                <w:szCs w:val="14"/>
                <w:color w:val="auto"/>
              </w:rPr>
              <w:t>Adrian Gardner</w:t>
            </w:r>
          </w:p>
        </w:tc>
        <w:tc>
          <w:tcPr>
            <w:tcW w:w="5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40" w:type="dxa"/>
            <w:vAlign w:val="bottom"/>
          </w:tcPr>
          <w:p>
            <w:pPr>
              <w:ind w:left="420"/>
              <w:spacing w:after="0"/>
              <w:rPr>
                <w:sz w:val="20"/>
                <w:szCs w:val="20"/>
                <w:color w:val="auto"/>
              </w:rPr>
            </w:pPr>
            <w:r>
              <w:rPr>
                <w:rFonts w:ascii="Arial" w:cs="Arial" w:eastAsia="Arial" w:hAnsi="Arial"/>
                <w:sz w:val="14"/>
                <w:szCs w:val="14"/>
                <w:color w:val="auto"/>
              </w:rPr>
              <w:t>program from $0.155 per share to $0.17 per share (Proposal II).</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360" w:type="dxa"/>
            <w:vAlign w:val="bottom"/>
          </w:tcPr>
          <w:p>
            <w:pPr>
              <w:ind w:left="580"/>
              <w:spacing w:after="0"/>
              <w:rPr>
                <w:sz w:val="20"/>
                <w:szCs w:val="20"/>
                <w:color w:val="auto"/>
              </w:rPr>
            </w:pPr>
            <w:r>
              <w:rPr>
                <w:rFonts w:ascii="Arial" w:cs="Arial" w:eastAsia="Arial" w:hAnsi="Arial"/>
                <w:sz w:val="14"/>
                <w:szCs w:val="14"/>
                <w:color w:val="auto"/>
              </w:rPr>
              <w:t>John T. McLennan</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40" w:type="dxa"/>
            <w:vAlign w:val="bottom"/>
          </w:tcPr>
          <w:p>
            <w:pPr>
              <w:ind w:left="140"/>
              <w:spacing w:after="0"/>
              <w:rPr>
                <w:sz w:val="20"/>
                <w:szCs w:val="20"/>
                <w:color w:val="auto"/>
              </w:rPr>
            </w:pPr>
            <w:r>
              <w:rPr>
                <w:rFonts w:ascii="Arial" w:cs="Arial" w:eastAsia="Arial" w:hAnsi="Arial"/>
                <w:sz w:val="14"/>
                <w:szCs w:val="14"/>
                <w:color w:val="auto"/>
                <w:w w:val="97"/>
              </w:rPr>
              <w:t>3.   To approve an extension of the term of our stock option plan to January 2025</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2"/>
        </w:trPr>
        <w:tc>
          <w:tcPr>
            <w:tcW w:w="2360" w:type="dxa"/>
            <w:vAlign w:val="bottom"/>
            <w:vMerge w:val="restart"/>
          </w:tcPr>
          <w:p>
            <w:pPr>
              <w:ind w:left="580"/>
              <w:spacing w:after="0"/>
              <w:rPr>
                <w:sz w:val="20"/>
                <w:szCs w:val="20"/>
                <w:color w:val="auto"/>
              </w:rPr>
            </w:pPr>
            <w:r>
              <w:rPr>
                <w:rFonts w:ascii="Arial" w:cs="Arial" w:eastAsia="Arial" w:hAnsi="Arial"/>
                <w:sz w:val="14"/>
                <w:szCs w:val="14"/>
                <w:color w:val="auto"/>
              </w:rPr>
              <w:t>Simon Olswang</w:t>
            </w:r>
          </w:p>
        </w:tc>
        <w:tc>
          <w:tcPr>
            <w:tcW w:w="5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40" w:type="dxa"/>
            <w:vAlign w:val="bottom"/>
          </w:tcPr>
          <w:p>
            <w:pPr>
              <w:ind w:left="420"/>
              <w:spacing w:after="0"/>
              <w:rPr>
                <w:sz w:val="20"/>
                <w:szCs w:val="20"/>
                <w:color w:val="auto"/>
              </w:rPr>
            </w:pPr>
            <w:r>
              <w:rPr>
                <w:rFonts w:ascii="Arial" w:cs="Arial" w:eastAsia="Arial" w:hAnsi="Arial"/>
                <w:sz w:val="14"/>
                <w:szCs w:val="14"/>
                <w:color w:val="auto"/>
              </w:rPr>
              <w:t>(Proposal III).</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360" w:type="dxa"/>
            <w:vAlign w:val="bottom"/>
          </w:tcPr>
          <w:p>
            <w:pPr>
              <w:ind w:left="580"/>
              <w:spacing w:after="0"/>
              <w:rPr>
                <w:sz w:val="20"/>
                <w:szCs w:val="20"/>
                <w:color w:val="auto"/>
              </w:rPr>
            </w:pPr>
            <w:r>
              <w:rPr>
                <w:rFonts w:ascii="Arial" w:cs="Arial" w:eastAsia="Arial" w:hAnsi="Arial"/>
                <w:sz w:val="14"/>
                <w:szCs w:val="14"/>
                <w:color w:val="auto"/>
              </w:rPr>
              <w:t>Zohar Zisapel</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40" w:type="dxa"/>
            <w:vAlign w:val="bottom"/>
          </w:tcPr>
          <w:p>
            <w:pPr>
              <w:ind w:left="140"/>
              <w:spacing w:after="0"/>
              <w:rPr>
                <w:sz w:val="20"/>
                <w:szCs w:val="20"/>
                <w:color w:val="auto"/>
              </w:rPr>
            </w:pPr>
            <w:r>
              <w:rPr>
                <w:rFonts w:ascii="Arial" w:cs="Arial" w:eastAsia="Arial" w:hAnsi="Arial"/>
                <w:sz w:val="14"/>
                <w:szCs w:val="14"/>
                <w:color w:val="auto"/>
                <w:w w:val="99"/>
              </w:rPr>
              <w:t>4.   To approve our Consolidated Financial Statements for the fiscal year ended</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2"/>
        </w:trPr>
        <w:tc>
          <w:tcPr>
            <w:tcW w:w="2360" w:type="dxa"/>
            <w:vAlign w:val="bottom"/>
            <w:vMerge w:val="restart"/>
          </w:tcPr>
          <w:p>
            <w:pPr>
              <w:ind w:left="580"/>
              <w:spacing w:after="0"/>
              <w:rPr>
                <w:sz w:val="20"/>
                <w:szCs w:val="20"/>
                <w:color w:val="auto"/>
              </w:rPr>
            </w:pPr>
            <w:r>
              <w:rPr>
                <w:rFonts w:ascii="Arial" w:cs="Arial" w:eastAsia="Arial" w:hAnsi="Arial"/>
                <w:sz w:val="14"/>
                <w:szCs w:val="14"/>
                <w:color w:val="auto"/>
              </w:rPr>
              <w:t>Julian A. Brodsky</w:t>
            </w:r>
          </w:p>
        </w:tc>
        <w:tc>
          <w:tcPr>
            <w:tcW w:w="5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40" w:type="dxa"/>
            <w:vAlign w:val="bottom"/>
          </w:tcPr>
          <w:p>
            <w:pPr>
              <w:ind w:left="420"/>
              <w:spacing w:after="0"/>
              <w:rPr>
                <w:sz w:val="20"/>
                <w:szCs w:val="20"/>
                <w:color w:val="auto"/>
              </w:rPr>
            </w:pPr>
            <w:r>
              <w:rPr>
                <w:rFonts w:ascii="Arial" w:cs="Arial" w:eastAsia="Arial" w:hAnsi="Arial"/>
                <w:sz w:val="14"/>
                <w:szCs w:val="14"/>
                <w:color w:val="auto"/>
              </w:rPr>
              <w:t>September 30, 2014 (Proposal IV).</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360" w:type="dxa"/>
            <w:vAlign w:val="bottom"/>
          </w:tcPr>
          <w:p>
            <w:pPr>
              <w:ind w:left="580"/>
              <w:spacing w:after="0"/>
              <w:rPr>
                <w:sz w:val="20"/>
                <w:szCs w:val="20"/>
                <w:color w:val="auto"/>
              </w:rPr>
            </w:pPr>
            <w:r>
              <w:rPr>
                <w:rFonts w:ascii="Arial" w:cs="Arial" w:eastAsia="Arial" w:hAnsi="Arial"/>
                <w:sz w:val="14"/>
                <w:szCs w:val="14"/>
                <w:color w:val="auto"/>
              </w:rPr>
              <w:t>Clayton Christensen</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40" w:type="dxa"/>
            <w:vAlign w:val="bottom"/>
          </w:tcPr>
          <w:p>
            <w:pPr>
              <w:ind w:left="140"/>
              <w:spacing w:after="0"/>
              <w:rPr>
                <w:sz w:val="20"/>
                <w:szCs w:val="20"/>
                <w:color w:val="auto"/>
              </w:rPr>
            </w:pPr>
            <w:r>
              <w:rPr>
                <w:rFonts w:ascii="Arial" w:cs="Arial" w:eastAsia="Arial" w:hAnsi="Arial"/>
                <w:sz w:val="14"/>
                <w:szCs w:val="14"/>
                <w:color w:val="auto"/>
              </w:rPr>
              <w:t>5.   To ratify and approve the appointment of Ernst &amp; Young LLP as our</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3"/>
        </w:trPr>
        <w:tc>
          <w:tcPr>
            <w:tcW w:w="2360" w:type="dxa"/>
            <w:vAlign w:val="bottom"/>
            <w:vMerge w:val="restart"/>
          </w:tcPr>
          <w:p>
            <w:pPr>
              <w:ind w:left="580"/>
              <w:spacing w:after="0"/>
              <w:rPr>
                <w:sz w:val="20"/>
                <w:szCs w:val="20"/>
                <w:color w:val="auto"/>
              </w:rPr>
            </w:pPr>
            <w:r>
              <w:rPr>
                <w:rFonts w:ascii="Arial" w:cs="Arial" w:eastAsia="Arial" w:hAnsi="Arial"/>
                <w:sz w:val="14"/>
                <w:szCs w:val="14"/>
                <w:color w:val="auto"/>
              </w:rPr>
              <w:t>Eli Gelman</w:t>
            </w:r>
          </w:p>
        </w:tc>
        <w:tc>
          <w:tcPr>
            <w:tcW w:w="5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40" w:type="dxa"/>
            <w:vAlign w:val="bottom"/>
          </w:tcPr>
          <w:p>
            <w:pPr>
              <w:ind w:left="420"/>
              <w:spacing w:after="0" w:line="143" w:lineRule="exact"/>
              <w:rPr>
                <w:sz w:val="20"/>
                <w:szCs w:val="20"/>
                <w:color w:val="auto"/>
              </w:rPr>
            </w:pPr>
            <w:r>
              <w:rPr>
                <w:rFonts w:ascii="Arial" w:cs="Arial" w:eastAsia="Arial" w:hAnsi="Arial"/>
                <w:sz w:val="14"/>
                <w:szCs w:val="14"/>
                <w:color w:val="auto"/>
              </w:rPr>
              <w:t>independent registered public accounting firm for the fiscal year ending</w:t>
            </w: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3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5040" w:type="dxa"/>
            <w:vAlign w:val="bottom"/>
          </w:tcPr>
          <w:p>
            <w:pPr>
              <w:ind w:left="420"/>
              <w:spacing w:after="0" w:line="154" w:lineRule="exact"/>
              <w:rPr>
                <w:sz w:val="20"/>
                <w:szCs w:val="20"/>
                <w:color w:val="auto"/>
              </w:rPr>
            </w:pPr>
            <w:r>
              <w:rPr>
                <w:rFonts w:ascii="Arial" w:cs="Arial" w:eastAsia="Arial" w:hAnsi="Arial"/>
                <w:sz w:val="14"/>
                <w:szCs w:val="14"/>
                <w:color w:val="auto"/>
                <w:w w:val="95"/>
              </w:rPr>
              <w:t>September 30, 2015, and until the next annual general meeting, and authorize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360" w:type="dxa"/>
            <w:vAlign w:val="bottom"/>
            <w:vMerge w:val="restart"/>
          </w:tcPr>
          <w:p>
            <w:pPr>
              <w:ind w:left="580"/>
              <w:spacing w:after="0"/>
              <w:rPr>
                <w:sz w:val="20"/>
                <w:szCs w:val="20"/>
                <w:color w:val="auto"/>
              </w:rPr>
            </w:pPr>
            <w:r>
              <w:rPr>
                <w:rFonts w:ascii="Arial" w:cs="Arial" w:eastAsia="Arial" w:hAnsi="Arial"/>
                <w:sz w:val="14"/>
                <w:szCs w:val="14"/>
                <w:color w:val="auto"/>
              </w:rPr>
              <w:t>James S. Kahan</w:t>
            </w:r>
          </w:p>
        </w:tc>
        <w:tc>
          <w:tcPr>
            <w:tcW w:w="5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40" w:type="dxa"/>
            <w:vAlign w:val="bottom"/>
          </w:tcPr>
          <w:p>
            <w:pPr>
              <w:ind w:left="420"/>
              <w:spacing w:after="0" w:line="143" w:lineRule="exact"/>
              <w:rPr>
                <w:sz w:val="20"/>
                <w:szCs w:val="20"/>
                <w:color w:val="auto"/>
              </w:rPr>
            </w:pPr>
            <w:r>
              <w:rPr>
                <w:rFonts w:ascii="Arial" w:cs="Arial" w:eastAsia="Arial" w:hAnsi="Arial"/>
                <w:sz w:val="14"/>
                <w:szCs w:val="14"/>
                <w:color w:val="auto"/>
                <w:w w:val="96"/>
              </w:rPr>
              <w:t>the Audit Committee of the Board of Directors to fix the remuneration of such</w:t>
            </w: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3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5040" w:type="dxa"/>
            <w:vAlign w:val="bottom"/>
          </w:tcPr>
          <w:p>
            <w:pPr>
              <w:ind w:left="420"/>
              <w:spacing w:after="0" w:line="154" w:lineRule="exact"/>
              <w:rPr>
                <w:sz w:val="20"/>
                <w:szCs w:val="20"/>
                <w:color w:val="auto"/>
              </w:rPr>
            </w:pPr>
            <w:r>
              <w:rPr>
                <w:rFonts w:ascii="Arial" w:cs="Arial" w:eastAsia="Arial" w:hAnsi="Arial"/>
                <w:sz w:val="14"/>
                <w:szCs w:val="14"/>
                <w:color w:val="auto"/>
                <w:w w:val="98"/>
              </w:rPr>
              <w:t>independent registered public accounting firm in accordance with the nature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360" w:type="dxa"/>
            <w:vAlign w:val="bottom"/>
            <w:vMerge w:val="restart"/>
          </w:tcPr>
          <w:p>
            <w:pPr>
              <w:ind w:left="580"/>
              <w:spacing w:after="0"/>
              <w:rPr>
                <w:sz w:val="20"/>
                <w:szCs w:val="20"/>
                <w:color w:val="auto"/>
              </w:rPr>
            </w:pPr>
            <w:r>
              <w:rPr>
                <w:rFonts w:ascii="Arial" w:cs="Arial" w:eastAsia="Arial" w:hAnsi="Arial"/>
                <w:sz w:val="14"/>
                <w:szCs w:val="14"/>
                <w:color w:val="auto"/>
              </w:rPr>
              <w:t>Richard T.C. LeFave</w:t>
            </w:r>
          </w:p>
        </w:tc>
        <w:tc>
          <w:tcPr>
            <w:tcW w:w="5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40" w:type="dxa"/>
            <w:vAlign w:val="bottom"/>
          </w:tcPr>
          <w:p>
            <w:pPr>
              <w:ind w:left="420"/>
              <w:spacing w:after="0"/>
              <w:rPr>
                <w:sz w:val="20"/>
                <w:szCs w:val="20"/>
                <w:color w:val="auto"/>
              </w:rPr>
            </w:pPr>
            <w:r>
              <w:rPr>
                <w:rFonts w:ascii="Arial" w:cs="Arial" w:eastAsia="Arial" w:hAnsi="Arial"/>
                <w:sz w:val="14"/>
                <w:szCs w:val="14"/>
                <w:color w:val="auto"/>
              </w:rPr>
              <w:t>and extent of its services (Proposal V).</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3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0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360" w:type="dxa"/>
            <w:vAlign w:val="bottom"/>
            <w:vMerge w:val="restart"/>
          </w:tcPr>
          <w:p>
            <w:pPr>
              <w:ind w:left="580"/>
              <w:spacing w:after="0"/>
              <w:rPr>
                <w:sz w:val="20"/>
                <w:szCs w:val="20"/>
                <w:color w:val="auto"/>
              </w:rPr>
            </w:pPr>
            <w:r>
              <w:rPr>
                <w:rFonts w:ascii="Arial" w:cs="Arial" w:eastAsia="Arial" w:hAnsi="Arial"/>
                <w:sz w:val="14"/>
                <w:szCs w:val="14"/>
                <w:color w:val="auto"/>
              </w:rPr>
              <w:t>Giora Yaron</w:t>
            </w:r>
          </w:p>
        </w:tc>
        <w:tc>
          <w:tcPr>
            <w:tcW w:w="5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5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720" w:type="dxa"/>
            <w:vAlign w:val="bottom"/>
            <w:tcBorders>
              <w:top w:val="single" w:sz="8" w:color="auto"/>
            </w:tcBorders>
            <w:gridSpan w:val="3"/>
          </w:tcPr>
          <w:p>
            <w:pPr>
              <w:spacing w:after="0" w:line="143" w:lineRule="exact"/>
              <w:rPr>
                <w:sz w:val="20"/>
                <w:szCs w:val="20"/>
                <w:color w:val="auto"/>
              </w:rPr>
            </w:pPr>
            <w:r>
              <w:rPr>
                <w:rFonts w:ascii="Arial" w:cs="Arial" w:eastAsia="Arial" w:hAnsi="Arial"/>
                <w:sz w:val="14"/>
                <w:szCs w:val="14"/>
                <w:color w:val="auto"/>
                <w:w w:val="95"/>
              </w:rPr>
              <w:t>To change the address on your account, please check the box</w:t>
            </w:r>
          </w:p>
        </w:tc>
        <w:tc>
          <w:tcPr>
            <w:tcW w:w="660" w:type="dxa"/>
            <w:vAlign w:val="bottom"/>
            <w:tcBorders>
              <w:top w:val="single" w:sz="8" w:color="auto"/>
            </w:tcBorders>
            <w:vMerge w:val="restart"/>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gridSpan w:val="2"/>
            <w:vMerge w:val="restart"/>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3"/>
          </w:tcPr>
          <w:p>
            <w:pPr>
              <w:spacing w:after="0" w:line="149" w:lineRule="exact"/>
              <w:rPr>
                <w:sz w:val="20"/>
                <w:szCs w:val="20"/>
                <w:color w:val="auto"/>
              </w:rPr>
            </w:pPr>
            <w:r>
              <w:rPr>
                <w:rFonts w:ascii="Arial" w:cs="Arial" w:eastAsia="Arial" w:hAnsi="Arial"/>
                <w:sz w:val="14"/>
                <w:szCs w:val="14"/>
                <w:color w:val="auto"/>
              </w:rPr>
              <w:t>at right and indicate your new address in the address space</w:t>
            </w:r>
          </w:p>
        </w:tc>
        <w:tc>
          <w:tcPr>
            <w:tcW w:w="66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3"/>
          </w:tcPr>
          <w:p>
            <w:pPr>
              <w:spacing w:after="0" w:line="149" w:lineRule="exact"/>
              <w:rPr>
                <w:sz w:val="20"/>
                <w:szCs w:val="20"/>
                <w:color w:val="auto"/>
              </w:rPr>
            </w:pPr>
            <w:r>
              <w:rPr>
                <w:rFonts w:ascii="Arial" w:cs="Arial" w:eastAsia="Arial" w:hAnsi="Arial"/>
                <w:sz w:val="14"/>
                <w:szCs w:val="14"/>
                <w:color w:val="auto"/>
                <w:w w:val="96"/>
              </w:rPr>
              <w:t>above. Please note that changes to the registered name(s) on</w:t>
            </w:r>
          </w:p>
        </w:tc>
        <w:tc>
          <w:tcPr>
            <w:tcW w:w="66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the account may not be submitted via this method.</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860" w:type="dxa"/>
            <w:vAlign w:val="bottom"/>
            <w:gridSpan w:val="2"/>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6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Shareholder</w:t>
            </w:r>
          </w:p>
        </w:tc>
        <w:tc>
          <w:tcPr>
            <w:tcW w:w="18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right w:val="single" w:sz="8" w:color="auto"/>
            </w:tcBorders>
          </w:tcPr>
          <w:p>
            <w:pPr>
              <w:spacing w:after="0"/>
              <w:rPr>
                <w:sz w:val="18"/>
                <w:szCs w:val="18"/>
                <w:color w:val="auto"/>
              </w:rPr>
            </w:pPr>
          </w:p>
        </w:tc>
        <w:tc>
          <w:tcPr>
            <w:tcW w:w="4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Date:</w:t>
            </w:r>
          </w:p>
        </w:tc>
        <w:tc>
          <w:tcPr>
            <w:tcW w:w="900" w:type="dxa"/>
            <w:vAlign w:val="bottom"/>
            <w:tcBorders>
              <w:top w:val="single" w:sz="8" w:color="auto"/>
              <w:bottom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Signature of Shareholder</w:t>
            </w:r>
          </w:p>
        </w:tc>
        <w:tc>
          <w:tcPr>
            <w:tcW w:w="2500" w:type="dxa"/>
            <w:vAlign w:val="bottom"/>
            <w:tcBorders>
              <w:top w:val="single" w:sz="8" w:color="auto"/>
              <w:bottom w:val="single" w:sz="8" w:color="auto"/>
              <w:right w:val="single" w:sz="8" w:color="auto"/>
            </w:tcBorders>
          </w:tcPr>
          <w:p>
            <w:pPr>
              <w:spacing w:after="0"/>
              <w:rPr>
                <w:sz w:val="18"/>
                <w:szCs w:val="18"/>
                <w:color w:val="auto"/>
              </w:rPr>
            </w:pPr>
          </w:p>
        </w:tc>
        <w:tc>
          <w:tcPr>
            <w:tcW w:w="4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6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40" w:type="dxa"/>
            <w:vAlign w:val="bottom"/>
          </w:tcPr>
          <w:p>
            <w:pPr>
              <w:ind w:left="260"/>
              <w:spacing w:after="0"/>
              <w:rPr>
                <w:sz w:val="20"/>
                <w:szCs w:val="20"/>
                <w:color w:val="auto"/>
              </w:rPr>
            </w:pPr>
            <w:r>
              <w:rPr>
                <w:rFonts w:ascii="Arial" w:cs="Arial" w:eastAsia="Arial" w:hAnsi="Arial"/>
                <w:sz w:val="14"/>
                <w:szCs w:val="14"/>
                <w:b w:val="1"/>
                <w:bCs w:val="1"/>
                <w:color w:val="auto"/>
              </w:rPr>
              <w:t>Note:</w:t>
            </w:r>
          </w:p>
        </w:tc>
        <w:tc>
          <w:tcPr>
            <w:tcW w:w="10460" w:type="dxa"/>
            <w:vAlign w:val="bottom"/>
            <w:gridSpan w:val="10"/>
          </w:tcPr>
          <w:p>
            <w:pPr>
              <w:ind w:left="140"/>
              <w:spacing w:after="0"/>
              <w:rPr>
                <w:sz w:val="20"/>
                <w:szCs w:val="20"/>
                <w:color w:val="auto"/>
              </w:rPr>
            </w:pPr>
            <w:r>
              <w:rPr>
                <w:rFonts w:ascii="Arial" w:cs="Arial" w:eastAsia="Arial" w:hAnsi="Arial"/>
                <w:sz w:val="14"/>
                <w:szCs w:val="14"/>
                <w:color w:val="auto"/>
                <w:w w:val="92"/>
              </w:rPr>
              <w:t>Please sign exactly as your name or names appear on this Proxy. When shares are held jointly, each holder should sign. When signing as executor, administrator, attorney, trustee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 w:type="dxa"/>
            <w:vAlign w:val="bottom"/>
            <w:vMerge w:val="restart"/>
          </w:tcPr>
          <w:p>
            <w:pPr>
              <w:spacing w:after="0"/>
              <w:rPr>
                <w:sz w:val="20"/>
                <w:szCs w:val="20"/>
                <w:color w:val="auto"/>
              </w:rPr>
            </w:pPr>
            <w:r>
              <w:rPr>
                <w:rFonts w:ascii="Arial" w:cs="Arial" w:eastAsia="Arial" w:hAnsi="Arial"/>
                <w:sz w:val="18"/>
                <w:szCs w:val="18"/>
                <w:color w:val="auto"/>
              </w:rPr>
              <w:t>¢</w:t>
            </w:r>
          </w:p>
        </w:tc>
        <w:tc>
          <w:tcPr>
            <w:tcW w:w="10460" w:type="dxa"/>
            <w:vAlign w:val="bottom"/>
            <w:gridSpan w:val="10"/>
          </w:tcPr>
          <w:p>
            <w:pPr>
              <w:ind w:left="160"/>
              <w:spacing w:after="0" w:line="149" w:lineRule="exact"/>
              <w:rPr>
                <w:sz w:val="20"/>
                <w:szCs w:val="20"/>
                <w:color w:val="auto"/>
              </w:rPr>
            </w:pPr>
            <w:r>
              <w:rPr>
                <w:rFonts w:ascii="Arial" w:cs="Arial" w:eastAsia="Arial" w:hAnsi="Arial"/>
                <w:sz w:val="14"/>
                <w:szCs w:val="14"/>
                <w:color w:val="auto"/>
              </w:rPr>
              <w:t>or guardian, please give full title as such. If the signer is a corporation, please sign full corporate name by duly authorized officer, giving full title as such. If signer is a</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740" w:type="dxa"/>
            <w:vAlign w:val="bottom"/>
            <w:vMerge w:val="continue"/>
          </w:tcPr>
          <w:p>
            <w:pPr>
              <w:spacing w:after="0"/>
              <w:rPr>
                <w:sz w:val="15"/>
                <w:szCs w:val="15"/>
                <w:color w:val="auto"/>
              </w:rPr>
            </w:pPr>
          </w:p>
        </w:tc>
        <w:tc>
          <w:tcPr>
            <w:tcW w:w="4240" w:type="dxa"/>
            <w:vAlign w:val="bottom"/>
            <w:gridSpan w:val="5"/>
          </w:tcPr>
          <w:p>
            <w:pPr>
              <w:ind w:left="160"/>
              <w:spacing w:after="0"/>
              <w:rPr>
                <w:sz w:val="20"/>
                <w:szCs w:val="20"/>
                <w:color w:val="auto"/>
              </w:rPr>
            </w:pPr>
            <w:r>
              <w:rPr>
                <w:rFonts w:ascii="Arial" w:cs="Arial" w:eastAsia="Arial" w:hAnsi="Arial"/>
                <w:sz w:val="14"/>
                <w:szCs w:val="14"/>
                <w:color w:val="auto"/>
                <w:w w:val="97"/>
              </w:rPr>
              <w:t>partnership, please sign in partnership name by authorized person.</w:t>
            </w: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type w:val="continuous"/>
        </w:sectPr>
      </w:pPr>
    </w:p>
    <w:bookmarkStart w:id="44" w:name="page45"/>
    <w:bookmarkEnd w:id="44"/>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McDermon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24, 2014</w:t>
      </w:r>
    </w:p>
    <w:sectPr>
      <w:pgSz w:w="11900" w:h="16838" w:orient="portrait"/>
      <w:cols w:equalWidth="0" w:num="1">
        <w:col w:w="10500"/>
      </w:cols>
      <w:pgMar w:left="240" w:top="274"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decimal"/>
      <w:start w:val="2"/>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62"/>
    </w:lvl>
  </w:abstractNum>
  <w:abstractNum w:abstractNumId="6">
    <w:nsid w:val="75A2A8D4"/>
    <w:multiLevelType w:val="hybridMultilevel"/>
    <w:lvl w:ilvl="0">
      <w:lvlJc w:val="left"/>
      <w:lvlText w:val="%1"/>
      <w:numFmt w:val="decimal"/>
      <w:start w:val="52"/>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8"/>
    </w:lvl>
  </w:abstractNum>
  <w:abstractNum w:abstractNumId="13">
    <w:nsid w:val="71F3245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4">
    <w:nsid w:val="2CA88611"/>
    <w:multiLevelType w:val="hybridMultilevel"/>
    <w:lvl w:ilvl="0">
      <w:lvlJc w:val="left"/>
      <w:lvlText w:val="%1."/>
      <w:numFmt w:val="lowerLetter"/>
      <w:start w:val="6"/>
    </w:lvl>
    <w:lvl w:ilvl="1">
      <w:lvlJc w:val="left"/>
      <w:lvlText w:val="•"/>
      <w:numFmt w:val="bullet"/>
      <w:start w:val="1"/>
    </w:lvl>
  </w:abstractNum>
  <w:abstractNum w:abstractNumId="15">
    <w:nsid w:val="836C40E"/>
    <w:multiLevelType w:val="hybridMultilevel"/>
    <w:lvl w:ilvl="0">
      <w:lvlJc w:val="left"/>
      <w:lvlText w:val="%1."/>
      <w:numFmt w:val="lowerLetter"/>
      <w:start w:val="8"/>
    </w:lvl>
  </w:abstractNum>
  <w:abstractNum w:abstractNumId="16">
    <w:nsid w:val="2901D82"/>
    <w:multiLevelType w:val="hybridMultilevel"/>
    <w:lvl w:ilvl="0">
      <w:lvlJc w:val="left"/>
      <w:lvlText w:val="%1."/>
      <w:numFmt w:val="decimal"/>
      <w:start w:val="3"/>
    </w:lvl>
    <w:lvl w:ilvl="1">
      <w:lvlJc w:val="left"/>
      <w:lvlText w:val="%2."/>
      <w:numFmt w:val="lowerLetter"/>
      <w:start w:val="1"/>
    </w:lvl>
  </w:abstractNum>
  <w:abstractNum w:abstractNumId="17">
    <w:nsid w:val="3A95F874"/>
    <w:multiLevelType w:val="hybridMultilevel"/>
    <w:lvl w:ilvl="0">
      <w:lvlJc w:val="left"/>
      <w:lvlText w:val="%1"/>
      <w:numFmt w:val="decimal"/>
      <w:start w:val="1"/>
    </w:lvl>
    <w:lvl w:ilvl="1">
      <w:lvlJc w:val="left"/>
      <w:lvlText w:val="%2."/>
      <w:numFmt w:val="lowerLetter"/>
      <w:start w:val="3"/>
    </w:lvl>
  </w:abstractNum>
  <w:abstractNum w:abstractNumId="18">
    <w:nsid w:val="8138641"/>
    <w:multiLevelType w:val="hybridMultilevel"/>
    <w:lvl w:ilvl="0">
      <w:lvlJc w:val="left"/>
      <w:lvlText w:val="%1."/>
      <w:numFmt w:val="decimal"/>
      <w:start w:val="4"/>
    </w:lvl>
    <w:lvl w:ilvl="1">
      <w:lvlJc w:val="left"/>
      <w:lvlText w:val="%2."/>
      <w:numFmt w:val="lowerLetter"/>
      <w:start w:val="1"/>
    </w:lvl>
  </w:abstractNum>
  <w:abstractNum w:abstractNumId="19">
    <w:nsid w:val="1E7FF521"/>
    <w:multiLevelType w:val="hybridMultilevel"/>
    <w:lvl w:ilvl="0">
      <w:lvlJc w:val="left"/>
      <w:lvlText w:val="%1"/>
      <w:numFmt w:val="decimal"/>
      <w:start w:val="1"/>
    </w:lvl>
    <w:lvl w:ilvl="1">
      <w:lvlJc w:val="left"/>
      <w:lvlText w:val="%2."/>
      <w:numFmt w:val="lowerLetter"/>
      <w:start w:val="3"/>
    </w:lvl>
  </w:abstractNum>
  <w:abstractNum w:abstractNumId="20">
    <w:nsid w:val="7C3DBD3D"/>
    <w:multiLevelType w:val="hybridMultilevel"/>
    <w:lvl w:ilvl="0">
      <w:lvlJc w:val="left"/>
      <w:lvlText w:val="%1."/>
      <w:numFmt w:val="decimal"/>
      <w:start w:val="6"/>
    </w:lvl>
    <w:lvl w:ilvl="1">
      <w:lvlJc w:val="left"/>
      <w:lvlText w:val="%2."/>
      <w:numFmt w:val="lowerLetter"/>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3">
    <w:nsid w:val="22221A70"/>
    <w:multiLevelType w:val="hybridMultilevel"/>
    <w:lvl w:ilvl="0">
      <w:lvlJc w:val="left"/>
      <w:lvlText w:val="%1"/>
      <w:numFmt w:val="decimal"/>
      <w:start w:val="1"/>
    </w:lvl>
    <w:lvl w:ilvl="1">
      <w:lvlJc w:val="left"/>
      <w:lvlText w:val="(%2)"/>
      <w:numFmt w:val="lowerLetter"/>
      <w:start w:val="7"/>
    </w:lvl>
  </w:abstractNum>
  <w:abstractNum w:abstractNumId="24">
    <w:nsid w:val="4516DDE9"/>
    <w:multiLevelType w:val="hybridMultilevel"/>
    <w:lvl w:ilvl="0">
      <w:lvlJc w:val="left"/>
      <w:lvlText w:val="%1."/>
      <w:numFmt w:val="decimal"/>
      <w:start w:val="3"/>
    </w:lvl>
    <w:lvl w:ilvl="1">
      <w:lvlJc w:val="left"/>
      <w:lvlText w:val="%2"/>
      <w:numFmt w:val="lowerLetter"/>
      <w:start w:val="1"/>
    </w:lvl>
  </w:abstractNum>
  <w:abstractNum w:abstractNumId="25">
    <w:nsid w:val="3006C83E"/>
    <w:multiLevelType w:val="hybridMultilevel"/>
    <w:lvl w:ilvl="0">
      <w:lvlJc w:val="left"/>
      <w:lvlText w:val="%1."/>
      <w:numFmt w:val="decimal"/>
      <w:start w:val="6"/>
    </w:lvl>
    <w:lvl w:ilvl="1">
      <w:lvlJc w:val="left"/>
      <w:lvlText w:val="(%2)"/>
      <w:numFmt w:val="lowerLetter"/>
      <w:start w:val="1"/>
    </w:lvl>
  </w:abstractNum>
  <w:abstractNum w:abstractNumId="26">
    <w:nsid w:val="614FD4A1"/>
    <w:multiLevelType w:val="hybridMultilevel"/>
    <w:lvl w:ilvl="0">
      <w:lvlJc w:val="left"/>
      <w:lvlText w:val="(%1)"/>
      <w:numFmt w:val="lowerLetter"/>
      <w:start w:val="6"/>
    </w:lvl>
  </w:abstractNum>
  <w:abstractNum w:abstractNumId="27">
    <w:nsid w:val="419AC241"/>
    <w:multiLevelType w:val="hybridMultilevel"/>
    <w:lvl w:ilvl="0">
      <w:lvlJc w:val="left"/>
      <w:lvlText w:val="(%1)"/>
      <w:numFmt w:val="lowerLetter"/>
      <w:start w:val="7"/>
    </w:lvl>
  </w:abstractNum>
  <w:abstractNum w:abstractNumId="28">
    <w:nsid w:val="5577F8E1"/>
    <w:multiLevelType w:val="hybridMultilevel"/>
    <w:lvl w:ilvl="0">
      <w:lvlJc w:val="left"/>
      <w:lvlText w:val="%1."/>
      <w:numFmt w:val="decimal"/>
      <w:start w:val="7"/>
    </w:lvl>
  </w:abstractNum>
  <w:abstractNum w:abstractNumId="29">
    <w:nsid w:val="440BADFC"/>
    <w:multiLevelType w:val="hybridMultilevel"/>
    <w:lvl w:ilvl="0">
      <w:lvlJc w:val="left"/>
      <w:lvlText w:val="%1."/>
      <w:numFmt w:val="decimal"/>
      <w:start w:val="8"/>
    </w:lvl>
    <w:lvl w:ilvl="1">
      <w:lvlJc w:val="left"/>
      <w:lvlText w:val="(%2)"/>
      <w:numFmt w:val="lowerLetter"/>
      <w:start w:val="1"/>
    </w:lvl>
  </w:abstractNum>
  <w:abstractNum w:abstractNumId="30">
    <w:nsid w:val="5072367"/>
    <w:multiLevelType w:val="hybridMultilevel"/>
    <w:lvl w:ilvl="0">
      <w:lvlJc w:val="left"/>
      <w:lvlText w:val="(%1)"/>
      <w:numFmt w:val="lowerRoman"/>
      <w:start w:val="2"/>
    </w:lvl>
  </w:abstractNum>
  <w:abstractNum w:abstractNumId="31">
    <w:nsid w:val="3804823E"/>
    <w:multiLevelType w:val="hybridMultilevel"/>
    <w:lvl w:ilvl="0">
      <w:lvlJc w:val="left"/>
      <w:lvlText w:val="(%1)"/>
      <w:numFmt w:val="lowerLetter"/>
      <w:start w:val="3"/>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Roman"/>
      <w:start w:val="1"/>
    </w:lvl>
  </w:abstractNum>
  <w:abstractNum w:abstractNumId="34">
    <w:nsid w:val="5C482A97"/>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5">
    <w:nsid w:val="2463B9EA"/>
    <w:multiLevelType w:val="hybridMultilevel"/>
    <w:lvl w:ilvl="0">
      <w:lvlJc w:val="left"/>
      <w:lvlText w:val="(%1)"/>
      <w:numFmt w:val="lowerRoman"/>
      <w:start w:val="2"/>
    </w:lvl>
  </w:abstractNum>
  <w:abstractNum w:abstractNumId="36">
    <w:nsid w:val="5E884ADC"/>
    <w:multiLevelType w:val="hybridMultilevel"/>
    <w:lvl w:ilvl="0">
      <w:lvlJc w:val="left"/>
      <w:lvlText w:val="%1"/>
      <w:numFmt w:val="decimal"/>
      <w:start w:val="1"/>
    </w:lvl>
    <w:lvl w:ilvl="1">
      <w:lvlJc w:val="left"/>
      <w:lvlText w:val="(%2)"/>
      <w:numFmt w:val="lowerLetter"/>
      <w:start w:val="3"/>
    </w:lvl>
  </w:abstractNum>
  <w:abstractNum w:abstractNumId="37">
    <w:nsid w:val="51EAD36B"/>
    <w:multiLevelType w:val="hybridMultilevel"/>
    <w:lvl w:ilvl="0">
      <w:lvlJc w:val="left"/>
      <w:lvlText w:val="%1."/>
      <w:numFmt w:val="decimal"/>
      <w:start w:val="11"/>
    </w:lvl>
    <w:lvl w:ilvl="1">
      <w:lvlJc w:val="left"/>
      <w:lvlText w:val="%2"/>
      <w:numFmt w:val="lowerLetter"/>
      <w:start w:val="1"/>
    </w:lvl>
  </w:abstractNum>
  <w:abstractNum w:abstractNumId="38">
    <w:nsid w:val="2D517796"/>
    <w:multiLevelType w:val="hybridMultilevel"/>
    <w:lvl w:ilvl="0">
      <w:lvlJc w:val="left"/>
      <w:lvlText w:val="%1."/>
      <w:numFmt w:val="decimal"/>
      <w:start w:val="14"/>
    </w:lvl>
  </w:abstractNum>
  <w:abstractNum w:abstractNumId="39">
    <w:nsid w:val="580BD78F"/>
    <w:multiLevelType w:val="hybridMultilevel"/>
    <w:lvl w:ilvl="0">
      <w:lvlJc w:val="left"/>
      <w:lvlText w:val="%1."/>
      <w:numFmt w:val="decimal"/>
      <w:start w:val="19"/>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2019-12-06T19:52:55Z</dcterms:created>
  <dcterms:modified xsi:type="dcterms:W3CDTF">2019-12-06T19:52:55Z</dcterms:modified>
</cp:coreProperties>
</file>